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647F72" w:rsidRDefault="00B34FC9">
      <w:pPr>
        <w:spacing w:line="360" w:lineRule="auto"/>
        <w:jc w:val="both"/>
      </w:pPr>
      <w:r w:rsidRPr="00647F72">
        <w:rPr>
          <w:rFonts w:ascii="Book Antiqua" w:eastAsia="Book Antiqua" w:hAnsi="Book Antiqua" w:cs="Book Antiqua"/>
          <w:b/>
          <w:color w:val="000000"/>
        </w:rPr>
        <w:t xml:space="preserve">Name of Journal: </w:t>
      </w:r>
      <w:r w:rsidRPr="00647F72">
        <w:rPr>
          <w:rFonts w:ascii="Book Antiqua" w:eastAsia="Book Antiqua" w:hAnsi="Book Antiqua" w:cs="Book Antiqua"/>
          <w:i/>
          <w:color w:val="000000"/>
        </w:rPr>
        <w:t>World Journal of Gastroenterology</w:t>
      </w:r>
    </w:p>
    <w:p w:rsidR="00A77B3E" w:rsidRPr="00647F72" w:rsidRDefault="00B34FC9">
      <w:pPr>
        <w:spacing w:line="360" w:lineRule="auto"/>
        <w:jc w:val="both"/>
      </w:pPr>
      <w:r w:rsidRPr="00647F72">
        <w:rPr>
          <w:rFonts w:ascii="Book Antiqua" w:eastAsia="Book Antiqua" w:hAnsi="Book Antiqua" w:cs="Book Antiqua"/>
          <w:b/>
          <w:color w:val="000000"/>
        </w:rPr>
        <w:t xml:space="preserve">Manuscript NO: </w:t>
      </w:r>
      <w:r w:rsidRPr="00647F72">
        <w:rPr>
          <w:rFonts w:ascii="Book Antiqua" w:eastAsia="Book Antiqua" w:hAnsi="Book Antiqua" w:cs="Book Antiqua"/>
          <w:color w:val="000000"/>
        </w:rPr>
        <w:t>65829</w:t>
      </w:r>
    </w:p>
    <w:p w:rsidR="00A77B3E" w:rsidRPr="00647F72" w:rsidRDefault="00B34FC9">
      <w:pPr>
        <w:spacing w:line="360" w:lineRule="auto"/>
        <w:jc w:val="both"/>
      </w:pPr>
      <w:r w:rsidRPr="00647F72">
        <w:rPr>
          <w:rFonts w:ascii="Book Antiqua" w:eastAsia="Book Antiqua" w:hAnsi="Book Antiqua" w:cs="Book Antiqua"/>
          <w:b/>
          <w:color w:val="000000"/>
        </w:rPr>
        <w:t xml:space="preserve">Manuscript Type: </w:t>
      </w:r>
      <w:r w:rsidRPr="00647F72">
        <w:rPr>
          <w:rFonts w:ascii="Book Antiqua" w:eastAsia="Book Antiqua" w:hAnsi="Book Antiqua" w:cs="Book Antiqua"/>
          <w:color w:val="000000"/>
        </w:rPr>
        <w:t>FRONTIER</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color w:val="000000"/>
        </w:rPr>
        <w:t xml:space="preserve">Liver dysfunction and </w:t>
      </w:r>
      <w:r w:rsidRPr="00647F72">
        <w:rPr>
          <w:rFonts w:ascii="Book Antiqua" w:eastAsia="Book Antiqua" w:hAnsi="Book Antiqua" w:cs="Book Antiqua"/>
          <w:b/>
          <w:bCs/>
          <w:color w:val="000000"/>
        </w:rPr>
        <w:t>SARS-CoV-2</w:t>
      </w:r>
      <w:r w:rsidRPr="00647F72">
        <w:rPr>
          <w:rFonts w:ascii="Book Antiqua" w:eastAsia="Book Antiqua" w:hAnsi="Book Antiqua" w:cs="Book Antiqua"/>
          <w:b/>
          <w:color w:val="000000"/>
        </w:rPr>
        <w:t xml:space="preserve"> infection</w:t>
      </w:r>
    </w:p>
    <w:p w:rsidR="00A77B3E" w:rsidRPr="00647F72" w:rsidRDefault="00A77B3E">
      <w:pPr>
        <w:spacing w:line="360" w:lineRule="auto"/>
        <w:jc w:val="both"/>
      </w:pPr>
    </w:p>
    <w:p w:rsidR="00A77B3E" w:rsidRPr="00647F72" w:rsidRDefault="00151B5F">
      <w:pPr>
        <w:spacing w:line="360" w:lineRule="auto"/>
        <w:jc w:val="both"/>
      </w:pPr>
      <w:r w:rsidRPr="00647F72">
        <w:rPr>
          <w:rFonts w:ascii="Book Antiqua" w:eastAsia="Book Antiqua" w:hAnsi="Book Antiqua" w:cs="Book Antiqua"/>
          <w:color w:val="000000"/>
          <w:lang w:val="es-MX"/>
        </w:rPr>
        <w:t xml:space="preserve">Gracia-Ramos </w:t>
      </w:r>
      <w:r w:rsidRPr="00647F72">
        <w:rPr>
          <w:rFonts w:ascii="Book Antiqua" w:hAnsi="Book Antiqua" w:cs="Book Antiqua"/>
          <w:color w:val="000000"/>
          <w:lang w:val="es-MX" w:eastAsia="zh-CN"/>
        </w:rPr>
        <w:t xml:space="preserve">AE </w:t>
      </w:r>
      <w:r w:rsidRPr="00647F72">
        <w:rPr>
          <w:rFonts w:ascii="Book Antiqua" w:hAnsi="Book Antiqua" w:cs="Book Antiqua"/>
          <w:i/>
          <w:color w:val="000000"/>
          <w:lang w:val="es-MX" w:eastAsia="zh-CN"/>
        </w:rPr>
        <w:t>et al</w:t>
      </w:r>
      <w:r w:rsidRPr="00647F72">
        <w:rPr>
          <w:rFonts w:ascii="Book Antiqua" w:hAnsi="Book Antiqua" w:cs="Book Antiqua"/>
          <w:color w:val="000000"/>
          <w:lang w:val="es-MX" w:eastAsia="zh-CN"/>
        </w:rPr>
        <w:t xml:space="preserve">. </w:t>
      </w:r>
      <w:r w:rsidR="00B34FC9" w:rsidRPr="00647F72">
        <w:rPr>
          <w:rFonts w:ascii="Book Antiqua" w:eastAsia="Book Antiqua" w:hAnsi="Book Antiqua" w:cs="Book Antiqua"/>
          <w:color w:val="000000"/>
        </w:rPr>
        <w:t>Liver dysfunction and SARS-CoV-2</w:t>
      </w:r>
    </w:p>
    <w:p w:rsidR="00A77B3E" w:rsidRPr="00647F72" w:rsidRDefault="00A77B3E">
      <w:pPr>
        <w:spacing w:line="360" w:lineRule="auto"/>
        <w:jc w:val="both"/>
      </w:pPr>
    </w:p>
    <w:p w:rsidR="00A77B3E" w:rsidRPr="00647F72" w:rsidRDefault="00B34FC9">
      <w:pPr>
        <w:spacing w:line="360" w:lineRule="auto"/>
        <w:jc w:val="both"/>
        <w:rPr>
          <w:lang w:val="es-MX"/>
        </w:rPr>
      </w:pPr>
      <w:r w:rsidRPr="00647F72">
        <w:rPr>
          <w:rFonts w:ascii="Book Antiqua" w:eastAsia="Book Antiqua" w:hAnsi="Book Antiqua" w:cs="Book Antiqua"/>
          <w:color w:val="000000"/>
          <w:lang w:val="es-MX"/>
        </w:rPr>
        <w:t>Abraham Edgar Gracia-Ramos, Joel Omar Jaquez-Quintana, Raúl Contreras-Omaña, Moises Auron</w:t>
      </w:r>
    </w:p>
    <w:p w:rsidR="00A77B3E" w:rsidRPr="00647F72" w:rsidRDefault="00A77B3E">
      <w:pPr>
        <w:spacing w:line="360" w:lineRule="auto"/>
        <w:jc w:val="both"/>
        <w:rPr>
          <w:lang w:val="es-MX"/>
        </w:rPr>
      </w:pPr>
    </w:p>
    <w:p w:rsidR="00A77B3E" w:rsidRPr="00647F72" w:rsidRDefault="00B34FC9">
      <w:pPr>
        <w:spacing w:line="360" w:lineRule="auto"/>
        <w:jc w:val="both"/>
        <w:rPr>
          <w:lang w:val="es-MX"/>
        </w:rPr>
      </w:pPr>
      <w:r w:rsidRPr="00647F72">
        <w:rPr>
          <w:rFonts w:ascii="Book Antiqua" w:eastAsia="Book Antiqua" w:hAnsi="Book Antiqua" w:cs="Book Antiqua"/>
          <w:b/>
          <w:bCs/>
          <w:color w:val="000000"/>
          <w:lang w:val="es-MX"/>
        </w:rPr>
        <w:t xml:space="preserve">Abraham Edgar Gracia-Ramos, </w:t>
      </w:r>
      <w:r w:rsidRPr="00647F72">
        <w:rPr>
          <w:rFonts w:ascii="Book Antiqua" w:eastAsia="Book Antiqua" w:hAnsi="Book Antiqua" w:cs="Book Antiqua"/>
          <w:color w:val="000000"/>
          <w:lang w:val="es-MX"/>
        </w:rPr>
        <w:t>Department of Internal Medicine, General Hospital, National Medical Center "La Raza", Instituto Mexicano del Seguro Social, Mexico City 02990, Mexico</w:t>
      </w:r>
    </w:p>
    <w:p w:rsidR="00A77B3E" w:rsidRPr="00647F72" w:rsidRDefault="00A77B3E">
      <w:pPr>
        <w:spacing w:line="360" w:lineRule="auto"/>
        <w:jc w:val="both"/>
        <w:rPr>
          <w:lang w:val="es-MX"/>
        </w:rPr>
      </w:pPr>
    </w:p>
    <w:p w:rsidR="00A77B3E" w:rsidRPr="00647F72" w:rsidRDefault="00B34FC9">
      <w:pPr>
        <w:spacing w:line="360" w:lineRule="auto"/>
        <w:jc w:val="both"/>
        <w:rPr>
          <w:lang w:val="es-MX"/>
        </w:rPr>
      </w:pPr>
      <w:r w:rsidRPr="00647F72">
        <w:rPr>
          <w:rFonts w:ascii="Book Antiqua" w:eastAsia="Book Antiqua" w:hAnsi="Book Antiqua" w:cs="Book Antiqua"/>
          <w:b/>
          <w:bCs/>
          <w:color w:val="000000"/>
          <w:lang w:val="es-MX"/>
        </w:rPr>
        <w:t xml:space="preserve">Joel Omar Jaquez-Quintana, </w:t>
      </w:r>
      <w:r w:rsidRPr="00647F72">
        <w:rPr>
          <w:rFonts w:ascii="Book Antiqua" w:eastAsia="Book Antiqua" w:hAnsi="Book Antiqua" w:cs="Book Antiqua"/>
          <w:color w:val="000000"/>
          <w:lang w:val="es-MX"/>
        </w:rPr>
        <w:t>Gastroenterology Service and Department of Internal Medicine, Faculty of Medicine, University Hospital "Dr. José E. González”, Universidad Autónoma de Nuevo León, Monterrey 64460, Mexico</w:t>
      </w:r>
    </w:p>
    <w:p w:rsidR="00A77B3E" w:rsidRPr="00647F72" w:rsidRDefault="00A77B3E">
      <w:pPr>
        <w:spacing w:line="360" w:lineRule="auto"/>
        <w:jc w:val="both"/>
        <w:rPr>
          <w:lang w:val="es-MX"/>
        </w:rPr>
      </w:pPr>
    </w:p>
    <w:p w:rsidR="00A77B3E" w:rsidRPr="00647F72" w:rsidRDefault="00B34FC9">
      <w:pPr>
        <w:spacing w:line="360" w:lineRule="auto"/>
        <w:jc w:val="both"/>
        <w:rPr>
          <w:lang w:val="es-MX"/>
        </w:rPr>
      </w:pPr>
      <w:r w:rsidRPr="00647F72">
        <w:rPr>
          <w:rFonts w:ascii="Book Antiqua" w:eastAsia="Book Antiqua" w:hAnsi="Book Antiqua" w:cs="Book Antiqua"/>
          <w:b/>
          <w:bCs/>
          <w:color w:val="000000"/>
          <w:lang w:val="es-MX"/>
        </w:rPr>
        <w:t xml:space="preserve">Raúl Contreras-Omaña, </w:t>
      </w:r>
      <w:r w:rsidRPr="00647F72">
        <w:rPr>
          <w:rFonts w:ascii="Book Antiqua" w:eastAsia="Book Antiqua" w:hAnsi="Book Antiqua" w:cs="Book Antiqua"/>
          <w:color w:val="000000"/>
          <w:lang w:val="es-MX"/>
        </w:rPr>
        <w:t>Centro de Estudio e Investigación en Enfermedades Hepáticas y Toxicológicas (CEIHET), Pachuca 42184, Mexico</w:t>
      </w:r>
    </w:p>
    <w:p w:rsidR="00A77B3E" w:rsidRPr="00647F72" w:rsidRDefault="00A77B3E">
      <w:pPr>
        <w:spacing w:line="360" w:lineRule="auto"/>
        <w:jc w:val="both"/>
        <w:rPr>
          <w:lang w:val="es-MX"/>
        </w:rPr>
      </w:pPr>
    </w:p>
    <w:p w:rsidR="00A77B3E" w:rsidRPr="00647F72" w:rsidRDefault="00B34FC9">
      <w:pPr>
        <w:spacing w:line="360" w:lineRule="auto"/>
        <w:jc w:val="both"/>
      </w:pPr>
      <w:r w:rsidRPr="00647F72">
        <w:rPr>
          <w:rFonts w:ascii="Book Antiqua" w:eastAsia="Book Antiqua" w:hAnsi="Book Antiqua" w:cs="Book Antiqua"/>
          <w:b/>
          <w:bCs/>
          <w:color w:val="000000"/>
        </w:rPr>
        <w:t xml:space="preserve">Moises Auron, </w:t>
      </w:r>
      <w:r w:rsidRPr="00647F72">
        <w:rPr>
          <w:rFonts w:ascii="Book Antiqua" w:eastAsia="Book Antiqua" w:hAnsi="Book Antiqua" w:cs="Book Antiqua"/>
          <w:color w:val="000000"/>
        </w:rPr>
        <w:t>Departments of Hospital Medicine and Pediatric Hospital Medicine, Cleveland Clinic, Cleveland, OH 44195, United States</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olor w:val="000000"/>
        </w:rPr>
        <w:t xml:space="preserve">Author contributions: </w:t>
      </w:r>
      <w:r w:rsidRPr="00647F72">
        <w:rPr>
          <w:rFonts w:ascii="Book Antiqua" w:eastAsia="Book Antiqua" w:hAnsi="Book Antiqua" w:cs="Book Antiqua"/>
          <w:color w:val="000000"/>
        </w:rPr>
        <w:t xml:space="preserve">The authors contributed equally to all aspects of this manuscript preparation and have read and approved the final manuscript; </w:t>
      </w:r>
      <w:r w:rsidR="00151B5F" w:rsidRPr="00647F72">
        <w:rPr>
          <w:rFonts w:ascii="Book Antiqua" w:hAnsi="Book Antiqua" w:cs="Book Antiqua" w:hint="eastAsia"/>
          <w:color w:val="000000"/>
          <w:lang w:eastAsia="zh-CN"/>
        </w:rPr>
        <w:t>e</w:t>
      </w:r>
      <w:r w:rsidRPr="00647F72">
        <w:rPr>
          <w:rFonts w:ascii="Book Antiqua" w:eastAsia="Book Antiqua" w:hAnsi="Book Antiqua" w:cs="Book Antiqua"/>
          <w:color w:val="000000"/>
        </w:rPr>
        <w:t>ach author meets the criteria for authorship established by the International Committee of Medical Journal Editors.</w:t>
      </w:r>
    </w:p>
    <w:p w:rsidR="00A77B3E" w:rsidRPr="00647F72" w:rsidRDefault="00A77B3E">
      <w:pPr>
        <w:spacing w:line="360" w:lineRule="auto"/>
        <w:jc w:val="both"/>
      </w:pPr>
    </w:p>
    <w:p w:rsidR="00A77B3E" w:rsidRPr="00647F72" w:rsidRDefault="00B34FC9">
      <w:pPr>
        <w:spacing w:line="360" w:lineRule="auto"/>
        <w:jc w:val="both"/>
        <w:rPr>
          <w:lang w:val="es-MX"/>
        </w:rPr>
      </w:pPr>
      <w:r w:rsidRPr="00647F72">
        <w:rPr>
          <w:rFonts w:ascii="Book Antiqua" w:eastAsia="Book Antiqua" w:hAnsi="Book Antiqua" w:cs="Book Antiqua"/>
          <w:b/>
          <w:bCs/>
          <w:color w:val="000000"/>
          <w:lang w:val="es-MX"/>
        </w:rPr>
        <w:lastRenderedPageBreak/>
        <w:t>Corresponding author: Abraham Edgar Gracia-Ramos, MD, MSc,</w:t>
      </w:r>
      <w:r w:rsidR="004B68D8" w:rsidRPr="00647F72">
        <w:rPr>
          <w:rFonts w:ascii="Book Antiqua" w:eastAsia="Book Antiqua" w:hAnsi="Book Antiqua" w:cs="Book Antiqua"/>
          <w:b/>
          <w:bCs/>
          <w:color w:val="000000"/>
          <w:lang w:val="es-MX"/>
        </w:rPr>
        <w:t xml:space="preserve"> </w:t>
      </w:r>
      <w:r w:rsidRPr="00647F72">
        <w:rPr>
          <w:rFonts w:ascii="Book Antiqua" w:eastAsia="Book Antiqua" w:hAnsi="Book Antiqua" w:cs="Book Antiqua"/>
          <w:color w:val="000000"/>
          <w:lang w:val="es-MX"/>
        </w:rPr>
        <w:t xml:space="preserve">Department of Internal Medicine, General Hospital, National Medical Center "La Raza", Instituto Mexicano del Seguro Social, Av. </w:t>
      </w:r>
      <w:r w:rsidRPr="00647F72">
        <w:rPr>
          <w:rFonts w:ascii="Book Antiqua" w:eastAsia="Book Antiqua" w:hAnsi="Book Antiqua" w:cs="Book Antiqua"/>
          <w:color w:val="000000"/>
        </w:rPr>
        <w:t xml:space="preserve">Jacaranda S/N, Col. La Raza, Del. </w:t>
      </w:r>
      <w:r w:rsidRPr="00647F72">
        <w:rPr>
          <w:rFonts w:ascii="Book Antiqua" w:eastAsia="Book Antiqua" w:hAnsi="Book Antiqua" w:cs="Book Antiqua"/>
          <w:color w:val="000000"/>
          <w:lang w:val="es-MX"/>
        </w:rPr>
        <w:t>Azcapotzalco, C.P., Mexico City 02990, Mexico. dr.gracia.dmm@gmail.com</w:t>
      </w:r>
    </w:p>
    <w:p w:rsidR="00A77B3E" w:rsidRPr="00647F72" w:rsidRDefault="00A77B3E">
      <w:pPr>
        <w:spacing w:line="360" w:lineRule="auto"/>
        <w:jc w:val="both"/>
        <w:rPr>
          <w:lang w:val="es-MX"/>
        </w:rPr>
      </w:pPr>
    </w:p>
    <w:p w:rsidR="00A77B3E" w:rsidRPr="00647F72" w:rsidRDefault="00B34FC9">
      <w:pPr>
        <w:spacing w:line="360" w:lineRule="auto"/>
        <w:jc w:val="both"/>
      </w:pPr>
      <w:r w:rsidRPr="00647F72">
        <w:rPr>
          <w:rFonts w:ascii="Book Antiqua" w:eastAsia="Book Antiqua" w:hAnsi="Book Antiqua" w:cs="Book Antiqua"/>
          <w:b/>
          <w:bCs/>
          <w:color w:val="000000"/>
        </w:rPr>
        <w:t xml:space="preserve">Received: </w:t>
      </w:r>
      <w:r w:rsidRPr="00647F72">
        <w:rPr>
          <w:rFonts w:ascii="Book Antiqua" w:eastAsia="Book Antiqua" w:hAnsi="Book Antiqua" w:cs="Book Antiqua"/>
          <w:color w:val="000000"/>
        </w:rPr>
        <w:t>March 16, 2021</w:t>
      </w:r>
    </w:p>
    <w:p w:rsidR="00A77B3E" w:rsidRPr="00647F72" w:rsidRDefault="00B34FC9">
      <w:pPr>
        <w:spacing w:line="360" w:lineRule="auto"/>
        <w:jc w:val="both"/>
      </w:pPr>
      <w:r w:rsidRPr="00647F72">
        <w:rPr>
          <w:rFonts w:ascii="Book Antiqua" w:eastAsia="Book Antiqua" w:hAnsi="Book Antiqua" w:cs="Book Antiqua"/>
          <w:b/>
          <w:bCs/>
          <w:color w:val="000000"/>
        </w:rPr>
        <w:t xml:space="preserve">Revised: </w:t>
      </w:r>
      <w:r w:rsidRPr="00647F72">
        <w:rPr>
          <w:rFonts w:ascii="Book Antiqua" w:eastAsia="Book Antiqua" w:hAnsi="Book Antiqua" w:cs="Book Antiqua"/>
          <w:color w:val="000000"/>
        </w:rPr>
        <w:t>May 9, 2021</w:t>
      </w:r>
    </w:p>
    <w:p w:rsidR="00A77B3E" w:rsidRPr="00647F72" w:rsidRDefault="00B34FC9">
      <w:pPr>
        <w:spacing w:line="360" w:lineRule="auto"/>
        <w:jc w:val="both"/>
      </w:pPr>
      <w:r w:rsidRPr="00647F72">
        <w:rPr>
          <w:rFonts w:ascii="Book Antiqua" w:eastAsia="Book Antiqua" w:hAnsi="Book Antiqua" w:cs="Book Antiqua"/>
          <w:b/>
          <w:bCs/>
          <w:color w:val="000000"/>
        </w:rPr>
        <w:t xml:space="preserve">Accepted: </w:t>
      </w:r>
      <w:r w:rsidR="009027E0" w:rsidRPr="00647F72">
        <w:rPr>
          <w:rFonts w:ascii="Book Antiqua" w:eastAsia="Book Antiqua" w:hAnsi="Book Antiqua" w:cs="Book Antiqua"/>
          <w:bCs/>
          <w:color w:val="000000"/>
        </w:rPr>
        <w:t>June 16, 2021</w:t>
      </w:r>
    </w:p>
    <w:p w:rsidR="00A77B3E" w:rsidRPr="00647F72" w:rsidRDefault="00B34FC9">
      <w:pPr>
        <w:spacing w:line="360" w:lineRule="auto"/>
        <w:jc w:val="both"/>
        <w:rPr>
          <w:lang w:eastAsia="zh-CN"/>
        </w:rPr>
      </w:pPr>
      <w:r w:rsidRPr="00647F72">
        <w:rPr>
          <w:rFonts w:ascii="Book Antiqua" w:eastAsia="Book Antiqua" w:hAnsi="Book Antiqua" w:cs="Book Antiqua"/>
          <w:b/>
          <w:bCs/>
          <w:color w:val="000000"/>
        </w:rPr>
        <w:t xml:space="preserve">Published online: </w:t>
      </w:r>
      <w:r w:rsidR="00C115F7" w:rsidRPr="00647F72">
        <w:rPr>
          <w:rFonts w:ascii="Book Antiqua" w:hAnsi="Book Antiqua"/>
          <w:color w:val="000000"/>
          <w:shd w:val="clear" w:color="auto" w:fill="FFFFFF"/>
        </w:rPr>
        <w:t>July 14</w:t>
      </w:r>
      <w:r w:rsidR="00C115F7" w:rsidRPr="00647F72">
        <w:rPr>
          <w:rFonts w:ascii="Book Antiqua" w:hAnsi="Book Antiqua" w:hint="eastAsia"/>
          <w:color w:val="000000"/>
          <w:shd w:val="clear" w:color="auto" w:fill="FFFFFF"/>
          <w:lang w:eastAsia="zh-CN"/>
        </w:rPr>
        <w:t>, 2021</w:t>
      </w:r>
    </w:p>
    <w:p w:rsidR="00A77B3E" w:rsidRPr="00647F72" w:rsidRDefault="00A77B3E">
      <w:pPr>
        <w:spacing w:line="360" w:lineRule="auto"/>
        <w:jc w:val="both"/>
        <w:sectPr w:rsidR="00A77B3E" w:rsidRPr="00647F72">
          <w:footerReference w:type="default" r:id="rId8"/>
          <w:pgSz w:w="12240" w:h="15840"/>
          <w:pgMar w:top="1440" w:right="1440" w:bottom="1440" w:left="1440" w:header="720" w:footer="720" w:gutter="0"/>
          <w:cols w:space="720"/>
          <w:docGrid w:linePitch="360"/>
        </w:sectPr>
      </w:pPr>
    </w:p>
    <w:p w:rsidR="00A77B3E" w:rsidRPr="00647F72" w:rsidRDefault="00B34FC9">
      <w:pPr>
        <w:spacing w:line="360" w:lineRule="auto"/>
        <w:jc w:val="both"/>
      </w:pPr>
      <w:r w:rsidRPr="00647F72">
        <w:rPr>
          <w:rFonts w:ascii="Book Antiqua" w:eastAsia="Book Antiqua" w:hAnsi="Book Antiqua" w:cs="Book Antiqua"/>
          <w:b/>
          <w:color w:val="000000"/>
        </w:rPr>
        <w:t>Abstract</w:t>
      </w:r>
    </w:p>
    <w:p w:rsidR="00A77B3E" w:rsidRPr="00647F72" w:rsidRDefault="00B34FC9">
      <w:pPr>
        <w:spacing w:line="360" w:lineRule="auto"/>
        <w:jc w:val="both"/>
      </w:pPr>
      <w:r w:rsidRPr="00647F72">
        <w:rPr>
          <w:rFonts w:ascii="Book Antiqua" w:eastAsia="Book Antiqua" w:hAnsi="Book Antiqua" w:cs="Book Antiqua"/>
          <w:color w:val="000000"/>
        </w:rPr>
        <w:t>Severe acute respiratory syndrome</w:t>
      </w:r>
      <w:r w:rsidR="00151B5F"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coronavirus 2</w:t>
      </w:r>
      <w:r w:rsidR="00151B5F"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infection is the cause of coronavirus disease</w:t>
      </w:r>
      <w:r w:rsidR="00151B5F"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 xml:space="preserve">2019 (COVID-19), which predominantly affects the respiratory system; it also causes systemic and multi-organic disease. Liver damage is among the main extrapulmonary manifestations. COVID-19-associated liver injury is defined as any liver damage occurring during the disease course and treatment of COVID-19 in patients with or without pre-existing liver disease, and occurs in approximately </w:t>
      </w:r>
      <w:r w:rsidR="00C52685" w:rsidRPr="00647F72">
        <w:rPr>
          <w:rFonts w:ascii="Book Antiqua" w:eastAsia="Book Antiqua" w:hAnsi="Book Antiqua" w:cs="Book Antiqua"/>
          <w:color w:val="000000"/>
        </w:rPr>
        <w:t xml:space="preserve">one </w:t>
      </w:r>
      <w:r w:rsidRPr="00647F72">
        <w:rPr>
          <w:rFonts w:ascii="Book Antiqua" w:eastAsia="Book Antiqua" w:hAnsi="Book Antiqua" w:cs="Book Antiqua"/>
          <w:color w:val="000000"/>
        </w:rPr>
        <w:t xml:space="preserve">in </w:t>
      </w:r>
      <w:r w:rsidR="00C52685" w:rsidRPr="00647F72">
        <w:rPr>
          <w:rFonts w:ascii="Book Antiqua" w:eastAsia="Book Antiqua" w:hAnsi="Book Antiqua" w:cs="Book Antiqua"/>
          <w:color w:val="000000"/>
        </w:rPr>
        <w:t xml:space="preserve">five </w:t>
      </w:r>
      <w:r w:rsidRPr="00647F72">
        <w:rPr>
          <w:rFonts w:ascii="Book Antiqua" w:eastAsia="Book Antiqua" w:hAnsi="Book Antiqua" w:cs="Book Antiqua"/>
          <w:color w:val="000000"/>
        </w:rPr>
        <w:t>patients. Abnormal liver test results have been associated with a more severe course of COVID-19 and other complications, including death. Mechanisms linking COVID-19 to liver injury are diverse. Particular consideration should be made for patients with pre-existing liver disease, such as metabolic dysfunction-associated fatty liver disease, chronic liver disease due to viral or autoimmune disease, liver transplant carriers</w:t>
      </w:r>
      <w:r w:rsidR="00C52685"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or cirrhosis, given the risk for more severe outcomes. This manuscript summarizes the current lines of evidence on COVID-19-associated liver injury regarding pathophysiology, clinical significance, and management in both patients with or without pre-existing liver disease, to facilitate clinicians’ access to updated information and patient care. Finally, we mention the ideas and recommendations to be considered for future research.</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olor w:val="000000"/>
        </w:rPr>
        <w:t xml:space="preserve">Key Words: </w:t>
      </w:r>
      <w:r w:rsidR="00151B5F" w:rsidRPr="00647F72">
        <w:rPr>
          <w:rFonts w:ascii="Book Antiqua" w:eastAsia="Book Antiqua" w:hAnsi="Book Antiqua" w:cs="Book Antiqua"/>
          <w:color w:val="000000"/>
        </w:rPr>
        <w:t>SARS-CoV-2</w:t>
      </w:r>
      <w:r w:rsidRPr="00647F72">
        <w:rPr>
          <w:rFonts w:ascii="Book Antiqua" w:eastAsia="Book Antiqua" w:hAnsi="Book Antiqua" w:cs="Book Antiqua"/>
          <w:color w:val="000000"/>
        </w:rPr>
        <w:t>; Coronavirus; COVID-19; Liver; Liver diseases; Liver failure; Liver injury; Cirrhosis</w:t>
      </w:r>
      <w:r w:rsidR="00383B68" w:rsidRPr="00647F72">
        <w:rPr>
          <w:rFonts w:ascii="Book Antiqua" w:eastAsia="Book Antiqua" w:hAnsi="Book Antiqua" w:cs="Book Antiqua"/>
          <w:color w:val="000000"/>
        </w:rPr>
        <w:t xml:space="preserve">  </w:t>
      </w:r>
    </w:p>
    <w:p w:rsidR="00A27F84" w:rsidRPr="00647F72" w:rsidRDefault="00A27F84" w:rsidP="00A27F84">
      <w:pPr>
        <w:spacing w:line="360" w:lineRule="auto"/>
        <w:jc w:val="both"/>
        <w:rPr>
          <w:lang w:eastAsia="zh-CN"/>
        </w:rPr>
      </w:pPr>
    </w:p>
    <w:p w:rsidR="00A27F84" w:rsidRPr="00647F72" w:rsidRDefault="00A27F84" w:rsidP="00A27F84">
      <w:pPr>
        <w:spacing w:line="360" w:lineRule="auto"/>
        <w:jc w:val="both"/>
        <w:rPr>
          <w:rFonts w:ascii="Book Antiqua" w:eastAsia="Book Antiqua" w:hAnsi="Book Antiqua" w:cs="Book Antiqua"/>
          <w:color w:val="000000"/>
        </w:rPr>
      </w:pPr>
      <w:r w:rsidRPr="00647F72">
        <w:rPr>
          <w:rFonts w:ascii="Book Antiqua" w:eastAsia="Book Antiqua" w:hAnsi="Book Antiqua" w:cs="Book Antiqua" w:hint="eastAsia"/>
          <w:b/>
          <w:color w:val="000000"/>
        </w:rPr>
        <w:t>©</w:t>
      </w:r>
      <w:r w:rsidRPr="00647F72">
        <w:rPr>
          <w:rFonts w:ascii="Book Antiqua" w:eastAsia="Book Antiqua" w:hAnsi="Book Antiqua" w:cs="Book Antiqua"/>
          <w:b/>
          <w:color w:val="000000"/>
        </w:rPr>
        <w:t>The</w:t>
      </w:r>
      <w:r w:rsidRPr="00647F72">
        <w:rPr>
          <w:rFonts w:ascii="Book Antiqua" w:eastAsia="Book Antiqua" w:hAnsi="Book Antiqua" w:cs="Book Antiqua"/>
          <w:color w:val="000000"/>
        </w:rPr>
        <w:t xml:space="preserve"> </w:t>
      </w:r>
      <w:r w:rsidRPr="00647F72">
        <w:rPr>
          <w:rFonts w:ascii="Book Antiqua" w:eastAsia="Book Antiqua" w:hAnsi="Book Antiqua" w:cs="Book Antiqua"/>
          <w:b/>
          <w:color w:val="000000"/>
        </w:rPr>
        <w:t xml:space="preserve">Author(s) 2021. </w:t>
      </w:r>
      <w:r w:rsidRPr="00647F72">
        <w:rPr>
          <w:rFonts w:ascii="Book Antiqua" w:eastAsia="Book Antiqua" w:hAnsi="Book Antiqua" w:cs="Book Antiqua"/>
          <w:color w:val="000000"/>
        </w:rPr>
        <w:t xml:space="preserve">Published by Baishideng Publishing Group Inc. All rights reserved. </w:t>
      </w:r>
    </w:p>
    <w:p w:rsidR="00A77B3E" w:rsidRPr="00647F72" w:rsidRDefault="00A77B3E">
      <w:pPr>
        <w:spacing w:line="360" w:lineRule="auto"/>
        <w:jc w:val="both"/>
      </w:pPr>
    </w:p>
    <w:p w:rsidR="00DC7714" w:rsidRPr="00647F72" w:rsidRDefault="00DC7714" w:rsidP="00C115F7">
      <w:pPr>
        <w:spacing w:line="360" w:lineRule="auto"/>
        <w:jc w:val="both"/>
        <w:rPr>
          <w:rFonts w:ascii="Book Antiqua" w:hAnsi="Book Antiqua" w:cs="Book Antiqua" w:hint="eastAsia"/>
          <w:color w:val="000000"/>
          <w:lang w:eastAsia="zh-CN"/>
        </w:rPr>
      </w:pPr>
      <w:r w:rsidRPr="00647F72">
        <w:rPr>
          <w:rFonts w:ascii="Book Antiqua" w:eastAsia="Book Antiqua" w:hAnsi="Book Antiqua" w:cs="Book Antiqua"/>
          <w:b/>
          <w:color w:val="000000"/>
          <w:lang w:val="es-MX"/>
        </w:rPr>
        <w:t>Citation</w:t>
      </w:r>
      <w:r w:rsidRPr="00647F72">
        <w:rPr>
          <w:rFonts w:ascii="Book Antiqua" w:hAnsi="Book Antiqua" w:cs="Book Antiqua" w:hint="eastAsia"/>
          <w:b/>
          <w:color w:val="000000"/>
          <w:lang w:val="es-MX" w:eastAsia="zh-CN"/>
        </w:rPr>
        <w:t xml:space="preserve">: </w:t>
      </w:r>
      <w:r w:rsidR="00B34FC9" w:rsidRPr="00647F72">
        <w:rPr>
          <w:rFonts w:ascii="Book Antiqua" w:eastAsia="Book Antiqua" w:hAnsi="Book Antiqua" w:cs="Book Antiqua"/>
          <w:color w:val="000000"/>
          <w:lang w:val="es-MX"/>
        </w:rPr>
        <w:t xml:space="preserve">Gracia-Ramos AE, Jaquez-Quintana JO, Contreras-Omaña R, Auron M. Liver dysfunction and SARS-CoV-2 infection. </w:t>
      </w:r>
      <w:r w:rsidR="00B34FC9" w:rsidRPr="00647F72">
        <w:rPr>
          <w:rFonts w:ascii="Book Antiqua" w:eastAsia="Book Antiqua" w:hAnsi="Book Antiqua" w:cs="Book Antiqua"/>
          <w:i/>
          <w:iCs/>
          <w:color w:val="000000"/>
        </w:rPr>
        <w:t>World J Gastroenterol</w:t>
      </w:r>
      <w:r w:rsidR="00B34FC9" w:rsidRPr="00647F72">
        <w:rPr>
          <w:rFonts w:ascii="Book Antiqua" w:eastAsia="Book Antiqua" w:hAnsi="Book Antiqua" w:cs="Book Antiqua"/>
          <w:color w:val="000000"/>
        </w:rPr>
        <w:t xml:space="preserve"> 2021; </w:t>
      </w:r>
      <w:r w:rsidR="00C115F7" w:rsidRPr="00647F72">
        <w:rPr>
          <w:rFonts w:ascii="Book Antiqua" w:eastAsia="Book Antiqua" w:hAnsi="Book Antiqua" w:cs="Book Antiqua"/>
          <w:color w:val="000000"/>
        </w:rPr>
        <w:t xml:space="preserve">27(26): </w:t>
      </w:r>
      <w:r w:rsidR="002C74D9" w:rsidRPr="00647F72">
        <w:rPr>
          <w:rFonts w:ascii="Book Antiqua" w:eastAsia="Book Antiqua" w:hAnsi="Book Antiqua" w:cs="Book Antiqua"/>
          <w:color w:val="000000"/>
        </w:rPr>
        <w:t>3951-3970</w:t>
      </w:r>
      <w:r w:rsidR="00C115F7" w:rsidRPr="00647F72">
        <w:rPr>
          <w:rFonts w:ascii="Book Antiqua" w:eastAsia="Book Antiqua" w:hAnsi="Book Antiqua" w:cs="Book Antiqua"/>
          <w:color w:val="000000"/>
        </w:rPr>
        <w:t xml:space="preserve"> </w:t>
      </w:r>
    </w:p>
    <w:p w:rsidR="00DC7714" w:rsidRPr="00647F72" w:rsidRDefault="00C115F7" w:rsidP="00C115F7">
      <w:pPr>
        <w:spacing w:line="360" w:lineRule="auto"/>
        <w:jc w:val="both"/>
        <w:rPr>
          <w:rFonts w:ascii="Book Antiqua" w:hAnsi="Book Antiqua" w:cs="Book Antiqua" w:hint="eastAsia"/>
          <w:color w:val="000000"/>
          <w:lang w:eastAsia="zh-CN"/>
        </w:rPr>
      </w:pPr>
      <w:r w:rsidRPr="00647F72">
        <w:rPr>
          <w:rFonts w:ascii="Book Antiqua" w:eastAsia="Book Antiqua" w:hAnsi="Book Antiqua" w:cs="Book Antiqua"/>
          <w:b/>
          <w:color w:val="000000"/>
        </w:rPr>
        <w:t>URL:</w:t>
      </w:r>
      <w:r w:rsidRPr="00647F72">
        <w:rPr>
          <w:rFonts w:ascii="Book Antiqua" w:eastAsia="Book Antiqua" w:hAnsi="Book Antiqua" w:cs="Book Antiqua"/>
          <w:color w:val="000000"/>
        </w:rPr>
        <w:t xml:space="preserve"> https://www.wjgnet.com/1007-9327/full/v27/i26/</w:t>
      </w:r>
      <w:r w:rsidR="002C74D9" w:rsidRPr="00647F72">
        <w:rPr>
          <w:rFonts w:ascii="Book Antiqua" w:eastAsia="Book Antiqua" w:hAnsi="Book Antiqua" w:cs="Book Antiqua"/>
          <w:color w:val="000000"/>
        </w:rPr>
        <w:t>3951</w:t>
      </w:r>
      <w:r w:rsidRPr="00647F72">
        <w:rPr>
          <w:rFonts w:ascii="Book Antiqua" w:eastAsia="Book Antiqua" w:hAnsi="Book Antiqua" w:cs="Book Antiqua"/>
          <w:color w:val="000000"/>
        </w:rPr>
        <w:t xml:space="preserve">.htm </w:t>
      </w:r>
    </w:p>
    <w:p w:rsidR="00A77B3E" w:rsidRPr="00647F72" w:rsidRDefault="00C115F7" w:rsidP="00C115F7">
      <w:pPr>
        <w:spacing w:line="360" w:lineRule="auto"/>
        <w:jc w:val="both"/>
        <w:rPr>
          <w:rFonts w:ascii="Book Antiqua" w:eastAsia="Book Antiqua" w:hAnsi="Book Antiqua" w:cs="Book Antiqua"/>
          <w:color w:val="000000"/>
        </w:rPr>
      </w:pPr>
      <w:r w:rsidRPr="00647F72">
        <w:rPr>
          <w:rFonts w:ascii="Book Antiqua" w:eastAsia="Book Antiqua" w:hAnsi="Book Antiqua" w:cs="Book Antiqua"/>
          <w:b/>
          <w:color w:val="000000"/>
        </w:rPr>
        <w:t xml:space="preserve">DOI: </w:t>
      </w:r>
      <w:r w:rsidRPr="00647F72">
        <w:rPr>
          <w:rFonts w:ascii="Book Antiqua" w:eastAsia="Book Antiqua" w:hAnsi="Book Antiqua" w:cs="Book Antiqua"/>
          <w:color w:val="000000"/>
        </w:rPr>
        <w:t>https://dx.doi.org/10.3748/wjg.v27.i26.</w:t>
      </w:r>
      <w:r w:rsidR="002C74D9" w:rsidRPr="00647F72">
        <w:rPr>
          <w:rFonts w:ascii="Book Antiqua" w:eastAsia="Book Antiqua" w:hAnsi="Book Antiqua" w:cs="Book Antiqua"/>
          <w:color w:val="000000"/>
        </w:rPr>
        <w:t>3951</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olor w:val="000000"/>
        </w:rPr>
        <w:t xml:space="preserve">Core Tip: </w:t>
      </w:r>
      <w:r w:rsidRPr="00647F72">
        <w:rPr>
          <w:rFonts w:ascii="Book Antiqua" w:eastAsia="Book Antiqua" w:hAnsi="Book Antiqua" w:cs="Book Antiqua"/>
          <w:color w:val="000000"/>
        </w:rPr>
        <w:t>Coronavirus disease</w:t>
      </w:r>
      <w:r w:rsidR="00151B5F"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 xml:space="preserve">2019 (COVID-19)-associated liver injury is defined as any liver damage occurring during the disease course and treatment of COVID-19 in patients with or without pre-existing liver disease, with an observed ratio of 1:5. The presence of abnormal liver biochemical parameters has been associated with a severe course of </w:t>
      </w:r>
      <w:r w:rsidR="00151B5F" w:rsidRPr="00647F72">
        <w:rPr>
          <w:rFonts w:ascii="Book Antiqua" w:hAnsi="Book Antiqua" w:cs="Book Antiqua" w:hint="eastAsia"/>
          <w:color w:val="000000"/>
          <w:lang w:eastAsia="zh-CN"/>
        </w:rPr>
        <w:t>s</w:t>
      </w:r>
      <w:r w:rsidR="00151B5F" w:rsidRPr="00647F72">
        <w:rPr>
          <w:rFonts w:ascii="Book Antiqua" w:eastAsia="Book Antiqua" w:hAnsi="Book Antiqua" w:cs="Book Antiqua"/>
          <w:color w:val="000000"/>
        </w:rPr>
        <w:t>evere acute respiratory syndrome</w:t>
      </w:r>
      <w:r w:rsidR="00151B5F" w:rsidRPr="00647F72">
        <w:rPr>
          <w:rFonts w:ascii="Book Antiqua" w:hAnsi="Book Antiqua" w:cs="Book Antiqua" w:hint="eastAsia"/>
          <w:color w:val="000000"/>
          <w:lang w:eastAsia="zh-CN"/>
        </w:rPr>
        <w:t xml:space="preserve"> </w:t>
      </w:r>
      <w:r w:rsidR="00151B5F" w:rsidRPr="00647F72">
        <w:rPr>
          <w:rFonts w:ascii="Book Antiqua" w:eastAsia="Book Antiqua" w:hAnsi="Book Antiqua" w:cs="Book Antiqua"/>
          <w:color w:val="000000"/>
        </w:rPr>
        <w:t>coronavirus 2</w:t>
      </w:r>
      <w:r w:rsidRPr="00647F72">
        <w:rPr>
          <w:rFonts w:ascii="Book Antiqua" w:eastAsia="Book Antiqua" w:hAnsi="Book Antiqua" w:cs="Book Antiqua"/>
          <w:color w:val="000000"/>
        </w:rPr>
        <w:t xml:space="preserve"> infection and other complications, including death. Pathophysiology of COVID-19-induced liver injury is complex. Also, special consideration should be made in patients with pre-existing liver disease, such as metabolic dysfunction-associated fatty liver disease, chronic liver disease due to viral or autoimmune disease, liver transplant carriers, or cirrhosis.</w:t>
      </w:r>
    </w:p>
    <w:p w:rsidR="00A77B3E" w:rsidRPr="00647F72" w:rsidRDefault="00151B5F">
      <w:pPr>
        <w:spacing w:line="360" w:lineRule="auto"/>
        <w:jc w:val="both"/>
      </w:pPr>
      <w:r w:rsidRPr="00647F72">
        <w:br w:type="page"/>
      </w:r>
      <w:r w:rsidR="00B34FC9" w:rsidRPr="00647F72">
        <w:rPr>
          <w:rFonts w:ascii="Book Antiqua" w:eastAsia="Book Antiqua" w:hAnsi="Book Antiqua" w:cs="Book Antiqua"/>
          <w:b/>
          <w:caps/>
          <w:color w:val="000000"/>
          <w:u w:val="single"/>
        </w:rPr>
        <w:t>INTRODUCTION</w:t>
      </w:r>
    </w:p>
    <w:p w:rsidR="00A77B3E" w:rsidRPr="00647F72" w:rsidRDefault="00B34FC9">
      <w:pPr>
        <w:spacing w:line="360" w:lineRule="auto"/>
        <w:jc w:val="both"/>
      </w:pPr>
      <w:r w:rsidRPr="00647F72">
        <w:rPr>
          <w:rFonts w:ascii="Book Antiqua" w:eastAsia="Book Antiqua" w:hAnsi="Book Antiqua" w:cs="Book Antiqua"/>
          <w:color w:val="000000"/>
        </w:rPr>
        <w:t>In December 2019, multiple cases of unexplained pneumonia were reported in Wuhan, China</w:t>
      </w:r>
      <w:r w:rsidRPr="00647F72">
        <w:rPr>
          <w:rFonts w:ascii="Book Antiqua" w:eastAsia="Book Antiqua" w:hAnsi="Book Antiqua" w:cs="Book Antiqua"/>
          <w:color w:val="000000"/>
          <w:szCs w:val="30"/>
          <w:vertAlign w:val="superscript"/>
        </w:rPr>
        <w:t>[1]</w:t>
      </w:r>
      <w:r w:rsidRPr="00647F72">
        <w:rPr>
          <w:rFonts w:ascii="Book Antiqua" w:eastAsia="Book Antiqua" w:hAnsi="Book Antiqua" w:cs="Book Antiqua"/>
          <w:color w:val="000000"/>
        </w:rPr>
        <w:t xml:space="preserve">. The etiology of the outbreak was attributed to a newly </w:t>
      </w:r>
      <w:r w:rsidR="00C52685" w:rsidRPr="00647F72">
        <w:rPr>
          <w:rFonts w:ascii="Book Antiqua" w:eastAsia="Book Antiqua" w:hAnsi="Book Antiqua" w:cs="Book Antiqua"/>
          <w:color w:val="000000"/>
        </w:rPr>
        <w:t xml:space="preserve">identified </w:t>
      </w:r>
      <w:r w:rsidRPr="00647F72">
        <w:rPr>
          <w:rFonts w:ascii="Book Antiqua" w:eastAsia="Book Antiqua" w:hAnsi="Book Antiqua" w:cs="Book Antiqua"/>
          <w:color w:val="000000"/>
        </w:rPr>
        <w:t xml:space="preserve">coronavirus, initially named </w:t>
      </w:r>
      <w:r w:rsidR="00151B5F" w:rsidRPr="00647F72">
        <w:rPr>
          <w:rFonts w:ascii="Book Antiqua" w:hAnsi="Book Antiqua" w:cs="Book Antiqua"/>
          <w:color w:val="000000"/>
          <w:lang w:eastAsia="zh-CN"/>
        </w:rPr>
        <w:t>‘</w:t>
      </w:r>
      <w:r w:rsidRPr="00647F72">
        <w:rPr>
          <w:rFonts w:ascii="Book Antiqua" w:eastAsia="Book Antiqua" w:hAnsi="Book Antiqua" w:cs="Book Antiqua"/>
          <w:color w:val="000000"/>
        </w:rPr>
        <w:t>2019-nCoV</w:t>
      </w:r>
      <w:r w:rsidR="00151B5F" w:rsidRPr="00647F72">
        <w:rPr>
          <w:rFonts w:ascii="Book Antiqua" w:hAnsi="Book Antiqua" w:cs="Book Antiqua"/>
          <w:color w:val="000000"/>
          <w:lang w:eastAsia="zh-CN"/>
        </w:rPr>
        <w:t>’</w:t>
      </w:r>
      <w:r w:rsidRPr="00647F72">
        <w:rPr>
          <w:rFonts w:ascii="Book Antiqua" w:eastAsia="Book Antiqua" w:hAnsi="Book Antiqua" w:cs="Book Antiqua"/>
          <w:color w:val="000000"/>
        </w:rPr>
        <w:t xml:space="preserve"> (human), and subsequently renamed as severe acute respiratory syndrome</w:t>
      </w:r>
      <w:r w:rsidR="00151B5F"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coronavirus 2 (SARS-CoV-2). The disease was denominated coronavirus disease</w:t>
      </w:r>
      <w:r w:rsidR="00151B5F"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2019 (COVID-19) by the World Health Organization (WHO)</w:t>
      </w:r>
      <w:r w:rsidRPr="00647F72">
        <w:rPr>
          <w:rFonts w:ascii="Book Antiqua" w:eastAsia="Book Antiqua" w:hAnsi="Book Antiqua" w:cs="Book Antiqua"/>
          <w:color w:val="000000"/>
          <w:vertAlign w:val="superscript"/>
        </w:rPr>
        <w:t>[1,2]</w:t>
      </w:r>
      <w:r w:rsidRPr="00647F72">
        <w:rPr>
          <w:rFonts w:ascii="Book Antiqua" w:eastAsia="Book Antiqua" w:hAnsi="Book Antiqua" w:cs="Book Antiqua"/>
          <w:color w:val="000000"/>
        </w:rPr>
        <w:t>. Due to the constantly increasing number of cases worldwide, on March 11, 2020, the WHO formally declared the COVID-19 outbreak as a pandemic</w:t>
      </w:r>
      <w:r w:rsidRPr="00647F72">
        <w:rPr>
          <w:rFonts w:ascii="Book Antiqua" w:eastAsia="Book Antiqua" w:hAnsi="Book Antiqua" w:cs="Book Antiqua"/>
          <w:color w:val="000000"/>
          <w:vertAlign w:val="superscript"/>
        </w:rPr>
        <w:t>[3]</w:t>
      </w:r>
      <w:r w:rsidRPr="00647F72">
        <w:rPr>
          <w:rFonts w:ascii="Book Antiqua" w:eastAsia="Book Antiqua" w:hAnsi="Book Antiqua" w:cs="Book Antiqua"/>
          <w:color w:val="000000"/>
        </w:rPr>
        <w:t xml:space="preserve">. More than a year after its appearance, SARS-CoV-2 has infected almost 10 million people worldwide and caused </w:t>
      </w:r>
      <w:r w:rsidR="00C52685" w:rsidRPr="00647F72">
        <w:rPr>
          <w:rFonts w:ascii="Book Antiqua" w:eastAsia="Book Antiqua" w:hAnsi="Book Antiqua" w:cs="Book Antiqua"/>
          <w:color w:val="000000"/>
        </w:rPr>
        <w:t>more than 2 million</w:t>
      </w:r>
      <w:r w:rsidR="00C52685" w:rsidRPr="00647F72" w:rsidDel="00C52685">
        <w:rPr>
          <w:rFonts w:ascii="Book Antiqua" w:eastAsia="Book Antiqua" w:hAnsi="Book Antiqua" w:cs="Book Antiqua"/>
          <w:color w:val="000000"/>
        </w:rPr>
        <w:t xml:space="preserve"> </w:t>
      </w:r>
      <w:r w:rsidRPr="00647F72">
        <w:rPr>
          <w:rFonts w:ascii="Book Antiqua" w:eastAsia="Book Antiqua" w:hAnsi="Book Antiqua" w:cs="Book Antiqua"/>
          <w:color w:val="000000"/>
        </w:rPr>
        <w:t>deaths</w:t>
      </w:r>
      <w:r w:rsidRPr="00647F72">
        <w:rPr>
          <w:rFonts w:ascii="Book Antiqua" w:eastAsia="Book Antiqua" w:hAnsi="Book Antiqua" w:cs="Book Antiqua"/>
          <w:color w:val="000000"/>
          <w:vertAlign w:val="superscript"/>
        </w:rPr>
        <w:t>[4]</w:t>
      </w:r>
      <w:r w:rsidRPr="00647F72">
        <w:rPr>
          <w:rFonts w:ascii="Book Antiqua" w:eastAsia="Book Antiqua" w:hAnsi="Book Antiqua" w:cs="Book Antiqua"/>
          <w:color w:val="000000"/>
        </w:rPr>
        <w:t>.</w:t>
      </w:r>
    </w:p>
    <w:p w:rsidR="00A77B3E" w:rsidRPr="00647F72" w:rsidRDefault="00B34FC9" w:rsidP="00151B5F">
      <w:pPr>
        <w:spacing w:line="360" w:lineRule="auto"/>
        <w:ind w:firstLineChars="100" w:firstLine="240"/>
        <w:jc w:val="both"/>
      </w:pPr>
      <w:r w:rsidRPr="00647F72">
        <w:rPr>
          <w:rFonts w:ascii="Book Antiqua" w:eastAsia="Book Antiqua" w:hAnsi="Book Antiqua" w:cs="Book Antiqua"/>
          <w:color w:val="000000"/>
        </w:rPr>
        <w:t xml:space="preserve">Coronaviruses are members of the subfamily </w:t>
      </w:r>
      <w:r w:rsidRPr="00647F72">
        <w:rPr>
          <w:rFonts w:ascii="Book Antiqua" w:eastAsia="Book Antiqua" w:hAnsi="Book Antiqua" w:cs="Book Antiqua"/>
          <w:iCs/>
          <w:color w:val="000000"/>
        </w:rPr>
        <w:t>Coronavirinae</w:t>
      </w:r>
      <w:r w:rsidRPr="00647F72">
        <w:rPr>
          <w:rFonts w:ascii="Book Antiqua" w:eastAsia="Book Antiqua" w:hAnsi="Book Antiqua" w:cs="Book Antiqua"/>
          <w:color w:val="000000"/>
        </w:rPr>
        <w:t xml:space="preserve"> in the family </w:t>
      </w:r>
      <w:r w:rsidRPr="00647F72">
        <w:rPr>
          <w:rFonts w:ascii="Book Antiqua" w:eastAsia="Book Antiqua" w:hAnsi="Book Antiqua" w:cs="Book Antiqua"/>
          <w:iCs/>
          <w:color w:val="000000"/>
        </w:rPr>
        <w:t>Coronaviridae</w:t>
      </w:r>
      <w:r w:rsidRPr="00647F72">
        <w:rPr>
          <w:rFonts w:ascii="Book Antiqua" w:eastAsia="Book Antiqua" w:hAnsi="Book Antiqua" w:cs="Book Antiqua"/>
          <w:color w:val="000000"/>
        </w:rPr>
        <w:t xml:space="preserve"> and the order </w:t>
      </w:r>
      <w:r w:rsidRPr="00647F72">
        <w:rPr>
          <w:rFonts w:ascii="Book Antiqua" w:eastAsia="Book Antiqua" w:hAnsi="Book Antiqua" w:cs="Book Antiqua"/>
          <w:iCs/>
          <w:color w:val="000000"/>
        </w:rPr>
        <w:t>Nidovirales</w:t>
      </w:r>
      <w:r w:rsidRPr="00647F72">
        <w:rPr>
          <w:rFonts w:ascii="Book Antiqua" w:eastAsia="Book Antiqua" w:hAnsi="Book Antiqua" w:cs="Book Antiqua"/>
          <w:color w:val="000000"/>
        </w:rPr>
        <w:t xml:space="preserve"> (International Committee on Taxonomy of Viruses). This subfamily consists of four genera (</w:t>
      </w:r>
      <w:r w:rsidRPr="00647F72">
        <w:rPr>
          <w:rFonts w:ascii="Book Antiqua" w:eastAsia="Book Antiqua" w:hAnsi="Book Antiqua" w:cs="Book Antiqua"/>
          <w:i/>
          <w:iCs/>
          <w:color w:val="000000"/>
        </w:rPr>
        <w:t>Alphacoronavirus</w:t>
      </w:r>
      <w:r w:rsidRPr="00647F72">
        <w:rPr>
          <w:rFonts w:ascii="Book Antiqua" w:eastAsia="Book Antiqua" w:hAnsi="Book Antiqua" w:cs="Book Antiqua"/>
          <w:color w:val="000000"/>
        </w:rPr>
        <w:t xml:space="preserve">, </w:t>
      </w:r>
      <w:r w:rsidRPr="00647F72">
        <w:rPr>
          <w:rFonts w:ascii="Book Antiqua" w:eastAsia="Book Antiqua" w:hAnsi="Book Antiqua" w:cs="Book Antiqua"/>
          <w:i/>
          <w:iCs/>
          <w:color w:val="000000"/>
        </w:rPr>
        <w:t>Betacoronavirus</w:t>
      </w:r>
      <w:r w:rsidRPr="00647F72">
        <w:rPr>
          <w:rFonts w:ascii="Book Antiqua" w:eastAsia="Book Antiqua" w:hAnsi="Book Antiqua" w:cs="Book Antiqua"/>
          <w:color w:val="000000"/>
        </w:rPr>
        <w:t xml:space="preserve">, </w:t>
      </w:r>
      <w:r w:rsidR="00C52685" w:rsidRPr="00647F72">
        <w:rPr>
          <w:rFonts w:ascii="Book Antiqua" w:eastAsia="Book Antiqua" w:hAnsi="Book Antiqua" w:cs="Book Antiqua"/>
          <w:i/>
          <w:iCs/>
          <w:color w:val="000000"/>
        </w:rPr>
        <w:t>Gammacoronavirus</w:t>
      </w:r>
      <w:r w:rsidR="00C52685"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 xml:space="preserve">and </w:t>
      </w:r>
      <w:r w:rsidRPr="00647F72">
        <w:rPr>
          <w:rFonts w:ascii="Book Antiqua" w:eastAsia="Book Antiqua" w:hAnsi="Book Antiqua" w:cs="Book Antiqua"/>
          <w:i/>
          <w:iCs/>
          <w:color w:val="000000"/>
        </w:rPr>
        <w:t>Deltacoronavirus</w:t>
      </w:r>
      <w:r w:rsidRPr="00647F72">
        <w:rPr>
          <w:rFonts w:ascii="Book Antiqua" w:eastAsia="Book Antiqua" w:hAnsi="Book Antiqua" w:cs="Book Antiqua"/>
          <w:color w:val="000000"/>
        </w:rPr>
        <w:t>)</w:t>
      </w:r>
      <w:r w:rsidRPr="00647F72">
        <w:rPr>
          <w:rFonts w:ascii="Book Antiqua" w:eastAsia="Book Antiqua" w:hAnsi="Book Antiqua" w:cs="Book Antiqua"/>
          <w:color w:val="000000"/>
          <w:vertAlign w:val="superscript"/>
        </w:rPr>
        <w:t>[5]</w:t>
      </w:r>
      <w:r w:rsidRPr="00647F72">
        <w:rPr>
          <w:rFonts w:ascii="Book Antiqua" w:eastAsia="Book Antiqua" w:hAnsi="Book Antiqua" w:cs="Book Antiqua"/>
          <w:color w:val="000000"/>
        </w:rPr>
        <w:t xml:space="preserve">. The </w:t>
      </w:r>
      <w:r w:rsidRPr="00647F72">
        <w:rPr>
          <w:rFonts w:ascii="Book Antiqua" w:eastAsia="Book Antiqua" w:hAnsi="Book Antiqua" w:cs="Book Antiqua"/>
          <w:i/>
          <w:iCs/>
          <w:color w:val="000000"/>
        </w:rPr>
        <w:t>Betacoronavirus</w:t>
      </w:r>
      <w:r w:rsidRPr="00647F72">
        <w:rPr>
          <w:rFonts w:ascii="Book Antiqua" w:eastAsia="Book Antiqua" w:hAnsi="Book Antiqua" w:cs="Book Antiqua"/>
          <w:color w:val="000000"/>
        </w:rPr>
        <w:t xml:space="preserve"> include the Middle East respiratory syndrome (MERS)</w:t>
      </w:r>
      <w:r w:rsidR="00C52685" w:rsidRPr="00647F72">
        <w:rPr>
          <w:rFonts w:ascii="Book Antiqua" w:eastAsia="Book Antiqua" w:hAnsi="Book Antiqua" w:cs="Book Antiqua"/>
          <w:color w:val="000000"/>
        </w:rPr>
        <w:t xml:space="preserve"> coronavirus</w:t>
      </w:r>
      <w:r w:rsidRPr="00647F72">
        <w:rPr>
          <w:rFonts w:ascii="Book Antiqua" w:eastAsia="Book Antiqua" w:hAnsi="Book Antiqua" w:cs="Book Antiqua"/>
          <w:color w:val="000000"/>
        </w:rPr>
        <w:t>, SARS-CoV</w:t>
      </w:r>
      <w:r w:rsidR="00C52685"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SARS-CoV-2. These viruses have a positive-sense single-stranded RNA genome</w:t>
      </w:r>
      <w:r w:rsidRPr="00647F72">
        <w:rPr>
          <w:rFonts w:ascii="Book Antiqua" w:eastAsia="Book Antiqua" w:hAnsi="Book Antiqua" w:cs="Book Antiqua"/>
          <w:color w:val="000000"/>
          <w:vertAlign w:val="superscript"/>
        </w:rPr>
        <w:t>[6]</w:t>
      </w:r>
      <w:r w:rsidRPr="00647F72">
        <w:rPr>
          <w:rFonts w:ascii="Book Antiqua" w:eastAsia="Book Antiqua" w:hAnsi="Book Antiqua" w:cs="Book Antiqua"/>
          <w:color w:val="000000"/>
        </w:rPr>
        <w:t>. The angiotensin-converting enzyme 2 (ACE2) has been identified as the main viral receptor for SARS-CoV and SARS-CoV-2</w:t>
      </w:r>
      <w:r w:rsidRPr="00647F72">
        <w:rPr>
          <w:rFonts w:ascii="Book Antiqua" w:eastAsia="Book Antiqua" w:hAnsi="Book Antiqua" w:cs="Book Antiqua"/>
          <w:color w:val="000000"/>
          <w:vertAlign w:val="superscript"/>
        </w:rPr>
        <w:t>[5,7]</w:t>
      </w:r>
      <w:r w:rsidRPr="00647F72">
        <w:rPr>
          <w:rFonts w:ascii="Book Antiqua" w:eastAsia="Book Antiqua" w:hAnsi="Book Antiqua" w:cs="Book Antiqua"/>
          <w:color w:val="000000"/>
        </w:rPr>
        <w:t>. ACE2 is ubiquitous</w:t>
      </w:r>
      <w:r w:rsidR="00C52685" w:rsidRPr="00647F72">
        <w:rPr>
          <w:rFonts w:ascii="Book Antiqua" w:eastAsia="Book Antiqua" w:hAnsi="Book Antiqua" w:cs="Book Antiqua"/>
          <w:color w:val="000000"/>
        </w:rPr>
        <w:t>ly</w:t>
      </w:r>
      <w:r w:rsidRPr="00647F72">
        <w:rPr>
          <w:rFonts w:ascii="Book Antiqua" w:eastAsia="Book Antiqua" w:hAnsi="Book Antiqua" w:cs="Book Antiqua"/>
          <w:color w:val="000000"/>
        </w:rPr>
        <w:t xml:space="preserve"> and widely expressed in many organs and systems, including </w:t>
      </w:r>
      <w:r w:rsidR="00C52685" w:rsidRPr="00647F72">
        <w:rPr>
          <w:rFonts w:ascii="Book Antiqua" w:eastAsia="Book Antiqua" w:hAnsi="Book Antiqua" w:cs="Book Antiqua"/>
          <w:color w:val="000000"/>
        </w:rPr>
        <w:t xml:space="preserve">the </w:t>
      </w:r>
      <w:r w:rsidRPr="00647F72">
        <w:rPr>
          <w:rFonts w:ascii="Book Antiqua" w:eastAsia="Book Antiqua" w:hAnsi="Book Antiqua" w:cs="Book Antiqua"/>
          <w:color w:val="000000"/>
        </w:rPr>
        <w:t xml:space="preserve">lungs, cardiovascular system, kidneys, pancreas, intestines, liver, adipose tissue, </w:t>
      </w:r>
      <w:r w:rsidR="00C52685" w:rsidRPr="00647F72">
        <w:rPr>
          <w:rFonts w:ascii="Book Antiqua" w:eastAsia="Book Antiqua" w:hAnsi="Book Antiqua" w:cs="Book Antiqua"/>
          <w:color w:val="000000"/>
        </w:rPr>
        <w:t xml:space="preserve">and </w:t>
      </w:r>
      <w:r w:rsidRPr="00647F72">
        <w:rPr>
          <w:rFonts w:ascii="Book Antiqua" w:eastAsia="Book Antiqua" w:hAnsi="Book Antiqua" w:cs="Book Antiqua"/>
          <w:color w:val="000000"/>
        </w:rPr>
        <w:t>muscular and nervous system</w:t>
      </w:r>
      <w:r w:rsidR="00C52685" w:rsidRPr="00647F72">
        <w:rPr>
          <w:rFonts w:ascii="Book Antiqua" w:eastAsia="Book Antiqua" w:hAnsi="Book Antiqua" w:cs="Book Antiqua"/>
          <w:color w:val="000000"/>
        </w:rPr>
        <w:t>s</w:t>
      </w:r>
      <w:r w:rsidRPr="00647F72">
        <w:rPr>
          <w:rFonts w:ascii="Book Antiqua" w:eastAsia="Book Antiqua" w:hAnsi="Book Antiqua" w:cs="Book Antiqua"/>
          <w:color w:val="000000"/>
          <w:vertAlign w:val="superscript"/>
        </w:rPr>
        <w:t>[8]</w:t>
      </w:r>
      <w:r w:rsidRPr="00647F72">
        <w:rPr>
          <w:rFonts w:ascii="Book Antiqua" w:eastAsia="Book Antiqua" w:hAnsi="Book Antiqua" w:cs="Book Antiqua"/>
          <w:color w:val="000000"/>
        </w:rPr>
        <w:t>. Another cellular protein, the transmembrane protease serine 2 (</w:t>
      </w:r>
      <w:r w:rsidR="00151B5F" w:rsidRPr="00647F72">
        <w:rPr>
          <w:rFonts w:ascii="Book Antiqua" w:eastAsia="Book Antiqua" w:hAnsi="Book Antiqua" w:cs="Book Antiqua"/>
          <w:i/>
          <w:iCs/>
          <w:color w:val="000000"/>
        </w:rPr>
        <w:t>i.e</w:t>
      </w:r>
      <w:r w:rsidR="00151B5F" w:rsidRPr="00647F72">
        <w:rPr>
          <w:rFonts w:ascii="Book Antiqua" w:eastAsia="Book Antiqua" w:hAnsi="Book Antiqua" w:cs="Book Antiqua"/>
          <w:i/>
          <w:color w:val="000000"/>
        </w:rPr>
        <w:t>.</w:t>
      </w:r>
      <w:r w:rsidR="00151B5F"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 TMPRSS2)</w:t>
      </w:r>
      <w:r w:rsidR="00C52685"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facilitates viral entry into the host cells through plasma membrane surface interaction</w:t>
      </w:r>
      <w:r w:rsidRPr="00647F72">
        <w:rPr>
          <w:rFonts w:ascii="Book Antiqua" w:eastAsia="Book Antiqua" w:hAnsi="Book Antiqua" w:cs="Book Antiqua"/>
          <w:color w:val="000000"/>
          <w:vertAlign w:val="superscript"/>
        </w:rPr>
        <w:t>[9]</w:t>
      </w:r>
      <w:r w:rsidRPr="00647F72">
        <w:rPr>
          <w:rFonts w:ascii="Book Antiqua" w:eastAsia="Book Antiqua" w:hAnsi="Book Antiqua" w:cs="Book Antiqua"/>
          <w:color w:val="000000"/>
        </w:rPr>
        <w:t>.</w:t>
      </w:r>
    </w:p>
    <w:p w:rsidR="00A77B3E" w:rsidRPr="00647F72" w:rsidRDefault="00B34FC9" w:rsidP="00151B5F">
      <w:pPr>
        <w:spacing w:line="360" w:lineRule="auto"/>
        <w:ind w:firstLineChars="100" w:firstLine="240"/>
        <w:jc w:val="both"/>
      </w:pPr>
      <w:r w:rsidRPr="00647F72">
        <w:rPr>
          <w:rFonts w:ascii="Book Antiqua" w:eastAsia="Book Antiqua" w:hAnsi="Book Antiqua" w:cs="Book Antiqua"/>
          <w:color w:val="000000"/>
        </w:rPr>
        <w:t>SARS-CoV-2 could be transmitted from person to person through close contact, respiratory droplets</w:t>
      </w:r>
      <w:r w:rsidR="00C52685"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aerosol</w:t>
      </w:r>
      <w:r w:rsidRPr="00647F72">
        <w:rPr>
          <w:rFonts w:ascii="Book Antiqua" w:eastAsia="Book Antiqua" w:hAnsi="Book Antiqua" w:cs="Book Antiqua"/>
          <w:color w:val="000000"/>
          <w:vertAlign w:val="superscript"/>
        </w:rPr>
        <w:t>[10]</w:t>
      </w:r>
      <w:r w:rsidRPr="00647F72">
        <w:rPr>
          <w:rFonts w:ascii="Book Antiqua" w:eastAsia="Book Antiqua" w:hAnsi="Book Antiqua" w:cs="Book Antiqua"/>
          <w:color w:val="000000"/>
        </w:rPr>
        <w:t>. The manifestations of COVID-19 represent a wide clinical spectrum, which ranges from asymptomatic individuals or mild respiratory symptoms to severe-critical illness; overall, it is categorized as a mild, severe, or critical illness</w:t>
      </w:r>
      <w:r w:rsidRPr="00647F72">
        <w:rPr>
          <w:rFonts w:ascii="Book Antiqua" w:eastAsia="Book Antiqua" w:hAnsi="Book Antiqua" w:cs="Book Antiqua"/>
          <w:color w:val="000000"/>
          <w:vertAlign w:val="superscript"/>
        </w:rPr>
        <w:t>[11]</w:t>
      </w:r>
      <w:r w:rsidRPr="00647F72">
        <w:rPr>
          <w:rFonts w:ascii="Book Antiqua" w:eastAsia="Book Antiqua" w:hAnsi="Book Antiqua" w:cs="Book Antiqua"/>
          <w:color w:val="000000"/>
        </w:rPr>
        <w:t>. Although SARS-CoV-2 predominantly causes respiratory symptoms, it can also result in extrapulmonary disease, including thrombotic complications, myocardial damage, acute kidney failure, gastrointestinal symptoms, hepatocellular injury, hyperglycemia and ketosis, neurologic illnesses, ocular symptoms, and dermatologic manifestations</w:t>
      </w:r>
      <w:r w:rsidRPr="00647F72">
        <w:rPr>
          <w:rFonts w:ascii="Book Antiqua" w:eastAsia="Book Antiqua" w:hAnsi="Book Antiqua" w:cs="Book Antiqua"/>
          <w:color w:val="000000"/>
          <w:vertAlign w:val="superscript"/>
        </w:rPr>
        <w:t>[12,13]</w:t>
      </w:r>
      <w:r w:rsidRPr="00647F72">
        <w:rPr>
          <w:rFonts w:ascii="Book Antiqua" w:eastAsia="Book Antiqua" w:hAnsi="Book Antiqua" w:cs="Book Antiqua"/>
          <w:color w:val="000000"/>
        </w:rPr>
        <w:t>. These manifestations can occur in subjects without identified pre-existing organic disease, as well as in individuals with comorbidities, such as patients with hypertension, obesity, and chronic liver disease, among others.</w:t>
      </w:r>
    </w:p>
    <w:p w:rsidR="00A77B3E" w:rsidRPr="00647F72" w:rsidRDefault="00B34FC9" w:rsidP="00151B5F">
      <w:pPr>
        <w:spacing w:line="360" w:lineRule="auto"/>
        <w:ind w:firstLineChars="100" w:firstLine="240"/>
        <w:jc w:val="both"/>
      </w:pPr>
      <w:r w:rsidRPr="00647F72">
        <w:rPr>
          <w:rFonts w:ascii="Book Antiqua" w:eastAsia="Book Antiqua" w:hAnsi="Book Antiqua" w:cs="Book Antiqua"/>
          <w:color w:val="000000"/>
        </w:rPr>
        <w:t>The objective of this review is to discuss and show current data regarding liver dysfunction caused by SARS-CoV-2 infection in patients with or without pre-existing liver disease, its pathophysiology and management, as well as the prospects for future research.</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aps/>
          <w:color w:val="000000"/>
          <w:u w:val="single"/>
        </w:rPr>
        <w:t>SARS-COV-2 INFECTION AND LIVER DYSFUNCTION IN PATIENTS WITH NO PREVIOUS LIVER DISEASE</w:t>
      </w:r>
    </w:p>
    <w:p w:rsidR="00A77B3E" w:rsidRPr="00647F72" w:rsidRDefault="00151B5F">
      <w:pPr>
        <w:spacing w:line="360" w:lineRule="auto"/>
        <w:jc w:val="both"/>
      </w:pPr>
      <w:r w:rsidRPr="00647F72">
        <w:rPr>
          <w:rFonts w:ascii="Book Antiqua" w:eastAsia="Book Antiqua" w:hAnsi="Book Antiqua" w:cs="Book Antiqua"/>
          <w:b/>
          <w:bCs/>
          <w:i/>
          <w:iCs/>
          <w:color w:val="000000"/>
        </w:rPr>
        <w:t>Epidemiology</w:t>
      </w:r>
    </w:p>
    <w:p w:rsidR="00A77B3E" w:rsidRPr="00647F72" w:rsidRDefault="00B34FC9">
      <w:pPr>
        <w:spacing w:line="360" w:lineRule="auto"/>
        <w:jc w:val="both"/>
        <w:rPr>
          <w:lang w:eastAsia="zh-CN"/>
        </w:rPr>
      </w:pPr>
      <w:r w:rsidRPr="00647F72">
        <w:rPr>
          <w:rFonts w:ascii="Book Antiqua" w:eastAsia="Book Antiqua" w:hAnsi="Book Antiqua" w:cs="Book Antiqua"/>
          <w:color w:val="000000"/>
        </w:rPr>
        <w:t>COVID</w:t>
      </w:r>
      <w:r w:rsidR="00151B5F"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19</w:t>
      </w:r>
      <w:r w:rsidR="00151B5F"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associated liver injury is defined as any liver damage occurring during disease course and treatment of COVID</w:t>
      </w:r>
      <w:r w:rsidR="00151B5F"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19 in patients with or without pre-existing liver disease</w:t>
      </w:r>
      <w:r w:rsidRPr="00647F72">
        <w:rPr>
          <w:rFonts w:ascii="Book Antiqua" w:eastAsia="Book Antiqua" w:hAnsi="Book Antiqua" w:cs="Book Antiqua"/>
          <w:color w:val="000000"/>
          <w:szCs w:val="30"/>
          <w:vertAlign w:val="superscript"/>
        </w:rPr>
        <w:t>[14]</w:t>
      </w:r>
      <w:r w:rsidRPr="00647F72">
        <w:rPr>
          <w:rFonts w:ascii="Book Antiqua" w:eastAsia="Book Antiqua" w:hAnsi="Book Antiqua" w:cs="Book Antiqua"/>
          <w:color w:val="000000"/>
        </w:rPr>
        <w:t xml:space="preserve">. A summary of the principal studies about liver damage in COVID-19 patients is showed in Table 1. Studies have shown that </w:t>
      </w:r>
      <w:r w:rsidR="00C52685" w:rsidRPr="00647F72">
        <w:rPr>
          <w:rFonts w:ascii="Book Antiqua" w:eastAsia="Book Antiqua" w:hAnsi="Book Antiqua" w:cs="Book Antiqua"/>
          <w:color w:val="000000"/>
        </w:rPr>
        <w:t xml:space="preserve">one </w:t>
      </w:r>
      <w:r w:rsidRPr="00647F72">
        <w:rPr>
          <w:rFonts w:ascii="Book Antiqua" w:eastAsia="Book Antiqua" w:hAnsi="Book Antiqua" w:cs="Book Antiqua"/>
          <w:color w:val="000000"/>
        </w:rPr>
        <w:t xml:space="preserve">in </w:t>
      </w:r>
      <w:r w:rsidR="00C52685" w:rsidRPr="00647F72">
        <w:rPr>
          <w:rFonts w:ascii="Book Antiqua" w:eastAsia="Book Antiqua" w:hAnsi="Book Antiqua" w:cs="Book Antiqua"/>
          <w:color w:val="000000"/>
        </w:rPr>
        <w:t xml:space="preserve">five </w:t>
      </w:r>
      <w:r w:rsidRPr="00647F72">
        <w:rPr>
          <w:rFonts w:ascii="Book Antiqua" w:eastAsia="Book Antiqua" w:hAnsi="Book Antiqua" w:cs="Book Antiqua"/>
          <w:color w:val="000000"/>
        </w:rPr>
        <w:t>patients with COVID-19 develop abnormalities in liver function tests</w:t>
      </w:r>
      <w:r w:rsidRPr="00647F72">
        <w:rPr>
          <w:rFonts w:ascii="Book Antiqua" w:eastAsia="Book Antiqua" w:hAnsi="Book Antiqua" w:cs="Book Antiqua"/>
          <w:color w:val="000000"/>
          <w:szCs w:val="30"/>
          <w:vertAlign w:val="superscript"/>
        </w:rPr>
        <w:t>[15]</w:t>
      </w:r>
      <w:r w:rsidRPr="00647F72">
        <w:rPr>
          <w:rFonts w:ascii="Book Antiqua" w:eastAsia="Book Antiqua" w:hAnsi="Book Antiqua" w:cs="Book Antiqua"/>
          <w:color w:val="000000"/>
        </w:rPr>
        <w:t>. A large systematic review t</w:t>
      </w:r>
      <w:r w:rsidR="00151B5F" w:rsidRPr="00647F72">
        <w:rPr>
          <w:rFonts w:ascii="Book Antiqua" w:eastAsia="Book Antiqua" w:hAnsi="Book Antiqua" w:cs="Book Antiqua"/>
          <w:color w:val="000000"/>
        </w:rPr>
        <w:t>hat included 64 studies with 11</w:t>
      </w:r>
      <w:r w:rsidRPr="00647F72">
        <w:rPr>
          <w:rFonts w:ascii="Book Antiqua" w:eastAsia="Book Antiqua" w:hAnsi="Book Antiqua" w:cs="Book Antiqua"/>
          <w:color w:val="000000"/>
        </w:rPr>
        <w:t xml:space="preserve">245 patients with SARS-CoV-2 infection showed the following prevalence of abnormal liver function parameters: </w:t>
      </w:r>
      <w:r w:rsidR="00C52685" w:rsidRPr="00647F72">
        <w:rPr>
          <w:rFonts w:ascii="Book Antiqua" w:eastAsia="Book Antiqua" w:hAnsi="Book Antiqua" w:cs="Book Antiqua"/>
          <w:color w:val="000000"/>
        </w:rPr>
        <w:t xml:space="preserve">Elevated </w:t>
      </w:r>
      <w:r w:rsidRPr="00647F72">
        <w:rPr>
          <w:rFonts w:ascii="Book Antiqua" w:eastAsia="Book Antiqua" w:hAnsi="Book Antiqua" w:cs="Book Antiqua"/>
          <w:color w:val="000000"/>
        </w:rPr>
        <w:t>aspartate aminotransferase (AST) in 23.2%; alanine aminotransferase (ALT) in 21.2%; elevated total bilirubin in 9.7%; increased gamma-glutamyltransferase (GGT) in 15.0%; and</w:t>
      </w:r>
      <w:r w:rsidR="00C52685"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increased alkaline phosphatase in 4.0%</w:t>
      </w:r>
      <w:r w:rsidRPr="00647F72">
        <w:rPr>
          <w:rFonts w:ascii="Book Antiqua" w:eastAsia="Book Antiqua" w:hAnsi="Book Antiqua" w:cs="Book Antiqua"/>
          <w:color w:val="000000"/>
          <w:szCs w:val="30"/>
          <w:vertAlign w:val="superscript"/>
        </w:rPr>
        <w:t>[16]</w:t>
      </w:r>
      <w:r w:rsidRPr="00647F72">
        <w:rPr>
          <w:rFonts w:ascii="Book Antiqua" w:eastAsia="Book Antiqua" w:hAnsi="Book Antiqua" w:cs="Book Antiqua"/>
          <w:color w:val="000000"/>
        </w:rPr>
        <w:t>. The presentation of liver injury during COVID-19 infection occurs mostly during the acute hospitalization period and it is associated with increased length of hospital stay, worse pulmonary score on computed tomography (commonly referred to as CT), overall severity of disease, and increased mortality.</w:t>
      </w:r>
    </w:p>
    <w:p w:rsidR="00A77B3E" w:rsidRPr="00647F72" w:rsidRDefault="00B34FC9" w:rsidP="00151B5F">
      <w:pPr>
        <w:spacing w:line="360" w:lineRule="auto"/>
        <w:ind w:firstLineChars="100" w:firstLine="240"/>
        <w:jc w:val="both"/>
      </w:pPr>
      <w:r w:rsidRPr="00647F72">
        <w:rPr>
          <w:rFonts w:ascii="Book Antiqua" w:eastAsia="Book Antiqua" w:hAnsi="Book Antiqua" w:cs="Book Antiqua"/>
          <w:color w:val="000000"/>
        </w:rPr>
        <w:t xml:space="preserve">In a single-center retrospective study that described temporal variations of liver injury during hospitalization due to SARS-CoV-2 infection, the percent of subjects with elevated aminotransferases (transaminitis) in mild cases was 12.6%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46.2% in severe cases. Most of the patients presented ALT elevations between days 4 and 17 of their hospitalization, with a mean of 10.7 d and 7.3 d in mild and severe cases, respectively. During treatment, increases in liver function test parameters were predominantly mild and elevations in ALT and AST were largely isolated, occurring in 19% of patients. The majority of patients were discharged with normal liver function parameters</w:t>
      </w:r>
      <w:r w:rsidRPr="00647F72">
        <w:rPr>
          <w:rFonts w:ascii="Book Antiqua" w:eastAsia="Book Antiqua" w:hAnsi="Book Antiqua" w:cs="Book Antiqua"/>
          <w:color w:val="000000"/>
          <w:szCs w:val="30"/>
          <w:vertAlign w:val="superscript"/>
        </w:rPr>
        <w:t>[17]</w:t>
      </w:r>
      <w:r w:rsidRPr="00647F72">
        <w:rPr>
          <w:rFonts w:ascii="Book Antiqua" w:eastAsia="Book Antiqua" w:hAnsi="Book Antiqua" w:cs="Book Antiqua"/>
          <w:color w:val="000000"/>
        </w:rPr>
        <w:t xml:space="preserve">. A large retrospective multicenter cohort study that included 5771 patients with COVID-19 pneumonia determined the distribution and temporal patterns of liver injury indicators in these patients; an initial elevation of AST, followed by ALT in severe patients, and mild fluctuation in total bilirubin levels in both non-severe and severe disease </w:t>
      </w:r>
      <w:r w:rsidR="00C52685" w:rsidRPr="00647F72">
        <w:rPr>
          <w:rFonts w:ascii="Book Antiqua" w:eastAsia="Book Antiqua" w:hAnsi="Book Antiqua" w:cs="Book Antiqua"/>
          <w:color w:val="000000"/>
        </w:rPr>
        <w:t xml:space="preserve">were </w:t>
      </w:r>
      <w:r w:rsidRPr="00647F72">
        <w:rPr>
          <w:rFonts w:ascii="Book Antiqua" w:eastAsia="Book Antiqua" w:hAnsi="Book Antiqua" w:cs="Book Antiqua"/>
          <w:color w:val="000000"/>
        </w:rPr>
        <w:t>found</w:t>
      </w:r>
      <w:r w:rsidRPr="00647F72">
        <w:rPr>
          <w:rFonts w:ascii="Book Antiqua" w:eastAsia="Book Antiqua" w:hAnsi="Book Antiqua" w:cs="Book Antiqua"/>
          <w:color w:val="000000"/>
          <w:szCs w:val="30"/>
          <w:vertAlign w:val="superscript"/>
        </w:rPr>
        <w:t>[18]</w:t>
      </w:r>
      <w:r w:rsidRPr="00647F72">
        <w:rPr>
          <w:rFonts w:ascii="Book Antiqua" w:eastAsia="Book Antiqua" w:hAnsi="Book Antiqua" w:cs="Book Antiqua"/>
          <w:color w:val="000000"/>
        </w:rPr>
        <w:t>. Another study of 79 in-patients with COVID-19 found that the extent of pulmonary lesions observed on CT was predictive of liver function damage</w:t>
      </w:r>
      <w:r w:rsidRPr="00647F72">
        <w:rPr>
          <w:rFonts w:ascii="Book Antiqua" w:eastAsia="Book Antiqua" w:hAnsi="Book Antiqua" w:cs="Book Antiqua"/>
          <w:color w:val="000000"/>
          <w:szCs w:val="30"/>
          <w:vertAlign w:val="superscript"/>
        </w:rPr>
        <w:t>[19]</w:t>
      </w:r>
      <w:r w:rsidRPr="00647F72">
        <w:rPr>
          <w:rFonts w:ascii="Book Antiqua" w:eastAsia="Book Antiqua" w:hAnsi="Book Antiqua" w:cs="Book Antiqua"/>
          <w:color w:val="000000"/>
        </w:rPr>
        <w:t>. In a systematic</w:t>
      </w:r>
      <w:r w:rsidR="00C52685"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review that included 45 studies, abnormal liver biochemical indicators were detected at admission in 27.2% of cases, which increased to 36% during hospitalization, and there was a higher incidence of severe and/or critical cases</w:t>
      </w:r>
      <w:r w:rsidRPr="00647F72">
        <w:rPr>
          <w:rFonts w:ascii="Book Antiqua" w:eastAsia="Book Antiqua" w:hAnsi="Book Antiqua" w:cs="Book Antiqua"/>
          <w:color w:val="000000"/>
          <w:szCs w:val="30"/>
          <w:vertAlign w:val="superscript"/>
        </w:rPr>
        <w:t>[20]</w:t>
      </w:r>
      <w:r w:rsidRPr="00647F72">
        <w:rPr>
          <w:rFonts w:ascii="Book Antiqua" w:eastAsia="Book Antiqua" w:hAnsi="Book Antiqua" w:cs="Book Antiqua"/>
          <w:color w:val="000000"/>
        </w:rPr>
        <w:t>. Another meta-a</w:t>
      </w:r>
      <w:r w:rsidR="00151B5F" w:rsidRPr="00647F72">
        <w:rPr>
          <w:rFonts w:ascii="Book Antiqua" w:eastAsia="Book Antiqua" w:hAnsi="Book Antiqua" w:cs="Book Antiqua"/>
          <w:color w:val="000000"/>
        </w:rPr>
        <w:t>nalysis revealed that, among 15</w:t>
      </w:r>
      <w:r w:rsidRPr="00647F72">
        <w:rPr>
          <w:rFonts w:ascii="Book Antiqua" w:eastAsia="Book Antiqua" w:hAnsi="Book Antiqua" w:cs="Book Antiqua"/>
          <w:color w:val="000000"/>
        </w:rPr>
        <w:t>407 patients with SARS-CoV-2 infection, the incidence of elevated liver chemistries was 23.1% at early presentation and 24.4% throughout the course of illness</w:t>
      </w:r>
      <w:r w:rsidRPr="00647F72">
        <w:rPr>
          <w:rFonts w:ascii="Book Antiqua" w:eastAsia="Book Antiqua" w:hAnsi="Book Antiqua" w:cs="Book Antiqua"/>
          <w:color w:val="000000"/>
          <w:szCs w:val="30"/>
          <w:vertAlign w:val="superscript"/>
        </w:rPr>
        <w:t>[21]</w:t>
      </w:r>
      <w:r w:rsidRPr="00647F72">
        <w:rPr>
          <w:rFonts w:ascii="Book Antiqua" w:eastAsia="Book Antiqua" w:hAnsi="Book Antiqua" w:cs="Book Antiqua"/>
          <w:color w:val="000000"/>
        </w:rPr>
        <w:t>. A prospective cohort study in 1611 hospitalized patients from 11 Latin American countries found abnormal liver tests on admission in 45.2% and that such was independently associated with death [odds ratio (OR): 1.5, 95% confidence interval (CI):</w:t>
      </w:r>
      <w:r w:rsidR="00051554"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1.1-2.0] and severe COVID-19 (OR: 2.6, 95%CI: 2.0-3.3)</w:t>
      </w:r>
      <w:r w:rsidRPr="00647F72">
        <w:rPr>
          <w:rFonts w:ascii="Book Antiqua" w:eastAsia="Book Antiqua" w:hAnsi="Book Antiqua" w:cs="Book Antiqua"/>
          <w:color w:val="000000"/>
          <w:szCs w:val="30"/>
          <w:vertAlign w:val="superscript"/>
        </w:rPr>
        <w:t>[22]</w:t>
      </w:r>
      <w:r w:rsidRPr="00647F72">
        <w:rPr>
          <w:rFonts w:ascii="Book Antiqua" w:eastAsia="Book Antiqua" w:hAnsi="Book Antiqua" w:cs="Book Antiqua"/>
          <w:color w:val="000000"/>
        </w:rPr>
        <w:t>. A systematic review of 24 studies (5961 subjects) found that, among COVID-19 patients who were critically ill, the OR of hypoalbuminemia was 7.1, of AST elevation was 3.4, of ALT elevation was 2.5, and of hyperbilirubinemia was 1.7</w:t>
      </w:r>
      <w:r w:rsidRPr="00647F72">
        <w:rPr>
          <w:rFonts w:ascii="Book Antiqua" w:eastAsia="Book Antiqua" w:hAnsi="Book Antiqua" w:cs="Book Antiqua"/>
          <w:color w:val="000000"/>
          <w:szCs w:val="30"/>
          <w:vertAlign w:val="superscript"/>
        </w:rPr>
        <w:t>[23]</w:t>
      </w:r>
      <w:r w:rsidRPr="00647F72">
        <w:rPr>
          <w:rFonts w:ascii="Book Antiqua" w:eastAsia="Book Antiqua" w:hAnsi="Book Antiqua" w:cs="Book Antiqua"/>
          <w:color w:val="000000"/>
        </w:rPr>
        <w:t xml:space="preserve">. Systematic reviews with meta-analyses showed that patients with prolonged prothrombin time had </w:t>
      </w:r>
      <w:r w:rsidR="00E0511A" w:rsidRPr="00647F72">
        <w:rPr>
          <w:rFonts w:ascii="Book Antiqua" w:eastAsia="Book Antiqua" w:hAnsi="Book Antiqua" w:cs="Book Antiqua"/>
          <w:color w:val="000000"/>
        </w:rPr>
        <w:t xml:space="preserve">a </w:t>
      </w:r>
      <w:r w:rsidRPr="00647F72">
        <w:rPr>
          <w:rFonts w:ascii="Book Antiqua" w:eastAsia="Book Antiqua" w:hAnsi="Book Antiqua" w:cs="Book Antiqua"/>
          <w:color w:val="000000"/>
        </w:rPr>
        <w:t>higher odds for progression to severe disease (OR: 1.82) and</w:t>
      </w:r>
      <w:r w:rsidR="00051554" w:rsidRPr="00647F72">
        <w:rPr>
          <w:rFonts w:ascii="Book Antiqua" w:eastAsia="Book Antiqua" w:hAnsi="Book Antiqua" w:cs="Book Antiqua"/>
          <w:color w:val="000000"/>
        </w:rPr>
        <w:t xml:space="preserve"> intensive care un</w:t>
      </w:r>
      <w:r w:rsidRPr="00647F72">
        <w:rPr>
          <w:rFonts w:ascii="Book Antiqua" w:eastAsia="Book Antiqua" w:hAnsi="Book Antiqua" w:cs="Book Antiqua"/>
          <w:color w:val="000000"/>
        </w:rPr>
        <w:t>it (ICU) admission (OR: 2.18)</w:t>
      </w:r>
      <w:r w:rsidRPr="00647F72">
        <w:rPr>
          <w:rFonts w:ascii="Book Antiqua" w:eastAsia="Book Antiqua" w:hAnsi="Book Antiqua" w:cs="Book Antiqua"/>
          <w:color w:val="000000"/>
          <w:szCs w:val="30"/>
          <w:vertAlign w:val="superscript"/>
        </w:rPr>
        <w:t>[24,25]</w:t>
      </w:r>
      <w:r w:rsidRPr="00647F72">
        <w:rPr>
          <w:rFonts w:ascii="Book Antiqua" w:eastAsia="Book Antiqua" w:hAnsi="Book Antiqua" w:cs="Book Antiqua"/>
          <w:color w:val="000000"/>
        </w:rPr>
        <w:t xml:space="preserve">. A synthesis of </w:t>
      </w:r>
      <w:r w:rsidR="00E0511A" w:rsidRPr="00647F72">
        <w:rPr>
          <w:rFonts w:ascii="Book Antiqua" w:eastAsia="Book Antiqua" w:hAnsi="Book Antiqua" w:cs="Book Antiqua"/>
          <w:color w:val="000000"/>
        </w:rPr>
        <w:t xml:space="preserve">the </w:t>
      </w:r>
      <w:r w:rsidRPr="00647F72">
        <w:rPr>
          <w:rFonts w:ascii="Book Antiqua" w:eastAsia="Book Antiqua" w:hAnsi="Book Antiqua" w:cs="Book Antiqua"/>
          <w:color w:val="000000"/>
        </w:rPr>
        <w:t>literature that compared survivors and non-survivors with severe COVID-19 patients showed an OR of 1.98 (95%CI: 1.39-2.82) for liver dysfunction and mortality</w:t>
      </w:r>
      <w:r w:rsidRPr="00647F72">
        <w:rPr>
          <w:rFonts w:ascii="Book Antiqua" w:eastAsia="Book Antiqua" w:hAnsi="Book Antiqua" w:cs="Book Antiqua"/>
          <w:color w:val="000000"/>
          <w:szCs w:val="30"/>
          <w:vertAlign w:val="superscript"/>
        </w:rPr>
        <w:t>[26]</w:t>
      </w:r>
      <w:r w:rsidRPr="00647F72">
        <w:rPr>
          <w:rFonts w:ascii="Book Antiqua" w:eastAsia="Book Antiqua" w:hAnsi="Book Antiqua" w:cs="Book Antiqua"/>
          <w:color w:val="000000"/>
        </w:rPr>
        <w:t>. Similarly, previous investigations have shown that liver injury was common among patients infected by SARS-CoV and MERS</w:t>
      </w:r>
      <w:r w:rsidR="00E0511A" w:rsidRPr="00647F72">
        <w:rPr>
          <w:rFonts w:ascii="Book Antiqua" w:eastAsia="Book Antiqua" w:hAnsi="Book Antiqua" w:cs="Book Antiqua"/>
          <w:color w:val="000000"/>
        </w:rPr>
        <w:t xml:space="preserve"> coronavirus</w:t>
      </w:r>
      <w:r w:rsidRPr="00647F72">
        <w:rPr>
          <w:rFonts w:ascii="Book Antiqua" w:eastAsia="Book Antiqua" w:hAnsi="Book Antiqua" w:cs="Book Antiqua"/>
          <w:color w:val="000000"/>
        </w:rPr>
        <w:t>, and associated with the severity of diseases</w:t>
      </w:r>
      <w:r w:rsidRPr="00647F72">
        <w:rPr>
          <w:rFonts w:ascii="Book Antiqua" w:eastAsia="Book Antiqua" w:hAnsi="Book Antiqua" w:cs="Book Antiqua"/>
          <w:color w:val="000000"/>
          <w:szCs w:val="30"/>
          <w:vertAlign w:val="superscript"/>
        </w:rPr>
        <w:t>[27]</w:t>
      </w:r>
      <w:r w:rsidRPr="00647F72">
        <w:rPr>
          <w:rFonts w:ascii="Book Antiqua" w:eastAsia="Book Antiqua" w:hAnsi="Book Antiqua" w:cs="Book Antiqua"/>
          <w:color w:val="000000"/>
        </w:rPr>
        <w:t>.</w:t>
      </w:r>
    </w:p>
    <w:p w:rsidR="00A77B3E" w:rsidRPr="00647F72" w:rsidRDefault="00B34FC9" w:rsidP="00051554">
      <w:pPr>
        <w:spacing w:line="360" w:lineRule="auto"/>
        <w:ind w:firstLineChars="100" w:firstLine="240"/>
        <w:jc w:val="both"/>
      </w:pPr>
      <w:r w:rsidRPr="00647F72">
        <w:rPr>
          <w:rFonts w:ascii="Book Antiqua" w:eastAsia="Book Antiqua" w:hAnsi="Book Antiqua" w:cs="Book Antiqua"/>
          <w:color w:val="000000"/>
        </w:rPr>
        <w:t>In patients with SARS-CoV-2 infection, the degree of transaminitis is generally mild</w:t>
      </w:r>
      <w:r w:rsidRPr="00647F72">
        <w:rPr>
          <w:rFonts w:ascii="Book Antiqua" w:eastAsia="Book Antiqua" w:hAnsi="Book Antiqua" w:cs="Book Antiqua"/>
          <w:color w:val="000000"/>
          <w:szCs w:val="30"/>
          <w:vertAlign w:val="superscript"/>
        </w:rPr>
        <w:t>[22,23]</w:t>
      </w:r>
      <w:r w:rsidRPr="00647F72">
        <w:rPr>
          <w:rFonts w:ascii="Book Antiqua" w:eastAsia="Book Antiqua" w:hAnsi="Book Antiqua" w:cs="Book Antiqua"/>
          <w:color w:val="000000"/>
        </w:rPr>
        <w:t>, defined as less than 5 times the upper reference limit, and severe liver failure occurs infrequently</w:t>
      </w:r>
      <w:r w:rsidRPr="00647F72">
        <w:rPr>
          <w:rFonts w:ascii="Book Antiqua" w:eastAsia="Book Antiqua" w:hAnsi="Book Antiqua" w:cs="Book Antiqua"/>
          <w:color w:val="000000"/>
          <w:szCs w:val="30"/>
          <w:vertAlign w:val="superscript"/>
        </w:rPr>
        <w:t>[28]</w:t>
      </w:r>
      <w:r w:rsidRPr="00647F72">
        <w:rPr>
          <w:rFonts w:ascii="Book Antiqua" w:eastAsia="Book Antiqua" w:hAnsi="Book Antiqua" w:cs="Book Antiqua"/>
          <w:color w:val="000000"/>
        </w:rPr>
        <w:t xml:space="preserve">. In a cohort of 5700 patients from New York, United States, AST and ALT were both commonly increased (58.4% and 39.0% of subjects, respectively). In this same study, 56 (2.1%) </w:t>
      </w:r>
      <w:r w:rsidR="00E0511A" w:rsidRPr="00647F72">
        <w:rPr>
          <w:rFonts w:ascii="Book Antiqua" w:eastAsia="Book Antiqua" w:hAnsi="Book Antiqua" w:cs="Book Antiqua"/>
          <w:color w:val="000000"/>
        </w:rPr>
        <w:t xml:space="preserve">patients </w:t>
      </w:r>
      <w:r w:rsidRPr="00647F72">
        <w:rPr>
          <w:rFonts w:ascii="Book Antiqua" w:eastAsia="Book Antiqua" w:hAnsi="Book Antiqua" w:cs="Book Antiqua"/>
          <w:color w:val="000000"/>
        </w:rPr>
        <w:t>had developed severe acute liver injury (defined as an increase in ALT or AST of &gt; 15 times the upper limit of normal) and an association with mortality was found in 95%</w:t>
      </w:r>
      <w:r w:rsidRPr="00647F72">
        <w:rPr>
          <w:rFonts w:ascii="Book Antiqua" w:eastAsia="Book Antiqua" w:hAnsi="Book Antiqua" w:cs="Book Antiqua"/>
          <w:color w:val="000000"/>
          <w:szCs w:val="30"/>
          <w:vertAlign w:val="superscript"/>
        </w:rPr>
        <w:t>[29]</w:t>
      </w:r>
      <w:r w:rsidRPr="00647F72">
        <w:rPr>
          <w:rFonts w:ascii="Book Antiqua" w:eastAsia="Book Antiqua" w:hAnsi="Book Antiqua" w:cs="Book Antiqua"/>
          <w:color w:val="000000"/>
        </w:rPr>
        <w:t>. Finally, abnormal liver function test has been observed in patients with subclinical disease (elevated AST in 8.7% and elevated ALT in 8.9%)</w:t>
      </w:r>
      <w:r w:rsidRPr="00647F72">
        <w:rPr>
          <w:rFonts w:ascii="Book Antiqua" w:eastAsia="Book Antiqua" w:hAnsi="Book Antiqua" w:cs="Book Antiqua"/>
          <w:color w:val="000000"/>
          <w:szCs w:val="30"/>
          <w:vertAlign w:val="superscript"/>
        </w:rPr>
        <w:t>[30]</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051554">
      <w:pPr>
        <w:spacing w:line="360" w:lineRule="auto"/>
        <w:jc w:val="both"/>
      </w:pPr>
      <w:r w:rsidRPr="00647F72">
        <w:rPr>
          <w:rFonts w:ascii="Book Antiqua" w:eastAsia="Book Antiqua" w:hAnsi="Book Antiqua" w:cs="Book Antiqua"/>
          <w:b/>
          <w:bCs/>
          <w:i/>
          <w:iCs/>
          <w:color w:val="000000"/>
        </w:rPr>
        <w:t>Pathophysiology</w:t>
      </w:r>
    </w:p>
    <w:p w:rsidR="00A77B3E" w:rsidRPr="00647F72" w:rsidRDefault="00B34FC9">
      <w:pPr>
        <w:spacing w:line="360" w:lineRule="auto"/>
        <w:jc w:val="both"/>
      </w:pPr>
      <w:r w:rsidRPr="00647F72">
        <w:rPr>
          <w:rFonts w:ascii="Book Antiqua" w:eastAsia="Book Antiqua" w:hAnsi="Book Antiqua" w:cs="Book Antiqua"/>
          <w:color w:val="000000"/>
        </w:rPr>
        <w:t xml:space="preserve">The mechanisms of liver injury in patients with SARS-CoV-2 infection are diverse. It has been postulated that SARS-CoV-2 may cause cytopathic effects due to viral replication after entrance into the liver and bile duct cells </w:t>
      </w:r>
      <w:r w:rsidRPr="00647F72">
        <w:rPr>
          <w:rFonts w:ascii="Book Antiqua" w:eastAsia="Book Antiqua" w:hAnsi="Book Antiqua" w:cs="Book Antiqua"/>
          <w:i/>
          <w:iCs/>
          <w:color w:val="000000"/>
        </w:rPr>
        <w:t>via</w:t>
      </w:r>
      <w:r w:rsidRPr="00647F72">
        <w:rPr>
          <w:rFonts w:ascii="Book Antiqua" w:eastAsia="Book Antiqua" w:hAnsi="Book Antiqua" w:cs="Book Antiqua"/>
          <w:color w:val="000000"/>
        </w:rPr>
        <w:t xml:space="preserve"> interaction with ACE2 and TMPRSS2</w:t>
      </w:r>
      <w:r w:rsidRPr="00647F72">
        <w:rPr>
          <w:rFonts w:ascii="Book Antiqua" w:eastAsia="Book Antiqua" w:hAnsi="Book Antiqua" w:cs="Book Antiqua"/>
          <w:color w:val="000000"/>
          <w:szCs w:val="30"/>
          <w:vertAlign w:val="superscript"/>
        </w:rPr>
        <w:t>[31]</w:t>
      </w:r>
      <w:r w:rsidRPr="00647F72">
        <w:rPr>
          <w:rFonts w:ascii="Book Antiqua" w:eastAsia="Book Antiqua" w:hAnsi="Book Antiqua" w:cs="Book Antiqua"/>
          <w:color w:val="000000"/>
        </w:rPr>
        <w:t xml:space="preserve">. ACE2 expression is considerably higher in cholangiocytes (59.7%) than </w:t>
      </w:r>
      <w:r w:rsidR="00E0511A" w:rsidRPr="00647F72">
        <w:rPr>
          <w:rFonts w:ascii="Book Antiqua" w:eastAsia="Book Antiqua" w:hAnsi="Book Antiqua" w:cs="Book Antiqua"/>
          <w:color w:val="000000"/>
        </w:rPr>
        <w:t xml:space="preserve">in </w:t>
      </w:r>
      <w:r w:rsidRPr="00647F72">
        <w:rPr>
          <w:rFonts w:ascii="Book Antiqua" w:eastAsia="Book Antiqua" w:hAnsi="Book Antiqua" w:cs="Book Antiqua"/>
          <w:color w:val="000000"/>
        </w:rPr>
        <w:t>hepatocytes (2.6%)</w:t>
      </w:r>
      <w:r w:rsidRPr="00647F72">
        <w:rPr>
          <w:rFonts w:ascii="Book Antiqua" w:eastAsia="Book Antiqua" w:hAnsi="Book Antiqua" w:cs="Book Antiqua"/>
          <w:color w:val="000000"/>
          <w:szCs w:val="30"/>
          <w:vertAlign w:val="superscript"/>
        </w:rPr>
        <w:t>[32]</w:t>
      </w:r>
      <w:r w:rsidRPr="00647F72">
        <w:rPr>
          <w:rFonts w:ascii="Book Antiqua" w:eastAsia="Book Antiqua" w:hAnsi="Book Antiqua" w:cs="Book Antiqua"/>
          <w:color w:val="000000"/>
        </w:rPr>
        <w:t>. Cholangiocytes have an important role in immune response, inflammation, and liver regeneration</w:t>
      </w:r>
      <w:r w:rsidRPr="00647F72">
        <w:rPr>
          <w:rFonts w:ascii="Book Antiqua" w:eastAsia="Book Antiqua" w:hAnsi="Book Antiqua" w:cs="Book Antiqua"/>
          <w:color w:val="000000"/>
          <w:szCs w:val="30"/>
          <w:vertAlign w:val="superscript"/>
        </w:rPr>
        <w:t>[33]</w:t>
      </w:r>
      <w:r w:rsidRPr="00647F72">
        <w:rPr>
          <w:rFonts w:ascii="Book Antiqua" w:eastAsia="Book Antiqua" w:hAnsi="Book Antiqua" w:cs="Book Antiqua"/>
          <w:color w:val="000000"/>
        </w:rPr>
        <w:t>. Furthermore, the expression of ACE2 in hepatocytes increases in cases of liver injury</w:t>
      </w:r>
      <w:r w:rsidRPr="00647F72">
        <w:rPr>
          <w:rFonts w:ascii="Book Antiqua" w:eastAsia="Book Antiqua" w:hAnsi="Book Antiqua" w:cs="Book Antiqua"/>
          <w:color w:val="000000"/>
          <w:szCs w:val="30"/>
          <w:vertAlign w:val="superscript"/>
        </w:rPr>
        <w:t>[34]</w:t>
      </w:r>
      <w:r w:rsidRPr="00647F72">
        <w:rPr>
          <w:rFonts w:ascii="Book Antiqua" w:eastAsia="Book Antiqua" w:hAnsi="Book Antiqua" w:cs="Book Antiqua"/>
          <w:color w:val="000000"/>
        </w:rPr>
        <w:t xml:space="preserve">. In postmortem liver biopsies from </w:t>
      </w:r>
      <w:r w:rsidR="00E0511A" w:rsidRPr="00647F72">
        <w:rPr>
          <w:rFonts w:ascii="Book Antiqua" w:eastAsia="Book Antiqua" w:hAnsi="Book Antiqua" w:cs="Book Antiqua"/>
          <w:color w:val="000000"/>
        </w:rPr>
        <w:t xml:space="preserve">two </w:t>
      </w:r>
      <w:r w:rsidRPr="00647F72">
        <w:rPr>
          <w:rFonts w:ascii="Book Antiqua" w:eastAsia="Book Antiqua" w:hAnsi="Book Antiqua" w:cs="Book Antiqua"/>
          <w:color w:val="000000"/>
        </w:rPr>
        <w:t>patients who died from COVID-19, typical coronavirus particles were identified in the cytoplasm of hepatocytes, with cytopathic damage characterized by mitochondrial swelling, endoplasmic reticulum dilatation, and glycogen granule decrease</w:t>
      </w:r>
      <w:r w:rsidRPr="00647F72">
        <w:rPr>
          <w:rFonts w:ascii="Book Antiqua" w:eastAsia="Book Antiqua" w:hAnsi="Book Antiqua" w:cs="Book Antiqua"/>
          <w:color w:val="000000"/>
          <w:szCs w:val="30"/>
          <w:vertAlign w:val="superscript"/>
        </w:rPr>
        <w:t>[35]</w:t>
      </w:r>
      <w:r w:rsidRPr="00647F72">
        <w:rPr>
          <w:rFonts w:ascii="Book Antiqua" w:eastAsia="Book Antiqua" w:hAnsi="Book Antiqua" w:cs="Book Antiqua"/>
          <w:color w:val="000000"/>
        </w:rPr>
        <w:t>. These findings support the hypothesis of virus-related hepatic damage. However, other liver biopsy specimens of a patient who died from COVID-19 showed moderate microvesicular steatosis and mild lobular and portal activity, which are not specific and could have been caused by the viral infection, drug-induced liver injury (DILI)</w:t>
      </w:r>
      <w:r w:rsidR="00E0511A"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or nonalcoholic fatty liver disease (NAFLD)</w:t>
      </w:r>
      <w:r w:rsidRPr="00647F72">
        <w:rPr>
          <w:rFonts w:ascii="Book Antiqua" w:eastAsia="Book Antiqua" w:hAnsi="Book Antiqua" w:cs="Book Antiqua"/>
          <w:color w:val="000000"/>
          <w:szCs w:val="30"/>
          <w:vertAlign w:val="superscript"/>
        </w:rPr>
        <w:t>[36,37]</w:t>
      </w:r>
      <w:r w:rsidRPr="00647F72">
        <w:rPr>
          <w:rFonts w:ascii="Book Antiqua" w:eastAsia="Book Antiqua" w:hAnsi="Book Antiqua" w:cs="Book Antiqua"/>
          <w:color w:val="000000"/>
        </w:rPr>
        <w:t>. In addition, viral inclusion bodies were not detected in liver tissue</w:t>
      </w:r>
      <w:r w:rsidRPr="00647F72">
        <w:rPr>
          <w:rFonts w:ascii="Book Antiqua" w:eastAsia="Book Antiqua" w:hAnsi="Book Antiqua" w:cs="Book Antiqua"/>
          <w:color w:val="000000"/>
          <w:szCs w:val="30"/>
          <w:vertAlign w:val="superscript"/>
        </w:rPr>
        <w:t>[37]</w:t>
      </w:r>
      <w:r w:rsidRPr="00647F72">
        <w:rPr>
          <w:rFonts w:ascii="Book Antiqua" w:eastAsia="Book Antiqua" w:hAnsi="Book Antiqua" w:cs="Book Antiqua"/>
          <w:color w:val="000000"/>
        </w:rPr>
        <w:t>. Another postmortem liver histopathologic study also reported microvesicular steatosis, accompanied by overactivation of T cells, suggesting a component of immune-mediated liver injury</w:t>
      </w:r>
      <w:r w:rsidRPr="00647F72">
        <w:rPr>
          <w:rFonts w:ascii="Book Antiqua" w:eastAsia="Book Antiqua" w:hAnsi="Book Antiqua" w:cs="Book Antiqua"/>
          <w:color w:val="000000"/>
          <w:szCs w:val="30"/>
          <w:vertAlign w:val="superscript"/>
        </w:rPr>
        <w:t>[38]</w:t>
      </w:r>
      <w:r w:rsidRPr="00647F72">
        <w:rPr>
          <w:rFonts w:ascii="Book Antiqua" w:eastAsia="Book Antiqua" w:hAnsi="Book Antiqua" w:cs="Book Antiqua"/>
          <w:color w:val="000000"/>
        </w:rPr>
        <w:t>. SARS-CoV-2 could also cause liver damage through the generation of endothelitis</w:t>
      </w:r>
      <w:r w:rsidRPr="00647F72">
        <w:rPr>
          <w:rFonts w:ascii="Book Antiqua" w:eastAsia="Book Antiqua" w:hAnsi="Book Antiqua" w:cs="Book Antiqua"/>
          <w:color w:val="000000"/>
          <w:szCs w:val="30"/>
          <w:vertAlign w:val="superscript"/>
        </w:rPr>
        <w:t>[39]</w:t>
      </w:r>
      <w:r w:rsidRPr="00647F72">
        <w:rPr>
          <w:rFonts w:ascii="Book Antiqua" w:eastAsia="Book Antiqua" w:hAnsi="Book Antiqua" w:cs="Book Antiqua"/>
          <w:color w:val="000000"/>
        </w:rPr>
        <w:t>. Endothelial cells are involved in ischemia-reperfusion liver damage and promote oxidative stress through reactive oxygen species and derivatives of nitric oxide</w:t>
      </w:r>
      <w:r w:rsidRPr="00647F72">
        <w:rPr>
          <w:rFonts w:ascii="Book Antiqua" w:eastAsia="Book Antiqua" w:hAnsi="Book Antiqua" w:cs="Book Antiqua"/>
          <w:color w:val="000000"/>
          <w:szCs w:val="30"/>
          <w:vertAlign w:val="superscript"/>
        </w:rPr>
        <w:t>[40]</w:t>
      </w:r>
      <w:r w:rsidRPr="00647F72">
        <w:rPr>
          <w:rFonts w:ascii="Book Antiqua" w:eastAsia="Book Antiqua" w:hAnsi="Book Antiqua" w:cs="Book Antiqua"/>
          <w:color w:val="000000"/>
        </w:rPr>
        <w:t xml:space="preserve">. Post-mortem wedge liver biopsies from 48 patients who died from severe COVID-19 disease showed vascular alterations characterized by </w:t>
      </w:r>
      <w:r w:rsidR="00E0511A" w:rsidRPr="00647F72">
        <w:rPr>
          <w:rFonts w:ascii="Book Antiqua" w:eastAsia="Book Antiqua" w:hAnsi="Book Antiqua" w:cs="Book Antiqua"/>
          <w:color w:val="000000"/>
        </w:rPr>
        <w:t xml:space="preserve">an </w:t>
      </w:r>
      <w:r w:rsidRPr="00647F72">
        <w:rPr>
          <w:rFonts w:ascii="Book Antiqua" w:eastAsia="Book Antiqua" w:hAnsi="Book Antiqua" w:cs="Book Antiqua"/>
          <w:color w:val="000000"/>
        </w:rPr>
        <w:t>increased number of portal vein branches associated with massive lumen dilatation, partial or complete luminal thrombosis of portal and sinusoidal vessels, and marked focal enlargement and fibrosis of the portal tract</w:t>
      </w:r>
      <w:r w:rsidRPr="00647F72">
        <w:rPr>
          <w:rFonts w:ascii="Book Antiqua" w:eastAsia="Book Antiqua" w:hAnsi="Book Antiqua" w:cs="Book Antiqua"/>
          <w:color w:val="000000"/>
          <w:szCs w:val="30"/>
          <w:vertAlign w:val="superscript"/>
        </w:rPr>
        <w:t>[41]</w:t>
      </w:r>
      <w:r w:rsidRPr="00647F72">
        <w:rPr>
          <w:rFonts w:ascii="Book Antiqua" w:eastAsia="Book Antiqua" w:hAnsi="Book Antiqua" w:cs="Book Antiqua"/>
          <w:color w:val="000000"/>
        </w:rPr>
        <w:t>. In addition, transaminitis has been reported in some cases of portal thrombosis due to SARS-CoV-2 infection</w:t>
      </w:r>
      <w:r w:rsidRPr="00647F72">
        <w:rPr>
          <w:rFonts w:ascii="Book Antiqua" w:eastAsia="Book Antiqua" w:hAnsi="Book Antiqua" w:cs="Book Antiqua"/>
          <w:color w:val="000000"/>
          <w:szCs w:val="20"/>
          <w:vertAlign w:val="superscript"/>
        </w:rPr>
        <w:t>[42,43]</w:t>
      </w:r>
      <w:r w:rsidRPr="00647F72">
        <w:rPr>
          <w:rFonts w:ascii="Book Antiqua" w:eastAsia="Book Antiqua" w:hAnsi="Book Antiqua" w:cs="Book Antiqua"/>
          <w:color w:val="000000"/>
        </w:rPr>
        <w:t>.</w:t>
      </w:r>
    </w:p>
    <w:p w:rsidR="00A77B3E" w:rsidRPr="00647F72" w:rsidRDefault="00B34FC9" w:rsidP="00051554">
      <w:pPr>
        <w:spacing w:line="360" w:lineRule="auto"/>
        <w:ind w:firstLineChars="100" w:firstLine="240"/>
        <w:jc w:val="both"/>
      </w:pPr>
      <w:r w:rsidRPr="00647F72">
        <w:rPr>
          <w:rFonts w:ascii="Book Antiqua" w:eastAsia="Book Antiqua" w:hAnsi="Book Antiqua" w:cs="Book Antiqua"/>
          <w:color w:val="000000"/>
        </w:rPr>
        <w:t>The immune overactivation associated with SARS-CoV-2 infection may also be involved in liver injury. Prominent elevations in serum inflammatory cytokine levels, such as interferon-γ, interleukin (IL)-1β, IL-6, IL-10, soluble IL-2 receptor α</w:t>
      </w:r>
      <w:r w:rsidR="00E0511A"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tumor necrosis factor, are present in patients with COVID-19, especially those with severe pneumonia</w:t>
      </w:r>
      <w:r w:rsidRPr="00647F72">
        <w:rPr>
          <w:rFonts w:ascii="Book Antiqua" w:eastAsia="Book Antiqua" w:hAnsi="Book Antiqua" w:cs="Book Antiqua"/>
          <w:color w:val="000000"/>
          <w:szCs w:val="30"/>
          <w:vertAlign w:val="superscript"/>
        </w:rPr>
        <w:t>[44,45]</w:t>
      </w:r>
      <w:r w:rsidRPr="00647F72">
        <w:rPr>
          <w:rFonts w:ascii="Book Antiqua" w:eastAsia="Book Antiqua" w:hAnsi="Book Antiqua" w:cs="Book Antiqua"/>
          <w:color w:val="000000"/>
        </w:rPr>
        <w:t xml:space="preserve">. This can lead to immune-mediated liver injury </w:t>
      </w:r>
      <w:r w:rsidRPr="00647F72">
        <w:rPr>
          <w:rFonts w:ascii="Book Antiqua" w:eastAsia="Book Antiqua" w:hAnsi="Book Antiqua" w:cs="Book Antiqua"/>
          <w:i/>
          <w:iCs/>
          <w:color w:val="000000"/>
        </w:rPr>
        <w:t>via</w:t>
      </w:r>
      <w:r w:rsidRPr="00647F72">
        <w:rPr>
          <w:rFonts w:ascii="Book Antiqua" w:eastAsia="Book Antiqua" w:hAnsi="Book Antiqua" w:cs="Book Antiqua"/>
          <w:color w:val="000000"/>
        </w:rPr>
        <w:t xml:space="preserve"> activation of intrahepatic CD4+ and CD8+ cells, T cells, Kupffer cells</w:t>
      </w:r>
      <w:r w:rsidR="00E0511A"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a dysregulated innate immune response</w:t>
      </w:r>
      <w:r w:rsidRPr="00647F72">
        <w:rPr>
          <w:rFonts w:ascii="Book Antiqua" w:eastAsia="Book Antiqua" w:hAnsi="Book Antiqua" w:cs="Book Antiqua"/>
          <w:color w:val="000000"/>
          <w:szCs w:val="30"/>
          <w:vertAlign w:val="superscript"/>
        </w:rPr>
        <w:t>[46,47]</w:t>
      </w:r>
      <w:r w:rsidRPr="00647F72">
        <w:rPr>
          <w:rFonts w:ascii="Book Antiqua" w:eastAsia="Book Antiqua" w:hAnsi="Book Antiqua" w:cs="Book Antiqua"/>
          <w:color w:val="000000"/>
        </w:rPr>
        <w:t>. This phenomenon has also been described in infections caused by herpes viruses (Epstein-Barr virus, cytomegalovirus, and herpes simplex virus), parvovirus, adenovirus, and SARS-CoV</w:t>
      </w:r>
      <w:r w:rsidRPr="00647F72">
        <w:rPr>
          <w:rFonts w:ascii="Book Antiqua" w:eastAsia="Book Antiqua" w:hAnsi="Book Antiqua" w:cs="Book Antiqua"/>
          <w:color w:val="000000"/>
          <w:szCs w:val="30"/>
          <w:vertAlign w:val="superscript"/>
        </w:rPr>
        <w:t>[47]</w:t>
      </w:r>
      <w:r w:rsidRPr="00647F72">
        <w:rPr>
          <w:rFonts w:ascii="Book Antiqua" w:eastAsia="Book Antiqua" w:hAnsi="Book Antiqua" w:cs="Book Antiqua"/>
          <w:color w:val="000000"/>
        </w:rPr>
        <w:t>. Moreover, COVID-19 patients with increased AST also have elevated IL-6, ferritin, lactate dehydrogenase</w:t>
      </w:r>
      <w:r w:rsidR="00E0511A"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C-reactive protein compared to patients with normal AST</w:t>
      </w:r>
      <w:r w:rsidRPr="00647F72">
        <w:rPr>
          <w:rFonts w:ascii="Book Antiqua" w:eastAsia="Book Antiqua" w:hAnsi="Book Antiqua" w:cs="Book Antiqua"/>
          <w:color w:val="000000"/>
          <w:szCs w:val="30"/>
          <w:vertAlign w:val="superscript"/>
        </w:rPr>
        <w:t>[48]</w:t>
      </w:r>
      <w:r w:rsidRPr="00647F72">
        <w:rPr>
          <w:rFonts w:ascii="Book Antiqua" w:eastAsia="Book Antiqua" w:hAnsi="Book Antiqua" w:cs="Book Antiqua"/>
          <w:color w:val="000000"/>
        </w:rPr>
        <w:t>.</w:t>
      </w:r>
    </w:p>
    <w:p w:rsidR="00A77B3E" w:rsidRPr="00647F72" w:rsidRDefault="00B34FC9" w:rsidP="00051554">
      <w:pPr>
        <w:spacing w:line="360" w:lineRule="auto"/>
        <w:ind w:firstLineChars="100" w:firstLine="240"/>
        <w:jc w:val="both"/>
      </w:pPr>
      <w:r w:rsidRPr="00647F72">
        <w:rPr>
          <w:rFonts w:ascii="Book Antiqua" w:eastAsia="Book Antiqua" w:hAnsi="Book Antiqua" w:cs="Book Antiqua"/>
          <w:color w:val="000000"/>
        </w:rPr>
        <w:t>In the course of infection by SARS-CoV-2, hepatic ischemia and hypoxia</w:t>
      </w:r>
      <w:r w:rsidR="00E0511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with impaired tissue perfusion can develop as a consequence of pneumonia-associated hypoxemia, circulatory failure, respiratory distress syndrome, and multiple organ failure</w:t>
      </w:r>
      <w:r w:rsidRPr="00647F72">
        <w:rPr>
          <w:rFonts w:ascii="Book Antiqua" w:eastAsia="Book Antiqua" w:hAnsi="Book Antiqua" w:cs="Book Antiqua"/>
          <w:color w:val="000000"/>
          <w:szCs w:val="30"/>
          <w:vertAlign w:val="superscript"/>
        </w:rPr>
        <w:t>[49]</w:t>
      </w:r>
      <w:r w:rsidRPr="00647F72">
        <w:rPr>
          <w:rFonts w:ascii="Book Antiqua" w:eastAsia="Book Antiqua" w:hAnsi="Book Antiqua" w:cs="Book Antiqua"/>
          <w:color w:val="000000"/>
        </w:rPr>
        <w:t>. Hepatic congestion secondary to high positive end-respiratory pressure in mechanically-ventilated patients may also enhance the degree of hypoxic damage in hepatocytes</w:t>
      </w:r>
      <w:r w:rsidRPr="00647F72">
        <w:rPr>
          <w:rFonts w:ascii="Book Antiqua" w:eastAsia="Book Antiqua" w:hAnsi="Book Antiqua" w:cs="Book Antiqua"/>
          <w:color w:val="000000"/>
          <w:szCs w:val="30"/>
          <w:vertAlign w:val="superscript"/>
        </w:rPr>
        <w:t>[32,46]</w:t>
      </w:r>
      <w:r w:rsidRPr="00647F72">
        <w:rPr>
          <w:rFonts w:ascii="Book Antiqua" w:eastAsia="Book Antiqua" w:hAnsi="Book Antiqua" w:cs="Book Antiqua"/>
          <w:color w:val="000000"/>
        </w:rPr>
        <w:t>.</w:t>
      </w:r>
    </w:p>
    <w:p w:rsidR="00A77B3E" w:rsidRPr="00647F72" w:rsidRDefault="00B34FC9" w:rsidP="00051554">
      <w:pPr>
        <w:spacing w:line="360" w:lineRule="auto"/>
        <w:ind w:firstLineChars="100" w:firstLine="240"/>
        <w:jc w:val="both"/>
      </w:pPr>
      <w:r w:rsidRPr="00647F72">
        <w:rPr>
          <w:rFonts w:ascii="Book Antiqua" w:eastAsia="Book Antiqua" w:hAnsi="Book Antiqua" w:cs="Book Antiqua"/>
          <w:color w:val="000000"/>
        </w:rPr>
        <w:t>Liver injury associated with COVID-19 may also occur secondary to the potentially hepatotoxic effects of many drugs used for its treatment, such as acetaminophen, antivirals, antibiotics, corticosteroids, and immune modulators, among others. The presence of microvesicular steatosis and liver inflammation</w:t>
      </w:r>
      <w:r w:rsidR="00E0511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in liver biopsies of patients with SARS-CoV-2 infection could also be drug-related</w:t>
      </w:r>
      <w:r w:rsidRPr="00647F72">
        <w:rPr>
          <w:rFonts w:ascii="Book Antiqua" w:eastAsia="Book Antiqua" w:hAnsi="Book Antiqua" w:cs="Book Antiqua"/>
          <w:color w:val="000000"/>
          <w:szCs w:val="30"/>
          <w:vertAlign w:val="superscript"/>
        </w:rPr>
        <w:t>[37]</w:t>
      </w:r>
      <w:r w:rsidRPr="00647F72">
        <w:rPr>
          <w:rFonts w:ascii="Book Antiqua" w:eastAsia="Book Antiqua" w:hAnsi="Book Antiqua" w:cs="Book Antiqua"/>
          <w:color w:val="000000"/>
        </w:rPr>
        <w:t>. The drug-cytochrome P-450 interaction could explain some of the liver toxicity secondary to such drugs as azithromycin, lopinavir/ritonavir, hydroxychloroquine, and acetaminophen</w:t>
      </w:r>
      <w:r w:rsidRPr="00647F72">
        <w:rPr>
          <w:rFonts w:ascii="Book Antiqua" w:eastAsia="Book Antiqua" w:hAnsi="Book Antiqua" w:cs="Book Antiqua"/>
          <w:color w:val="000000"/>
          <w:szCs w:val="30"/>
          <w:vertAlign w:val="superscript"/>
        </w:rPr>
        <w:t>[50]</w:t>
      </w:r>
      <w:r w:rsidRPr="00647F72">
        <w:rPr>
          <w:rFonts w:ascii="Book Antiqua" w:eastAsia="Book Antiqua" w:hAnsi="Book Antiqua" w:cs="Book Antiqua"/>
          <w:color w:val="000000"/>
        </w:rPr>
        <w:t>. Additionally, patients with underlying NAFLD might be more susceptible to DILI because the cytokine monocyte chemoattractant protein-1 (</w:t>
      </w:r>
      <w:r w:rsidR="00151B5F" w:rsidRPr="00647F72">
        <w:rPr>
          <w:rFonts w:ascii="Book Antiqua" w:eastAsia="Book Antiqua" w:hAnsi="Book Antiqua" w:cs="Book Antiqua"/>
          <w:i/>
          <w:iCs/>
          <w:color w:val="000000"/>
        </w:rPr>
        <w:t>i.e</w:t>
      </w:r>
      <w:r w:rsidR="00151B5F" w:rsidRPr="00647F72">
        <w:rPr>
          <w:rFonts w:ascii="Book Antiqua" w:eastAsia="Book Antiqua" w:hAnsi="Book Antiqua" w:cs="Book Antiqua"/>
          <w:i/>
          <w:color w:val="000000"/>
        </w:rPr>
        <w:t>.</w:t>
      </w:r>
      <w:r w:rsidR="00151B5F"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 MCP-1) is often elevated in COVID-19 patients and could exacerbate steatohepatitis</w:t>
      </w:r>
      <w:r w:rsidRPr="00647F72">
        <w:rPr>
          <w:rFonts w:ascii="Book Antiqua" w:eastAsia="Book Antiqua" w:hAnsi="Book Antiqua" w:cs="Book Antiqua"/>
          <w:color w:val="000000"/>
          <w:szCs w:val="30"/>
          <w:vertAlign w:val="superscript"/>
        </w:rPr>
        <w:t>[51]</w:t>
      </w:r>
      <w:r w:rsidRPr="00647F72">
        <w:rPr>
          <w:rFonts w:ascii="Book Antiqua" w:eastAsia="Book Antiqua" w:hAnsi="Book Antiqua" w:cs="Book Antiqua"/>
          <w:color w:val="000000"/>
        </w:rPr>
        <w:t>. In a systematic review which included 107 articles (</w:t>
      </w:r>
      <w:r w:rsidRPr="00647F72">
        <w:rPr>
          <w:rFonts w:ascii="Book Antiqua" w:eastAsia="Book Antiqua" w:hAnsi="Book Antiqua" w:cs="Book Antiqua"/>
          <w:i/>
          <w:iCs/>
          <w:color w:val="000000"/>
        </w:rPr>
        <w:t>n</w:t>
      </w:r>
      <w:r w:rsidR="00051554" w:rsidRPr="00647F72">
        <w:rPr>
          <w:rFonts w:ascii="Book Antiqua" w:eastAsia="Book Antiqua" w:hAnsi="Book Antiqua" w:cs="Book Antiqua"/>
          <w:color w:val="000000"/>
        </w:rPr>
        <w:t xml:space="preserve"> = 20</w:t>
      </w:r>
      <w:r w:rsidRPr="00647F72">
        <w:rPr>
          <w:rFonts w:ascii="Book Antiqua" w:eastAsia="Book Antiqua" w:hAnsi="Book Antiqua" w:cs="Book Antiqua"/>
          <w:color w:val="000000"/>
        </w:rPr>
        <w:t>874 patients), the pooled incidence of DILI in COVID-19 patients was 25.4%</w:t>
      </w:r>
      <w:r w:rsidRPr="00647F72">
        <w:rPr>
          <w:rFonts w:ascii="Book Antiqua" w:eastAsia="Book Antiqua" w:hAnsi="Book Antiqua" w:cs="Book Antiqua"/>
          <w:color w:val="000000"/>
          <w:szCs w:val="30"/>
          <w:vertAlign w:val="superscript"/>
        </w:rPr>
        <w:t>[21]</w:t>
      </w:r>
      <w:r w:rsidRPr="00647F72">
        <w:rPr>
          <w:rFonts w:ascii="Book Antiqua" w:eastAsia="Book Antiqua" w:hAnsi="Book Antiqua" w:cs="Book Antiqua"/>
          <w:color w:val="000000"/>
        </w:rPr>
        <w:t>. A more detailed description of the drugs to treat SARS-CoV-2 infection and their potential risk of liver damage is discussed later.</w:t>
      </w:r>
    </w:p>
    <w:p w:rsidR="00A77B3E" w:rsidRPr="00647F72" w:rsidRDefault="00B34FC9" w:rsidP="00051554">
      <w:pPr>
        <w:spacing w:line="360" w:lineRule="auto"/>
        <w:ind w:firstLineChars="100" w:firstLine="240"/>
        <w:jc w:val="both"/>
      </w:pPr>
      <w:r w:rsidRPr="00647F72">
        <w:rPr>
          <w:rFonts w:ascii="Book Antiqua" w:eastAsia="Book Antiqua" w:hAnsi="Book Antiqua" w:cs="Book Antiqua"/>
          <w:color w:val="000000"/>
        </w:rPr>
        <w:t>SARS-CoV-2 RNA has been detected in feces, and it appears plausible that virus and inflammatory mediators present within the gut lumen could reach the liver through the portal circulation. Kupffer cells could attempt to clear the viral particles, consequently increasing the inflammatory response</w:t>
      </w:r>
      <w:r w:rsidRPr="00647F72">
        <w:rPr>
          <w:rFonts w:ascii="Book Antiqua" w:eastAsia="Book Antiqua" w:hAnsi="Book Antiqua" w:cs="Book Antiqua"/>
          <w:color w:val="000000"/>
          <w:szCs w:val="30"/>
          <w:vertAlign w:val="superscript"/>
        </w:rPr>
        <w:t>[39,50]</w:t>
      </w:r>
      <w:r w:rsidRPr="00647F72">
        <w:rPr>
          <w:rFonts w:ascii="Book Antiqua" w:eastAsia="Book Antiqua" w:hAnsi="Book Antiqua" w:cs="Book Antiqua"/>
          <w:color w:val="000000"/>
        </w:rPr>
        <w:t>.</w:t>
      </w:r>
    </w:p>
    <w:p w:rsidR="00A77B3E" w:rsidRPr="00647F72" w:rsidRDefault="00B34FC9" w:rsidP="00051554">
      <w:pPr>
        <w:spacing w:line="360" w:lineRule="auto"/>
        <w:ind w:firstLineChars="100" w:firstLine="240"/>
        <w:jc w:val="both"/>
      </w:pPr>
      <w:r w:rsidRPr="00647F72">
        <w:rPr>
          <w:rFonts w:ascii="Book Antiqua" w:eastAsia="Book Antiqua" w:hAnsi="Book Antiqua" w:cs="Book Antiqua"/>
          <w:color w:val="000000"/>
        </w:rPr>
        <w:t>Other causes that are not necessarily associated with direct hepatocyte injury may explain the abnormal liver biochemical indicators in patients with SARS-CoV-2 infection. Transaminitis could originate from myositis rather than liver damage</w:t>
      </w:r>
      <w:r w:rsidRPr="00647F72">
        <w:rPr>
          <w:rFonts w:ascii="Book Antiqua" w:eastAsia="Book Antiqua" w:hAnsi="Book Antiqua" w:cs="Book Antiqua"/>
          <w:color w:val="000000"/>
          <w:szCs w:val="30"/>
          <w:vertAlign w:val="superscript"/>
        </w:rPr>
        <w:t>[52]</w:t>
      </w:r>
      <w:r w:rsidRPr="00647F72">
        <w:rPr>
          <w:rFonts w:ascii="Book Antiqua" w:eastAsia="Book Antiqua" w:hAnsi="Book Antiqua" w:cs="Book Antiqua"/>
          <w:color w:val="000000"/>
        </w:rPr>
        <w:t xml:space="preserve">. Muscular injury </w:t>
      </w:r>
      <w:r w:rsidR="00051554"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defined as the presence of myalgias and creatinine kinase </w:t>
      </w:r>
      <w:r w:rsidR="00051554"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CK</w:t>
      </w:r>
      <w:r w:rsidR="00051554"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&gt;</w:t>
      </w:r>
      <w:r w:rsidR="00051554"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200 U/L</w:t>
      </w:r>
      <w:r w:rsidR="00051554"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 has been documented in 10% of hospitalized patients by COVID-19 and some studies have reported increased levels of myoglobin of CK in association with COVID-19 severity</w:t>
      </w:r>
      <w:r w:rsidRPr="00647F72">
        <w:rPr>
          <w:rFonts w:ascii="Book Antiqua" w:eastAsia="Book Antiqua" w:hAnsi="Book Antiqua" w:cs="Book Antiqua"/>
          <w:color w:val="000000"/>
          <w:szCs w:val="20"/>
          <w:vertAlign w:val="superscript"/>
        </w:rPr>
        <w:t>[46,53,54]</w:t>
      </w:r>
      <w:r w:rsidRPr="00647F72">
        <w:rPr>
          <w:rFonts w:ascii="Book Antiqua" w:eastAsia="Book Antiqua" w:hAnsi="Book Antiqua" w:cs="Book Antiqua"/>
          <w:color w:val="000000"/>
        </w:rPr>
        <w:t>. Hypoalbuminemia could be explained by decreased hepatic synthesis, malnutrition, increased catabolism</w:t>
      </w:r>
      <w:r w:rsidR="00E0511A"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albumin extravasation because of increased capillary permeability</w:t>
      </w:r>
      <w:r w:rsidRPr="00647F72">
        <w:rPr>
          <w:rFonts w:ascii="Book Antiqua" w:eastAsia="Book Antiqua" w:hAnsi="Book Antiqua" w:cs="Book Antiqua"/>
          <w:color w:val="000000"/>
          <w:szCs w:val="30"/>
          <w:vertAlign w:val="superscript"/>
        </w:rPr>
        <w:t>[55,56]</w:t>
      </w:r>
      <w:r w:rsidRPr="00647F72">
        <w:rPr>
          <w:rFonts w:ascii="Book Antiqua" w:eastAsia="Book Antiqua" w:hAnsi="Book Antiqua" w:cs="Book Antiqua"/>
          <w:color w:val="000000"/>
        </w:rPr>
        <w:t>; we must recall that hypoalbuminemia is also an acute phase reactant. Alkaline phosphatase and GGT are considered as cholangiocyte-related enzymes, but the higher prevalence of abnormal GGT may be attributed to acute inflammatory stress because the GGT is recognized as a surrogate marker for increased oxidative stress and inflammation</w:t>
      </w:r>
      <w:r w:rsidRPr="00647F72">
        <w:rPr>
          <w:rFonts w:ascii="Book Antiqua" w:eastAsia="Book Antiqua" w:hAnsi="Book Antiqua" w:cs="Book Antiqua"/>
          <w:color w:val="000000"/>
          <w:szCs w:val="30"/>
          <w:vertAlign w:val="superscript"/>
        </w:rPr>
        <w:t>[57]</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051554">
      <w:pPr>
        <w:spacing w:line="360" w:lineRule="auto"/>
        <w:jc w:val="both"/>
        <w:rPr>
          <w:i/>
        </w:rPr>
      </w:pPr>
      <w:r w:rsidRPr="00647F72">
        <w:rPr>
          <w:rFonts w:ascii="Book Antiqua" w:eastAsia="Book Antiqua" w:hAnsi="Book Antiqua" w:cs="Book Antiqua"/>
          <w:b/>
          <w:bCs/>
          <w:i/>
          <w:iCs/>
          <w:color w:val="000000"/>
        </w:rPr>
        <w:t>Management</w:t>
      </w:r>
    </w:p>
    <w:p w:rsidR="00A77B3E" w:rsidRPr="00647F72" w:rsidRDefault="00B34FC9" w:rsidP="00051554">
      <w:pPr>
        <w:spacing w:line="360" w:lineRule="auto"/>
        <w:jc w:val="both"/>
      </w:pPr>
      <w:r w:rsidRPr="00647F72">
        <w:rPr>
          <w:rFonts w:ascii="Book Antiqua" w:eastAsia="Book Antiqua" w:hAnsi="Book Antiqua" w:cs="Book Antiqua"/>
          <w:color w:val="000000"/>
        </w:rPr>
        <w:t>The recommendations by the American Gastroenterology Association and the World Gastroenterology Organization regarding the general approach to patients with SARS-CoV-2 infection and liver injury are as follows</w:t>
      </w:r>
      <w:r w:rsidRPr="00647F72">
        <w:rPr>
          <w:rFonts w:ascii="Book Antiqua" w:eastAsia="Book Antiqua" w:hAnsi="Book Antiqua" w:cs="Book Antiqua"/>
          <w:color w:val="000000"/>
          <w:szCs w:val="30"/>
          <w:vertAlign w:val="superscript"/>
        </w:rPr>
        <w:t>[58,59]</w:t>
      </w:r>
      <w:r w:rsidRPr="00647F72">
        <w:rPr>
          <w:rFonts w:ascii="Book Antiqua" w:eastAsia="Book Antiqua" w:hAnsi="Book Antiqua" w:cs="Book Antiqua"/>
          <w:color w:val="000000"/>
        </w:rPr>
        <w:t>:</w:t>
      </w:r>
      <w:r w:rsidR="00051554" w:rsidRPr="00647F72">
        <w:rPr>
          <w:rFonts w:ascii="Book Antiqua" w:hAnsi="Book Antiqua" w:cs="Book Antiqua" w:hint="eastAsia"/>
          <w:color w:val="000000"/>
          <w:lang w:eastAsia="zh-CN"/>
        </w:rPr>
        <w:t xml:space="preserve"> (1) </w:t>
      </w:r>
      <w:r w:rsidRPr="00647F72">
        <w:rPr>
          <w:rFonts w:ascii="Book Antiqua" w:eastAsia="Book Antiqua" w:hAnsi="Book Antiqua" w:cs="Book Antiqua"/>
          <w:color w:val="000000"/>
        </w:rPr>
        <w:t>In patients with abnormal liver function test results in the context of suspected or known COVID-19, evaluate for alternative etiologies, including proof of viral hepatitis, particularly in developing countries;</w:t>
      </w:r>
      <w:r w:rsidR="00051554" w:rsidRPr="00647F72">
        <w:rPr>
          <w:rFonts w:ascii="Book Antiqua" w:hAnsi="Book Antiqua" w:cs="Book Antiqua" w:hint="eastAsia"/>
          <w:color w:val="000000"/>
          <w:lang w:eastAsia="zh-CN"/>
        </w:rPr>
        <w:t xml:space="preserve"> (2) </w:t>
      </w:r>
      <w:r w:rsidR="00D30787" w:rsidRPr="00647F72">
        <w:rPr>
          <w:rFonts w:ascii="Book Antiqua" w:hAnsi="Book Antiqua" w:cs="Book Antiqua" w:hint="eastAsia"/>
          <w:color w:val="000000"/>
          <w:lang w:eastAsia="zh-CN"/>
        </w:rPr>
        <w:t>R</w:t>
      </w:r>
      <w:r w:rsidR="00E0511A" w:rsidRPr="00647F72">
        <w:rPr>
          <w:rFonts w:ascii="Book Antiqua" w:eastAsia="Book Antiqua" w:hAnsi="Book Antiqua" w:cs="Book Antiqua"/>
          <w:color w:val="000000"/>
        </w:rPr>
        <w:t xml:space="preserve">outine </w:t>
      </w:r>
      <w:r w:rsidRPr="00647F72">
        <w:rPr>
          <w:rFonts w:ascii="Book Antiqua" w:eastAsia="Book Antiqua" w:hAnsi="Book Antiqua" w:cs="Book Antiqua"/>
          <w:color w:val="000000"/>
        </w:rPr>
        <w:t>outpatient testing of liver biochemistries is not recommended;</w:t>
      </w:r>
      <w:r w:rsidR="00051554" w:rsidRPr="00647F72">
        <w:rPr>
          <w:rFonts w:ascii="Book Antiqua" w:hAnsi="Book Antiqua" w:cs="Book Antiqua" w:hint="eastAsia"/>
          <w:color w:val="000000"/>
          <w:lang w:eastAsia="zh-CN"/>
        </w:rPr>
        <w:t xml:space="preserve"> (3) </w:t>
      </w:r>
      <w:r w:rsidR="00D30787" w:rsidRPr="00647F72">
        <w:rPr>
          <w:rFonts w:ascii="Book Antiqua" w:hAnsi="Book Antiqua" w:cs="Book Antiqua" w:hint="eastAsia"/>
          <w:color w:val="000000"/>
          <w:lang w:eastAsia="zh-CN"/>
        </w:rPr>
        <w:t>I</w:t>
      </w:r>
      <w:r w:rsidR="00E0511A" w:rsidRPr="00647F72">
        <w:rPr>
          <w:rFonts w:ascii="Book Antiqua" w:eastAsia="Book Antiqua" w:hAnsi="Book Antiqua" w:cs="Book Antiqua"/>
          <w:color w:val="000000"/>
        </w:rPr>
        <w:t xml:space="preserve">n </w:t>
      </w:r>
      <w:r w:rsidRPr="00647F72">
        <w:rPr>
          <w:rFonts w:ascii="Book Antiqua" w:eastAsia="Book Antiqua" w:hAnsi="Book Antiqua" w:cs="Book Antiqua"/>
          <w:color w:val="000000"/>
        </w:rPr>
        <w:t>in-patients with COVID-19, obtain baseline liver indicators at the time of admission and consider its monitoring throughout the hospitalization; and</w:t>
      </w:r>
      <w:r w:rsidR="00051554" w:rsidRPr="00647F72">
        <w:rPr>
          <w:rFonts w:ascii="Book Antiqua" w:hAnsi="Book Antiqua" w:cs="Book Antiqua" w:hint="eastAsia"/>
          <w:color w:val="000000"/>
          <w:lang w:eastAsia="zh-CN"/>
        </w:rPr>
        <w:t xml:space="preserve"> (4) </w:t>
      </w:r>
      <w:r w:rsidR="00D30787" w:rsidRPr="00647F72">
        <w:rPr>
          <w:rFonts w:ascii="Book Antiqua" w:hAnsi="Book Antiqua" w:cs="Book Antiqua" w:hint="eastAsia"/>
          <w:color w:val="000000"/>
          <w:lang w:eastAsia="zh-CN"/>
        </w:rPr>
        <w:t>A</w:t>
      </w:r>
      <w:r w:rsidR="00E0511A" w:rsidRPr="00647F72">
        <w:rPr>
          <w:rFonts w:ascii="Book Antiqua" w:eastAsia="Book Antiqua" w:hAnsi="Book Antiqua" w:cs="Book Antiqua"/>
          <w:color w:val="000000"/>
        </w:rPr>
        <w:t xml:space="preserve">void </w:t>
      </w:r>
      <w:r w:rsidRPr="00647F72">
        <w:rPr>
          <w:rFonts w:ascii="Book Antiqua" w:eastAsia="Book Antiqua" w:hAnsi="Book Antiqua" w:cs="Book Antiqua"/>
          <w:color w:val="000000"/>
        </w:rPr>
        <w:t>routine liver imaging, unless it will alter management.</w:t>
      </w:r>
    </w:p>
    <w:p w:rsidR="00A77B3E" w:rsidRPr="00647F72" w:rsidRDefault="00A77B3E" w:rsidP="00051554">
      <w:pPr>
        <w:spacing w:line="360" w:lineRule="auto"/>
        <w:jc w:val="both"/>
        <w:rPr>
          <w:lang w:eastAsia="zh-CN"/>
        </w:rPr>
      </w:pPr>
    </w:p>
    <w:p w:rsidR="00A77B3E" w:rsidRPr="00647F72" w:rsidRDefault="00B34FC9">
      <w:pPr>
        <w:spacing w:line="360" w:lineRule="auto"/>
        <w:jc w:val="both"/>
      </w:pPr>
      <w:r w:rsidRPr="00647F72">
        <w:rPr>
          <w:rFonts w:ascii="Book Antiqua" w:eastAsia="Book Antiqua" w:hAnsi="Book Antiqua" w:cs="Book Antiqua"/>
          <w:b/>
          <w:bCs/>
          <w:caps/>
          <w:color w:val="000000"/>
          <w:u w:val="single"/>
        </w:rPr>
        <w:t>FATTY LIVER DISEASE</w:t>
      </w:r>
    </w:p>
    <w:p w:rsidR="00A77B3E" w:rsidRPr="00647F72" w:rsidRDefault="00E955FA">
      <w:pPr>
        <w:spacing w:line="360" w:lineRule="auto"/>
        <w:jc w:val="both"/>
      </w:pPr>
      <w:r w:rsidRPr="00647F72">
        <w:rPr>
          <w:rFonts w:ascii="Book Antiqua" w:eastAsia="Book Antiqua" w:hAnsi="Book Antiqua" w:cs="Book Antiqua"/>
          <w:b/>
          <w:bCs/>
          <w:i/>
          <w:iCs/>
          <w:color w:val="000000"/>
        </w:rPr>
        <w:t>General implications and epidemiology</w:t>
      </w:r>
    </w:p>
    <w:p w:rsidR="00A77B3E" w:rsidRPr="00647F72" w:rsidRDefault="00B34FC9">
      <w:pPr>
        <w:spacing w:line="360" w:lineRule="auto"/>
        <w:jc w:val="both"/>
      </w:pPr>
      <w:r w:rsidRPr="00647F72">
        <w:rPr>
          <w:rFonts w:ascii="Book Antiqua" w:eastAsia="Book Antiqua" w:hAnsi="Book Antiqua" w:cs="Book Antiqua"/>
          <w:color w:val="000000"/>
        </w:rPr>
        <w:t>The presence of metabolic dysfunction-associated fatty liver disease (MAFLD; previously known as NAFLD)</w:t>
      </w:r>
      <w:r w:rsidRPr="00647F72">
        <w:rPr>
          <w:rFonts w:ascii="Book Antiqua" w:eastAsia="Book Antiqua" w:hAnsi="Book Antiqua" w:cs="Book Antiqua"/>
          <w:color w:val="000000"/>
          <w:vertAlign w:val="superscript"/>
        </w:rPr>
        <w:t>[60]</w:t>
      </w:r>
      <w:r w:rsidRPr="00647F72">
        <w:rPr>
          <w:rFonts w:ascii="Book Antiqua" w:eastAsia="Book Antiqua" w:hAnsi="Book Antiqua" w:cs="Book Antiqua"/>
          <w:color w:val="000000"/>
        </w:rPr>
        <w:t xml:space="preserve"> in the patients with infection by SARS-CoV-2 (</w:t>
      </w:r>
      <w:r w:rsidR="00151B5F" w:rsidRPr="00647F72">
        <w:rPr>
          <w:rFonts w:ascii="Book Antiqua" w:eastAsia="Book Antiqua" w:hAnsi="Book Antiqua" w:cs="Book Antiqua"/>
          <w:i/>
          <w:iCs/>
          <w:color w:val="000000"/>
        </w:rPr>
        <w:t>i.e</w:t>
      </w:r>
      <w:r w:rsidR="00151B5F" w:rsidRPr="00647F72">
        <w:rPr>
          <w:rFonts w:ascii="Book Antiqua" w:eastAsia="Book Antiqua" w:hAnsi="Book Antiqua" w:cs="Book Antiqua"/>
          <w:i/>
          <w:color w:val="000000"/>
        </w:rPr>
        <w:t>.</w:t>
      </w:r>
      <w:r w:rsidR="00151B5F"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 COVID-19) is important given that specific metabolic and cardiovascular comorbidities intrinsically related to MAFLD, like hypertension, diabetes, obesity, coronary artery disease</w:t>
      </w:r>
      <w:r w:rsidR="004D3028"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cerebrovascular disease, were identified as independent risk factors associated with increased risk of infection by SARS-CoV-2</w:t>
      </w:r>
      <w:r w:rsidRPr="00647F72">
        <w:rPr>
          <w:rFonts w:ascii="Book Antiqua" w:eastAsia="Book Antiqua" w:hAnsi="Book Antiqua" w:cs="Book Antiqua"/>
          <w:color w:val="000000"/>
          <w:vertAlign w:val="superscript"/>
        </w:rPr>
        <w:t>[61,62]</w:t>
      </w:r>
      <w:r w:rsidRPr="00647F72">
        <w:rPr>
          <w:rFonts w:ascii="Book Antiqua" w:eastAsia="Book Antiqua" w:hAnsi="Book Antiqua" w:cs="Book Antiqua"/>
          <w:color w:val="000000"/>
        </w:rPr>
        <w:t>, especially hypertension</w:t>
      </w:r>
      <w:r w:rsidRPr="00647F72">
        <w:rPr>
          <w:rFonts w:ascii="Book Antiqua" w:eastAsia="Book Antiqua" w:hAnsi="Book Antiqua" w:cs="Book Antiqua"/>
          <w:color w:val="000000"/>
          <w:vertAlign w:val="superscript"/>
        </w:rPr>
        <w:t>[52]</w:t>
      </w:r>
      <w:r w:rsidRPr="00647F72">
        <w:rPr>
          <w:rFonts w:ascii="Book Antiqua" w:eastAsia="Book Antiqua" w:hAnsi="Book Antiqua" w:cs="Book Antiqua"/>
          <w:color w:val="000000"/>
        </w:rPr>
        <w:t>, diabetes</w:t>
      </w:r>
      <w:r w:rsidRPr="00647F72">
        <w:rPr>
          <w:rFonts w:ascii="Book Antiqua" w:eastAsia="Book Antiqua" w:hAnsi="Book Antiqua" w:cs="Book Antiqua"/>
          <w:color w:val="000000"/>
          <w:vertAlign w:val="superscript"/>
        </w:rPr>
        <w:t>[63,64]</w:t>
      </w:r>
      <w:r w:rsidR="004D3028"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 xml:space="preserve"> and obesity [body mass index (BMI) &gt; 30 kg/m</w:t>
      </w:r>
      <w:r w:rsidRPr="00647F72">
        <w:rPr>
          <w:rFonts w:ascii="Book Antiqua" w:eastAsia="Book Antiqua" w:hAnsi="Book Antiqua" w:cs="Book Antiqua"/>
          <w:color w:val="000000"/>
          <w:szCs w:val="30"/>
          <w:vertAlign w:val="superscript"/>
        </w:rPr>
        <w:t>2</w:t>
      </w:r>
      <w:r w:rsidR="00DB46F7" w:rsidRPr="00647F72">
        <w:rPr>
          <w:rFonts w:ascii="Book Antiqua" w:eastAsia="Book Antiqua" w:hAnsi="Book Antiqua" w:cs="Book Antiqua"/>
          <w:color w:val="000000"/>
        </w:rPr>
        <w:t>]</w:t>
      </w:r>
      <w:r w:rsidRPr="00647F72">
        <w:rPr>
          <w:rFonts w:ascii="Book Antiqua" w:eastAsia="Book Antiqua" w:hAnsi="Book Antiqua" w:cs="Book Antiqua"/>
          <w:color w:val="000000"/>
          <w:vertAlign w:val="superscript"/>
        </w:rPr>
        <w:t>[65]</w:t>
      </w:r>
      <w:r w:rsidRPr="00647F72">
        <w:rPr>
          <w:rFonts w:ascii="Book Antiqua" w:eastAsia="Book Antiqua" w:hAnsi="Book Antiqua" w:cs="Book Antiqua"/>
          <w:color w:val="000000"/>
        </w:rPr>
        <w:t>; furthermore, morbid obesity (BMI &gt; 40 kg/m</w:t>
      </w:r>
      <w:r w:rsidRPr="00647F72">
        <w:rPr>
          <w:rFonts w:ascii="Book Antiqua" w:eastAsia="Book Antiqua" w:hAnsi="Book Antiqua" w:cs="Book Antiqua"/>
          <w:color w:val="000000"/>
          <w:szCs w:val="30"/>
          <w:vertAlign w:val="superscript"/>
        </w:rPr>
        <w:t>2</w:t>
      </w:r>
      <w:r w:rsidRPr="00647F72">
        <w:rPr>
          <w:rFonts w:ascii="Book Antiqua" w:eastAsia="Book Antiqua" w:hAnsi="Book Antiqua" w:cs="Book Antiqua"/>
          <w:color w:val="000000"/>
        </w:rPr>
        <w:t xml:space="preserve">) is a strong risk predictor </w:t>
      </w:r>
      <w:r w:rsidR="004D3028" w:rsidRPr="00647F72">
        <w:rPr>
          <w:rFonts w:ascii="Book Antiqua" w:eastAsia="Book Antiqua" w:hAnsi="Book Antiqua" w:cs="Book Antiqua"/>
          <w:color w:val="000000"/>
        </w:rPr>
        <w:t xml:space="preserve">of </w:t>
      </w:r>
      <w:r w:rsidRPr="00647F72">
        <w:rPr>
          <w:rFonts w:ascii="Book Antiqua" w:eastAsia="Book Antiqua" w:hAnsi="Book Antiqua" w:cs="Book Antiqua"/>
          <w:color w:val="000000"/>
        </w:rPr>
        <w:t>hospitalization in patients with COVID-19</w:t>
      </w:r>
      <w:r w:rsidRPr="00647F72">
        <w:rPr>
          <w:rFonts w:ascii="Book Antiqua" w:eastAsia="Book Antiqua" w:hAnsi="Book Antiqua" w:cs="Book Antiqua"/>
          <w:color w:val="000000"/>
          <w:vertAlign w:val="superscript"/>
        </w:rPr>
        <w:t>[66]</w:t>
      </w:r>
      <w:r w:rsidRPr="00647F72">
        <w:rPr>
          <w:rFonts w:ascii="Book Antiqua" w:eastAsia="Book Antiqua" w:hAnsi="Book Antiqua" w:cs="Book Antiqua"/>
          <w:color w:val="000000"/>
        </w:rPr>
        <w:t>.</w:t>
      </w:r>
    </w:p>
    <w:p w:rsidR="00A77B3E" w:rsidRPr="00647F72" w:rsidRDefault="00B34FC9" w:rsidP="00E955FA">
      <w:pPr>
        <w:spacing w:line="360" w:lineRule="auto"/>
        <w:ind w:firstLineChars="100" w:firstLine="240"/>
        <w:jc w:val="both"/>
      </w:pPr>
      <w:r w:rsidRPr="00647F72">
        <w:rPr>
          <w:rFonts w:ascii="Book Antiqua" w:eastAsia="Book Antiqua" w:hAnsi="Book Antiqua" w:cs="Book Antiqua"/>
          <w:color w:val="000000"/>
        </w:rPr>
        <w:t xml:space="preserve">MAFLD has been associated with </w:t>
      </w:r>
      <w:r w:rsidR="004D3028" w:rsidRPr="00647F72">
        <w:rPr>
          <w:rFonts w:ascii="Book Antiqua" w:eastAsia="Book Antiqua" w:hAnsi="Book Antiqua" w:cs="Book Antiqua"/>
          <w:color w:val="000000"/>
        </w:rPr>
        <w:t xml:space="preserve">an </w:t>
      </w:r>
      <w:r w:rsidRPr="00647F72">
        <w:rPr>
          <w:rFonts w:ascii="Book Antiqua" w:eastAsia="Book Antiqua" w:hAnsi="Book Antiqua" w:cs="Book Antiqua"/>
          <w:color w:val="000000"/>
        </w:rPr>
        <w:t>increased risk for mortality in patients with community-acquired pneumonia, which is further enhanced in patients with advanced liver fibrosis</w:t>
      </w:r>
      <w:r w:rsidRPr="00647F72">
        <w:rPr>
          <w:rFonts w:ascii="Book Antiqua" w:eastAsia="Book Antiqua" w:hAnsi="Book Antiqua" w:cs="Book Antiqua"/>
          <w:color w:val="000000"/>
          <w:vertAlign w:val="superscript"/>
        </w:rPr>
        <w:t>[67]</w:t>
      </w:r>
      <w:r w:rsidRPr="00647F72">
        <w:rPr>
          <w:rFonts w:ascii="Book Antiqua" w:eastAsia="Book Antiqua" w:hAnsi="Book Antiqua" w:cs="Book Antiqua"/>
          <w:color w:val="000000"/>
        </w:rPr>
        <w:t xml:space="preserve">. Also, MAFLD has been associated with </w:t>
      </w:r>
      <w:r w:rsidR="004D3028" w:rsidRPr="00647F72">
        <w:rPr>
          <w:rFonts w:ascii="Book Antiqua" w:eastAsia="Book Antiqua" w:hAnsi="Book Antiqua" w:cs="Book Antiqua"/>
          <w:color w:val="000000"/>
        </w:rPr>
        <w:t xml:space="preserve">an </w:t>
      </w:r>
      <w:r w:rsidRPr="00647F72">
        <w:rPr>
          <w:rFonts w:ascii="Book Antiqua" w:eastAsia="Book Antiqua" w:hAnsi="Book Antiqua" w:cs="Book Antiqua"/>
          <w:color w:val="000000"/>
        </w:rPr>
        <w:t>increased risk for bacterial infections, independent of the presence of metabolic syndrome and especially among patients with vitamin D deficiency</w:t>
      </w:r>
      <w:r w:rsidRPr="00647F72">
        <w:rPr>
          <w:rFonts w:ascii="Book Antiqua" w:eastAsia="Book Antiqua" w:hAnsi="Book Antiqua" w:cs="Book Antiqua"/>
          <w:color w:val="000000"/>
          <w:vertAlign w:val="superscript"/>
        </w:rPr>
        <w:t>[68]</w:t>
      </w:r>
      <w:r w:rsidRPr="00647F72">
        <w:rPr>
          <w:rFonts w:ascii="Book Antiqua" w:eastAsia="Book Antiqua" w:hAnsi="Book Antiqua" w:cs="Book Antiqua"/>
          <w:color w:val="000000"/>
        </w:rPr>
        <w:t>. The relevance of this is the recognition of MAFLD as a risk factor for severe infections.</w:t>
      </w:r>
    </w:p>
    <w:p w:rsidR="00A77B3E" w:rsidRPr="00647F72" w:rsidRDefault="00B34FC9" w:rsidP="00E955FA">
      <w:pPr>
        <w:spacing w:line="360" w:lineRule="auto"/>
        <w:ind w:firstLineChars="100" w:firstLine="240"/>
        <w:jc w:val="both"/>
        <w:rPr>
          <w:lang w:eastAsia="zh-CN"/>
        </w:rPr>
      </w:pPr>
      <w:r w:rsidRPr="00647F72">
        <w:rPr>
          <w:rFonts w:ascii="Book Antiqua" w:eastAsia="Book Antiqua" w:hAnsi="Book Antiqua" w:cs="Book Antiqua"/>
          <w:color w:val="000000"/>
        </w:rPr>
        <w:t>MAFLD is an independent risk factor for progression of COVID-19 respiratory disease (OR: 6.4, 95%CI: 1.5-31.2), and this risk is heightened in patients with associated liver fibrosis</w:t>
      </w:r>
      <w:r w:rsidRPr="00647F72">
        <w:rPr>
          <w:rFonts w:ascii="Book Antiqua" w:eastAsia="Book Antiqua" w:hAnsi="Book Antiqua" w:cs="Book Antiqua"/>
          <w:color w:val="000000"/>
          <w:vertAlign w:val="superscript"/>
        </w:rPr>
        <w:t>[38,69,70]</w:t>
      </w:r>
      <w:r w:rsidRPr="00647F72">
        <w:rPr>
          <w:rFonts w:ascii="Book Antiqua" w:eastAsia="Book Antiqua" w:hAnsi="Book Antiqua" w:cs="Book Antiqua"/>
          <w:color w:val="000000"/>
        </w:rPr>
        <w:t>. In addition, MAFLD is associated with a higher likelihood of abnormal levels of aminotransferases at time of discharge as well as increased duration of virus shedding, which renders the individual infectious for 5 d longer</w:t>
      </w:r>
      <w:r w:rsidRPr="00647F72">
        <w:rPr>
          <w:rFonts w:ascii="Book Antiqua" w:eastAsia="Book Antiqua" w:hAnsi="Book Antiqua" w:cs="Book Antiqua"/>
          <w:color w:val="000000"/>
          <w:vertAlign w:val="superscript"/>
        </w:rPr>
        <w:t>[38,59]</w:t>
      </w:r>
      <w:r w:rsidRPr="00647F72">
        <w:rPr>
          <w:rFonts w:ascii="Book Antiqua" w:eastAsia="Book Antiqua" w:hAnsi="Book Antiqua" w:cs="Book Antiqua"/>
          <w:color w:val="000000"/>
        </w:rPr>
        <w:t>. The increased risk for viral infection in patients with MAFLD may be related to the pre-existent intrinsic up-regulation of ACE2 receptors that occurs in this disease, as well as in liver injury; in addition, the ACE2 receptors have been identified as the cellular point of entry of SARS-CoV-2</w:t>
      </w:r>
      <w:r w:rsidRPr="00647F72">
        <w:rPr>
          <w:rFonts w:ascii="Book Antiqua" w:eastAsia="Book Antiqua" w:hAnsi="Book Antiqua" w:cs="Book Antiqua"/>
          <w:color w:val="000000"/>
          <w:vertAlign w:val="superscript"/>
        </w:rPr>
        <w:t>[59]</w:t>
      </w:r>
      <w:r w:rsidRPr="00647F72">
        <w:rPr>
          <w:rFonts w:ascii="Book Antiqua" w:eastAsia="Book Antiqua" w:hAnsi="Book Antiqua" w:cs="Book Antiqua"/>
          <w:color w:val="000000"/>
        </w:rPr>
        <w:t>.</w:t>
      </w:r>
    </w:p>
    <w:p w:rsidR="00A77B3E" w:rsidRPr="00647F72" w:rsidRDefault="00B34FC9" w:rsidP="00E955FA">
      <w:pPr>
        <w:spacing w:line="360" w:lineRule="auto"/>
        <w:ind w:firstLineChars="100" w:firstLine="240"/>
        <w:jc w:val="both"/>
        <w:rPr>
          <w:lang w:eastAsia="zh-CN"/>
        </w:rPr>
      </w:pPr>
      <w:r w:rsidRPr="00647F72">
        <w:rPr>
          <w:rFonts w:ascii="Book Antiqua" w:eastAsia="Book Antiqua" w:hAnsi="Book Antiqua" w:cs="Book Antiqua"/>
          <w:color w:val="000000"/>
        </w:rPr>
        <w:t>A multicenter study of COVID-19 patients in the United States found a significant association between MAFLD and ICU admissions (OR: 2.30, 95%CI: 1.27</w:t>
      </w:r>
      <w:r w:rsidR="00E955FA"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4.17,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0.03) as well as need for mechanical ventilation (OR: 2.15, 95%CI: 1.18-3.91,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0.02) but did not find a correlation with increased mortality</w:t>
      </w:r>
      <w:r w:rsidRPr="00647F72">
        <w:rPr>
          <w:rFonts w:ascii="Book Antiqua" w:eastAsia="Book Antiqua" w:hAnsi="Book Antiqua" w:cs="Book Antiqua"/>
          <w:color w:val="000000"/>
          <w:vertAlign w:val="superscript"/>
        </w:rPr>
        <w:t>[71]</w:t>
      </w:r>
      <w:r w:rsidRPr="00647F72">
        <w:rPr>
          <w:rFonts w:ascii="Book Antiqua" w:eastAsia="Book Antiqua" w:hAnsi="Book Antiqua" w:cs="Book Antiqua"/>
          <w:color w:val="000000"/>
        </w:rPr>
        <w:t xml:space="preserve">. A cohort study in the United Kingdom (Forlano </w:t>
      </w:r>
      <w:r w:rsidRPr="00647F72">
        <w:rPr>
          <w:rFonts w:ascii="Book Antiqua" w:eastAsia="Book Antiqua" w:hAnsi="Book Antiqua" w:cs="Book Antiqua"/>
          <w:i/>
          <w:iCs/>
          <w:color w:val="000000"/>
        </w:rPr>
        <w:t>et al</w:t>
      </w:r>
      <w:r w:rsidRPr="00647F72">
        <w:rPr>
          <w:rFonts w:ascii="Book Antiqua" w:eastAsia="Book Antiqua" w:hAnsi="Book Antiqua" w:cs="Book Antiqua"/>
          <w:color w:val="000000"/>
          <w:vertAlign w:val="superscript"/>
        </w:rPr>
        <w:t>[72]</w:t>
      </w:r>
      <w:r w:rsidRPr="00647F72">
        <w:rPr>
          <w:rFonts w:ascii="Book Antiqua" w:eastAsia="Book Antiqua" w:hAnsi="Book Antiqua" w:cs="Book Antiqua"/>
          <w:color w:val="000000"/>
        </w:rPr>
        <w:t xml:space="preserve">) showed that patients with MAFLD were younger than their counterparts without MAFLD. MAFLD </w:t>
      </w:r>
      <w:r w:rsidRPr="00647F72">
        <w:rPr>
          <w:rFonts w:ascii="Book Antiqua" w:eastAsia="Book Antiqua" w:hAnsi="Book Antiqua" w:cs="Book Antiqua"/>
          <w:i/>
          <w:iCs/>
          <w:color w:val="000000"/>
        </w:rPr>
        <w:t xml:space="preserve">per se </w:t>
      </w:r>
      <w:r w:rsidRPr="00647F72">
        <w:rPr>
          <w:rFonts w:ascii="Book Antiqua" w:eastAsia="Book Antiqua" w:hAnsi="Book Antiqua" w:cs="Book Antiqua"/>
          <w:color w:val="000000"/>
        </w:rPr>
        <w:t xml:space="preserve">had no direct correlation with increased mortality; however, among those who died in hospital, the risk was associated with male sex (71%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survivors: 50%,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0.01), elevated ferritin (2076 µg/L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survivors: 688 µg/L,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0.003)</w:t>
      </w:r>
      <w:r w:rsidR="004D3028"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early weaning score (</w:t>
      </w:r>
      <w:r w:rsidRPr="00647F72">
        <w:rPr>
          <w:rFonts w:ascii="Book Antiqua" w:eastAsia="Book Antiqua" w:hAnsi="Book Antiqua" w:cs="Book Antiqua"/>
          <w:i/>
          <w:iCs/>
          <w:color w:val="000000"/>
        </w:rPr>
        <w:t>n</w:t>
      </w:r>
      <w:r w:rsidRPr="00647F72">
        <w:rPr>
          <w:rFonts w:ascii="Book Antiqua" w:eastAsia="Book Antiqua" w:hAnsi="Book Antiqua" w:cs="Book Antiqua"/>
          <w:color w:val="000000"/>
        </w:rPr>
        <w:t xml:space="preserve"> = 7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survivors: 3,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0.047). A recent systematic review of eight studies, including 8142 patients with COVID-19 and 833 of those with MAFLD, found that MAFLD by itself conferred an increased risk for severe COVID-19 of 2-fold (OR: 2.358, 95%CI: 1.902</w:t>
      </w:r>
      <w:r w:rsidR="00E955FA"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2.923,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&lt; 0.001)</w:t>
      </w:r>
      <w:r w:rsidRPr="00647F72">
        <w:rPr>
          <w:rFonts w:ascii="Book Antiqua" w:eastAsia="Book Antiqua" w:hAnsi="Book Antiqua" w:cs="Book Antiqua"/>
          <w:color w:val="000000"/>
          <w:vertAlign w:val="superscript"/>
        </w:rPr>
        <w:t>[73]</w:t>
      </w:r>
      <w:r w:rsidRPr="00647F72">
        <w:rPr>
          <w:rFonts w:ascii="Book Antiqua" w:eastAsia="Book Antiqua" w:hAnsi="Book Antiqua" w:cs="Book Antiqua"/>
          <w:color w:val="000000"/>
        </w:rPr>
        <w:t>. Finally, a meta-analysis of six studies (</w:t>
      </w:r>
      <w:r w:rsidRPr="00647F72">
        <w:rPr>
          <w:rFonts w:ascii="Book Antiqua" w:eastAsia="Book Antiqua" w:hAnsi="Book Antiqua" w:cs="Book Antiqua"/>
          <w:i/>
          <w:iCs/>
          <w:color w:val="000000"/>
        </w:rPr>
        <w:t>n</w:t>
      </w:r>
      <w:r w:rsidRPr="00647F72">
        <w:rPr>
          <w:rFonts w:ascii="Book Antiqua" w:eastAsia="Book Antiqua" w:hAnsi="Book Antiqua" w:cs="Book Antiqua"/>
          <w:color w:val="000000"/>
        </w:rPr>
        <w:t xml:space="preserve"> = 1293) found an increase in the risk of COVID-19 disease severity of almost 3-fold (OR: 2.93, 95%CI: 1.87-4.60, </w:t>
      </w:r>
      <w:r w:rsidRPr="00647F72">
        <w:rPr>
          <w:rFonts w:ascii="Book Antiqua" w:eastAsia="Book Antiqua" w:hAnsi="Book Antiqua" w:cs="Book Antiqua"/>
          <w:i/>
          <w:iCs/>
          <w:color w:val="000000"/>
        </w:rPr>
        <w:t>I</w:t>
      </w:r>
      <w:r w:rsidRPr="00647F72">
        <w:rPr>
          <w:rFonts w:ascii="Book Antiqua" w:eastAsia="Book Antiqua" w:hAnsi="Book Antiqua" w:cs="Book Antiqua"/>
          <w:color w:val="000000"/>
          <w:szCs w:val="30"/>
          <w:vertAlign w:val="superscript"/>
        </w:rPr>
        <w:t>2</w:t>
      </w:r>
      <w:r w:rsidRPr="00647F72">
        <w:rPr>
          <w:rFonts w:ascii="Book Antiqua" w:eastAsia="Book Antiqua" w:hAnsi="Book Antiqua" w:cs="Book Antiqua"/>
          <w:color w:val="000000"/>
        </w:rPr>
        <w:t xml:space="preserve"> = 34.3%,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0.166) among patients with MAFLD</w:t>
      </w:r>
      <w:r w:rsidRPr="00647F72">
        <w:rPr>
          <w:rFonts w:ascii="Book Antiqua" w:eastAsia="Book Antiqua" w:hAnsi="Book Antiqua" w:cs="Book Antiqua"/>
          <w:color w:val="000000"/>
          <w:vertAlign w:val="superscript"/>
        </w:rPr>
        <w:t>[74]</w:t>
      </w:r>
      <w:r w:rsidRPr="00647F72">
        <w:rPr>
          <w:rFonts w:ascii="Book Antiqua" w:eastAsia="Book Antiqua" w:hAnsi="Book Antiqua" w:cs="Book Antiqua"/>
          <w:color w:val="000000"/>
        </w:rPr>
        <w:t>.</w:t>
      </w:r>
    </w:p>
    <w:p w:rsidR="00A77B3E" w:rsidRPr="00647F72" w:rsidRDefault="00B34FC9" w:rsidP="00E955FA">
      <w:pPr>
        <w:spacing w:line="360" w:lineRule="auto"/>
        <w:ind w:firstLineChars="100" w:firstLine="240"/>
        <w:jc w:val="both"/>
      </w:pPr>
      <w:r w:rsidRPr="00647F72">
        <w:rPr>
          <w:rFonts w:ascii="Book Antiqua" w:eastAsia="Book Antiqua" w:hAnsi="Book Antiqua" w:cs="Book Antiqua"/>
          <w:color w:val="000000"/>
        </w:rPr>
        <w:t>The comorbidities and increased inflammatory state in patients with MAFLD confer a hypothetical increased risk for DILI and, hence, careful monitoring of liver function is warranted in these patients, as are efforts to minimize exposure to polypharmacy</w:t>
      </w:r>
      <w:r w:rsidRPr="00647F72">
        <w:rPr>
          <w:rFonts w:ascii="Book Antiqua" w:eastAsia="Book Antiqua" w:hAnsi="Book Antiqua" w:cs="Book Antiqua"/>
          <w:color w:val="000000"/>
          <w:vertAlign w:val="superscript"/>
        </w:rPr>
        <w:t>[75]</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E955FA">
      <w:pPr>
        <w:spacing w:line="360" w:lineRule="auto"/>
        <w:jc w:val="both"/>
      </w:pPr>
      <w:r w:rsidRPr="00647F72">
        <w:rPr>
          <w:rFonts w:ascii="Book Antiqua" w:eastAsia="Book Antiqua" w:hAnsi="Book Antiqua" w:cs="Book Antiqua"/>
          <w:b/>
          <w:bCs/>
          <w:i/>
          <w:iCs/>
          <w:color w:val="000000"/>
        </w:rPr>
        <w:t>Age and MAFLD</w:t>
      </w:r>
    </w:p>
    <w:p w:rsidR="00A77B3E" w:rsidRPr="00647F72" w:rsidRDefault="00B34FC9">
      <w:pPr>
        <w:spacing w:line="360" w:lineRule="auto"/>
        <w:jc w:val="both"/>
      </w:pPr>
      <w:r w:rsidRPr="00647F72">
        <w:rPr>
          <w:rFonts w:ascii="Book Antiqua" w:eastAsia="Book Antiqua" w:hAnsi="Book Antiqua" w:cs="Book Antiqua"/>
          <w:color w:val="000000"/>
        </w:rPr>
        <w:t>A cohort study in the United Kingdom found that most patients with COVID-19 and MAFLD were younger than 60</w:t>
      </w:r>
      <w:r w:rsidR="004D3028"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year</w:t>
      </w:r>
      <w:r w:rsidR="004D3028" w:rsidRPr="00647F72">
        <w:rPr>
          <w:rFonts w:ascii="Book Antiqua" w:eastAsia="Book Antiqua" w:hAnsi="Book Antiqua" w:cs="Book Antiqua"/>
          <w:color w:val="000000"/>
        </w:rPr>
        <w:t xml:space="preserve">s </w:t>
      </w:r>
      <w:r w:rsidRPr="00647F72">
        <w:rPr>
          <w:rFonts w:ascii="Book Antiqua" w:eastAsia="Book Antiqua" w:hAnsi="Book Antiqua" w:cs="Book Antiqua"/>
          <w:color w:val="000000"/>
        </w:rPr>
        <w:t>old, as compared with patients with no MAFLD</w:t>
      </w:r>
      <w:r w:rsidRPr="00647F72">
        <w:rPr>
          <w:rFonts w:ascii="Book Antiqua" w:eastAsia="Book Antiqua" w:hAnsi="Book Antiqua" w:cs="Book Antiqua"/>
          <w:color w:val="000000"/>
          <w:vertAlign w:val="superscript"/>
        </w:rPr>
        <w:t>[72]</w:t>
      </w:r>
      <w:r w:rsidRPr="00647F72">
        <w:rPr>
          <w:rFonts w:ascii="Book Antiqua" w:eastAsia="Book Antiqua" w:hAnsi="Book Antiqua" w:cs="Book Antiqua"/>
          <w:color w:val="000000"/>
        </w:rPr>
        <w:t>. Among younger patients (age &lt; 60</w:t>
      </w:r>
      <w:r w:rsidR="004D3028"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year</w:t>
      </w:r>
      <w:r w:rsidR="004D3028" w:rsidRPr="00647F72">
        <w:rPr>
          <w:rFonts w:ascii="Book Antiqua" w:eastAsia="Book Antiqua" w:hAnsi="Book Antiqua" w:cs="Book Antiqua"/>
          <w:color w:val="000000"/>
        </w:rPr>
        <w:t xml:space="preserve">s </w:t>
      </w:r>
      <w:r w:rsidRPr="00647F72">
        <w:rPr>
          <w:rFonts w:ascii="Book Antiqua" w:eastAsia="Book Antiqua" w:hAnsi="Book Antiqua" w:cs="Book Antiqua"/>
          <w:color w:val="000000"/>
        </w:rPr>
        <w:t xml:space="preserve">old), the risk of severe COVID-19 is increased by 4-fold among those with concomitant NAFLD (OR: 4.07, 95%CI: 1.20-13.79,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0.02)</w:t>
      </w:r>
      <w:r w:rsidRPr="00647F72">
        <w:rPr>
          <w:rFonts w:ascii="Book Antiqua" w:eastAsia="Book Antiqua" w:hAnsi="Book Antiqua" w:cs="Book Antiqua"/>
          <w:color w:val="000000"/>
          <w:vertAlign w:val="superscript"/>
        </w:rPr>
        <w:t>[76,77]</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E955FA">
      <w:pPr>
        <w:spacing w:line="360" w:lineRule="auto"/>
        <w:jc w:val="both"/>
      </w:pPr>
      <w:r w:rsidRPr="00647F72">
        <w:rPr>
          <w:rFonts w:ascii="Book Antiqua" w:eastAsia="Book Antiqua" w:hAnsi="Book Antiqua" w:cs="Book Antiqua"/>
          <w:b/>
          <w:bCs/>
          <w:i/>
          <w:iCs/>
          <w:color w:val="000000"/>
        </w:rPr>
        <w:t>Histopathologic changes in COVID and MAFLD</w:t>
      </w:r>
    </w:p>
    <w:p w:rsidR="00A77B3E" w:rsidRPr="00647F72" w:rsidRDefault="00B34FC9">
      <w:pPr>
        <w:spacing w:line="360" w:lineRule="auto"/>
        <w:jc w:val="both"/>
      </w:pPr>
      <w:r w:rsidRPr="00647F72">
        <w:rPr>
          <w:rFonts w:ascii="Book Antiqua" w:eastAsia="Book Antiqua" w:hAnsi="Book Antiqua" w:cs="Book Antiqua"/>
          <w:color w:val="000000"/>
        </w:rPr>
        <w:t>Although the severity of hepatic visceral fat correlates with the risk of COVID-19 infection</w:t>
      </w:r>
      <w:r w:rsidRPr="00647F72">
        <w:rPr>
          <w:rFonts w:ascii="Book Antiqua" w:eastAsia="Book Antiqua" w:hAnsi="Book Antiqua" w:cs="Book Antiqua"/>
          <w:color w:val="000000"/>
          <w:vertAlign w:val="superscript"/>
        </w:rPr>
        <w:t>[78]</w:t>
      </w:r>
      <w:r w:rsidRPr="00647F72">
        <w:rPr>
          <w:rFonts w:ascii="Book Antiqua" w:eastAsia="Book Antiqua" w:hAnsi="Book Antiqua" w:cs="Book Antiqua"/>
          <w:color w:val="000000"/>
        </w:rPr>
        <w:t>, in general, the histopathologic findings in the liver in patients with SARS-CoV-2 infection have been presumed to be related mostly to the underlying liver disease (</w:t>
      </w:r>
      <w:r w:rsidRPr="00647F72">
        <w:rPr>
          <w:rFonts w:ascii="Book Antiqua" w:eastAsia="Book Antiqua" w:hAnsi="Book Antiqua" w:cs="Book Antiqua"/>
          <w:i/>
          <w:iCs/>
          <w:color w:val="000000"/>
        </w:rPr>
        <w:t>e.g</w:t>
      </w:r>
      <w:r w:rsidRPr="00647F72">
        <w:rPr>
          <w:rFonts w:ascii="Book Antiqua" w:eastAsia="Book Antiqua" w:hAnsi="Book Antiqua" w:cs="Book Antiqua"/>
          <w:i/>
          <w:color w:val="000000"/>
        </w:rPr>
        <w:t>.</w:t>
      </w:r>
      <w:r w:rsidRPr="00647F72">
        <w:rPr>
          <w:rFonts w:ascii="Book Antiqua" w:eastAsia="Book Antiqua" w:hAnsi="Book Antiqua" w:cs="Book Antiqua"/>
          <w:color w:val="000000"/>
        </w:rPr>
        <w:t>, MAFLD) or other comorbidities (</w:t>
      </w:r>
      <w:r w:rsidRPr="00647F72">
        <w:rPr>
          <w:rFonts w:ascii="Book Antiqua" w:eastAsia="Book Antiqua" w:hAnsi="Book Antiqua" w:cs="Book Antiqua"/>
          <w:i/>
          <w:iCs/>
          <w:color w:val="000000"/>
        </w:rPr>
        <w:t>e.g</w:t>
      </w:r>
      <w:r w:rsidRPr="00647F72">
        <w:rPr>
          <w:rFonts w:ascii="Book Antiqua" w:eastAsia="Book Antiqua" w:hAnsi="Book Antiqua" w:cs="Book Antiqua"/>
          <w:i/>
          <w:color w:val="000000"/>
        </w:rPr>
        <w:t>.</w:t>
      </w:r>
      <w:r w:rsidRPr="00647F72">
        <w:rPr>
          <w:rFonts w:ascii="Book Antiqua" w:eastAsia="Book Antiqua" w:hAnsi="Book Antiqua" w:cs="Book Antiqua"/>
          <w:color w:val="000000"/>
        </w:rPr>
        <w:t>, drug toxicity</w:t>
      </w:r>
      <w:r w:rsidR="004D3028" w:rsidRPr="00647F72">
        <w:rPr>
          <w:rFonts w:ascii="Book Antiqua" w:eastAsia="Book Antiqua" w:hAnsi="Book Antiqua" w:cs="Book Antiqua"/>
          <w:color w:val="000000"/>
        </w:rPr>
        <w:t xml:space="preserve"> and </w:t>
      </w:r>
      <w:r w:rsidRPr="00647F72">
        <w:rPr>
          <w:rFonts w:ascii="Book Antiqua" w:eastAsia="Book Antiqua" w:hAnsi="Book Antiqua" w:cs="Book Antiqua"/>
          <w:color w:val="000000"/>
        </w:rPr>
        <w:t>ICU care) rather than to a direct effect of the viral infection</w:t>
      </w:r>
      <w:r w:rsidRPr="00647F72">
        <w:rPr>
          <w:rFonts w:ascii="Book Antiqua" w:eastAsia="Book Antiqua" w:hAnsi="Book Antiqua" w:cs="Book Antiqua"/>
          <w:color w:val="000000"/>
          <w:vertAlign w:val="superscript"/>
        </w:rPr>
        <w:t>[79]</w:t>
      </w:r>
      <w:r w:rsidRPr="00647F72">
        <w:rPr>
          <w:rFonts w:ascii="Book Antiqua" w:eastAsia="Book Antiqua" w:hAnsi="Book Antiqua" w:cs="Book Antiqua"/>
          <w:color w:val="000000"/>
        </w:rPr>
        <w:t xml:space="preserve">. However, Nardo </w:t>
      </w:r>
      <w:r w:rsidRPr="00647F72">
        <w:rPr>
          <w:rFonts w:ascii="Book Antiqua" w:eastAsia="Book Antiqua" w:hAnsi="Book Antiqua" w:cs="Book Antiqua"/>
          <w:i/>
          <w:iCs/>
          <w:color w:val="000000"/>
        </w:rPr>
        <w:t>et al</w:t>
      </w:r>
      <w:r w:rsidRPr="00647F72">
        <w:rPr>
          <w:rFonts w:ascii="Book Antiqua" w:eastAsia="Book Antiqua" w:hAnsi="Book Antiqua" w:cs="Book Antiqua"/>
          <w:color w:val="000000"/>
          <w:vertAlign w:val="superscript"/>
        </w:rPr>
        <w:t>[80]</w:t>
      </w:r>
      <w:r w:rsidRPr="00647F72">
        <w:rPr>
          <w:rFonts w:ascii="Book Antiqua" w:eastAsia="Book Antiqua" w:hAnsi="Book Antiqua" w:cs="Book Antiqua"/>
          <w:color w:val="000000"/>
        </w:rPr>
        <w:t xml:space="preserve"> described several mechanisms in which there is increased liver steatosis as a consequence of the viral infection; these include impaired mitochondrial dysfunction, endoplasmic reticulum stress-induced lipogenesis, and inflammation (including cytokine storm) with increased IL-6 and hyperstimulation of the mammalian target of rapamycin (</w:t>
      </w:r>
      <w:r w:rsidR="00151B5F" w:rsidRPr="00647F72">
        <w:rPr>
          <w:rFonts w:ascii="Book Antiqua" w:eastAsia="Book Antiqua" w:hAnsi="Book Antiqua" w:cs="Book Antiqua"/>
          <w:i/>
          <w:iCs/>
          <w:color w:val="000000"/>
        </w:rPr>
        <w:t>i.e</w:t>
      </w:r>
      <w:r w:rsidR="00151B5F" w:rsidRPr="00647F72">
        <w:rPr>
          <w:rFonts w:ascii="Book Antiqua" w:eastAsia="Book Antiqua" w:hAnsi="Book Antiqua" w:cs="Book Antiqua"/>
          <w:i/>
          <w:color w:val="000000"/>
        </w:rPr>
        <w:t>.</w:t>
      </w:r>
      <w:r w:rsidR="00151B5F"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 mTOR). The mTOR is also activated by glucose and insulin, and insulin resistance is also intrinsically associated with MAFLD; therefore, not only is there already an underlying inflammatory state but it can also be enhanced further by direct viral cytopathic effect</w:t>
      </w:r>
      <w:r w:rsidRPr="00647F72">
        <w:rPr>
          <w:rFonts w:ascii="Book Antiqua" w:eastAsia="Book Antiqua" w:hAnsi="Book Antiqua" w:cs="Book Antiqua"/>
          <w:color w:val="000000"/>
          <w:vertAlign w:val="superscript"/>
        </w:rPr>
        <w:t>[80]</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E955FA">
      <w:pPr>
        <w:spacing w:line="360" w:lineRule="auto"/>
        <w:jc w:val="both"/>
      </w:pPr>
      <w:r w:rsidRPr="00647F72">
        <w:rPr>
          <w:rFonts w:ascii="Book Antiqua" w:eastAsia="Book Antiqua" w:hAnsi="Book Antiqua" w:cs="Book Antiqua"/>
          <w:b/>
          <w:bCs/>
          <w:i/>
          <w:iCs/>
          <w:color w:val="000000"/>
        </w:rPr>
        <w:t>Obesity and</w:t>
      </w:r>
      <w:r w:rsidR="00B34FC9" w:rsidRPr="00647F72">
        <w:rPr>
          <w:rFonts w:ascii="Book Antiqua" w:eastAsia="Book Antiqua" w:hAnsi="Book Antiqua" w:cs="Book Antiqua"/>
          <w:b/>
          <w:bCs/>
          <w:i/>
          <w:iCs/>
          <w:caps/>
          <w:color w:val="000000"/>
        </w:rPr>
        <w:t xml:space="preserve"> MAFLD</w:t>
      </w:r>
    </w:p>
    <w:p w:rsidR="00A77B3E" w:rsidRPr="00647F72" w:rsidRDefault="00B34FC9">
      <w:pPr>
        <w:spacing w:line="360" w:lineRule="auto"/>
        <w:jc w:val="both"/>
      </w:pPr>
      <w:r w:rsidRPr="00647F72">
        <w:rPr>
          <w:rFonts w:ascii="Book Antiqua" w:eastAsia="Book Antiqua" w:hAnsi="Book Antiqua" w:cs="Book Antiqua"/>
          <w:color w:val="000000"/>
        </w:rPr>
        <w:t xml:space="preserve">When considering the correlation of obesity and metabolic disease with the increased risk of COVID-19 as well as of severity of clinical presentation, one of the most accepted </w:t>
      </w:r>
      <w:r w:rsidR="004D3028" w:rsidRPr="00647F72">
        <w:rPr>
          <w:rFonts w:ascii="Book Antiqua" w:eastAsia="Book Antiqua" w:hAnsi="Book Antiqua" w:cs="Book Antiqua"/>
          <w:color w:val="000000"/>
        </w:rPr>
        <w:t xml:space="preserve">hypotheses </w:t>
      </w:r>
      <w:r w:rsidRPr="00647F72">
        <w:rPr>
          <w:rFonts w:ascii="Book Antiqua" w:eastAsia="Book Antiqua" w:hAnsi="Book Antiqua" w:cs="Book Antiqua"/>
          <w:color w:val="000000"/>
        </w:rPr>
        <w:t>is the presence of underlying chronic inflammatory state in these patients enhancing oxidative stress and increasing atherosclerosis and cardiovascular disease</w:t>
      </w:r>
      <w:r w:rsidRPr="00647F72">
        <w:rPr>
          <w:rFonts w:ascii="Book Antiqua" w:eastAsia="Book Antiqua" w:hAnsi="Book Antiqua" w:cs="Book Antiqua"/>
          <w:color w:val="000000"/>
          <w:vertAlign w:val="superscript"/>
        </w:rPr>
        <w:t>[81,82]</w:t>
      </w:r>
      <w:r w:rsidRPr="00647F72">
        <w:rPr>
          <w:rFonts w:ascii="Book Antiqua" w:eastAsia="Book Antiqua" w:hAnsi="Book Antiqua" w:cs="Book Antiqua"/>
          <w:color w:val="000000"/>
        </w:rPr>
        <w:t>. In addition, it is well evidenced that obesity confers an impaired immune response to viruses, with associated prolonged viral shedding as well as emergence of virulent minor variants</w:t>
      </w:r>
      <w:r w:rsidRPr="00647F72">
        <w:rPr>
          <w:rFonts w:ascii="Book Antiqua" w:eastAsia="Book Antiqua" w:hAnsi="Book Antiqua" w:cs="Book Antiqua"/>
          <w:color w:val="000000"/>
          <w:vertAlign w:val="superscript"/>
        </w:rPr>
        <w:t>[83]</w:t>
      </w:r>
      <w:r w:rsidRPr="00647F72">
        <w:rPr>
          <w:rFonts w:ascii="Book Antiqua" w:eastAsia="Book Antiqua" w:hAnsi="Book Antiqua" w:cs="Book Antiqua"/>
          <w:color w:val="000000"/>
        </w:rPr>
        <w:t>. If the reader</w:t>
      </w:r>
      <w:r w:rsidR="004D3028" w:rsidRPr="00647F72">
        <w:rPr>
          <w:rFonts w:ascii="Book Antiqua" w:eastAsia="Book Antiqua" w:hAnsi="Book Antiqua" w:cs="Book Antiqua"/>
          <w:color w:val="000000"/>
        </w:rPr>
        <w:t>s</w:t>
      </w:r>
      <w:r w:rsidRPr="00647F72">
        <w:rPr>
          <w:rFonts w:ascii="Book Antiqua" w:eastAsia="Book Antiqua" w:hAnsi="Book Antiqua" w:cs="Book Antiqua"/>
          <w:color w:val="000000"/>
        </w:rPr>
        <w:t xml:space="preserve"> would like to explore more intricate descriptions of the pathophysiology of inflammation in MAFLD and obesity, they are referred to the excellent manuscript by Portincasa </w:t>
      </w:r>
      <w:r w:rsidRPr="00647F72">
        <w:rPr>
          <w:rFonts w:ascii="Book Antiqua" w:eastAsia="Book Antiqua" w:hAnsi="Book Antiqua" w:cs="Book Antiqua"/>
          <w:i/>
          <w:iCs/>
          <w:color w:val="000000"/>
        </w:rPr>
        <w:t>et al</w:t>
      </w:r>
      <w:r w:rsidRPr="00647F72">
        <w:rPr>
          <w:rFonts w:ascii="Book Antiqua" w:eastAsia="Book Antiqua" w:hAnsi="Book Antiqua" w:cs="Book Antiqua"/>
          <w:color w:val="000000"/>
          <w:vertAlign w:val="superscript"/>
        </w:rPr>
        <w:t>[84]</w:t>
      </w:r>
      <w:r w:rsidRPr="00647F72">
        <w:rPr>
          <w:rFonts w:ascii="Book Antiqua" w:eastAsia="Book Antiqua" w:hAnsi="Book Antiqua" w:cs="Book Antiqua"/>
          <w:color w:val="000000"/>
        </w:rPr>
        <w:t>.</w:t>
      </w:r>
    </w:p>
    <w:p w:rsidR="00A77B3E" w:rsidRPr="00647F72" w:rsidRDefault="00B34FC9" w:rsidP="002A5CE7">
      <w:pPr>
        <w:spacing w:line="360" w:lineRule="auto"/>
        <w:ind w:firstLineChars="100" w:firstLine="240"/>
        <w:jc w:val="both"/>
      </w:pPr>
      <w:r w:rsidRPr="00647F72">
        <w:rPr>
          <w:rFonts w:ascii="Book Antiqua" w:eastAsia="Book Antiqua" w:hAnsi="Book Antiqua" w:cs="Book Antiqua"/>
          <w:color w:val="000000"/>
        </w:rPr>
        <w:t xml:space="preserve">In a study conducted in a Chinese population by Gao </w:t>
      </w:r>
      <w:r w:rsidRPr="00647F72">
        <w:rPr>
          <w:rFonts w:ascii="Book Antiqua" w:eastAsia="Book Antiqua" w:hAnsi="Book Antiqua" w:cs="Book Antiqua"/>
          <w:i/>
          <w:iCs/>
          <w:color w:val="000000"/>
        </w:rPr>
        <w:t>et al</w:t>
      </w:r>
      <w:r w:rsidRPr="00647F72">
        <w:rPr>
          <w:rFonts w:ascii="Book Antiqua" w:eastAsia="Book Antiqua" w:hAnsi="Book Antiqua" w:cs="Book Antiqua"/>
          <w:color w:val="000000"/>
          <w:vertAlign w:val="superscript"/>
        </w:rPr>
        <w:t>[65]</w:t>
      </w:r>
      <w:r w:rsidRPr="00647F72">
        <w:rPr>
          <w:rFonts w:ascii="Book Antiqua" w:eastAsia="Book Antiqua" w:hAnsi="Book Antiqua" w:cs="Book Antiqua"/>
          <w:color w:val="000000"/>
        </w:rPr>
        <w:t>, the presence of obesity was found to increase the risk of severe COVID-19 by almost 3-fold (OR: 2.91, 95%CI: 1.31-6.47); furthermore, this risk was incrementally raised by 12% per unit of increase in BMI (OR: 1.12, 95%CI: 1.01-1.23). A prospective study of 5279 patients admitted to a hospital in New York, United States</w:t>
      </w:r>
      <w:r w:rsidR="004D3028"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found that BMI &gt; 40 kg/m</w:t>
      </w:r>
      <w:r w:rsidRPr="00647F72">
        <w:rPr>
          <w:rFonts w:ascii="Book Antiqua" w:eastAsia="Book Antiqua" w:hAnsi="Book Antiqua" w:cs="Book Antiqua"/>
          <w:color w:val="000000"/>
          <w:szCs w:val="30"/>
          <w:vertAlign w:val="superscript"/>
        </w:rPr>
        <w:t>2</w:t>
      </w:r>
      <w:r w:rsidRPr="00647F72">
        <w:rPr>
          <w:rFonts w:ascii="Book Antiqua" w:eastAsia="Book Antiqua" w:hAnsi="Book Antiqua" w:cs="Book Antiqua"/>
          <w:color w:val="000000"/>
        </w:rPr>
        <w:t xml:space="preserve"> increased the risk of hospitalization by more than 2-fold (OR: 2.5, 95%CI: 1.8-3.4) and the risk of critical illness by 50% (OR: 1.5, 95%CI: 1.0-2.2)</w:t>
      </w:r>
      <w:r w:rsidRPr="00647F72">
        <w:rPr>
          <w:rFonts w:ascii="Book Antiqua" w:eastAsia="Book Antiqua" w:hAnsi="Book Antiqua" w:cs="Book Antiqua"/>
          <w:color w:val="000000"/>
          <w:vertAlign w:val="superscript"/>
        </w:rPr>
        <w:t>[66]</w:t>
      </w:r>
      <w:r w:rsidRPr="00647F72">
        <w:rPr>
          <w:rFonts w:ascii="Book Antiqua" w:eastAsia="Book Antiqua" w:hAnsi="Book Antiqua" w:cs="Book Antiqua"/>
          <w:color w:val="000000"/>
        </w:rPr>
        <w:t xml:space="preserve">. A very important epidemiological risk factor was reported by Kass </w:t>
      </w:r>
      <w:r w:rsidRPr="00647F72">
        <w:rPr>
          <w:rFonts w:ascii="Book Antiqua" w:eastAsia="Book Antiqua" w:hAnsi="Book Antiqua" w:cs="Book Antiqua"/>
          <w:i/>
          <w:iCs/>
          <w:color w:val="000000"/>
        </w:rPr>
        <w:t>et al</w:t>
      </w:r>
      <w:r w:rsidRPr="00647F72">
        <w:rPr>
          <w:rFonts w:ascii="Book Antiqua" w:eastAsia="Book Antiqua" w:hAnsi="Book Antiqua" w:cs="Book Antiqua"/>
          <w:color w:val="000000"/>
          <w:vertAlign w:val="superscript"/>
        </w:rPr>
        <w:t>[85]</w:t>
      </w:r>
      <w:r w:rsidRPr="00647F72">
        <w:rPr>
          <w:rFonts w:ascii="Book Antiqua" w:eastAsia="Book Antiqua" w:hAnsi="Book Antiqua" w:cs="Book Antiqua"/>
          <w:color w:val="000000"/>
        </w:rPr>
        <w:t>, who identified a negative correlation of increased BMI and age among patients with severe COVID-19 infection, which showcases its impact in young patients. The co-existence of obesity and MAFLD has also been associated with an almost 6-fold increase in the risk of severe COVID-19 infection</w:t>
      </w:r>
      <w:r w:rsidRPr="00647F72">
        <w:rPr>
          <w:rFonts w:ascii="Book Antiqua" w:eastAsia="Book Antiqua" w:hAnsi="Book Antiqua" w:cs="Book Antiqua"/>
          <w:color w:val="000000"/>
          <w:vertAlign w:val="superscript"/>
        </w:rPr>
        <w:t>[38,86]</w:t>
      </w:r>
      <w:r w:rsidRPr="00647F72">
        <w:rPr>
          <w:rFonts w:ascii="Book Antiqua" w:eastAsia="Book Antiqua" w:hAnsi="Book Antiqua" w:cs="Book Antiqua"/>
          <w:color w:val="000000"/>
        </w:rPr>
        <w:t xml:space="preserve">. Furthermore, the severity of steatosis also correlates with the risk of infection as demonstrated by </w:t>
      </w:r>
      <w:r w:rsidR="002A5CE7" w:rsidRPr="00647F72">
        <w:rPr>
          <w:rFonts w:ascii="Book Antiqua" w:eastAsia="Book Antiqua" w:hAnsi="Book Antiqua" w:cs="Book Antiqua"/>
          <w:color w:val="000000"/>
        </w:rPr>
        <w:t>Roca-Fernández</w:t>
      </w:r>
      <w:r w:rsidRPr="00647F72">
        <w:rPr>
          <w:rFonts w:ascii="Book Antiqua" w:eastAsia="Book Antiqua" w:hAnsi="Book Antiqua" w:cs="Book Antiqua"/>
          <w:color w:val="000000"/>
        </w:rPr>
        <w:t xml:space="preserve"> </w:t>
      </w:r>
      <w:r w:rsidRPr="00647F72">
        <w:rPr>
          <w:rFonts w:ascii="Book Antiqua" w:eastAsia="Book Antiqua" w:hAnsi="Book Antiqua" w:cs="Book Antiqua"/>
          <w:i/>
          <w:iCs/>
          <w:color w:val="000000"/>
        </w:rPr>
        <w:t>et al</w:t>
      </w:r>
      <w:r w:rsidRPr="00647F72">
        <w:rPr>
          <w:rFonts w:ascii="Book Antiqua" w:eastAsia="Book Antiqua" w:hAnsi="Book Antiqua" w:cs="Book Antiqua"/>
          <w:color w:val="000000"/>
          <w:vertAlign w:val="superscript"/>
        </w:rPr>
        <w:t>[78]</w:t>
      </w:r>
      <w:r w:rsidRPr="00647F72">
        <w:rPr>
          <w:rFonts w:ascii="Book Antiqua" w:eastAsia="Book Antiqua" w:hAnsi="Book Antiqua" w:cs="Book Antiqua"/>
          <w:color w:val="000000"/>
        </w:rPr>
        <w:t>, who reported that among obese patients (BMI &gt; 30 kg/m</w:t>
      </w:r>
      <w:r w:rsidRPr="00647F72">
        <w:rPr>
          <w:rFonts w:ascii="Book Antiqua" w:eastAsia="Book Antiqua" w:hAnsi="Book Antiqua" w:cs="Book Antiqua"/>
          <w:color w:val="000000"/>
          <w:szCs w:val="30"/>
          <w:vertAlign w:val="superscript"/>
        </w:rPr>
        <w:t>2</w:t>
      </w:r>
      <w:r w:rsidRPr="00647F72">
        <w:rPr>
          <w:rFonts w:ascii="Book Antiqua" w:eastAsia="Book Antiqua" w:hAnsi="Book Antiqua" w:cs="Book Antiqua"/>
          <w:color w:val="000000"/>
        </w:rPr>
        <w:t>) with liver fat &gt; 10%, the risk of symptomatic COVID-19 infection was increased almost 3-fold (OR:</w:t>
      </w:r>
      <w:r w:rsidR="002A5CE7" w:rsidRPr="00647F72">
        <w:rPr>
          <w:rFonts w:ascii="Book Antiqua" w:eastAsia="Book Antiqua" w:hAnsi="Book Antiqua" w:cs="Book Antiqua"/>
          <w:color w:val="000000"/>
        </w:rPr>
        <w:t xml:space="preserve"> 2.96, 95%CI: 1.12-</w:t>
      </w:r>
      <w:r w:rsidRPr="00647F72">
        <w:rPr>
          <w:rFonts w:ascii="Book Antiqua" w:eastAsia="Book Antiqua" w:hAnsi="Book Antiqua" w:cs="Book Antiqua"/>
          <w:color w:val="000000"/>
        </w:rPr>
        <w:t xml:space="preserve">7.78,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0.02).</w:t>
      </w:r>
    </w:p>
    <w:p w:rsidR="00A77B3E" w:rsidRPr="00647F72" w:rsidRDefault="00A77B3E">
      <w:pPr>
        <w:spacing w:line="360" w:lineRule="auto"/>
        <w:jc w:val="both"/>
      </w:pPr>
    </w:p>
    <w:p w:rsidR="00A77B3E" w:rsidRPr="00647F72" w:rsidRDefault="002A5CE7">
      <w:pPr>
        <w:spacing w:line="360" w:lineRule="auto"/>
        <w:jc w:val="both"/>
      </w:pPr>
      <w:r w:rsidRPr="00647F72">
        <w:rPr>
          <w:rFonts w:ascii="Book Antiqua" w:eastAsia="Book Antiqua" w:hAnsi="Book Antiqua" w:cs="Book Antiqua"/>
          <w:b/>
          <w:bCs/>
          <w:i/>
          <w:iCs/>
          <w:color w:val="000000"/>
        </w:rPr>
        <w:t>Management of patients with MAFLD in the era of COVID-19</w:t>
      </w:r>
    </w:p>
    <w:p w:rsidR="00A77B3E" w:rsidRPr="00647F72" w:rsidRDefault="00B34FC9">
      <w:pPr>
        <w:spacing w:line="360" w:lineRule="auto"/>
        <w:jc w:val="both"/>
      </w:pPr>
      <w:r w:rsidRPr="00647F72">
        <w:rPr>
          <w:rFonts w:ascii="Book Antiqua" w:eastAsia="Book Antiqua" w:hAnsi="Book Antiqua" w:cs="Book Antiqua"/>
          <w:color w:val="000000"/>
        </w:rPr>
        <w:t>The World Gastroenterology Organization recently published its recommendations for management of patients with MAFLD in the COVID-19 era, which essentially recommends to</w:t>
      </w:r>
      <w:r w:rsidRPr="00647F72">
        <w:rPr>
          <w:rFonts w:ascii="Book Antiqua" w:eastAsia="Book Antiqua" w:hAnsi="Book Antiqua" w:cs="Book Antiqua"/>
          <w:color w:val="000000"/>
          <w:vertAlign w:val="superscript"/>
        </w:rPr>
        <w:t>[59]</w:t>
      </w:r>
      <w:r w:rsidRPr="00647F72">
        <w:rPr>
          <w:rFonts w:ascii="Book Antiqua" w:eastAsia="Book Antiqua" w:hAnsi="Book Antiqua" w:cs="Book Antiqua"/>
          <w:color w:val="000000"/>
        </w:rPr>
        <w:t>:</w:t>
      </w:r>
      <w:r w:rsidR="002A5CE7" w:rsidRPr="00647F72">
        <w:rPr>
          <w:rFonts w:ascii="Book Antiqua" w:hAnsi="Book Antiqua" w:cs="Book Antiqua" w:hint="eastAsia"/>
          <w:color w:val="000000"/>
          <w:lang w:eastAsia="zh-CN"/>
        </w:rPr>
        <w:t xml:space="preserve"> (1)</w:t>
      </w:r>
      <w:r w:rsidRPr="00647F72">
        <w:rPr>
          <w:rFonts w:ascii="Book Antiqua" w:eastAsia="Book Antiqua" w:hAnsi="Book Antiqua" w:cs="Book Antiqua"/>
          <w:color w:val="000000"/>
        </w:rPr>
        <w:t xml:space="preserve"> </w:t>
      </w:r>
      <w:r w:rsidR="004D3028" w:rsidRPr="00647F72">
        <w:rPr>
          <w:rFonts w:ascii="Book Antiqua" w:eastAsia="Book Antiqua" w:hAnsi="Book Antiqua" w:cs="Book Antiqua"/>
          <w:color w:val="000000"/>
        </w:rPr>
        <w:t>R</w:t>
      </w:r>
      <w:r w:rsidRPr="00647F72">
        <w:rPr>
          <w:rFonts w:ascii="Book Antiqua" w:eastAsia="Book Antiqua" w:hAnsi="Book Antiqua" w:cs="Book Antiqua"/>
          <w:color w:val="000000"/>
        </w:rPr>
        <w:t>ecognize the presence of MAFLD in patients with underlying metabolic disease, formally identifying its stage and grade;</w:t>
      </w:r>
      <w:r w:rsidR="002A5CE7" w:rsidRPr="00647F72">
        <w:rPr>
          <w:rFonts w:ascii="Book Antiqua" w:hAnsi="Book Antiqua" w:cs="Book Antiqua" w:hint="eastAsia"/>
          <w:color w:val="000000"/>
          <w:lang w:eastAsia="zh-CN"/>
        </w:rPr>
        <w:t xml:space="preserve"> (2)</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R</w:t>
      </w:r>
      <w:r w:rsidR="004D3028" w:rsidRPr="00647F72">
        <w:rPr>
          <w:rFonts w:ascii="Book Antiqua" w:eastAsia="Book Antiqua" w:hAnsi="Book Antiqua" w:cs="Book Antiqua"/>
          <w:color w:val="000000"/>
        </w:rPr>
        <w:t xml:space="preserve">ecognize </w:t>
      </w:r>
      <w:r w:rsidRPr="00647F72">
        <w:rPr>
          <w:rFonts w:ascii="Book Antiqua" w:eastAsia="Book Antiqua" w:hAnsi="Book Antiqua" w:cs="Book Antiqua"/>
          <w:color w:val="000000"/>
        </w:rPr>
        <w:t>that obesity and diabetes mellitus increase the risk of mortality from respiratory illnesses, including COVID-19;</w:t>
      </w:r>
      <w:r w:rsidR="002A5CE7" w:rsidRPr="00647F72">
        <w:rPr>
          <w:rFonts w:ascii="Book Antiqua" w:hAnsi="Book Antiqua" w:cs="Book Antiqua" w:hint="eastAsia"/>
          <w:color w:val="000000"/>
          <w:lang w:eastAsia="zh-CN"/>
        </w:rPr>
        <w:t xml:space="preserve"> (3)</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R</w:t>
      </w:r>
      <w:r w:rsidR="004D3028" w:rsidRPr="00647F72">
        <w:rPr>
          <w:rFonts w:ascii="Book Antiqua" w:eastAsia="Book Antiqua" w:hAnsi="Book Antiqua" w:cs="Book Antiqua"/>
          <w:color w:val="000000"/>
        </w:rPr>
        <w:t xml:space="preserve">ecognize </w:t>
      </w:r>
      <w:r w:rsidRPr="00647F72">
        <w:rPr>
          <w:rFonts w:ascii="Book Antiqua" w:eastAsia="Book Antiqua" w:hAnsi="Book Antiqua" w:cs="Book Antiqua"/>
          <w:color w:val="000000"/>
        </w:rPr>
        <w:t>that the risk of respiratory disease progression is higher in patients with MAFLD; and</w:t>
      </w:r>
      <w:r w:rsidR="002A5CE7" w:rsidRPr="00647F72">
        <w:rPr>
          <w:rFonts w:ascii="Book Antiqua" w:hAnsi="Book Antiqua" w:cs="Book Antiqua" w:hint="eastAsia"/>
          <w:color w:val="000000"/>
          <w:lang w:eastAsia="zh-CN"/>
        </w:rPr>
        <w:t xml:space="preserve"> (4)</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E</w:t>
      </w:r>
      <w:r w:rsidR="004D3028" w:rsidRPr="00647F72">
        <w:rPr>
          <w:rFonts w:ascii="Book Antiqua" w:eastAsia="Book Antiqua" w:hAnsi="Book Antiqua" w:cs="Book Antiqua"/>
          <w:color w:val="000000"/>
        </w:rPr>
        <w:t xml:space="preserve">ncourage </w:t>
      </w:r>
      <w:r w:rsidRPr="00647F72">
        <w:rPr>
          <w:rFonts w:ascii="Book Antiqua" w:eastAsia="Book Antiqua" w:hAnsi="Book Antiqua" w:cs="Book Antiqua"/>
          <w:color w:val="000000"/>
        </w:rPr>
        <w:t>patients with MAFLD to make lifestyle changes that will mitigate risk factors (</w:t>
      </w:r>
      <w:r w:rsidR="00E955FA" w:rsidRPr="00647F72">
        <w:rPr>
          <w:rFonts w:ascii="Book Antiqua" w:eastAsia="Book Antiqua" w:hAnsi="Book Antiqua" w:cs="Book Antiqua"/>
          <w:i/>
          <w:iCs/>
          <w:color w:val="000000"/>
        </w:rPr>
        <w:t>e.g</w:t>
      </w:r>
      <w:r w:rsidR="00E955FA" w:rsidRPr="00647F72">
        <w:rPr>
          <w:rFonts w:ascii="Book Antiqua" w:eastAsia="Book Antiqua" w:hAnsi="Book Antiqua" w:cs="Book Antiqua"/>
          <w:i/>
          <w:color w:val="000000"/>
        </w:rPr>
        <w:t>.</w:t>
      </w:r>
      <w:r w:rsidRPr="00647F72">
        <w:rPr>
          <w:rFonts w:ascii="Book Antiqua" w:eastAsia="Book Antiqua" w:hAnsi="Book Antiqua" w:cs="Book Antiqua"/>
          <w:color w:val="000000"/>
        </w:rPr>
        <w:t>, obesity) that can worsen the prognosis of COVID-19.</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aps/>
          <w:color w:val="000000"/>
          <w:u w:val="single"/>
        </w:rPr>
        <w:t>SARS-COV-2 INFECTION IN LIVER TRANSPLANT PATIENTS</w:t>
      </w:r>
    </w:p>
    <w:p w:rsidR="00A77B3E" w:rsidRPr="00647F72" w:rsidRDefault="00B34FC9">
      <w:pPr>
        <w:spacing w:line="360" w:lineRule="auto"/>
        <w:jc w:val="both"/>
        <w:rPr>
          <w:lang w:eastAsia="zh-CN"/>
        </w:rPr>
      </w:pPr>
      <w:r w:rsidRPr="00647F72">
        <w:rPr>
          <w:rFonts w:ascii="Book Antiqua" w:eastAsia="Book Antiqua" w:hAnsi="Book Antiqua" w:cs="Book Antiqua"/>
          <w:color w:val="000000"/>
        </w:rPr>
        <w:t>In this section, we will focus on the assessment and management of patients with a transplanted liver who present with infection by SARS-CoV-2 (COVID-19).</w:t>
      </w:r>
    </w:p>
    <w:p w:rsidR="00A77B3E" w:rsidRPr="00647F72" w:rsidRDefault="00B34FC9" w:rsidP="002A5CE7">
      <w:pPr>
        <w:spacing w:line="360" w:lineRule="auto"/>
        <w:ind w:firstLineChars="100" w:firstLine="240"/>
        <w:jc w:val="both"/>
      </w:pPr>
      <w:r w:rsidRPr="00647F72">
        <w:rPr>
          <w:rFonts w:ascii="Book Antiqua" w:eastAsia="Book Antiqua" w:hAnsi="Book Antiqua" w:cs="Book Antiqua"/>
          <w:color w:val="000000"/>
        </w:rPr>
        <w:t>Liver transplant patients are frail and have many risk factors for COVID-19 infection, including immunosuppression, in addition to other underlying comorbidities</w:t>
      </w:r>
      <w:r w:rsidRPr="00647F72">
        <w:rPr>
          <w:rFonts w:ascii="Book Antiqua" w:eastAsia="Book Antiqua" w:hAnsi="Book Antiqua" w:cs="Book Antiqua"/>
          <w:color w:val="000000"/>
          <w:vertAlign w:val="superscript"/>
        </w:rPr>
        <w:t>[87]</w:t>
      </w:r>
      <w:r w:rsidRPr="00647F72">
        <w:rPr>
          <w:rFonts w:ascii="Book Antiqua" w:eastAsia="Book Antiqua" w:hAnsi="Book Antiqua" w:cs="Book Antiqua"/>
          <w:color w:val="000000"/>
        </w:rPr>
        <w:t>. The symptomatology among patients with solid organ transplant who are infected with COVID-19 is similar to that among the general population; however, the severity and outcomes are worse, especially as both are impacted by their comorbidities</w:t>
      </w:r>
      <w:r w:rsidRPr="00647F72">
        <w:rPr>
          <w:rFonts w:ascii="Book Antiqua" w:eastAsia="Book Antiqua" w:hAnsi="Book Antiqua" w:cs="Book Antiqua"/>
          <w:color w:val="000000"/>
          <w:vertAlign w:val="superscript"/>
        </w:rPr>
        <w:t>[88,89]</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2A5CE7">
      <w:pPr>
        <w:spacing w:line="360" w:lineRule="auto"/>
        <w:jc w:val="both"/>
      </w:pPr>
      <w:r w:rsidRPr="00647F72">
        <w:rPr>
          <w:rFonts w:ascii="Book Antiqua" w:eastAsia="Book Antiqua" w:hAnsi="Book Antiqua" w:cs="Book Antiqua"/>
          <w:b/>
          <w:bCs/>
          <w:i/>
          <w:iCs/>
          <w:color w:val="000000"/>
        </w:rPr>
        <w:t>Epidemiology</w:t>
      </w:r>
    </w:p>
    <w:p w:rsidR="00A77B3E" w:rsidRPr="00647F72" w:rsidRDefault="00B34FC9">
      <w:pPr>
        <w:spacing w:line="360" w:lineRule="auto"/>
        <w:jc w:val="both"/>
      </w:pPr>
      <w:r w:rsidRPr="00647F72">
        <w:rPr>
          <w:rFonts w:ascii="Book Antiqua" w:eastAsia="Book Antiqua" w:hAnsi="Book Antiqua" w:cs="Book Antiqua"/>
          <w:color w:val="000000"/>
        </w:rPr>
        <w:t xml:space="preserve">Imam </w:t>
      </w:r>
      <w:r w:rsidRPr="00647F72">
        <w:rPr>
          <w:rFonts w:ascii="Book Antiqua" w:eastAsia="Book Antiqua" w:hAnsi="Book Antiqua" w:cs="Book Antiqua"/>
          <w:i/>
          <w:iCs/>
          <w:color w:val="000000"/>
        </w:rPr>
        <w:t>et al</w:t>
      </w:r>
      <w:r w:rsidRPr="00647F72">
        <w:rPr>
          <w:rFonts w:ascii="Book Antiqua" w:eastAsia="Book Antiqua" w:hAnsi="Book Antiqua" w:cs="Book Antiqua"/>
          <w:color w:val="000000"/>
          <w:vertAlign w:val="superscript"/>
        </w:rPr>
        <w:t>[87]</w:t>
      </w:r>
      <w:r w:rsidRPr="00647F72">
        <w:rPr>
          <w:rFonts w:ascii="Book Antiqua" w:eastAsia="Book Antiqua" w:hAnsi="Book Antiqua" w:cs="Book Antiqua"/>
          <w:color w:val="000000"/>
        </w:rPr>
        <w:t xml:space="preserve"> reported a review of </w:t>
      </w:r>
      <w:r w:rsidR="004D3028" w:rsidRPr="00647F72">
        <w:rPr>
          <w:rFonts w:ascii="Book Antiqua" w:eastAsia="Book Antiqua" w:hAnsi="Book Antiqua" w:cs="Book Antiqua"/>
          <w:color w:val="000000"/>
        </w:rPr>
        <w:t xml:space="preserve">ten </w:t>
      </w:r>
      <w:r w:rsidRPr="00647F72">
        <w:rPr>
          <w:rFonts w:ascii="Book Antiqua" w:eastAsia="Book Antiqua" w:hAnsi="Book Antiqua" w:cs="Book Antiqua"/>
          <w:color w:val="000000"/>
        </w:rPr>
        <w:t>studies from all over the world that included 22 patients with orthotopic liver transplant, among which 72% experienced clinical recovery from COVID-19, with a median duration of illness of 17 d. ICU admission was required in 28.6% of patients and the mortality rate in the cohort was 13.6%. On the other hand, a European liver transplant cohort study of 57 patients with COVID-19 (70% male; median age of 65 years) found no significant impact of decreasing immunosuppression (37% of patients). The rate of hospitalization was 72%, and acute respiratory distress syndrome was present in 19% of cases. The overall mortality in the cohort was 12%, which increased to 17% among hospitalized patients. Among those who died, a history of cancer was common (5 out of 7 patients)</w:t>
      </w:r>
      <w:r w:rsidRPr="00647F72">
        <w:rPr>
          <w:rFonts w:ascii="Book Antiqua" w:eastAsia="Book Antiqua" w:hAnsi="Book Antiqua" w:cs="Book Antiqua"/>
          <w:color w:val="000000"/>
          <w:vertAlign w:val="superscript"/>
        </w:rPr>
        <w:t>[90]</w:t>
      </w:r>
      <w:r w:rsidRPr="00647F72">
        <w:rPr>
          <w:rFonts w:ascii="Book Antiqua" w:eastAsia="Book Antiqua" w:hAnsi="Book Antiqua" w:cs="Book Antiqua"/>
          <w:color w:val="000000"/>
        </w:rPr>
        <w:t xml:space="preserve">. An international multicenter cohort study of 151 adult liver transplant recipients from 18 countries (68% male; median age of 60 years) performed a comparison with 627 patients without </w:t>
      </w:r>
      <w:r w:rsidR="004D3028" w:rsidRPr="00647F72">
        <w:rPr>
          <w:rFonts w:ascii="Book Antiqua" w:eastAsia="Book Antiqua" w:hAnsi="Book Antiqua" w:cs="Book Antiqua"/>
          <w:color w:val="000000"/>
        </w:rPr>
        <w:t xml:space="preserve">a </w:t>
      </w:r>
      <w:r w:rsidRPr="00647F72">
        <w:rPr>
          <w:rFonts w:ascii="Book Antiqua" w:eastAsia="Book Antiqua" w:hAnsi="Book Antiqua" w:cs="Book Antiqua"/>
          <w:color w:val="000000"/>
        </w:rPr>
        <w:t xml:space="preserve">history of liver transplant (52% male; median age of 73 years). The liver transplant cohort had more frequent rates of ICU admission (28%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8%,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&lt; 0.0001) and invasive ventilation (20%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5%,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&lt; 0.0001). The mortality rate was 19% in the liver transplant cohort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27% in the comparison cohort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0.046). After adjusting for comorbidities (age, sex, creatinine concentration, obesity, hypertension, diabetes, and ethnicity), liver transplantation was not associated with a significant increase in the risk of mortality in patients with COVID-19; however, multivariable logistic regression analysis demonstrated that the mortality increase in liver transplant patients was associated with age [(OR: 1.06, 95%CI: 1.01-1.11) per 1 year increase], serum creatinine [(OR: 1.57, 95%CI: 1.05-2.36) per 1 mg/dL increase], and cancer (OR: 18.30, 95%CI: 1.96-170.75)</w:t>
      </w:r>
      <w:r w:rsidRPr="00647F72">
        <w:rPr>
          <w:rFonts w:ascii="Book Antiqua" w:eastAsia="Book Antiqua" w:hAnsi="Book Antiqua" w:cs="Book Antiqua"/>
          <w:color w:val="000000"/>
          <w:vertAlign w:val="superscript"/>
        </w:rPr>
        <w:t>[91]</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2A5CE7">
      <w:pPr>
        <w:spacing w:line="360" w:lineRule="auto"/>
        <w:jc w:val="both"/>
      </w:pPr>
      <w:r w:rsidRPr="00647F72">
        <w:rPr>
          <w:rFonts w:ascii="Book Antiqua" w:eastAsia="Book Antiqua" w:hAnsi="Book Antiqua" w:cs="Book Antiqua"/>
          <w:b/>
          <w:bCs/>
          <w:i/>
          <w:iCs/>
          <w:color w:val="000000"/>
        </w:rPr>
        <w:t>Recommendations for management of</w:t>
      </w:r>
      <w:r w:rsidR="004D3028" w:rsidRPr="00647F72">
        <w:rPr>
          <w:rFonts w:ascii="Book Antiqua" w:eastAsia="Book Antiqua" w:hAnsi="Book Antiqua" w:cs="Book Antiqua"/>
          <w:b/>
          <w:bCs/>
          <w:i/>
          <w:iCs/>
          <w:color w:val="000000"/>
        </w:rPr>
        <w:t xml:space="preserve"> </w:t>
      </w:r>
      <w:r w:rsidRPr="00647F72">
        <w:rPr>
          <w:rFonts w:ascii="Book Antiqua" w:eastAsia="Book Antiqua" w:hAnsi="Book Antiqua" w:cs="Book Antiqua"/>
          <w:b/>
          <w:bCs/>
          <w:i/>
          <w:iCs/>
          <w:color w:val="000000"/>
        </w:rPr>
        <w:t>liver transplant patient</w:t>
      </w:r>
      <w:r w:rsidR="004D3028" w:rsidRPr="00647F72">
        <w:rPr>
          <w:rFonts w:ascii="Book Antiqua" w:eastAsia="Book Antiqua" w:hAnsi="Book Antiqua" w:cs="Book Antiqua"/>
          <w:b/>
          <w:bCs/>
          <w:i/>
          <w:iCs/>
          <w:color w:val="000000"/>
        </w:rPr>
        <w:t>s</w:t>
      </w:r>
      <w:r w:rsidRPr="00647F72">
        <w:rPr>
          <w:rFonts w:ascii="Book Antiqua" w:eastAsia="Book Antiqua" w:hAnsi="Book Antiqua" w:cs="Book Antiqua"/>
          <w:b/>
          <w:bCs/>
          <w:i/>
          <w:iCs/>
          <w:color w:val="000000"/>
        </w:rPr>
        <w:t xml:space="preserve"> with COVID-19</w:t>
      </w:r>
    </w:p>
    <w:p w:rsidR="00A77B3E" w:rsidRPr="00647F72" w:rsidRDefault="00B34FC9">
      <w:pPr>
        <w:spacing w:line="360" w:lineRule="auto"/>
        <w:jc w:val="both"/>
      </w:pPr>
      <w:r w:rsidRPr="00647F72">
        <w:rPr>
          <w:rFonts w:ascii="Book Antiqua" w:eastAsia="Book Antiqua" w:hAnsi="Book Antiqua" w:cs="Book Antiqua"/>
          <w:color w:val="000000"/>
        </w:rPr>
        <w:t xml:space="preserve">Multiple guidelines and reviews have been published with the aim of outlining </w:t>
      </w:r>
      <w:r w:rsidR="004D3028" w:rsidRPr="00647F72">
        <w:rPr>
          <w:rFonts w:ascii="Book Antiqua" w:eastAsia="Book Antiqua" w:hAnsi="Book Antiqua" w:cs="Book Antiqua"/>
          <w:color w:val="000000"/>
        </w:rPr>
        <w:t xml:space="preserve">the </w:t>
      </w:r>
      <w:r w:rsidRPr="00647F72">
        <w:rPr>
          <w:rFonts w:ascii="Book Antiqua" w:eastAsia="Book Antiqua" w:hAnsi="Book Antiqua" w:cs="Book Antiqua"/>
          <w:color w:val="000000"/>
        </w:rPr>
        <w:t>management of</w:t>
      </w:r>
      <w:r w:rsidR="004D3028"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patients with COVID-19</w:t>
      </w:r>
      <w:r w:rsidR="004D3028"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 xml:space="preserve">who are either liver transplant candidates or </w:t>
      </w:r>
      <w:r w:rsidR="004D3028" w:rsidRPr="00647F72">
        <w:rPr>
          <w:rFonts w:ascii="Book Antiqua" w:eastAsia="Book Antiqua" w:hAnsi="Book Antiqua" w:cs="Book Antiqua"/>
          <w:color w:val="000000"/>
        </w:rPr>
        <w:t xml:space="preserve">have </w:t>
      </w:r>
      <w:r w:rsidRPr="00647F72">
        <w:rPr>
          <w:rFonts w:ascii="Book Antiqua" w:eastAsia="Book Antiqua" w:hAnsi="Book Antiqua" w:cs="Book Antiqua"/>
          <w:color w:val="000000"/>
        </w:rPr>
        <w:t>post-liver transplant status</w:t>
      </w:r>
      <w:r w:rsidRPr="00647F72">
        <w:rPr>
          <w:rFonts w:ascii="Book Antiqua" w:eastAsia="Book Antiqua" w:hAnsi="Book Antiqua" w:cs="Book Antiqua"/>
          <w:color w:val="000000"/>
          <w:vertAlign w:val="superscript"/>
        </w:rPr>
        <w:t>[92</w:t>
      </w:r>
      <w:r w:rsidR="002A5CE7" w:rsidRPr="00647F72">
        <w:rPr>
          <w:rFonts w:ascii="Book Antiqua" w:hAnsi="Book Antiqua" w:cs="Book Antiqua" w:hint="eastAsia"/>
          <w:color w:val="000000"/>
          <w:vertAlign w:val="superscript"/>
          <w:lang w:eastAsia="zh-CN"/>
        </w:rPr>
        <w:t>-</w:t>
      </w:r>
      <w:r w:rsidRPr="00647F72">
        <w:rPr>
          <w:rFonts w:ascii="Book Antiqua" w:eastAsia="Book Antiqua" w:hAnsi="Book Antiqua" w:cs="Book Antiqua"/>
          <w:color w:val="000000"/>
          <w:vertAlign w:val="superscript"/>
        </w:rPr>
        <w:t>98]</w:t>
      </w:r>
      <w:r w:rsidRPr="00647F72">
        <w:rPr>
          <w:rFonts w:ascii="Book Antiqua" w:eastAsia="Book Antiqua" w:hAnsi="Book Antiqua" w:cs="Book Antiqua"/>
          <w:color w:val="000000"/>
        </w:rPr>
        <w:t>. Most have very similar recommendations to the ones by the American Association for the Study of Liver Diseases (AASLD)</w:t>
      </w:r>
      <w:r w:rsidRPr="00647F72">
        <w:rPr>
          <w:rFonts w:ascii="Book Antiqua" w:eastAsia="Book Antiqua" w:hAnsi="Book Antiqua" w:cs="Book Antiqua"/>
          <w:color w:val="000000"/>
          <w:vertAlign w:val="superscript"/>
        </w:rPr>
        <w:t>[99]</w:t>
      </w:r>
      <w:r w:rsidRPr="00647F72">
        <w:rPr>
          <w:rFonts w:ascii="Book Antiqua" w:eastAsia="Book Antiqua" w:hAnsi="Book Antiqua" w:cs="Book Antiqua"/>
          <w:color w:val="000000"/>
        </w:rPr>
        <w:t xml:space="preserve"> and Asian-Pacific Association for the Study of the Liver (APASL)</w:t>
      </w:r>
      <w:r w:rsidRPr="00647F72">
        <w:rPr>
          <w:rFonts w:ascii="Book Antiqua" w:eastAsia="Book Antiqua" w:hAnsi="Book Antiqua" w:cs="Book Antiqua"/>
          <w:color w:val="000000"/>
          <w:vertAlign w:val="superscript"/>
        </w:rPr>
        <w:t>[100]</w:t>
      </w:r>
      <w:r w:rsidR="00383B68" w:rsidRPr="00647F72">
        <w:rPr>
          <w:rFonts w:ascii="Book Antiqua" w:eastAsia="Book Antiqua" w:hAnsi="Book Antiqua" w:cs="Book Antiqua"/>
          <w:color w:val="000000"/>
          <w:vertAlign w:val="superscript"/>
        </w:rPr>
        <w:t xml:space="preserve"> </w:t>
      </w:r>
      <w:r w:rsidRPr="00647F72">
        <w:rPr>
          <w:rFonts w:ascii="Book Antiqua" w:eastAsia="Book Antiqua" w:hAnsi="Book Antiqua" w:cs="Book Antiqua"/>
          <w:color w:val="000000"/>
        </w:rPr>
        <w:t>summarized below.</w:t>
      </w:r>
    </w:p>
    <w:p w:rsidR="00A77B3E" w:rsidRPr="00647F72" w:rsidRDefault="00B34FC9" w:rsidP="002A5CE7">
      <w:pPr>
        <w:spacing w:line="360" w:lineRule="auto"/>
        <w:ind w:firstLineChars="100" w:firstLine="240"/>
        <w:jc w:val="both"/>
        <w:rPr>
          <w:rFonts w:ascii="Book Antiqua" w:hAnsi="Book Antiqua" w:cs="Book Antiqua"/>
          <w:color w:val="000000"/>
          <w:lang w:eastAsia="zh-CN"/>
        </w:rPr>
      </w:pPr>
      <w:r w:rsidRPr="00647F72">
        <w:rPr>
          <w:rFonts w:ascii="Book Antiqua" w:eastAsia="Book Antiqua" w:hAnsi="Book Antiqua" w:cs="Book Antiqua"/>
          <w:color w:val="000000"/>
        </w:rPr>
        <w:t>The AASLD published an Expert Panel Consensus Statement for Management of Liver Transplant During the COVID-19 Pandemic</w:t>
      </w:r>
      <w:r w:rsidRPr="00647F72">
        <w:rPr>
          <w:rFonts w:ascii="Book Antiqua" w:eastAsia="Book Antiqua" w:hAnsi="Book Antiqua" w:cs="Book Antiqua"/>
          <w:color w:val="000000"/>
          <w:vertAlign w:val="superscript"/>
        </w:rPr>
        <w:t>[99]</w:t>
      </w:r>
      <w:r w:rsidRPr="00647F72">
        <w:rPr>
          <w:rFonts w:ascii="Book Antiqua" w:eastAsia="Book Antiqua" w:hAnsi="Book Antiqua" w:cs="Book Antiqua"/>
          <w:color w:val="000000"/>
        </w:rPr>
        <w:t>.</w:t>
      </w:r>
    </w:p>
    <w:p w:rsidR="002A5CE7" w:rsidRPr="00647F72" w:rsidRDefault="002A5CE7" w:rsidP="002A5CE7">
      <w:pPr>
        <w:spacing w:line="360" w:lineRule="auto"/>
        <w:jc w:val="both"/>
        <w:rPr>
          <w:lang w:eastAsia="zh-CN"/>
        </w:rPr>
      </w:pPr>
    </w:p>
    <w:p w:rsidR="00A77B3E" w:rsidRPr="00647F72" w:rsidRDefault="00183983">
      <w:pPr>
        <w:spacing w:line="360" w:lineRule="auto"/>
        <w:jc w:val="both"/>
      </w:pPr>
      <w:r w:rsidRPr="00647F72">
        <w:rPr>
          <w:rFonts w:ascii="Book Antiqua" w:eastAsia="Book Antiqua" w:hAnsi="Book Antiqua" w:cs="Book Antiqua"/>
          <w:b/>
          <w:bCs/>
          <w:color w:val="000000"/>
        </w:rPr>
        <w:t>R</w:t>
      </w:r>
      <w:r w:rsidR="00B34FC9" w:rsidRPr="00647F72">
        <w:rPr>
          <w:rFonts w:ascii="Book Antiqua" w:eastAsia="Book Antiqua" w:hAnsi="Book Antiqua" w:cs="Book Antiqua"/>
          <w:b/>
          <w:bCs/>
          <w:color w:val="000000"/>
        </w:rPr>
        <w:t>ecommendations that apply to the patient post-transplant status:</w:t>
      </w:r>
      <w:r w:rsidR="00B34FC9" w:rsidRPr="00647F72">
        <w:rPr>
          <w:rFonts w:ascii="Book Antiqua" w:eastAsia="Book Antiqua" w:hAnsi="Book Antiqua" w:cs="Book Antiqua"/>
          <w:color w:val="000000"/>
        </w:rPr>
        <w:t xml:space="preserve"> </w:t>
      </w:r>
      <w:r w:rsidR="002A5CE7" w:rsidRPr="00647F72">
        <w:rPr>
          <w:rFonts w:ascii="Book Antiqua" w:hAnsi="Book Antiqua" w:cs="Book Antiqua" w:hint="eastAsia"/>
          <w:color w:val="000000"/>
          <w:lang w:eastAsia="zh-CN"/>
        </w:rPr>
        <w:t xml:space="preserve">(1) </w:t>
      </w:r>
      <w:r w:rsidR="00B34FC9" w:rsidRPr="00647F72">
        <w:rPr>
          <w:rFonts w:ascii="Book Antiqua" w:eastAsia="Book Antiqua" w:hAnsi="Book Antiqua" w:cs="Book Antiqua"/>
          <w:color w:val="000000"/>
        </w:rPr>
        <w:t>Given the associated high risk for severe COVID-19, these patients must be prioritized for testing;</w:t>
      </w:r>
      <w:r w:rsidR="002A5CE7" w:rsidRPr="00647F72">
        <w:rPr>
          <w:rFonts w:ascii="Book Antiqua" w:hAnsi="Book Antiqua" w:cs="Book Antiqua" w:hint="eastAsia"/>
          <w:color w:val="000000"/>
          <w:lang w:eastAsia="zh-CN"/>
        </w:rPr>
        <w:t xml:space="preserve"> (2)</w:t>
      </w:r>
      <w:r w:rsidR="00B34FC9"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I</w:t>
      </w:r>
      <w:r w:rsidRPr="00647F72">
        <w:rPr>
          <w:rFonts w:ascii="Book Antiqua" w:eastAsia="Book Antiqua" w:hAnsi="Book Antiqua" w:cs="Book Antiqua"/>
          <w:color w:val="000000"/>
        </w:rPr>
        <w:t xml:space="preserve">n </w:t>
      </w:r>
      <w:r w:rsidR="00B34FC9" w:rsidRPr="00647F72">
        <w:rPr>
          <w:rFonts w:ascii="Book Antiqua" w:eastAsia="Book Antiqua" w:hAnsi="Book Antiqua" w:cs="Book Antiqua"/>
          <w:color w:val="000000"/>
        </w:rPr>
        <w:t xml:space="preserve">patients with COVID-19 and elevated aminotransferases, other etiologies unrelated to COVID-19 should be considered, such as viral hepatitis, myositis (especially if AST &gt; ALT), cytokine release syndrome, </w:t>
      </w:r>
      <w:r w:rsidRPr="00647F72">
        <w:rPr>
          <w:rFonts w:ascii="Book Antiqua" w:eastAsia="Book Antiqua" w:hAnsi="Book Antiqua" w:cs="Book Antiqua"/>
          <w:color w:val="000000"/>
        </w:rPr>
        <w:t xml:space="preserve">and </w:t>
      </w:r>
      <w:r w:rsidR="00B34FC9" w:rsidRPr="00647F72">
        <w:rPr>
          <w:rFonts w:ascii="Book Antiqua" w:eastAsia="Book Antiqua" w:hAnsi="Book Antiqua" w:cs="Book Antiqua"/>
          <w:color w:val="000000"/>
        </w:rPr>
        <w:t>ischemia;</w:t>
      </w:r>
      <w:r w:rsidR="002A5CE7" w:rsidRPr="00647F72">
        <w:rPr>
          <w:rFonts w:ascii="Book Antiqua" w:hAnsi="Book Antiqua" w:cs="Book Antiqua" w:hint="eastAsia"/>
          <w:color w:val="000000"/>
          <w:lang w:eastAsia="zh-CN"/>
        </w:rPr>
        <w:t xml:space="preserve"> (3)</w:t>
      </w:r>
      <w:r w:rsidR="00B34FC9"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A</w:t>
      </w:r>
      <w:r w:rsidRPr="00647F72">
        <w:rPr>
          <w:rFonts w:ascii="Book Antiqua" w:eastAsia="Book Antiqua" w:hAnsi="Book Antiqua" w:cs="Book Antiqua"/>
          <w:color w:val="000000"/>
        </w:rPr>
        <w:t xml:space="preserve">ncillary </w:t>
      </w:r>
      <w:r w:rsidR="00B34FC9" w:rsidRPr="00647F72">
        <w:rPr>
          <w:rFonts w:ascii="Book Antiqua" w:eastAsia="Book Antiqua" w:hAnsi="Book Antiqua" w:cs="Book Antiqua"/>
          <w:color w:val="000000"/>
        </w:rPr>
        <w:t>studies should be minimized (</w:t>
      </w:r>
      <w:r w:rsidR="00E955FA" w:rsidRPr="00647F72">
        <w:rPr>
          <w:rFonts w:ascii="Book Antiqua" w:eastAsia="Book Antiqua" w:hAnsi="Book Antiqua" w:cs="Book Antiqua"/>
          <w:i/>
          <w:iCs/>
          <w:color w:val="000000"/>
        </w:rPr>
        <w:t>e.g</w:t>
      </w:r>
      <w:r w:rsidR="00E955FA" w:rsidRPr="00647F72">
        <w:rPr>
          <w:rFonts w:ascii="Book Antiqua" w:eastAsia="Book Antiqua" w:hAnsi="Book Antiqua" w:cs="Book Antiqua"/>
          <w:i/>
          <w:color w:val="000000"/>
        </w:rPr>
        <w:t>.</w:t>
      </w:r>
      <w:r w:rsidR="00B34FC9" w:rsidRPr="00647F72">
        <w:rPr>
          <w:rFonts w:ascii="Book Antiqua" w:eastAsia="Book Antiqua" w:hAnsi="Book Antiqua" w:cs="Book Antiqua"/>
          <w:color w:val="000000"/>
        </w:rPr>
        <w:t>, ultrasound</w:t>
      </w:r>
      <w:r w:rsidRPr="00647F72">
        <w:rPr>
          <w:rFonts w:ascii="Book Antiqua" w:eastAsia="Book Antiqua" w:hAnsi="Book Antiqua" w:cs="Book Antiqua"/>
          <w:color w:val="000000"/>
        </w:rPr>
        <w:t xml:space="preserve"> and </w:t>
      </w:r>
      <w:r w:rsidR="00B34FC9" w:rsidRPr="00647F72">
        <w:rPr>
          <w:rFonts w:ascii="Book Antiqua" w:eastAsia="Book Antiqua" w:hAnsi="Book Antiqua" w:cs="Book Antiqua"/>
          <w:color w:val="000000"/>
        </w:rPr>
        <w:t>magnetic resonance imaging) to avoid the risk of healthcare personnel exposure, unless it will change management (</w:t>
      </w:r>
      <w:r w:rsidR="00E955FA" w:rsidRPr="00647F72">
        <w:rPr>
          <w:rFonts w:ascii="Book Antiqua" w:eastAsia="Book Antiqua" w:hAnsi="Book Antiqua" w:cs="Book Antiqua"/>
          <w:i/>
          <w:iCs/>
          <w:color w:val="000000"/>
        </w:rPr>
        <w:t>e.g</w:t>
      </w:r>
      <w:r w:rsidR="00E955FA" w:rsidRPr="00647F72">
        <w:rPr>
          <w:rFonts w:ascii="Book Antiqua" w:eastAsia="Book Antiqua" w:hAnsi="Book Antiqua" w:cs="Book Antiqua"/>
          <w:i/>
          <w:color w:val="000000"/>
        </w:rPr>
        <w:t>.</w:t>
      </w:r>
      <w:r w:rsidR="00B34FC9" w:rsidRPr="00647F72">
        <w:rPr>
          <w:rFonts w:ascii="Book Antiqua" w:eastAsia="Book Antiqua" w:hAnsi="Book Antiqua" w:cs="Book Antiqua"/>
          <w:color w:val="000000"/>
        </w:rPr>
        <w:t>, venous thrombosis</w:t>
      </w:r>
      <w:r w:rsidRPr="00647F72">
        <w:rPr>
          <w:rFonts w:ascii="Book Antiqua" w:eastAsia="Book Antiqua" w:hAnsi="Book Antiqua" w:cs="Book Antiqua"/>
          <w:color w:val="000000"/>
        </w:rPr>
        <w:t xml:space="preserve"> and </w:t>
      </w:r>
      <w:r w:rsidR="00B34FC9" w:rsidRPr="00647F72">
        <w:rPr>
          <w:rFonts w:ascii="Book Antiqua" w:eastAsia="Book Antiqua" w:hAnsi="Book Antiqua" w:cs="Book Antiqua"/>
          <w:color w:val="000000"/>
        </w:rPr>
        <w:t>biliary obstruction); and</w:t>
      </w:r>
      <w:r w:rsidR="002A5CE7" w:rsidRPr="00647F72">
        <w:rPr>
          <w:rFonts w:ascii="Book Antiqua" w:hAnsi="Book Antiqua" w:cs="Book Antiqua" w:hint="eastAsia"/>
          <w:color w:val="000000"/>
          <w:lang w:eastAsia="zh-CN"/>
        </w:rPr>
        <w:t xml:space="preserve"> (4)</w:t>
      </w:r>
      <w:r w:rsidR="00B34FC9"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I</w:t>
      </w:r>
      <w:r w:rsidRPr="00647F72">
        <w:rPr>
          <w:rFonts w:ascii="Book Antiqua" w:eastAsia="Book Antiqua" w:hAnsi="Book Antiqua" w:cs="Book Antiqua"/>
          <w:color w:val="000000"/>
        </w:rPr>
        <w:t xml:space="preserve">n </w:t>
      </w:r>
      <w:r w:rsidR="00B34FC9" w:rsidRPr="00647F72">
        <w:rPr>
          <w:rFonts w:ascii="Book Antiqua" w:eastAsia="Book Antiqua" w:hAnsi="Book Antiqua" w:cs="Book Antiqua"/>
          <w:color w:val="000000"/>
        </w:rPr>
        <w:t>the post-transplant time, which includes concerns for acute cellular rejection, a formal histopathologic confirmation with biopsy is necessary.</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olor w:val="000000"/>
        </w:rPr>
        <w:t>In patients who are candidates for transplantation:</w:t>
      </w:r>
      <w:r w:rsidR="002A5CE7" w:rsidRPr="00647F72">
        <w:rPr>
          <w:rFonts w:ascii="Book Antiqua" w:hAnsi="Book Antiqua" w:cs="Book Antiqua" w:hint="eastAsia"/>
          <w:b/>
          <w:bCs/>
          <w:color w:val="000000"/>
          <w:lang w:eastAsia="zh-CN"/>
        </w:rPr>
        <w:t xml:space="preserve"> </w:t>
      </w:r>
      <w:r w:rsidR="002A5CE7" w:rsidRPr="00647F72">
        <w:rPr>
          <w:rFonts w:ascii="Book Antiqua" w:hAnsi="Book Antiqua" w:cs="Book Antiqua" w:hint="eastAsia"/>
          <w:color w:val="000000"/>
          <w:lang w:eastAsia="zh-CN"/>
        </w:rPr>
        <w:t>(1)</w:t>
      </w:r>
      <w:r w:rsidRPr="00647F72">
        <w:rPr>
          <w:rFonts w:ascii="Book Antiqua" w:eastAsia="Book Antiqua" w:hAnsi="Book Antiqua" w:cs="Book Antiqua"/>
          <w:color w:val="000000"/>
        </w:rPr>
        <w:t xml:space="preserve"> The pandemic may affect the waiting time to transplant. Care teams must consider the evaluation of patients with a high model for end-stage liver disease score or hepatocellular carcinoma with severe disease (upper levels of Milan criteria), who would have a higher priority;</w:t>
      </w:r>
      <w:r w:rsidR="002A5CE7" w:rsidRPr="00647F72">
        <w:rPr>
          <w:rFonts w:ascii="Book Antiqua" w:hAnsi="Book Antiqua" w:cs="Book Antiqua" w:hint="eastAsia"/>
          <w:color w:val="000000"/>
          <w:lang w:eastAsia="zh-CN"/>
        </w:rPr>
        <w:t xml:space="preserve"> (2)</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S</w:t>
      </w:r>
      <w:r w:rsidR="00183983" w:rsidRPr="00647F72">
        <w:rPr>
          <w:rFonts w:ascii="Book Antiqua" w:eastAsia="Book Antiqua" w:hAnsi="Book Antiqua" w:cs="Book Antiqua"/>
          <w:color w:val="000000"/>
        </w:rPr>
        <w:t xml:space="preserve">creening </w:t>
      </w:r>
      <w:r w:rsidRPr="00647F72">
        <w:rPr>
          <w:rFonts w:ascii="Book Antiqua" w:eastAsia="Book Antiqua" w:hAnsi="Book Antiqua" w:cs="Book Antiqua"/>
          <w:color w:val="000000"/>
        </w:rPr>
        <w:t>for COVID-19 must be done on both the donor and the recipient. At this time, donors who are positive for SARS-CoV-2 are not considered eligible for organ donation. In the same tenure, transplantation is not recommended for COVID-19-positive patients;</w:t>
      </w:r>
      <w:r w:rsidR="002A5CE7" w:rsidRPr="00647F72">
        <w:rPr>
          <w:rFonts w:ascii="Book Antiqua" w:hAnsi="Book Antiqua" w:cs="Book Antiqua" w:hint="eastAsia"/>
          <w:color w:val="000000"/>
          <w:lang w:eastAsia="zh-CN"/>
        </w:rPr>
        <w:t xml:space="preserve"> (3)</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C</w:t>
      </w:r>
      <w:r w:rsidR="00183983" w:rsidRPr="00647F72">
        <w:rPr>
          <w:rFonts w:ascii="Book Antiqua" w:eastAsia="Book Antiqua" w:hAnsi="Book Antiqua" w:cs="Book Antiqua"/>
          <w:color w:val="000000"/>
        </w:rPr>
        <w:t xml:space="preserve">are </w:t>
      </w:r>
      <w:r w:rsidRPr="00647F72">
        <w:rPr>
          <w:rFonts w:ascii="Book Antiqua" w:eastAsia="Book Antiqua" w:hAnsi="Book Antiqua" w:cs="Book Antiqua"/>
          <w:color w:val="000000"/>
        </w:rPr>
        <w:t xml:space="preserve">teams should aim to select donor livers with </w:t>
      </w:r>
      <w:r w:rsidR="00183983" w:rsidRPr="00647F72">
        <w:rPr>
          <w:rFonts w:ascii="Book Antiqua" w:eastAsia="Book Antiqua" w:hAnsi="Book Antiqua" w:cs="Book Antiqua"/>
          <w:color w:val="000000"/>
        </w:rPr>
        <w:t xml:space="preserve">a </w:t>
      </w:r>
      <w:r w:rsidRPr="00647F72">
        <w:rPr>
          <w:rFonts w:ascii="Book Antiqua" w:eastAsia="Book Antiqua" w:hAnsi="Book Antiqua" w:cs="Book Antiqua"/>
          <w:color w:val="000000"/>
        </w:rPr>
        <w:t>low risk of delayed graft function, in order to avoid complications and duration of postoperative hospitalization; and</w:t>
      </w:r>
      <w:r w:rsidR="002A5CE7" w:rsidRPr="00647F72">
        <w:rPr>
          <w:rFonts w:ascii="Book Antiqua" w:hAnsi="Book Antiqua" w:cs="Book Antiqua" w:hint="eastAsia"/>
          <w:color w:val="000000"/>
          <w:lang w:eastAsia="zh-CN"/>
        </w:rPr>
        <w:t xml:space="preserve"> (4)</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C</w:t>
      </w:r>
      <w:r w:rsidR="00183983" w:rsidRPr="00647F72">
        <w:rPr>
          <w:rFonts w:ascii="Book Antiqua" w:eastAsia="Book Antiqua" w:hAnsi="Book Antiqua" w:cs="Book Antiqua"/>
          <w:color w:val="000000"/>
        </w:rPr>
        <w:t xml:space="preserve">are </w:t>
      </w:r>
      <w:r w:rsidRPr="00647F72">
        <w:rPr>
          <w:rFonts w:ascii="Book Antiqua" w:eastAsia="Book Antiqua" w:hAnsi="Book Antiqua" w:cs="Book Antiqua"/>
          <w:color w:val="000000"/>
        </w:rPr>
        <w:t>teams may consider postponing a liver donor program during the pandemic.</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olor w:val="000000"/>
        </w:rPr>
        <w:t>In post-transplant patients with COVID-19 infection:</w:t>
      </w:r>
      <w:r w:rsidR="002A5CE7" w:rsidRPr="00647F72">
        <w:rPr>
          <w:rFonts w:ascii="Book Antiqua" w:hAnsi="Book Antiqua" w:cs="Book Antiqua" w:hint="eastAsia"/>
          <w:b/>
          <w:bCs/>
          <w:color w:val="000000"/>
          <w:lang w:eastAsia="zh-CN"/>
        </w:rPr>
        <w:t xml:space="preserve"> </w:t>
      </w:r>
      <w:r w:rsidR="002A5CE7" w:rsidRPr="00647F72">
        <w:rPr>
          <w:rFonts w:ascii="Book Antiqua" w:hAnsi="Book Antiqua" w:cs="Book Antiqua" w:hint="eastAsia"/>
          <w:color w:val="000000"/>
          <w:lang w:eastAsia="zh-CN"/>
        </w:rPr>
        <w:t>(1)</w:t>
      </w:r>
      <w:r w:rsidRPr="00647F72">
        <w:rPr>
          <w:rFonts w:ascii="Book Antiqua" w:eastAsia="Book Antiqua" w:hAnsi="Book Antiqua" w:cs="Book Antiqua"/>
          <w:color w:val="000000"/>
        </w:rPr>
        <w:t xml:space="preserve"> It is adequate to consider decreasing the dosage of high-dose prednisone. Although, a dosage that is sufficient to avoid adrenal insufficiency must be maintained; and</w:t>
      </w:r>
      <w:r w:rsidR="002A5CE7" w:rsidRPr="00647F72">
        <w:rPr>
          <w:rFonts w:ascii="Book Antiqua" w:hAnsi="Book Antiqua" w:cs="Book Antiqua" w:hint="eastAsia"/>
          <w:color w:val="000000"/>
          <w:lang w:eastAsia="zh-CN"/>
        </w:rPr>
        <w:t xml:space="preserve"> (2)</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R</w:t>
      </w:r>
      <w:r w:rsidR="00183983" w:rsidRPr="00647F72">
        <w:rPr>
          <w:rFonts w:ascii="Book Antiqua" w:eastAsia="Book Antiqua" w:hAnsi="Book Antiqua" w:cs="Book Antiqua"/>
          <w:color w:val="000000"/>
        </w:rPr>
        <w:t xml:space="preserve">eduction </w:t>
      </w:r>
      <w:r w:rsidRPr="00647F72">
        <w:rPr>
          <w:rFonts w:ascii="Book Antiqua" w:eastAsia="Book Antiqua" w:hAnsi="Book Antiqua" w:cs="Book Antiqua"/>
          <w:color w:val="000000"/>
        </w:rPr>
        <w:t>of azathioprine, mycophenolate</w:t>
      </w:r>
      <w:r w:rsidR="00183983"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or daily calcineurin inhibitor dosages can be considered, especially in the setting of lymphopenia, fever, or worsening pneumonia attributed to COVID-19.</w:t>
      </w:r>
    </w:p>
    <w:p w:rsidR="00A77B3E" w:rsidRPr="00647F72" w:rsidRDefault="00B34FC9" w:rsidP="002A5CE7">
      <w:pPr>
        <w:spacing w:line="360" w:lineRule="auto"/>
        <w:ind w:firstLineChars="100" w:firstLine="240"/>
        <w:jc w:val="both"/>
      </w:pPr>
      <w:r w:rsidRPr="00647F72">
        <w:rPr>
          <w:rFonts w:ascii="Book Antiqua" w:eastAsia="Book Antiqua" w:hAnsi="Book Antiqua" w:cs="Book Antiqua"/>
          <w:color w:val="000000"/>
        </w:rPr>
        <w:t>Very similar recommendations have been published by the APASL</w:t>
      </w:r>
      <w:r w:rsidRPr="00647F72">
        <w:rPr>
          <w:rFonts w:ascii="Book Antiqua" w:eastAsia="Book Antiqua" w:hAnsi="Book Antiqua" w:cs="Book Antiqua"/>
          <w:color w:val="000000"/>
          <w:vertAlign w:val="superscript"/>
        </w:rPr>
        <w:t>[100]</w:t>
      </w:r>
      <w:r w:rsidRPr="00647F72">
        <w:rPr>
          <w:rFonts w:ascii="Book Antiqua" w:eastAsia="Book Antiqua" w:hAnsi="Book Antiqua" w:cs="Book Antiqua"/>
          <w:color w:val="000000"/>
        </w:rPr>
        <w:t xml:space="preserve">. In addition, they recommend immunization of all patients with liver transplant against pneumococcus and influenza. Other recommendations include avoiding drugs that would have </w:t>
      </w:r>
      <w:r w:rsidR="00183983" w:rsidRPr="00647F72">
        <w:rPr>
          <w:rFonts w:ascii="Book Antiqua" w:eastAsia="Book Antiqua" w:hAnsi="Book Antiqua" w:cs="Book Antiqua"/>
          <w:color w:val="000000"/>
        </w:rPr>
        <w:t xml:space="preserve">a </w:t>
      </w:r>
      <w:r w:rsidRPr="00647F72">
        <w:rPr>
          <w:rFonts w:ascii="Book Antiqua" w:eastAsia="Book Antiqua" w:hAnsi="Book Antiqua" w:cs="Book Antiqua"/>
          <w:color w:val="000000"/>
        </w:rPr>
        <w:t xml:space="preserve">significant impact </w:t>
      </w:r>
      <w:r w:rsidR="00183983" w:rsidRPr="00647F72">
        <w:rPr>
          <w:rFonts w:ascii="Book Antiqua" w:eastAsia="Book Antiqua" w:hAnsi="Book Antiqua" w:cs="Book Antiqua"/>
          <w:color w:val="000000"/>
        </w:rPr>
        <w:t xml:space="preserve">on </w:t>
      </w:r>
      <w:r w:rsidRPr="00647F72">
        <w:rPr>
          <w:rFonts w:ascii="Book Antiqua" w:eastAsia="Book Antiqua" w:hAnsi="Book Antiqua" w:cs="Book Antiqua"/>
          <w:color w:val="000000"/>
        </w:rPr>
        <w:t>the tacrolimus levels, such as would occur in any other clinical setting</w:t>
      </w:r>
      <w:r w:rsidRPr="00647F72">
        <w:rPr>
          <w:rFonts w:ascii="Book Antiqua" w:eastAsia="Book Antiqua" w:hAnsi="Book Antiqua" w:cs="Book Antiqua"/>
          <w:color w:val="000000"/>
          <w:vertAlign w:val="superscript"/>
        </w:rPr>
        <w:t>[98]</w:t>
      </w:r>
      <w:r w:rsidRPr="00647F72">
        <w:rPr>
          <w:rFonts w:ascii="Book Antiqua" w:eastAsia="Book Antiqua" w:hAnsi="Book Antiqua" w:cs="Book Antiqua"/>
          <w:color w:val="000000"/>
        </w:rPr>
        <w:t>.</w:t>
      </w:r>
    </w:p>
    <w:p w:rsidR="00A77B3E" w:rsidRPr="00647F72" w:rsidRDefault="00B34FC9" w:rsidP="002A5CE7">
      <w:pPr>
        <w:spacing w:line="360" w:lineRule="auto"/>
        <w:ind w:firstLineChars="100" w:firstLine="240"/>
        <w:jc w:val="both"/>
      </w:pPr>
      <w:r w:rsidRPr="00647F72">
        <w:rPr>
          <w:rFonts w:ascii="Book Antiqua" w:eastAsia="Book Antiqua" w:hAnsi="Book Antiqua" w:cs="Book Antiqua"/>
          <w:color w:val="000000"/>
        </w:rPr>
        <w:t>One of the considerations to keep in mind for patients with liver transplant who become infected with COVID-19 is their public health impact, given their risk to be long-term carriers not only due to the slower clearance of the virus but also as they can be asymptomatic carriers</w:t>
      </w:r>
      <w:r w:rsidRPr="00647F72">
        <w:rPr>
          <w:rFonts w:ascii="Book Antiqua" w:eastAsia="Book Antiqua" w:hAnsi="Book Antiqua" w:cs="Book Antiqua"/>
          <w:color w:val="000000"/>
          <w:vertAlign w:val="superscript"/>
        </w:rPr>
        <w:t>[96]</w:t>
      </w:r>
      <w:r w:rsidRPr="00647F72">
        <w:rPr>
          <w:rFonts w:ascii="Book Antiqua" w:eastAsia="Book Antiqua" w:hAnsi="Book Antiqua" w:cs="Book Antiqua"/>
          <w:color w:val="000000"/>
        </w:rPr>
        <w:t>. This increases their risk for viral spread in</w:t>
      </w:r>
      <w:r w:rsidR="00183983"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the community, as well as nosocomially as they may have prolonged hospitalizations due to their medical complexity</w:t>
      </w:r>
      <w:r w:rsidRPr="00647F72">
        <w:rPr>
          <w:rFonts w:ascii="Book Antiqua" w:eastAsia="Book Antiqua" w:hAnsi="Book Antiqua" w:cs="Book Antiqua"/>
          <w:color w:val="000000"/>
          <w:vertAlign w:val="superscript"/>
        </w:rPr>
        <w:t>[96]</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2A5CE7">
      <w:pPr>
        <w:spacing w:line="360" w:lineRule="auto"/>
        <w:jc w:val="both"/>
      </w:pPr>
      <w:r w:rsidRPr="00647F72">
        <w:rPr>
          <w:rFonts w:ascii="Book Antiqua" w:eastAsia="Book Antiqua" w:hAnsi="Book Antiqua" w:cs="Book Antiqua"/>
          <w:b/>
          <w:bCs/>
          <w:i/>
          <w:iCs/>
          <w:color w:val="000000"/>
        </w:rPr>
        <w:t>Conclusions</w:t>
      </w:r>
    </w:p>
    <w:p w:rsidR="00A77B3E" w:rsidRPr="00647F72" w:rsidRDefault="00B34FC9">
      <w:pPr>
        <w:spacing w:line="360" w:lineRule="auto"/>
        <w:jc w:val="both"/>
      </w:pPr>
      <w:r w:rsidRPr="00647F72">
        <w:rPr>
          <w:rFonts w:ascii="Book Antiqua" w:eastAsia="Book Antiqua" w:hAnsi="Book Antiqua" w:cs="Book Antiqua"/>
          <w:color w:val="000000"/>
        </w:rPr>
        <w:t>Patients with liver transplant must be managed with similar protocols as non-transplanted patients; yet, clinicians must be mindful of the impact of immunosuppression on these patients’ viral shedding and carrier status, as well as of medication interaction.</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aps/>
          <w:color w:val="000000"/>
          <w:u w:val="single"/>
        </w:rPr>
        <w:t>COVID-19 AND LIVER CIRRHOSIS</w:t>
      </w:r>
    </w:p>
    <w:p w:rsidR="00A77B3E" w:rsidRPr="00647F72" w:rsidRDefault="002A5CE7">
      <w:pPr>
        <w:spacing w:line="360" w:lineRule="auto"/>
        <w:jc w:val="both"/>
      </w:pPr>
      <w:r w:rsidRPr="00647F72">
        <w:rPr>
          <w:rFonts w:ascii="Book Antiqua" w:eastAsia="Book Antiqua" w:hAnsi="Book Antiqua" w:cs="Book Antiqua"/>
          <w:b/>
          <w:bCs/>
          <w:i/>
          <w:iCs/>
          <w:color w:val="000000"/>
        </w:rPr>
        <w:t>General considerations and epidemiology</w:t>
      </w:r>
    </w:p>
    <w:p w:rsidR="00A77B3E" w:rsidRPr="00647F72" w:rsidRDefault="00B34FC9">
      <w:pPr>
        <w:spacing w:line="360" w:lineRule="auto"/>
        <w:jc w:val="both"/>
      </w:pPr>
      <w:r w:rsidRPr="00647F72">
        <w:rPr>
          <w:rFonts w:ascii="Book Antiqua" w:eastAsia="Book Antiqua" w:hAnsi="Book Antiqua" w:cs="Book Antiqua"/>
          <w:color w:val="000000"/>
        </w:rPr>
        <w:t>The current evidence that describes the overall impact of COVID-19</w:t>
      </w:r>
      <w:r w:rsidR="00183983"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 xml:space="preserve">in patients with liver cirrhosis, either compensated or decompensated, is scant. However, extrapolating from the current knowledge of the physiopathology of both diseases, the expected morbidity and mortality </w:t>
      </w:r>
      <w:r w:rsidR="00183983" w:rsidRPr="00647F72">
        <w:rPr>
          <w:rFonts w:ascii="Book Antiqua" w:eastAsia="Book Antiqua" w:hAnsi="Book Antiqua" w:cs="Book Antiqua"/>
          <w:color w:val="000000"/>
        </w:rPr>
        <w:t xml:space="preserve">are </w:t>
      </w:r>
      <w:r w:rsidRPr="00647F72">
        <w:rPr>
          <w:rFonts w:ascii="Book Antiqua" w:eastAsia="Book Antiqua" w:hAnsi="Book Antiqua" w:cs="Book Antiqua"/>
          <w:color w:val="000000"/>
        </w:rPr>
        <w:t>more severe when compared to other groups. Many factors must be considered in the interaction of COVID-19 and the liver; for instance, most of the drugs used in the treatment of COVID-19, including biologic agents, can have either a direct hepatotoxic effect or reactivate chronic viral diseases, such as hepatitis B virus</w:t>
      </w:r>
      <w:r w:rsidRPr="00647F72">
        <w:rPr>
          <w:rFonts w:ascii="Book Antiqua" w:eastAsia="Book Antiqua" w:hAnsi="Book Antiqua" w:cs="Book Antiqua"/>
          <w:color w:val="000000"/>
          <w:vertAlign w:val="superscript"/>
        </w:rPr>
        <w:t>[14]</w:t>
      </w:r>
      <w:r w:rsidRPr="00647F72">
        <w:rPr>
          <w:rFonts w:ascii="Book Antiqua" w:eastAsia="Book Antiqua" w:hAnsi="Book Antiqua" w:cs="Book Antiqua"/>
          <w:color w:val="000000"/>
        </w:rPr>
        <w:t>. Other studies have detected the presence of SARS-CoV-2 in the liver tissues of patients who had died from COVID-19</w:t>
      </w:r>
      <w:r w:rsidRPr="00647F72">
        <w:rPr>
          <w:rFonts w:ascii="Book Antiqua" w:eastAsia="Book Antiqua" w:hAnsi="Book Antiqua" w:cs="Book Antiqua"/>
          <w:color w:val="000000"/>
          <w:vertAlign w:val="superscript"/>
        </w:rPr>
        <w:t>[101]</w:t>
      </w:r>
      <w:r w:rsidRPr="00647F72">
        <w:rPr>
          <w:rFonts w:ascii="Book Antiqua" w:eastAsia="Book Antiqua" w:hAnsi="Book Antiqua" w:cs="Book Antiqua"/>
          <w:color w:val="000000"/>
        </w:rPr>
        <w:t>, suggesting viral replication at this level. In patient</w:t>
      </w:r>
      <w:r w:rsidR="00183983" w:rsidRPr="00647F72">
        <w:rPr>
          <w:rFonts w:ascii="Book Antiqua" w:eastAsia="Book Antiqua" w:hAnsi="Book Antiqua" w:cs="Book Antiqua"/>
          <w:color w:val="000000"/>
        </w:rPr>
        <w:t>s</w:t>
      </w:r>
      <w:r w:rsidRPr="00647F72">
        <w:rPr>
          <w:rFonts w:ascii="Book Antiqua" w:eastAsia="Book Antiqua" w:hAnsi="Book Antiqua" w:cs="Book Antiqua"/>
          <w:color w:val="000000"/>
        </w:rPr>
        <w:t xml:space="preserve"> with liver cirrhosis, both effects have a critical impact as they may worsen the course of the disease by damaging the remaining liver parenchyma</w:t>
      </w:r>
      <w:r w:rsidRPr="00647F72">
        <w:rPr>
          <w:rFonts w:ascii="Book Antiqua" w:eastAsia="Book Antiqua" w:hAnsi="Book Antiqua" w:cs="Book Antiqua"/>
          <w:color w:val="000000"/>
          <w:vertAlign w:val="superscript"/>
        </w:rPr>
        <w:t>[96,102]</w:t>
      </w:r>
      <w:r w:rsidRPr="00647F72">
        <w:rPr>
          <w:rFonts w:ascii="Book Antiqua" w:eastAsia="Book Antiqua" w:hAnsi="Book Antiqua" w:cs="Book Antiqua"/>
          <w:color w:val="000000"/>
        </w:rPr>
        <w:t>. Otherwise, there are studies with findings suggesting that if the liver damage induced by COVID-19 is immunologically driven, then the immunocompromised status of cirrhotic patients might be more protective than harmful</w:t>
      </w:r>
      <w:r w:rsidRPr="00647F72">
        <w:rPr>
          <w:rFonts w:ascii="Book Antiqua" w:eastAsia="Book Antiqua" w:hAnsi="Book Antiqua" w:cs="Book Antiqua"/>
          <w:color w:val="000000"/>
          <w:vertAlign w:val="superscript"/>
        </w:rPr>
        <w:t>[103]</w:t>
      </w:r>
      <w:r w:rsidRPr="00647F72">
        <w:rPr>
          <w:rFonts w:ascii="Book Antiqua" w:eastAsia="Book Antiqua" w:hAnsi="Book Antiqua" w:cs="Book Antiqua"/>
          <w:color w:val="000000"/>
        </w:rPr>
        <w:t>. However, due to the limited number of patients with chronic liver disease within individual studies on COVID-19 to date, the true impact of underlying liver disease on viral progression and outcomes is unknown.</w:t>
      </w:r>
    </w:p>
    <w:p w:rsidR="00A77B3E" w:rsidRPr="00647F72" w:rsidRDefault="00B34FC9" w:rsidP="002A5CE7">
      <w:pPr>
        <w:spacing w:line="360" w:lineRule="auto"/>
        <w:ind w:firstLineChars="100" w:firstLine="240"/>
        <w:jc w:val="both"/>
      </w:pPr>
      <w:r w:rsidRPr="00647F72">
        <w:rPr>
          <w:rFonts w:ascii="Book Antiqua" w:eastAsia="Book Antiqua" w:hAnsi="Book Antiqua" w:cs="Book Antiqua"/>
          <w:color w:val="000000"/>
        </w:rPr>
        <w:t xml:space="preserve">Existing evidence about outcomes of COVI-19 infection in patients with chronic liver disease is contradictory. A pooled analysis of six studies estimating the impact of chronic liver disease in COVID-19 patients suggested that chronic liver disease and cirrhosis </w:t>
      </w:r>
      <w:r w:rsidR="00183983" w:rsidRPr="00647F72">
        <w:rPr>
          <w:rFonts w:ascii="Book Antiqua" w:eastAsia="Book Antiqua" w:hAnsi="Book Antiqua" w:cs="Book Antiqua"/>
          <w:color w:val="000000"/>
        </w:rPr>
        <w:t xml:space="preserve">seem </w:t>
      </w:r>
      <w:r w:rsidRPr="00647F72">
        <w:rPr>
          <w:rFonts w:ascii="Book Antiqua" w:eastAsia="Book Antiqua" w:hAnsi="Book Antiqua" w:cs="Book Antiqua"/>
          <w:color w:val="000000"/>
        </w:rPr>
        <w:t>to play a minor role in determining patient progression towards the severe forms of the disease; in that study, there was no correlation found between chronic liver disease and increased odds of the severe form of COVID-19 (OR: 0.96, 95%CI: 0.36-2.52) nor with increased odds of mortality (OR: 2.33, 95%CI: 0.77-7.04)</w:t>
      </w:r>
      <w:r w:rsidRPr="00647F72">
        <w:rPr>
          <w:rFonts w:ascii="Book Antiqua" w:eastAsia="Book Antiqua" w:hAnsi="Book Antiqua" w:cs="Book Antiqua"/>
          <w:color w:val="000000"/>
          <w:vertAlign w:val="superscript"/>
        </w:rPr>
        <w:t>[104]</w:t>
      </w:r>
      <w:r w:rsidRPr="00647F72">
        <w:rPr>
          <w:rFonts w:ascii="Book Antiqua" w:eastAsia="Book Antiqua" w:hAnsi="Book Antiqua" w:cs="Book Antiqua"/>
          <w:color w:val="000000"/>
        </w:rPr>
        <w:t xml:space="preserve">. Similar data were reported by Bangash </w:t>
      </w:r>
      <w:r w:rsidRPr="00647F72">
        <w:rPr>
          <w:rFonts w:ascii="Book Antiqua" w:eastAsia="Book Antiqua" w:hAnsi="Book Antiqua" w:cs="Book Antiqua"/>
          <w:i/>
          <w:iCs/>
          <w:color w:val="000000"/>
        </w:rPr>
        <w:t>et al</w:t>
      </w:r>
      <w:r w:rsidRPr="00647F72">
        <w:rPr>
          <w:rFonts w:ascii="Book Antiqua" w:eastAsia="Book Antiqua" w:hAnsi="Book Antiqua" w:cs="Book Antiqua"/>
          <w:color w:val="000000"/>
          <w:vertAlign w:val="superscript"/>
        </w:rPr>
        <w:t>[46]</w:t>
      </w:r>
      <w:r w:rsidRPr="00647F72">
        <w:rPr>
          <w:rFonts w:ascii="Book Antiqua" w:eastAsia="Book Antiqua" w:hAnsi="Book Antiqua" w:cs="Book Antiqua"/>
          <w:color w:val="000000"/>
        </w:rPr>
        <w:t xml:space="preserve">; specifically, a mortality rate of 0 to 2% was shown by COVID-19 patients with liver cirrhosis. A study of 22 patients with chronic liver disease, among which only </w:t>
      </w:r>
      <w:r w:rsidR="00183983" w:rsidRPr="00647F72">
        <w:rPr>
          <w:rFonts w:ascii="Book Antiqua" w:eastAsia="Book Antiqua" w:hAnsi="Book Antiqua" w:cs="Book Antiqua"/>
          <w:color w:val="000000"/>
        </w:rPr>
        <w:t xml:space="preserve">three </w:t>
      </w:r>
      <w:r w:rsidRPr="00647F72">
        <w:rPr>
          <w:rFonts w:ascii="Book Antiqua" w:eastAsia="Book Antiqua" w:hAnsi="Book Antiqua" w:cs="Book Antiqua"/>
          <w:color w:val="000000"/>
        </w:rPr>
        <w:t xml:space="preserve">had liver cirrhosis, found that the only significant difference between patients with chronic liver diseases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those without was the risk of progression to severe forms of COVID-19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&lt; 0.001); however, there were no statistical differences in other variables, such as in-hospital days, death/discharge, or significant changes in liver enzyme values</w:t>
      </w:r>
      <w:r w:rsidRPr="00647F72">
        <w:rPr>
          <w:rFonts w:ascii="Book Antiqua" w:eastAsia="Book Antiqua" w:hAnsi="Book Antiqua" w:cs="Book Antiqua"/>
          <w:color w:val="000000"/>
          <w:vertAlign w:val="superscript"/>
        </w:rPr>
        <w:t>[69]</w:t>
      </w:r>
      <w:r w:rsidRPr="00647F72">
        <w:rPr>
          <w:rFonts w:ascii="Book Antiqua" w:eastAsia="Book Antiqua" w:hAnsi="Book Antiqua" w:cs="Book Antiqua"/>
          <w:color w:val="000000"/>
        </w:rPr>
        <w:t xml:space="preserve">. Finally, a meta-analysis found that the pooled prevalence of chronic liver disease among studies reporting on severity of COVID-19 was 2.64% (95%CI: 1.73-4.00), with 3.03% (95%CI: 1.97-4.64) among severe and 2.20% (95%CI: 1.16 </w:t>
      </w:r>
      <w:r w:rsidR="002A5CE7"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 -4-15) among non-severe COVID-19. The relative risk of chronic liver disease in severe </w:t>
      </w:r>
      <w:r w:rsidRPr="00647F72">
        <w:rPr>
          <w:rFonts w:ascii="Book Antiqua" w:eastAsia="Book Antiqua" w:hAnsi="Book Antiqua" w:cs="Book Antiqua"/>
          <w:i/>
          <w:iCs/>
          <w:color w:val="000000"/>
        </w:rPr>
        <w:t>vs</w:t>
      </w:r>
      <w:r w:rsidRPr="00647F72">
        <w:rPr>
          <w:rFonts w:ascii="Book Antiqua" w:eastAsia="Book Antiqua" w:hAnsi="Book Antiqua" w:cs="Book Antiqua"/>
          <w:color w:val="000000"/>
        </w:rPr>
        <w:t xml:space="preserve"> non-severe patients was 1.69 (95%CI: 1.05-2.73)</w:t>
      </w:r>
      <w:r w:rsidRPr="00647F72">
        <w:rPr>
          <w:rFonts w:ascii="Book Antiqua" w:eastAsia="Book Antiqua" w:hAnsi="Book Antiqua" w:cs="Book Antiqua"/>
          <w:color w:val="000000"/>
          <w:vertAlign w:val="superscript"/>
        </w:rPr>
        <w:t>[105]</w:t>
      </w:r>
      <w:r w:rsidRPr="00647F72">
        <w:rPr>
          <w:rFonts w:ascii="Book Antiqua" w:eastAsia="Book Antiqua" w:hAnsi="Book Antiqua" w:cs="Book Antiqua"/>
          <w:color w:val="000000"/>
        </w:rPr>
        <w:t>.</w:t>
      </w:r>
    </w:p>
    <w:p w:rsidR="00A77B3E" w:rsidRPr="00647F72" w:rsidRDefault="00B34FC9" w:rsidP="002A5CE7">
      <w:pPr>
        <w:spacing w:line="360" w:lineRule="auto"/>
        <w:ind w:firstLineChars="100" w:firstLine="240"/>
        <w:jc w:val="both"/>
      </w:pPr>
      <w:r w:rsidRPr="00647F72">
        <w:rPr>
          <w:rFonts w:ascii="Book Antiqua" w:eastAsia="Book Antiqua" w:hAnsi="Book Antiqua" w:cs="Book Antiqua"/>
          <w:color w:val="000000"/>
        </w:rPr>
        <w:t xml:space="preserve">The controversy in the data involves evidence generated by another meta-analysis which demonstrated that patients with a pre-existing chronic liver disease have </w:t>
      </w:r>
      <w:r w:rsidR="00183983" w:rsidRPr="00647F72">
        <w:rPr>
          <w:rFonts w:ascii="Book Antiqua" w:eastAsia="Book Antiqua" w:hAnsi="Book Antiqua" w:cs="Book Antiqua"/>
          <w:color w:val="000000"/>
        </w:rPr>
        <w:t xml:space="preserve">an </w:t>
      </w:r>
      <w:r w:rsidRPr="00647F72">
        <w:rPr>
          <w:rFonts w:ascii="Book Antiqua" w:eastAsia="Book Antiqua" w:hAnsi="Book Antiqua" w:cs="Book Antiqua"/>
          <w:color w:val="000000"/>
        </w:rPr>
        <w:t>increased risk for severe COVID-19</w:t>
      </w:r>
      <w:r w:rsidR="00183983"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(53.33%) and higher mortality (17.65%)</w:t>
      </w:r>
      <w:r w:rsidRPr="00647F72">
        <w:rPr>
          <w:rFonts w:ascii="Book Antiqua" w:eastAsia="Book Antiqua" w:hAnsi="Book Antiqua" w:cs="Book Antiqua"/>
          <w:color w:val="000000"/>
          <w:vertAlign w:val="superscript"/>
        </w:rPr>
        <w:t>[106]</w:t>
      </w:r>
      <w:r w:rsidRPr="00647F72">
        <w:rPr>
          <w:rFonts w:ascii="Book Antiqua" w:eastAsia="Book Antiqua" w:hAnsi="Book Antiqua" w:cs="Book Antiqua"/>
          <w:color w:val="000000"/>
        </w:rPr>
        <w:t>. This outcome is likely related to coexistent thrombocytopenia and lymphopenia</w:t>
      </w:r>
      <w:r w:rsidRPr="00647F72">
        <w:rPr>
          <w:rFonts w:ascii="Book Antiqua" w:eastAsia="Book Antiqua" w:hAnsi="Book Antiqua" w:cs="Book Antiqua"/>
          <w:color w:val="000000"/>
          <w:vertAlign w:val="superscript"/>
        </w:rPr>
        <w:t>[32,107]</w:t>
      </w:r>
      <w:r w:rsidRPr="00647F72">
        <w:rPr>
          <w:rFonts w:ascii="Book Antiqua" w:eastAsia="Book Antiqua" w:hAnsi="Book Antiqua" w:cs="Book Antiqua"/>
          <w:color w:val="000000"/>
        </w:rPr>
        <w:t xml:space="preserve"> as well as cirrhosis-associated immune dysfunction</w:t>
      </w:r>
      <w:r w:rsidRPr="00647F72">
        <w:rPr>
          <w:rFonts w:ascii="Book Antiqua" w:eastAsia="Book Antiqua" w:hAnsi="Book Antiqua" w:cs="Book Antiqua"/>
          <w:color w:val="000000"/>
          <w:vertAlign w:val="superscript"/>
        </w:rPr>
        <w:t>[108]</w:t>
      </w:r>
      <w:r w:rsidRPr="00647F72">
        <w:rPr>
          <w:rFonts w:ascii="Book Antiqua" w:eastAsia="Book Antiqua" w:hAnsi="Book Antiqua" w:cs="Book Antiqua"/>
          <w:color w:val="000000"/>
        </w:rPr>
        <w:t>; therefore, precautions against SARS-CoV-2 infection are warranted among patients with cirrhosis. In addition, stress and sepsis related to over-imposed bacterial infections in COVID-19 are particularly risky and problematic in patients with decompensated liver cirrhosis, given the associated risk of developing acute-on-chronic liver failure, increasing the underlying risk of death from 26.2% to 63.2%; however, most of the studies have shown the cause of death in most liver cirrhosis patients with COVID-19</w:t>
      </w:r>
      <w:r w:rsidR="00183983"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 xml:space="preserve">not </w:t>
      </w:r>
      <w:r w:rsidR="00183983" w:rsidRPr="00647F72">
        <w:rPr>
          <w:rFonts w:ascii="Book Antiqua" w:eastAsia="Book Antiqua" w:hAnsi="Book Antiqua" w:cs="Book Antiqua"/>
          <w:color w:val="000000"/>
        </w:rPr>
        <w:t xml:space="preserve">to </w:t>
      </w:r>
      <w:r w:rsidRPr="00647F72">
        <w:rPr>
          <w:rFonts w:ascii="Book Antiqua" w:eastAsia="Book Antiqua" w:hAnsi="Book Antiqua" w:cs="Book Antiqua"/>
          <w:color w:val="000000"/>
        </w:rPr>
        <w:t>be due to progressive liver disease but rather to pulmonary disease</w:t>
      </w:r>
      <w:r w:rsidRPr="00647F72">
        <w:rPr>
          <w:rFonts w:ascii="Book Antiqua" w:eastAsia="Book Antiqua" w:hAnsi="Book Antiqua" w:cs="Book Antiqua"/>
          <w:color w:val="000000"/>
          <w:vertAlign w:val="superscript"/>
        </w:rPr>
        <w:t>[107,109]</w:t>
      </w:r>
      <w:r w:rsidRPr="00647F72">
        <w:rPr>
          <w:rFonts w:ascii="Book Antiqua" w:eastAsia="Book Antiqua" w:hAnsi="Book Antiqua" w:cs="Book Antiqua"/>
          <w:color w:val="000000"/>
        </w:rPr>
        <w:t>. Nonetheless, recent studies have found a higher 30-d mortality rate among patients with cirrhosis and COVID-19</w:t>
      </w:r>
      <w:r w:rsidRPr="00647F72">
        <w:rPr>
          <w:rFonts w:ascii="Book Antiqua" w:eastAsia="Book Antiqua" w:hAnsi="Book Antiqua" w:cs="Book Antiqua"/>
          <w:color w:val="000000"/>
          <w:vertAlign w:val="superscript"/>
        </w:rPr>
        <w:t>[110]</w:t>
      </w:r>
      <w:r w:rsidRPr="00647F72">
        <w:rPr>
          <w:rFonts w:ascii="Book Antiqua" w:eastAsia="Book Antiqua" w:hAnsi="Book Antiqua" w:cs="Book Antiqua"/>
          <w:color w:val="000000"/>
        </w:rPr>
        <w:t>, and the presence of cirrhosis has even been proposed as an independent predictor of mortality</w:t>
      </w:r>
      <w:r w:rsidRPr="00647F72">
        <w:rPr>
          <w:rFonts w:ascii="Book Antiqua" w:eastAsia="Book Antiqua" w:hAnsi="Book Antiqua" w:cs="Book Antiqua"/>
          <w:color w:val="000000"/>
          <w:vertAlign w:val="superscript"/>
        </w:rPr>
        <w:t>[71]</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2A5CE7">
      <w:pPr>
        <w:spacing w:line="360" w:lineRule="auto"/>
        <w:jc w:val="both"/>
      </w:pPr>
      <w:r w:rsidRPr="00647F72">
        <w:rPr>
          <w:rFonts w:ascii="Book Antiqua" w:eastAsia="Book Antiqua" w:hAnsi="Book Antiqua" w:cs="Book Antiqua"/>
          <w:b/>
          <w:bCs/>
          <w:i/>
          <w:iCs/>
          <w:color w:val="000000"/>
        </w:rPr>
        <w:t>Treatment recommendations</w:t>
      </w:r>
    </w:p>
    <w:p w:rsidR="002A5CE7" w:rsidRPr="00647F72" w:rsidRDefault="00B34FC9" w:rsidP="002A5CE7">
      <w:pPr>
        <w:spacing w:line="360" w:lineRule="auto"/>
        <w:jc w:val="both"/>
        <w:rPr>
          <w:lang w:eastAsia="zh-CN"/>
        </w:rPr>
      </w:pPr>
      <w:r w:rsidRPr="00647F72">
        <w:rPr>
          <w:rFonts w:ascii="Book Antiqua" w:eastAsia="Book Antiqua" w:hAnsi="Book Antiqua" w:cs="Book Antiqua"/>
          <w:color w:val="000000"/>
        </w:rPr>
        <w:t xml:space="preserve">The current available evidence suggests that COVID-19 patients with liver cirrhosis have worse outcomes and disease progression than those without. Thus, the treatment recommendations by most international associations are as follows: </w:t>
      </w:r>
      <w:r w:rsidR="002A5CE7" w:rsidRPr="00647F72">
        <w:rPr>
          <w:rFonts w:ascii="Book Antiqua" w:hAnsi="Book Antiqua" w:cs="Book Antiqua" w:hint="eastAsia"/>
          <w:color w:val="000000"/>
          <w:lang w:eastAsia="zh-CN"/>
        </w:rPr>
        <w:t>(1</w:t>
      </w:r>
      <w:r w:rsidRPr="00647F72">
        <w:rPr>
          <w:rFonts w:ascii="Book Antiqua" w:eastAsia="Book Antiqua" w:hAnsi="Book Antiqua" w:cs="Book Antiqua"/>
          <w:color w:val="000000"/>
        </w:rPr>
        <w:t xml:space="preserve">) </w:t>
      </w:r>
      <w:r w:rsidR="002A5CE7" w:rsidRPr="00647F72">
        <w:rPr>
          <w:rFonts w:ascii="Book Antiqua" w:hAnsi="Book Antiqua" w:cs="Book Antiqua" w:hint="eastAsia"/>
          <w:color w:val="000000"/>
          <w:lang w:eastAsia="zh-CN"/>
        </w:rPr>
        <w:t>M</w:t>
      </w:r>
      <w:r w:rsidRPr="00647F72">
        <w:rPr>
          <w:rFonts w:ascii="Book Antiqua" w:eastAsia="Book Antiqua" w:hAnsi="Book Antiqua" w:cs="Book Antiqua"/>
          <w:color w:val="000000"/>
        </w:rPr>
        <w:t xml:space="preserve">inimal exposure to medical staff, ideally leveraging telemedicine as the preferred method; </w:t>
      </w:r>
      <w:r w:rsidR="002A5CE7" w:rsidRPr="00647F72">
        <w:rPr>
          <w:rFonts w:ascii="Book Antiqua" w:hAnsi="Book Antiqua" w:cs="Book Antiqua" w:hint="eastAsia"/>
          <w:color w:val="000000"/>
          <w:lang w:eastAsia="zh-CN"/>
        </w:rPr>
        <w:t>(2</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L</w:t>
      </w:r>
      <w:r w:rsidR="00183983" w:rsidRPr="00647F72">
        <w:rPr>
          <w:rFonts w:ascii="Book Antiqua" w:eastAsia="Book Antiqua" w:hAnsi="Book Antiqua" w:cs="Book Antiqua"/>
          <w:color w:val="000000"/>
        </w:rPr>
        <w:t xml:space="preserve">isting </w:t>
      </w:r>
      <w:r w:rsidRPr="00647F72">
        <w:rPr>
          <w:rFonts w:ascii="Book Antiqua" w:eastAsia="Book Antiqua" w:hAnsi="Book Antiqua" w:cs="Book Antiqua"/>
          <w:color w:val="000000"/>
        </w:rPr>
        <w:t xml:space="preserve">for liver transplantation being restricted to patients with acute liver failure or poor short-term prognosis; </w:t>
      </w:r>
      <w:r w:rsidR="002A5CE7" w:rsidRPr="00647F72">
        <w:rPr>
          <w:rFonts w:ascii="Book Antiqua" w:hAnsi="Book Antiqua" w:cs="Book Antiqua" w:hint="eastAsia"/>
          <w:color w:val="000000"/>
          <w:lang w:eastAsia="zh-CN"/>
        </w:rPr>
        <w:t>(3</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P</w:t>
      </w:r>
      <w:r w:rsidR="00183983" w:rsidRPr="00647F72">
        <w:rPr>
          <w:rFonts w:ascii="Book Antiqua" w:eastAsia="Book Antiqua" w:hAnsi="Book Antiqua" w:cs="Book Antiqua"/>
          <w:color w:val="000000"/>
        </w:rPr>
        <w:t xml:space="preserve">rophylaxis </w:t>
      </w:r>
      <w:r w:rsidRPr="00647F72">
        <w:rPr>
          <w:rFonts w:ascii="Book Antiqua" w:eastAsia="Book Antiqua" w:hAnsi="Book Antiqua" w:cs="Book Antiqua"/>
          <w:color w:val="000000"/>
        </w:rPr>
        <w:t xml:space="preserve">regimens for spontaneous bacterial peritonitis and hepatic encephalopathy being strictly followed at home, to prevent decompensation and the need for hospital admissions; </w:t>
      </w:r>
      <w:r w:rsidR="002A5CE7" w:rsidRPr="00647F72">
        <w:rPr>
          <w:rFonts w:ascii="Book Antiqua" w:hAnsi="Book Antiqua" w:cs="Book Antiqua" w:hint="eastAsia"/>
          <w:color w:val="000000"/>
          <w:lang w:eastAsia="zh-CN"/>
        </w:rPr>
        <w:t>(4</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T</w:t>
      </w:r>
      <w:r w:rsidR="00183983" w:rsidRPr="00647F72">
        <w:rPr>
          <w:rFonts w:ascii="Book Antiqua" w:eastAsia="Book Antiqua" w:hAnsi="Book Antiqua" w:cs="Book Antiqua"/>
          <w:color w:val="000000"/>
        </w:rPr>
        <w:t xml:space="preserve">esting </w:t>
      </w:r>
      <w:r w:rsidRPr="00647F72">
        <w:rPr>
          <w:rFonts w:ascii="Book Antiqua" w:eastAsia="Book Antiqua" w:hAnsi="Book Antiqua" w:cs="Book Antiqua"/>
          <w:color w:val="000000"/>
        </w:rPr>
        <w:t>for SARS-CoV-2 for every patient with cirrhosis and acute decompensation or acute-on-chronic liver failure</w:t>
      </w:r>
      <w:r w:rsidRPr="00647F72">
        <w:rPr>
          <w:rFonts w:ascii="Book Antiqua" w:eastAsia="Book Antiqua" w:hAnsi="Book Antiqua" w:cs="Book Antiqua"/>
          <w:color w:val="000000"/>
          <w:vertAlign w:val="superscript"/>
        </w:rPr>
        <w:t>[95]</w:t>
      </w:r>
      <w:r w:rsidRPr="00647F72">
        <w:rPr>
          <w:rFonts w:ascii="Book Antiqua" w:eastAsia="Book Antiqua" w:hAnsi="Book Antiqua" w:cs="Book Antiqua"/>
          <w:color w:val="000000"/>
        </w:rPr>
        <w:t xml:space="preserve">; </w:t>
      </w:r>
      <w:r w:rsidR="002A5CE7" w:rsidRPr="00647F72">
        <w:rPr>
          <w:rFonts w:ascii="Book Antiqua" w:hAnsi="Book Antiqua" w:cs="Book Antiqua" w:hint="eastAsia"/>
          <w:color w:val="000000"/>
          <w:lang w:eastAsia="zh-CN"/>
        </w:rPr>
        <w:t>(5</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I</w:t>
      </w:r>
      <w:r w:rsidR="00F84BCA" w:rsidRPr="00647F72">
        <w:rPr>
          <w:rFonts w:ascii="Book Antiqua" w:eastAsia="Book Antiqua" w:hAnsi="Book Antiqua" w:cs="Book Antiqua"/>
          <w:color w:val="000000"/>
        </w:rPr>
        <w:t>n</w:t>
      </w:r>
      <w:r w:rsidRPr="00647F72">
        <w:rPr>
          <w:rFonts w:ascii="Book Antiqua" w:eastAsia="Book Antiqua" w:hAnsi="Book Antiqua" w:cs="Book Antiqua"/>
          <w:color w:val="000000"/>
        </w:rPr>
        <w:t xml:space="preserve">-person new patient visits being restricted to only those with significant liver diseases, such as jaundice, elevated transaminases &gt; 500 U/L, or recent decompensation; </w:t>
      </w:r>
      <w:r w:rsidR="002A5CE7" w:rsidRPr="00647F72">
        <w:rPr>
          <w:rFonts w:ascii="Book Antiqua" w:hAnsi="Book Antiqua" w:cs="Book Antiqua" w:hint="eastAsia"/>
          <w:color w:val="000000"/>
          <w:lang w:eastAsia="zh-CN"/>
        </w:rPr>
        <w:t>(6</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R</w:t>
      </w:r>
      <w:r w:rsidR="00F84BCA" w:rsidRPr="00647F72">
        <w:rPr>
          <w:rFonts w:ascii="Book Antiqua" w:eastAsia="Book Antiqua" w:hAnsi="Book Antiqua" w:cs="Book Antiqua"/>
          <w:color w:val="000000"/>
        </w:rPr>
        <w:t xml:space="preserve">escheduling </w:t>
      </w:r>
      <w:r w:rsidRPr="00647F72">
        <w:rPr>
          <w:rFonts w:ascii="Book Antiqua" w:eastAsia="Book Antiqua" w:hAnsi="Book Antiqua" w:cs="Book Antiqua"/>
          <w:color w:val="000000"/>
        </w:rPr>
        <w:t xml:space="preserve">elective procedures, such as screening for varices and hepatocellular carcinoma; and </w:t>
      </w:r>
      <w:r w:rsidR="002A5CE7" w:rsidRPr="00647F72">
        <w:rPr>
          <w:rFonts w:ascii="Book Antiqua" w:hAnsi="Book Antiqua" w:cs="Book Antiqua" w:hint="eastAsia"/>
          <w:color w:val="000000"/>
          <w:lang w:eastAsia="zh-CN"/>
        </w:rPr>
        <w:t>(7</w:t>
      </w:r>
      <w:r w:rsidRPr="00647F72">
        <w:rPr>
          <w:rFonts w:ascii="Book Antiqua" w:eastAsia="Book Antiqua" w:hAnsi="Book Antiqua" w:cs="Book Antiqua"/>
          <w:color w:val="000000"/>
        </w:rPr>
        <w:t xml:space="preserve">) </w:t>
      </w:r>
      <w:r w:rsidR="00E81521" w:rsidRPr="00647F72">
        <w:rPr>
          <w:rFonts w:ascii="Book Antiqua" w:hAnsi="Book Antiqua" w:cs="Book Antiqua" w:hint="eastAsia"/>
          <w:color w:val="000000"/>
          <w:lang w:eastAsia="zh-CN"/>
        </w:rPr>
        <w:t>U</w:t>
      </w:r>
      <w:r w:rsidR="00F84BCA" w:rsidRPr="00647F72">
        <w:rPr>
          <w:rFonts w:ascii="Book Antiqua" w:eastAsia="Book Antiqua" w:hAnsi="Book Antiqua" w:cs="Book Antiqua"/>
          <w:color w:val="000000"/>
        </w:rPr>
        <w:t xml:space="preserve">rgent </w:t>
      </w:r>
      <w:r w:rsidRPr="00647F72">
        <w:rPr>
          <w:rFonts w:ascii="Book Antiqua" w:eastAsia="Book Antiqua" w:hAnsi="Book Antiqua" w:cs="Book Antiqua"/>
          <w:color w:val="000000"/>
        </w:rPr>
        <w:t>procedures, such as paracentesis, being performed using a COVID-19-free path in either the hospital or home care</w:t>
      </w:r>
      <w:r w:rsidRPr="00647F72">
        <w:rPr>
          <w:rFonts w:ascii="Book Antiqua" w:eastAsia="Book Antiqua" w:hAnsi="Book Antiqua" w:cs="Book Antiqua"/>
          <w:color w:val="000000"/>
          <w:vertAlign w:val="superscript"/>
        </w:rPr>
        <w:t>[111</w:t>
      </w:r>
      <w:r w:rsidR="002A5CE7" w:rsidRPr="00647F72">
        <w:rPr>
          <w:rFonts w:ascii="Book Antiqua" w:hAnsi="Book Antiqua" w:cs="Book Antiqua" w:hint="eastAsia"/>
          <w:color w:val="000000"/>
          <w:vertAlign w:val="superscript"/>
          <w:lang w:eastAsia="zh-CN"/>
        </w:rPr>
        <w:t>-</w:t>
      </w:r>
      <w:r w:rsidRPr="00647F72">
        <w:rPr>
          <w:rFonts w:ascii="Book Antiqua" w:eastAsia="Book Antiqua" w:hAnsi="Book Antiqua" w:cs="Book Antiqua"/>
          <w:color w:val="000000"/>
          <w:vertAlign w:val="superscript"/>
        </w:rPr>
        <w:t>113]</w:t>
      </w:r>
      <w:r w:rsidRPr="00647F72">
        <w:rPr>
          <w:rFonts w:ascii="Book Antiqua" w:eastAsia="Book Antiqua" w:hAnsi="Book Antiqua" w:cs="Book Antiqua"/>
          <w:color w:val="000000"/>
        </w:rPr>
        <w:t>.</w:t>
      </w:r>
    </w:p>
    <w:p w:rsidR="00A77B3E" w:rsidRPr="00647F72" w:rsidRDefault="00B34FC9" w:rsidP="002A5CE7">
      <w:pPr>
        <w:spacing w:line="360" w:lineRule="auto"/>
        <w:ind w:firstLineChars="100" w:firstLine="240"/>
        <w:jc w:val="both"/>
      </w:pPr>
      <w:r w:rsidRPr="00647F72">
        <w:rPr>
          <w:rFonts w:ascii="Book Antiqua" w:eastAsia="Book Antiqua" w:hAnsi="Book Antiqua" w:cs="Book Antiqua"/>
          <w:color w:val="000000"/>
        </w:rPr>
        <w:t>The data regarding vaccination against SARS-CoV-2 in patients with liver cirrhosis is scarce. Desp</w:t>
      </w:r>
      <w:r w:rsidR="002A5CE7" w:rsidRPr="00647F72">
        <w:rPr>
          <w:rFonts w:ascii="Book Antiqua" w:eastAsia="Book Antiqua" w:hAnsi="Book Antiqua" w:cs="Book Antiqua"/>
          <w:color w:val="000000"/>
        </w:rPr>
        <w:t>ite the inclusion of nearly 100</w:t>
      </w:r>
      <w:r w:rsidRPr="00647F72">
        <w:rPr>
          <w:rFonts w:ascii="Book Antiqua" w:eastAsia="Book Antiqua" w:hAnsi="Book Antiqua" w:cs="Book Antiqua"/>
          <w:color w:val="000000"/>
        </w:rPr>
        <w:t>000 participants in all the vaccination trials, data for patients with liver disease are extremely limited. For example, in the Pfizer vacc</w:t>
      </w:r>
      <w:r w:rsidR="002A5CE7" w:rsidRPr="00647F72">
        <w:rPr>
          <w:rFonts w:ascii="Book Antiqua" w:eastAsia="Book Antiqua" w:hAnsi="Book Antiqua" w:cs="Book Antiqua"/>
          <w:color w:val="000000"/>
        </w:rPr>
        <w:t>ination study, 217 (0.6%) of 37</w:t>
      </w:r>
      <w:r w:rsidRPr="00647F72">
        <w:rPr>
          <w:rFonts w:ascii="Book Antiqua" w:eastAsia="Book Antiqua" w:hAnsi="Book Antiqua" w:cs="Book Antiqua"/>
          <w:color w:val="000000"/>
        </w:rPr>
        <w:t xml:space="preserve">706 participants had liver disease and only </w:t>
      </w:r>
      <w:r w:rsidR="00F84BCA" w:rsidRPr="00647F72">
        <w:rPr>
          <w:rFonts w:ascii="Book Antiqua" w:eastAsia="Book Antiqua" w:hAnsi="Book Antiqua" w:cs="Book Antiqua"/>
          <w:color w:val="000000"/>
        </w:rPr>
        <w:t xml:space="preserve">three </w:t>
      </w:r>
      <w:r w:rsidRPr="00647F72">
        <w:rPr>
          <w:rFonts w:ascii="Book Antiqua" w:eastAsia="Book Antiqua" w:hAnsi="Book Antiqua" w:cs="Book Antiqua"/>
          <w:color w:val="000000"/>
        </w:rPr>
        <w:t xml:space="preserve">(&lt; 0.1%) had moderate to severe liver disease. Similar numbers can be seen in the Moderna trial. Importantly, criteria used to classify liver disease and its severity in each study were not specified. </w:t>
      </w:r>
      <w:r w:rsidR="00F84BCA" w:rsidRPr="00647F72">
        <w:rPr>
          <w:rFonts w:ascii="Book Antiqua" w:eastAsia="Book Antiqua" w:hAnsi="Book Antiqua" w:cs="Book Antiqua"/>
          <w:color w:val="000000"/>
        </w:rPr>
        <w:t>Therefore</w:t>
      </w:r>
      <w:r w:rsidRPr="00647F72">
        <w:rPr>
          <w:rFonts w:ascii="Book Antiqua" w:eastAsia="Book Antiqua" w:hAnsi="Book Antiqua" w:cs="Book Antiqua"/>
          <w:color w:val="000000"/>
        </w:rPr>
        <w:t>, the real SARS-CoV-2 vaccine safety profile and its immunological response in patients with liver cirrhosis will almost completely come from post-licensing, real-world data</w:t>
      </w:r>
      <w:r w:rsidRPr="00647F72">
        <w:rPr>
          <w:rFonts w:ascii="Book Antiqua" w:eastAsia="Book Antiqua" w:hAnsi="Book Antiqua" w:cs="Book Antiqua"/>
          <w:color w:val="000000"/>
          <w:vertAlign w:val="superscript"/>
        </w:rPr>
        <w:t>[114]</w:t>
      </w:r>
      <w:r w:rsidRPr="00647F72">
        <w:rPr>
          <w:rFonts w:ascii="Book Antiqua" w:eastAsia="Book Antiqua" w:hAnsi="Book Antiqua" w:cs="Book Antiqua"/>
          <w:color w:val="000000"/>
        </w:rPr>
        <w:t>.</w:t>
      </w:r>
    </w:p>
    <w:p w:rsidR="00A77B3E" w:rsidRPr="00647F72" w:rsidRDefault="00B34FC9" w:rsidP="002A5CE7">
      <w:pPr>
        <w:spacing w:line="360" w:lineRule="auto"/>
        <w:ind w:firstLineChars="100" w:firstLine="240"/>
        <w:jc w:val="both"/>
      </w:pPr>
      <w:r w:rsidRPr="00647F72">
        <w:rPr>
          <w:rFonts w:ascii="Book Antiqua" w:eastAsia="Book Antiqua" w:hAnsi="Book Antiqua" w:cs="Book Antiqua"/>
          <w:color w:val="000000"/>
        </w:rPr>
        <w:t>We must not forget the underlying deficiencies in innate and humoral immunity, termed cirrhosis-associated immune dysfunction, that are present in patients with advanced liver disease. It can be hypothesized that this may confer an attenuated immune response to vaccination, but this remains to be verified</w:t>
      </w:r>
      <w:r w:rsidRPr="00647F72">
        <w:rPr>
          <w:rFonts w:ascii="Book Antiqua" w:eastAsia="Book Antiqua" w:hAnsi="Book Antiqua" w:cs="Book Antiqua"/>
          <w:color w:val="000000"/>
          <w:vertAlign w:val="superscript"/>
        </w:rPr>
        <w:t>[115]</w:t>
      </w:r>
      <w:r w:rsidRPr="00647F72">
        <w:rPr>
          <w:rFonts w:ascii="Book Antiqua" w:eastAsia="Book Antiqua" w:hAnsi="Book Antiqua" w:cs="Book Antiqua"/>
          <w:color w:val="000000"/>
        </w:rPr>
        <w:t>. Nonetheless, taking into account the risk of COVID-19 progression in these patients (as described above) and considering that there are no absolute contraindications to SARS-CoV-2 vaccination in cirrhosis, it is fundamental to prioritize immunization in this subgroup. AASLD recommendations establish that, when the supply of COVID-19 vaccine is limited, it is reasonable to prioritize patients with higher model for end-stage liver disease and Child-Turcotte-Pugh scores for vaccination together with those who are anticipated to undergo imminent liver transplantation; ideally, however, all chronic liver disease patients should be vaccinated whenever possible</w:t>
      </w:r>
      <w:r w:rsidRPr="00647F72">
        <w:rPr>
          <w:rFonts w:ascii="Book Antiqua" w:eastAsia="Book Antiqua" w:hAnsi="Book Antiqua" w:cs="Book Antiqua"/>
          <w:color w:val="000000"/>
          <w:vertAlign w:val="superscript"/>
        </w:rPr>
        <w:t>[114,116,117]</w:t>
      </w:r>
      <w:r w:rsidRPr="00647F72">
        <w:rPr>
          <w:rFonts w:ascii="Book Antiqua" w:eastAsia="Book Antiqua" w:hAnsi="Book Antiqua" w:cs="Book Antiqua"/>
          <w:color w:val="000000"/>
        </w:rPr>
        <w:t>.</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aps/>
          <w:color w:val="000000"/>
          <w:u w:val="single"/>
        </w:rPr>
        <w:t>Miscellaneous</w:t>
      </w:r>
    </w:p>
    <w:p w:rsidR="00A77B3E" w:rsidRPr="00647F72" w:rsidRDefault="002A5CE7">
      <w:pPr>
        <w:spacing w:line="360" w:lineRule="auto"/>
        <w:jc w:val="both"/>
      </w:pPr>
      <w:r w:rsidRPr="00647F72">
        <w:rPr>
          <w:rFonts w:ascii="Book Antiqua" w:eastAsia="Book Antiqua" w:hAnsi="Book Antiqua" w:cs="Book Antiqua"/>
          <w:b/>
          <w:bCs/>
          <w:i/>
          <w:iCs/>
          <w:color w:val="000000"/>
        </w:rPr>
        <w:t>Autoimmune hepatitis</w:t>
      </w:r>
    </w:p>
    <w:p w:rsidR="00A77B3E" w:rsidRPr="00647F72" w:rsidRDefault="00B34FC9">
      <w:pPr>
        <w:spacing w:line="360" w:lineRule="auto"/>
        <w:jc w:val="both"/>
      </w:pPr>
      <w:r w:rsidRPr="00647F72">
        <w:rPr>
          <w:rFonts w:ascii="Book Antiqua" w:eastAsia="Book Antiqua" w:hAnsi="Book Antiqua" w:cs="Book Antiqua"/>
          <w:color w:val="000000"/>
        </w:rPr>
        <w:t xml:space="preserve">Treatment of </w:t>
      </w:r>
      <w:r w:rsidR="002A5CE7" w:rsidRPr="00647F72">
        <w:rPr>
          <w:rFonts w:ascii="Book Antiqua" w:hAnsi="Book Antiqua" w:cs="Book Antiqua" w:hint="eastAsia"/>
          <w:color w:val="000000"/>
          <w:lang w:eastAsia="zh-CN"/>
        </w:rPr>
        <w:t>a</w:t>
      </w:r>
      <w:r w:rsidR="002A5CE7" w:rsidRPr="00647F72">
        <w:rPr>
          <w:rFonts w:ascii="Book Antiqua" w:eastAsia="Book Antiqua" w:hAnsi="Book Antiqua" w:cs="Book Antiqua"/>
          <w:color w:val="000000"/>
        </w:rPr>
        <w:t>utoimmune hepatitis (AIH)</w:t>
      </w:r>
      <w:r w:rsidRPr="00647F72">
        <w:rPr>
          <w:rFonts w:ascii="Book Antiqua" w:eastAsia="Book Antiqua" w:hAnsi="Book Antiqua" w:cs="Book Antiqua"/>
          <w:color w:val="000000"/>
        </w:rPr>
        <w:t xml:space="preserve"> has posed a challenge during this COVID-19 pandemic. One of the main challenges is the management with immunosuppressive drugs, since these medications are associated with an increased risk of severe viral infections</w:t>
      </w:r>
      <w:r w:rsidRPr="00647F72">
        <w:rPr>
          <w:rFonts w:ascii="Book Antiqua" w:eastAsia="Book Antiqua" w:hAnsi="Book Antiqua" w:cs="Book Antiqua"/>
          <w:color w:val="000000"/>
          <w:vertAlign w:val="superscript"/>
        </w:rPr>
        <w:t>[118]</w:t>
      </w:r>
      <w:r w:rsidRPr="00647F72">
        <w:rPr>
          <w:rFonts w:ascii="Book Antiqua" w:eastAsia="Book Antiqua" w:hAnsi="Book Antiqua" w:cs="Book Antiqua"/>
          <w:color w:val="000000"/>
        </w:rPr>
        <w:t>. COVID-19</w:t>
      </w:r>
      <w:r w:rsidR="00F84BC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has been hypothesized to decompensate or increase the risk of an unfavorable course of liver disease</w:t>
      </w:r>
      <w:r w:rsidRPr="00647F72">
        <w:rPr>
          <w:rFonts w:ascii="Book Antiqua" w:eastAsia="Book Antiqua" w:hAnsi="Book Antiqua" w:cs="Book Antiqua"/>
          <w:color w:val="000000"/>
          <w:vertAlign w:val="superscript"/>
        </w:rPr>
        <w:t>[99]</w:t>
      </w:r>
      <w:r w:rsidRPr="00647F72">
        <w:rPr>
          <w:rFonts w:ascii="Book Antiqua" w:eastAsia="Book Antiqua" w:hAnsi="Book Antiqua" w:cs="Book Antiqua"/>
          <w:color w:val="000000"/>
        </w:rPr>
        <w:t xml:space="preserve">. In a small cohort in northern Italy of </w:t>
      </w:r>
      <w:r w:rsidR="00F84BCA" w:rsidRPr="00647F72">
        <w:rPr>
          <w:rFonts w:ascii="Book Antiqua" w:eastAsia="Book Antiqua" w:hAnsi="Book Antiqua" w:cs="Book Antiqua"/>
          <w:color w:val="000000"/>
        </w:rPr>
        <w:t xml:space="preserve">ten </w:t>
      </w:r>
      <w:r w:rsidRPr="00647F72">
        <w:rPr>
          <w:rFonts w:ascii="Book Antiqua" w:eastAsia="Book Antiqua" w:hAnsi="Book Antiqua" w:cs="Book Antiqua"/>
          <w:color w:val="000000"/>
        </w:rPr>
        <w:t xml:space="preserve">AIH patients on immunosuppressive treatment who became infected with COVID-19, </w:t>
      </w:r>
      <w:r w:rsidR="00F84BCA" w:rsidRPr="00647F72">
        <w:rPr>
          <w:rFonts w:ascii="Book Antiqua" w:eastAsia="Book Antiqua" w:hAnsi="Book Antiqua" w:cs="Book Antiqua"/>
          <w:color w:val="000000"/>
        </w:rPr>
        <w:t xml:space="preserve">five </w:t>
      </w:r>
      <w:r w:rsidRPr="00647F72">
        <w:rPr>
          <w:rFonts w:ascii="Book Antiqua" w:eastAsia="Book Antiqua" w:hAnsi="Book Antiqua" w:cs="Book Antiqua"/>
          <w:color w:val="000000"/>
        </w:rPr>
        <w:t xml:space="preserve">developed </w:t>
      </w:r>
      <w:r w:rsidR="00F84BCA" w:rsidRPr="00647F72">
        <w:rPr>
          <w:rFonts w:ascii="Book Antiqua" w:eastAsia="Book Antiqua" w:hAnsi="Book Antiqua" w:cs="Book Antiqua"/>
          <w:color w:val="000000"/>
        </w:rPr>
        <w:t xml:space="preserve">COVID-19 </w:t>
      </w:r>
      <w:r w:rsidRPr="00647F72">
        <w:rPr>
          <w:rFonts w:ascii="Book Antiqua" w:eastAsia="Book Antiqua" w:hAnsi="Book Antiqua" w:cs="Book Antiqua"/>
          <w:color w:val="000000"/>
        </w:rPr>
        <w:t xml:space="preserve">pneumonia, with only </w:t>
      </w:r>
      <w:r w:rsidR="00F84BCA" w:rsidRPr="00647F72">
        <w:rPr>
          <w:rFonts w:ascii="Book Antiqua" w:eastAsia="Book Antiqua" w:hAnsi="Book Antiqua" w:cs="Book Antiqua"/>
          <w:color w:val="000000"/>
        </w:rPr>
        <w:t xml:space="preserve">one </w:t>
      </w:r>
      <w:r w:rsidRPr="00647F72">
        <w:rPr>
          <w:rFonts w:ascii="Book Antiqua" w:eastAsia="Book Antiqua" w:hAnsi="Book Antiqua" w:cs="Book Antiqua"/>
          <w:color w:val="000000"/>
        </w:rPr>
        <w:t>patient dying (who had decompensated cirrhosis previously), while the rest of the patients fully recovered. Regarding the impact of the COVID-19</w:t>
      </w:r>
      <w:r w:rsidR="00F84BC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 xml:space="preserve">on AIH, only </w:t>
      </w:r>
      <w:r w:rsidR="00F84BCA" w:rsidRPr="00647F72">
        <w:rPr>
          <w:rFonts w:ascii="Book Antiqua" w:eastAsia="Book Antiqua" w:hAnsi="Book Antiqua" w:cs="Book Antiqua"/>
          <w:color w:val="000000"/>
        </w:rPr>
        <w:t xml:space="preserve">one </w:t>
      </w:r>
      <w:r w:rsidRPr="00647F72">
        <w:rPr>
          <w:rFonts w:ascii="Book Antiqua" w:eastAsia="Book Antiqua" w:hAnsi="Book Antiqua" w:cs="Book Antiqua"/>
          <w:color w:val="000000"/>
        </w:rPr>
        <w:t>patient presented relapse associated with the interruption of immunosuppressive treatment; it was concluded that patients with AIH under immunosuppressive and COVID-19 treatment have no increased risk of severity or complications of COVID-19 disease when compared to the general population</w:t>
      </w:r>
      <w:r w:rsidRPr="00647F72">
        <w:rPr>
          <w:rFonts w:ascii="Book Antiqua" w:eastAsia="Book Antiqua" w:hAnsi="Book Antiqua" w:cs="Book Antiqua"/>
          <w:color w:val="000000"/>
          <w:vertAlign w:val="superscript"/>
        </w:rPr>
        <w:t>[119]</w:t>
      </w:r>
      <w:r w:rsidRPr="00647F72">
        <w:rPr>
          <w:rFonts w:ascii="Book Antiqua" w:eastAsia="Book Antiqua" w:hAnsi="Book Antiqua" w:cs="Book Antiqua"/>
          <w:color w:val="000000"/>
        </w:rPr>
        <w:t>. A multicenter study that included 70 AIH patients with COVID-19, where 58 patients were on immunosuppressant therapy, and of who</w:t>
      </w:r>
      <w:r w:rsidR="00F84BCA" w:rsidRPr="00647F72">
        <w:rPr>
          <w:rFonts w:ascii="Book Antiqua" w:eastAsia="Book Antiqua" w:hAnsi="Book Antiqua" w:cs="Book Antiqua"/>
          <w:color w:val="000000"/>
        </w:rPr>
        <w:t>m</w:t>
      </w:r>
      <w:r w:rsidRPr="00647F72">
        <w:rPr>
          <w:rFonts w:ascii="Book Antiqua" w:eastAsia="Book Antiqua" w:hAnsi="Book Antiqua" w:cs="Book Antiqua"/>
          <w:color w:val="000000"/>
        </w:rPr>
        <w:t xml:space="preserve"> 52% received combined immunosuppressant therapy, found that 65</w:t>
      </w:r>
      <w:r w:rsidR="00F84BC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 xml:space="preserve">(93%) </w:t>
      </w:r>
      <w:r w:rsidR="00F84BCA" w:rsidRPr="00647F72">
        <w:rPr>
          <w:rFonts w:ascii="Book Antiqua" w:eastAsia="Book Antiqua" w:hAnsi="Book Antiqua" w:cs="Book Antiqua"/>
          <w:color w:val="000000"/>
        </w:rPr>
        <w:t xml:space="preserve">patients </w:t>
      </w:r>
      <w:r w:rsidRPr="00647F72">
        <w:rPr>
          <w:rFonts w:ascii="Book Antiqua" w:eastAsia="Book Antiqua" w:hAnsi="Book Antiqua" w:cs="Book Antiqua"/>
          <w:color w:val="000000"/>
        </w:rPr>
        <w:t>reported clinical symptoms, mainly respiratory (74%) and gastrointestinal (26%), and 15% were asymptomatic. Mortality occurred in 16</w:t>
      </w:r>
      <w:r w:rsidR="00F84BC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(22.8%)</w:t>
      </w:r>
      <w:r w:rsidR="00F84BCA" w:rsidRPr="00647F72">
        <w:rPr>
          <w:rFonts w:ascii="Book Antiqua" w:eastAsia="Book Antiqua" w:hAnsi="Book Antiqua" w:cs="Book Antiqua"/>
          <w:color w:val="000000"/>
        </w:rPr>
        <w:t xml:space="preserve"> patients</w:t>
      </w:r>
      <w:r w:rsidRPr="00647F72">
        <w:rPr>
          <w:rFonts w:ascii="Book Antiqua" w:eastAsia="Book Antiqua" w:hAnsi="Book Antiqua" w:cs="Book Antiqua"/>
          <w:color w:val="000000"/>
        </w:rPr>
        <w:t xml:space="preserve">; among those who died, the causes were attributed to a pulmonary etiology in </w:t>
      </w:r>
      <w:r w:rsidR="00F84BCA" w:rsidRPr="00647F72">
        <w:rPr>
          <w:rFonts w:ascii="Book Antiqua" w:eastAsia="Book Antiqua" w:hAnsi="Book Antiqua" w:cs="Book Antiqua"/>
          <w:color w:val="000000"/>
        </w:rPr>
        <w:t xml:space="preserve">nine </w:t>
      </w:r>
      <w:r w:rsidRPr="00647F72">
        <w:rPr>
          <w:rFonts w:ascii="Book Antiqua" w:eastAsia="Book Antiqua" w:hAnsi="Book Antiqua" w:cs="Book Antiqua"/>
          <w:color w:val="000000"/>
        </w:rPr>
        <w:t xml:space="preserve">(56%), liver etiology in </w:t>
      </w:r>
      <w:r w:rsidR="00F84BCA" w:rsidRPr="00647F72">
        <w:rPr>
          <w:rFonts w:ascii="Book Antiqua" w:eastAsia="Book Antiqua" w:hAnsi="Book Antiqua" w:cs="Book Antiqua"/>
          <w:color w:val="000000"/>
        </w:rPr>
        <w:t xml:space="preserve">five </w:t>
      </w:r>
      <w:r w:rsidRPr="00647F72">
        <w:rPr>
          <w:rFonts w:ascii="Book Antiqua" w:eastAsia="Book Antiqua" w:hAnsi="Book Antiqua" w:cs="Book Antiqua"/>
          <w:color w:val="000000"/>
        </w:rPr>
        <w:t>(31%)</w:t>
      </w:r>
      <w:r w:rsidR="00F84BCA"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cardiac etiology in </w:t>
      </w:r>
      <w:r w:rsidR="00F84BCA" w:rsidRPr="00647F72">
        <w:rPr>
          <w:rFonts w:ascii="Book Antiqua" w:eastAsia="Book Antiqua" w:hAnsi="Book Antiqua" w:cs="Book Antiqua"/>
          <w:color w:val="000000"/>
        </w:rPr>
        <w:t xml:space="preserve">two </w:t>
      </w:r>
      <w:r w:rsidRPr="00647F72">
        <w:rPr>
          <w:rFonts w:ascii="Book Antiqua" w:eastAsia="Book Antiqua" w:hAnsi="Book Antiqua" w:cs="Book Antiqua"/>
          <w:color w:val="000000"/>
        </w:rPr>
        <w:t>(13%). The factors associated with death in AIH patients were age (OR: 2.01 per 10 years, 95%CI: 1.07</w:t>
      </w:r>
      <w:r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3.81,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0.031), Child-Pugh B score (OR: 42.48, 95%CI: 4.41–409.53,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0.001), and Child Pugh C score (OR: 69.30, 95%CI: 2.83</w:t>
      </w:r>
      <w:r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1694.50, </w:t>
      </w:r>
      <w:r w:rsidRPr="00647F72">
        <w:rPr>
          <w:rFonts w:ascii="Book Antiqua" w:eastAsia="Book Antiqua" w:hAnsi="Book Antiqua" w:cs="Book Antiqua"/>
          <w:i/>
          <w:iCs/>
          <w:color w:val="000000"/>
        </w:rPr>
        <w:t>P</w:t>
      </w:r>
      <w:r w:rsidRPr="00647F72">
        <w:rPr>
          <w:rFonts w:ascii="Book Antiqua" w:eastAsia="Book Antiqua" w:hAnsi="Book Antiqua" w:cs="Book Antiqua"/>
          <w:color w:val="000000"/>
        </w:rPr>
        <w:t xml:space="preserve"> = 0.009) unrelated to immunosuppressant use and death</w:t>
      </w:r>
      <w:r w:rsidRPr="00647F72">
        <w:rPr>
          <w:rFonts w:ascii="Book Antiqua" w:eastAsia="Book Antiqua" w:hAnsi="Book Antiqua" w:cs="Book Antiqua"/>
          <w:color w:val="000000"/>
          <w:vertAlign w:val="superscript"/>
        </w:rPr>
        <w:t>[120]</w:t>
      </w:r>
      <w:r w:rsidRPr="00647F72">
        <w:rPr>
          <w:rFonts w:ascii="Book Antiqua" w:eastAsia="Book Antiqua" w:hAnsi="Book Antiqua" w:cs="Book Antiqua"/>
          <w:color w:val="000000"/>
        </w:rPr>
        <w:t>. When comparing this group of patients with a cohort of patients with liver disease without AIH, the authors did not find a statistical difference among groups, concluding that AIH patients on immunosuppressive therapy are not associated with</w:t>
      </w:r>
      <w:r w:rsidR="00F84BCA" w:rsidRPr="00647F72">
        <w:rPr>
          <w:rFonts w:ascii="Book Antiqua" w:eastAsia="Book Antiqua" w:hAnsi="Book Antiqua" w:cs="Book Antiqua"/>
          <w:color w:val="000000"/>
        </w:rPr>
        <w:t xml:space="preserve"> an</w:t>
      </w:r>
      <w:r w:rsidRPr="00647F72">
        <w:rPr>
          <w:rFonts w:ascii="Book Antiqua" w:eastAsia="Book Antiqua" w:hAnsi="Book Antiqua" w:cs="Book Antiqua"/>
          <w:color w:val="000000"/>
        </w:rPr>
        <w:t xml:space="preserve"> increased risk or severity of SARS-COV-2 infection; therefore, the recommendation is not to decrease or discontinue immunosuppressive treatment in patients with AIH and COVID-19, due to the risk of decompensation of liver disease.</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i/>
          <w:iCs/>
          <w:color w:val="000000"/>
        </w:rPr>
        <w:t>Viral hepatitis</w:t>
      </w:r>
    </w:p>
    <w:p w:rsidR="00A77B3E" w:rsidRPr="00647F72" w:rsidRDefault="00B34FC9">
      <w:pPr>
        <w:spacing w:line="360" w:lineRule="auto"/>
        <w:jc w:val="both"/>
      </w:pPr>
      <w:r w:rsidRPr="00647F72">
        <w:rPr>
          <w:rFonts w:ascii="Book Antiqua" w:eastAsia="Book Antiqua" w:hAnsi="Book Antiqua" w:cs="Book Antiqua"/>
          <w:color w:val="000000"/>
        </w:rPr>
        <w:t>Hepatitis B (HB) and hepatitis C (HC)</w:t>
      </w:r>
      <w:r w:rsidR="00F84BC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represent major global public health problems</w:t>
      </w:r>
      <w:r w:rsidRPr="00647F72">
        <w:rPr>
          <w:rFonts w:ascii="Book Antiqua" w:eastAsia="Book Antiqua" w:hAnsi="Book Antiqua" w:cs="Book Antiqua"/>
          <w:color w:val="000000"/>
          <w:vertAlign w:val="superscript"/>
        </w:rPr>
        <w:t>[121,122]</w:t>
      </w:r>
      <w:r w:rsidRPr="00647F72">
        <w:rPr>
          <w:rFonts w:ascii="Book Antiqua" w:eastAsia="Book Antiqua" w:hAnsi="Book Antiqua" w:cs="Book Antiqua"/>
          <w:color w:val="000000"/>
        </w:rPr>
        <w:t>. The coinfection of SARS-CoV-2 and HB and/or HC depends on local prevalence. For example, a Chinese study of a cohort of 1099 cases of COVID-19 patients demonstrated that 23 (2.1%) had pre-existing HB; in contrast, in the northeastern United States, a series of 5700 patients hospitalized with COVID-19 showed a prevalence of 0.1% HB and &lt; 0.1% HC</w:t>
      </w:r>
      <w:r w:rsidRPr="00647F72">
        <w:rPr>
          <w:rFonts w:ascii="Book Antiqua" w:eastAsia="Book Antiqua" w:hAnsi="Book Antiqua" w:cs="Book Antiqua"/>
          <w:color w:val="000000"/>
          <w:vertAlign w:val="superscript"/>
        </w:rPr>
        <w:t>[29,52]</w:t>
      </w:r>
      <w:r w:rsidRPr="00647F72">
        <w:rPr>
          <w:rFonts w:ascii="Book Antiqua" w:eastAsia="Book Antiqua" w:hAnsi="Book Antiqua" w:cs="Book Antiqua"/>
          <w:color w:val="000000"/>
        </w:rPr>
        <w:t>.</w:t>
      </w:r>
    </w:p>
    <w:p w:rsidR="00A77B3E" w:rsidRPr="00647F72" w:rsidRDefault="00B34FC9" w:rsidP="00B34FC9">
      <w:pPr>
        <w:spacing w:line="360" w:lineRule="auto"/>
        <w:ind w:firstLineChars="100" w:firstLine="240"/>
        <w:jc w:val="both"/>
      </w:pPr>
      <w:r w:rsidRPr="00647F72">
        <w:rPr>
          <w:rFonts w:ascii="Book Antiqua" w:eastAsia="Book Antiqua" w:hAnsi="Book Antiqua" w:cs="Book Antiqua"/>
          <w:color w:val="000000"/>
        </w:rPr>
        <w:t>The impact on the evolution of COVID-19 and HB superinfection is uncertain. The first reports of the cohort in Wuhan, China found that 2.1% (23/1099) of patients with HB accounted for 0.6% of severe cases</w:t>
      </w:r>
      <w:r w:rsidRPr="00647F72">
        <w:rPr>
          <w:rFonts w:ascii="Book Antiqua" w:eastAsia="Book Antiqua" w:hAnsi="Book Antiqua" w:cs="Book Antiqua"/>
          <w:color w:val="000000"/>
          <w:vertAlign w:val="superscript"/>
        </w:rPr>
        <w:t>[52]</w:t>
      </w:r>
      <w:r w:rsidRPr="00647F72">
        <w:rPr>
          <w:rFonts w:ascii="Book Antiqua" w:eastAsia="Book Antiqua" w:hAnsi="Book Antiqua" w:cs="Book Antiqua"/>
          <w:color w:val="000000"/>
        </w:rPr>
        <w:t>. Another report from different hospitals in China involving a cohort of 571 patients showed that 15</w:t>
      </w:r>
      <w:r w:rsidR="00F84BC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 xml:space="preserve">(2.63%) </w:t>
      </w:r>
      <w:r w:rsidR="00F84BCA" w:rsidRPr="00647F72">
        <w:rPr>
          <w:rFonts w:ascii="Book Antiqua" w:eastAsia="Book Antiqua" w:hAnsi="Book Antiqua" w:cs="Book Antiqua"/>
          <w:color w:val="000000"/>
        </w:rPr>
        <w:t xml:space="preserve">patients </w:t>
      </w:r>
      <w:r w:rsidRPr="00647F72">
        <w:rPr>
          <w:rFonts w:ascii="Book Antiqua" w:eastAsia="Book Antiqua" w:hAnsi="Book Antiqua" w:cs="Book Antiqua"/>
          <w:color w:val="000000"/>
        </w:rPr>
        <w:t xml:space="preserve">had underlying HB; the incidence of admission to ICU </w:t>
      </w:r>
      <w:r w:rsidR="00F84BCA" w:rsidRPr="00647F72">
        <w:rPr>
          <w:rFonts w:ascii="Book Antiqua" w:eastAsia="Book Antiqua" w:hAnsi="Book Antiqua" w:cs="Book Antiqua"/>
          <w:color w:val="000000"/>
        </w:rPr>
        <w:t xml:space="preserve">and </w:t>
      </w:r>
      <w:r w:rsidRPr="00647F72">
        <w:rPr>
          <w:rFonts w:ascii="Book Antiqua" w:eastAsia="Book Antiqua" w:hAnsi="Book Antiqua" w:cs="Book Antiqua"/>
          <w:color w:val="000000"/>
        </w:rPr>
        <w:t>death in the HB group was 0% and 6.47% (36/556), respectively, in the non-HB group</w:t>
      </w:r>
      <w:r w:rsidRPr="00647F72">
        <w:rPr>
          <w:rFonts w:ascii="Book Antiqua" w:eastAsia="Book Antiqua" w:hAnsi="Book Antiqua" w:cs="Book Antiqua"/>
          <w:color w:val="000000"/>
          <w:vertAlign w:val="superscript"/>
        </w:rPr>
        <w:t>[123]</w:t>
      </w:r>
      <w:r w:rsidRPr="00647F72">
        <w:rPr>
          <w:rFonts w:ascii="Book Antiqua" w:eastAsia="Book Antiqua" w:hAnsi="Book Antiqua" w:cs="Book Antiqua"/>
          <w:color w:val="000000"/>
        </w:rPr>
        <w:t>. Contradictory data stem from other studies. A retrospective study of 70 patients with COVID-19 and HB</w:t>
      </w:r>
      <w:r w:rsidR="00F84BC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documented a higher susceptibility of acquiring COVID-19, as well as higher rates of hepatic damage and coagulation disorders and severity of the disease, without having an impact on hospital stay or mortality</w:t>
      </w:r>
      <w:r w:rsidRPr="00647F72">
        <w:rPr>
          <w:rFonts w:ascii="Book Antiqua" w:eastAsia="Book Antiqua" w:hAnsi="Book Antiqua" w:cs="Book Antiqua"/>
          <w:color w:val="000000"/>
          <w:vertAlign w:val="superscript"/>
        </w:rPr>
        <w:t>[124]</w:t>
      </w:r>
      <w:r w:rsidRPr="00647F72">
        <w:rPr>
          <w:rFonts w:ascii="Book Antiqua" w:eastAsia="Book Antiqua" w:hAnsi="Book Antiqua" w:cs="Book Antiqua"/>
          <w:color w:val="000000"/>
        </w:rPr>
        <w:t>. A retrospective study of 123 patients with COVID-19, found that HB was present in 15</w:t>
      </w:r>
      <w:r w:rsidR="00F84BCA" w:rsidRPr="00647F72">
        <w:rPr>
          <w:rFonts w:ascii="Book Antiqua" w:eastAsia="Book Antiqua" w:hAnsi="Book Antiqua" w:cs="Book Antiqua"/>
          <w:color w:val="000000"/>
        </w:rPr>
        <w:t xml:space="preserve"> </w:t>
      </w:r>
      <w:r w:rsidRPr="00647F72">
        <w:rPr>
          <w:rFonts w:ascii="Book Antiqua" w:eastAsia="Book Antiqua" w:hAnsi="Book Antiqua" w:cs="Book Antiqua"/>
          <w:color w:val="000000"/>
        </w:rPr>
        <w:t>(12.2%)</w:t>
      </w:r>
      <w:r w:rsidR="00F84BCA" w:rsidRPr="00647F72">
        <w:rPr>
          <w:rFonts w:ascii="Book Antiqua" w:eastAsia="Book Antiqua" w:hAnsi="Book Antiqua" w:cs="Book Antiqua"/>
          <w:color w:val="000000"/>
        </w:rPr>
        <w:t xml:space="preserve"> patients</w:t>
      </w:r>
      <w:r w:rsidRPr="00647F72">
        <w:rPr>
          <w:rFonts w:ascii="Book Antiqua" w:eastAsia="Book Antiqua" w:hAnsi="Book Antiqua" w:cs="Book Antiqua"/>
          <w:color w:val="000000"/>
        </w:rPr>
        <w:t xml:space="preserve">, among who 11 (73.3%) evolved favorably and were discharged from the hospital uneventfully; out of the </w:t>
      </w:r>
      <w:r w:rsidR="00F84BCA" w:rsidRPr="00647F72">
        <w:rPr>
          <w:rFonts w:ascii="Book Antiqua" w:eastAsia="Book Antiqua" w:hAnsi="Book Antiqua" w:cs="Book Antiqua"/>
          <w:color w:val="000000"/>
        </w:rPr>
        <w:t xml:space="preserve">four </w:t>
      </w:r>
      <w:r w:rsidRPr="00647F72">
        <w:rPr>
          <w:rFonts w:ascii="Book Antiqua" w:eastAsia="Book Antiqua" w:hAnsi="Book Antiqua" w:cs="Book Antiqua"/>
          <w:color w:val="000000"/>
        </w:rPr>
        <w:t xml:space="preserve">who remained in the hospital, </w:t>
      </w:r>
      <w:r w:rsidR="00F84BCA" w:rsidRPr="00647F72">
        <w:rPr>
          <w:rFonts w:ascii="Book Antiqua" w:eastAsia="Book Antiqua" w:hAnsi="Book Antiqua" w:cs="Book Antiqua"/>
          <w:color w:val="000000"/>
        </w:rPr>
        <w:t xml:space="preserve">two </w:t>
      </w:r>
      <w:r w:rsidRPr="00647F72">
        <w:rPr>
          <w:rFonts w:ascii="Book Antiqua" w:eastAsia="Book Antiqua" w:hAnsi="Book Antiqua" w:cs="Book Antiqua"/>
          <w:color w:val="000000"/>
        </w:rPr>
        <w:t xml:space="preserve">(13.3%) died from digestive bleeding. In comparison, the mortality rate was lower in the group of 108 patients with COVID-19 without HB, among which only </w:t>
      </w:r>
      <w:r w:rsidR="00F84BCA" w:rsidRPr="00647F72">
        <w:rPr>
          <w:rFonts w:ascii="Book Antiqua" w:eastAsia="Book Antiqua" w:hAnsi="Book Antiqua" w:cs="Book Antiqua"/>
          <w:color w:val="000000"/>
        </w:rPr>
        <w:t xml:space="preserve">eight </w:t>
      </w:r>
      <w:r w:rsidRPr="00647F72">
        <w:rPr>
          <w:rFonts w:ascii="Book Antiqua" w:eastAsia="Book Antiqua" w:hAnsi="Book Antiqua" w:cs="Book Antiqua"/>
          <w:color w:val="000000"/>
        </w:rPr>
        <w:t xml:space="preserve">(5.6%) remained in the hospital and </w:t>
      </w:r>
      <w:r w:rsidR="00F84BCA" w:rsidRPr="00647F72">
        <w:rPr>
          <w:rFonts w:ascii="Book Antiqua" w:eastAsia="Book Antiqua" w:hAnsi="Book Antiqua" w:cs="Book Antiqua"/>
          <w:color w:val="000000"/>
        </w:rPr>
        <w:t xml:space="preserve">three </w:t>
      </w:r>
      <w:r w:rsidRPr="00647F72">
        <w:rPr>
          <w:rFonts w:ascii="Book Antiqua" w:eastAsia="Book Antiqua" w:hAnsi="Book Antiqua" w:cs="Book Antiqua"/>
          <w:color w:val="000000"/>
        </w:rPr>
        <w:t>(2.8%) died due to respiratory failure</w:t>
      </w:r>
      <w:r w:rsidRPr="00647F72">
        <w:rPr>
          <w:rFonts w:ascii="Book Antiqua" w:eastAsia="Book Antiqua" w:hAnsi="Book Antiqua" w:cs="Book Antiqua"/>
          <w:color w:val="000000"/>
          <w:vertAlign w:val="superscript"/>
        </w:rPr>
        <w:t>[125]</w:t>
      </w:r>
      <w:r w:rsidRPr="00647F72">
        <w:rPr>
          <w:rFonts w:ascii="Book Antiqua" w:eastAsia="Book Antiqua" w:hAnsi="Book Antiqua" w:cs="Book Antiqua"/>
          <w:color w:val="000000"/>
        </w:rPr>
        <w:t>. Theoretically, this association of poor clinical forecast is due to the common lymphopenia caused in patients with COVID-19, which generates a loss of immune tolerance over HB, which itself can cause viral reactivation</w:t>
      </w:r>
      <w:r w:rsidRPr="00647F72">
        <w:rPr>
          <w:rFonts w:ascii="Book Antiqua" w:eastAsia="Book Antiqua" w:hAnsi="Book Antiqua" w:cs="Book Antiqua"/>
          <w:color w:val="000000"/>
          <w:vertAlign w:val="superscript"/>
        </w:rPr>
        <w:t>[126]</w:t>
      </w:r>
      <w:r w:rsidRPr="00647F72">
        <w:rPr>
          <w:rFonts w:ascii="Book Antiqua" w:eastAsia="Book Antiqua" w:hAnsi="Book Antiqua" w:cs="Book Antiqua"/>
          <w:color w:val="000000"/>
        </w:rPr>
        <w:t>. However, there is one study</w:t>
      </w:r>
      <w:r w:rsidR="00F84BCA" w:rsidRPr="00647F72">
        <w:rPr>
          <w:rFonts w:ascii="Book Antiqua" w:eastAsia="Book Antiqua" w:hAnsi="Book Antiqua" w:cs="Book Antiqua"/>
          <w:color w:val="000000"/>
        </w:rPr>
        <w:t xml:space="preserve"> showing </w:t>
      </w:r>
      <w:r w:rsidRPr="00647F72">
        <w:rPr>
          <w:rFonts w:ascii="Book Antiqua" w:eastAsia="Book Antiqua" w:hAnsi="Book Antiqua" w:cs="Book Antiqua"/>
          <w:color w:val="000000"/>
        </w:rPr>
        <w:t>that COVID-19 was not associated with reactivation or seroconversion in chronic HB patients, despite using immunomodulatory treatment in a short course for severe COVID-19</w:t>
      </w:r>
      <w:r w:rsidRPr="00647F72">
        <w:rPr>
          <w:rFonts w:ascii="Book Antiqua" w:eastAsia="Book Antiqua" w:hAnsi="Book Antiqua" w:cs="Book Antiqua"/>
          <w:color w:val="000000"/>
          <w:vertAlign w:val="superscript"/>
        </w:rPr>
        <w:t>[127]</w:t>
      </w:r>
      <w:r w:rsidRPr="00647F72">
        <w:rPr>
          <w:rFonts w:ascii="Book Antiqua" w:eastAsia="Book Antiqua" w:hAnsi="Book Antiqua" w:cs="Book Antiqua"/>
          <w:color w:val="000000"/>
        </w:rPr>
        <w:t>.</w:t>
      </w:r>
    </w:p>
    <w:p w:rsidR="00A77B3E" w:rsidRPr="00647F72" w:rsidRDefault="00B34FC9" w:rsidP="00B34FC9">
      <w:pPr>
        <w:spacing w:line="360" w:lineRule="auto"/>
        <w:ind w:firstLineChars="100" w:firstLine="240"/>
        <w:jc w:val="both"/>
      </w:pPr>
      <w:r w:rsidRPr="00647F72">
        <w:rPr>
          <w:rFonts w:ascii="Book Antiqua" w:eastAsia="Book Antiqua" w:hAnsi="Book Antiqua" w:cs="Book Antiqua"/>
          <w:color w:val="000000"/>
        </w:rPr>
        <w:t>The current data are controversial and contradictory; therefore, it is necessary to take into account the number of patients and the heterogeneity of the population studied based on HB activity, the presence of cirrhosis, and stage of the liver disease. A recent systematic review and meta-analysis concluded that the association of co-infection of HB and SARS-CoV-2 does not have a serious adverse impact in patients hospitalized with COVID-19</w:t>
      </w:r>
      <w:r w:rsidRPr="00647F72">
        <w:rPr>
          <w:rFonts w:ascii="Book Antiqua" w:eastAsia="Book Antiqua" w:hAnsi="Book Antiqua" w:cs="Book Antiqua"/>
          <w:color w:val="000000"/>
          <w:vertAlign w:val="superscript"/>
        </w:rPr>
        <w:t>[128]</w:t>
      </w:r>
      <w:r w:rsidRPr="00647F72">
        <w:rPr>
          <w:rFonts w:ascii="Book Antiqua" w:eastAsia="Book Antiqua" w:hAnsi="Book Antiqua" w:cs="Book Antiqua"/>
          <w:color w:val="000000"/>
        </w:rPr>
        <w:t>.</w:t>
      </w:r>
    </w:p>
    <w:p w:rsidR="00A77B3E" w:rsidRPr="00647F72" w:rsidRDefault="00B34FC9" w:rsidP="00B34FC9">
      <w:pPr>
        <w:spacing w:line="360" w:lineRule="auto"/>
        <w:ind w:firstLineChars="100" w:firstLine="240"/>
        <w:jc w:val="both"/>
      </w:pPr>
      <w:r w:rsidRPr="00647F72">
        <w:rPr>
          <w:rFonts w:ascii="Book Antiqua" w:eastAsia="Book Antiqua" w:hAnsi="Book Antiqua" w:cs="Book Antiqua"/>
          <w:color w:val="000000"/>
        </w:rPr>
        <w:t>In regards to the treatment of COVID-19 in patients with chronic HB, we must be cautious as the use of corticosteroids or tocilizumab may reactivate HB</w:t>
      </w:r>
      <w:r w:rsidRPr="00647F72">
        <w:rPr>
          <w:rFonts w:ascii="Book Antiqua" w:eastAsia="Book Antiqua" w:hAnsi="Book Antiqua" w:cs="Book Antiqua"/>
          <w:color w:val="000000"/>
          <w:vertAlign w:val="superscript"/>
        </w:rPr>
        <w:t>[129]</w:t>
      </w:r>
      <w:r w:rsidRPr="00647F72">
        <w:rPr>
          <w:rFonts w:ascii="Book Antiqua" w:eastAsia="Book Antiqua" w:hAnsi="Book Antiqua" w:cs="Book Antiqua"/>
          <w:color w:val="000000"/>
        </w:rPr>
        <w:t>; although, as previously mentioned, this has not been shown to happen</w:t>
      </w:r>
      <w:r w:rsidRPr="00647F72">
        <w:rPr>
          <w:rFonts w:ascii="Book Antiqua" w:eastAsia="Book Antiqua" w:hAnsi="Book Antiqua" w:cs="Book Antiqua"/>
          <w:color w:val="000000"/>
          <w:vertAlign w:val="superscript"/>
        </w:rPr>
        <w:t>[127]</w:t>
      </w:r>
      <w:r w:rsidRPr="00647F72">
        <w:rPr>
          <w:rFonts w:ascii="Book Antiqua" w:eastAsia="Book Antiqua" w:hAnsi="Book Antiqua" w:cs="Book Antiqua"/>
          <w:color w:val="000000"/>
        </w:rPr>
        <w:t>. Finally, the evolution of patients with COVID-19 and HB superinfection is not clear, as the studies have yielded contradictory results and prospective studies with large numbers of patients and control of variables such as presence of other comorbidities, viral replication, cirrhosis</w:t>
      </w:r>
      <w:r w:rsidR="00F84BCA"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stage of the liver disease are required. In the case of patients with COVID-19 and recently diagnosed HC, the HC treatment should be postponed until the remission of COVID-19; however, if treatment has already been ongoing, it is necessary to monitor the interactions of HC and COVID-19 treatments</w:t>
      </w:r>
      <w:r w:rsidRPr="00647F72">
        <w:rPr>
          <w:rFonts w:ascii="Book Antiqua" w:eastAsia="Book Antiqua" w:hAnsi="Book Antiqua" w:cs="Book Antiqua"/>
          <w:color w:val="000000"/>
          <w:vertAlign w:val="superscript"/>
        </w:rPr>
        <w:t>[99]</w:t>
      </w:r>
      <w:r w:rsidRPr="00647F72">
        <w:rPr>
          <w:rFonts w:ascii="Book Antiqua" w:eastAsia="Book Antiqua" w:hAnsi="Book Antiqua" w:cs="Book Antiqua"/>
          <w:color w:val="000000"/>
        </w:rPr>
        <w:t>.</w:t>
      </w:r>
    </w:p>
    <w:p w:rsidR="00A77B3E" w:rsidRPr="00647F72" w:rsidRDefault="00A77B3E" w:rsidP="00B34FC9">
      <w:pPr>
        <w:spacing w:line="360" w:lineRule="auto"/>
        <w:jc w:val="both"/>
        <w:rPr>
          <w:lang w:eastAsia="zh-CN"/>
        </w:rPr>
      </w:pPr>
    </w:p>
    <w:p w:rsidR="00A77B3E" w:rsidRPr="00647F72" w:rsidRDefault="00B34FC9">
      <w:pPr>
        <w:spacing w:line="360" w:lineRule="auto"/>
        <w:jc w:val="both"/>
      </w:pPr>
      <w:r w:rsidRPr="00647F72">
        <w:rPr>
          <w:rFonts w:ascii="Book Antiqua" w:eastAsia="Book Antiqua" w:hAnsi="Book Antiqua" w:cs="Book Antiqua"/>
          <w:b/>
          <w:bCs/>
          <w:i/>
          <w:iCs/>
          <w:color w:val="000000"/>
        </w:rPr>
        <w:t>Drug-induced damage</w:t>
      </w:r>
    </w:p>
    <w:p w:rsidR="00A77B3E" w:rsidRPr="00647F72" w:rsidRDefault="00B34FC9">
      <w:pPr>
        <w:spacing w:line="360" w:lineRule="auto"/>
        <w:jc w:val="both"/>
        <w:rPr>
          <w:lang w:eastAsia="zh-CN"/>
        </w:rPr>
      </w:pPr>
      <w:r w:rsidRPr="00647F72">
        <w:rPr>
          <w:rFonts w:ascii="Book Antiqua" w:eastAsia="Book Antiqua" w:hAnsi="Book Antiqua" w:cs="Book Antiqua"/>
          <w:color w:val="000000"/>
        </w:rPr>
        <w:t xml:space="preserve">Since the onset of the COVID-19 pandemic, multiple medications have been used as potential treatments, including antimalarials, antiparasitics, antivirals, monoclonal antibodies, </w:t>
      </w:r>
      <w:r w:rsidRPr="00647F72">
        <w:rPr>
          <w:rFonts w:ascii="Book Antiqua" w:eastAsia="Book Antiqua" w:hAnsi="Book Antiqua" w:cs="Book Antiqua"/>
          <w:i/>
          <w:iCs/>
          <w:color w:val="000000"/>
        </w:rPr>
        <w:t>etc</w:t>
      </w:r>
      <w:r w:rsidRPr="00647F72">
        <w:rPr>
          <w:rFonts w:ascii="Book Antiqua" w:eastAsia="Book Antiqua" w:hAnsi="Book Antiqua" w:cs="Book Antiqua"/>
          <w:color w:val="000000"/>
        </w:rPr>
        <w:t xml:space="preserve">. Some of these medications have hepatotoxic effects, which can be reviewed on the website </w:t>
      </w:r>
      <w:hyperlink r:id="rId9" w:history="1">
        <w:r w:rsidR="00E81521" w:rsidRPr="00647F72">
          <w:rPr>
            <w:rStyle w:val="aa"/>
            <w:rFonts w:ascii="Book Antiqua" w:eastAsia="Book Antiqua" w:hAnsi="Book Antiqua" w:cs="Book Antiqua"/>
          </w:rPr>
          <w:t>http://www.livertox.nih.gov</w:t>
        </w:r>
      </w:hyperlink>
      <w:r w:rsidRPr="00647F72">
        <w:rPr>
          <w:rFonts w:ascii="Book Antiqua" w:eastAsia="Book Antiqua" w:hAnsi="Book Antiqua" w:cs="Book Antiqua"/>
          <w:color w:val="000000"/>
        </w:rPr>
        <w:t>, where updated data of all drugs are available (Table</w:t>
      </w:r>
      <w:r w:rsidR="001C5712" w:rsidRPr="00647F72">
        <w:rPr>
          <w:rFonts w:ascii="Book Antiqua" w:hAnsi="Book Antiqua" w:cs="Book Antiqua" w:hint="eastAsia"/>
          <w:color w:val="000000"/>
          <w:lang w:eastAsia="zh-CN"/>
        </w:rPr>
        <w:t xml:space="preserve"> 2</w:t>
      </w:r>
      <w:r w:rsidRPr="00647F72">
        <w:rPr>
          <w:rFonts w:ascii="Book Antiqua" w:eastAsia="Book Antiqua" w:hAnsi="Book Antiqua" w:cs="Book Antiqua"/>
          <w:color w:val="000000"/>
        </w:rPr>
        <w:t>)</w:t>
      </w:r>
      <w:r w:rsidRPr="00647F72">
        <w:rPr>
          <w:rFonts w:ascii="Book Antiqua" w:eastAsia="Book Antiqua" w:hAnsi="Book Antiqua" w:cs="Book Antiqua"/>
          <w:color w:val="000000"/>
          <w:vertAlign w:val="superscript"/>
        </w:rPr>
        <w:t>[58,99,130]</w:t>
      </w:r>
      <w:r w:rsidRPr="00647F72">
        <w:rPr>
          <w:rFonts w:ascii="Book Antiqua" w:eastAsia="Book Antiqua" w:hAnsi="Book Antiqua" w:cs="Book Antiqua"/>
          <w:color w:val="000000"/>
        </w:rPr>
        <w:t>. Of similar relevance is the consideration of drug interactions, as some treatments are experimental. Interactions can be reviewed at: https://www.covid19-druginteractions.org of Liverpool University.</w:t>
      </w:r>
    </w:p>
    <w:p w:rsidR="00A77B3E" w:rsidRPr="00647F72" w:rsidRDefault="00B34FC9" w:rsidP="00B34FC9">
      <w:pPr>
        <w:spacing w:line="360" w:lineRule="auto"/>
        <w:ind w:firstLineChars="100" w:firstLine="240"/>
        <w:jc w:val="both"/>
      </w:pPr>
      <w:r w:rsidRPr="00647F72">
        <w:rPr>
          <w:rFonts w:ascii="Book Antiqua" w:eastAsia="Book Antiqua" w:hAnsi="Book Antiqua" w:cs="Book Antiqua"/>
          <w:color w:val="000000"/>
        </w:rPr>
        <w:t>Most of the data collected have come from case reports, particularly of serious cases and cohorts, for which there may be uncontrolled variables, with patients having pre-existing liver disease, interaction with unreported medicines, and use of traditional medicine, herbal products</w:t>
      </w:r>
      <w:r w:rsidR="00C86655"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or substances. Heightened awareness of both hepatotoxicity and drug interactions in patients with COVID-19 must continue, as should further research efforts regarding these interactions.</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i/>
          <w:iCs/>
          <w:color w:val="000000"/>
        </w:rPr>
        <w:t>Vaccination controversies</w:t>
      </w:r>
    </w:p>
    <w:p w:rsidR="00A77B3E" w:rsidRPr="00647F72" w:rsidRDefault="00B34FC9">
      <w:pPr>
        <w:spacing w:line="360" w:lineRule="auto"/>
        <w:jc w:val="both"/>
      </w:pPr>
      <w:r w:rsidRPr="00647F72">
        <w:rPr>
          <w:rFonts w:ascii="Book Antiqua" w:eastAsia="Book Antiqua" w:hAnsi="Book Antiqua" w:cs="Book Antiqua"/>
          <w:color w:val="000000"/>
        </w:rPr>
        <w:t>Chronic hepatic disease (CHD) is considered a state of immunosuppression due to a multifactorial state of systemic immunological diffusion</w:t>
      </w:r>
      <w:r w:rsidRPr="00647F72">
        <w:rPr>
          <w:rFonts w:ascii="Book Antiqua" w:eastAsia="Book Antiqua" w:hAnsi="Book Antiqua" w:cs="Book Antiqua"/>
          <w:color w:val="000000"/>
          <w:vertAlign w:val="superscript"/>
        </w:rPr>
        <w:t>[131]</w:t>
      </w:r>
      <w:r w:rsidRPr="00647F72">
        <w:rPr>
          <w:rFonts w:ascii="Book Antiqua" w:eastAsia="Book Antiqua" w:hAnsi="Book Antiqua" w:cs="Book Antiqua"/>
          <w:color w:val="000000"/>
        </w:rPr>
        <w:t>, which predisposes to infections and a cause of decompensation and mortality in cirrhotic patients</w:t>
      </w:r>
      <w:r w:rsidRPr="00647F72">
        <w:rPr>
          <w:rFonts w:ascii="Book Antiqua" w:eastAsia="Book Antiqua" w:hAnsi="Book Antiqua" w:cs="Book Antiqua"/>
          <w:color w:val="000000"/>
          <w:vertAlign w:val="superscript"/>
        </w:rPr>
        <w:t>[132]</w:t>
      </w:r>
      <w:r w:rsidRPr="00647F72">
        <w:rPr>
          <w:rFonts w:ascii="Book Antiqua" w:eastAsia="Book Antiqua" w:hAnsi="Book Antiqua" w:cs="Book Antiqua"/>
          <w:color w:val="000000"/>
        </w:rPr>
        <w:t>. Immunization is, therefore, recommended in patients with cirrhosis and pre-transplantation and post-transplanted patients, with specifications for the different types of vaccines</w:t>
      </w:r>
      <w:r w:rsidRPr="00647F72">
        <w:rPr>
          <w:rFonts w:ascii="Book Antiqua" w:eastAsia="Book Antiqua" w:hAnsi="Book Antiqua" w:cs="Book Antiqua"/>
          <w:color w:val="000000"/>
          <w:vertAlign w:val="superscript"/>
        </w:rPr>
        <w:t>[133]</w:t>
      </w:r>
      <w:r w:rsidRPr="00647F72">
        <w:rPr>
          <w:rFonts w:ascii="Book Antiqua" w:eastAsia="Book Antiqua" w:hAnsi="Book Antiqua" w:cs="Book Antiqua"/>
          <w:color w:val="000000"/>
        </w:rPr>
        <w:t>. Inactivated vaccines (</w:t>
      </w:r>
      <w:r w:rsidR="00E955FA" w:rsidRPr="00647F72">
        <w:rPr>
          <w:rFonts w:ascii="Book Antiqua" w:eastAsia="Book Antiqua" w:hAnsi="Book Antiqua" w:cs="Book Antiqua"/>
          <w:i/>
          <w:iCs/>
          <w:color w:val="000000"/>
        </w:rPr>
        <w:t>e.g</w:t>
      </w:r>
      <w:r w:rsidR="00E955FA" w:rsidRPr="00647F72">
        <w:rPr>
          <w:rFonts w:ascii="Book Antiqua" w:eastAsia="Book Antiqua" w:hAnsi="Book Antiqua" w:cs="Book Antiqua"/>
          <w:i/>
          <w:color w:val="000000"/>
        </w:rPr>
        <w:t>.</w:t>
      </w:r>
      <w:r w:rsidRPr="00647F72">
        <w:rPr>
          <w:rFonts w:ascii="Book Antiqua" w:eastAsia="Book Antiqua" w:hAnsi="Book Antiqua" w:cs="Book Antiqua"/>
          <w:color w:val="000000"/>
        </w:rPr>
        <w:t>, influenza, pneumococcal, viral hepatitis A, viral HB, diphtheria, tetanus, poliomyelitis, and acellular pertussis) are preferred over live attenuated vaccines (</w:t>
      </w:r>
      <w:r w:rsidR="00E955FA" w:rsidRPr="00647F72">
        <w:rPr>
          <w:rFonts w:ascii="Book Antiqua" w:eastAsia="Book Antiqua" w:hAnsi="Book Antiqua" w:cs="Book Antiqua"/>
          <w:i/>
          <w:iCs/>
          <w:color w:val="000000"/>
        </w:rPr>
        <w:t>e.g</w:t>
      </w:r>
      <w:r w:rsidR="00E955FA" w:rsidRPr="00647F72">
        <w:rPr>
          <w:rFonts w:ascii="Book Antiqua" w:eastAsia="Book Antiqua" w:hAnsi="Book Antiqua" w:cs="Book Antiqua"/>
          <w:i/>
          <w:color w:val="000000"/>
        </w:rPr>
        <w:t>.</w:t>
      </w:r>
      <w:r w:rsidRPr="00647F72">
        <w:rPr>
          <w:rFonts w:ascii="Book Antiqua" w:eastAsia="Book Antiqua" w:hAnsi="Book Antiqua" w:cs="Book Antiqua"/>
          <w:color w:val="000000"/>
        </w:rPr>
        <w:t>, tuberculosis vaccine, measles, mumps, rubella, varicella zoster virus, and Herpes zoster)</w:t>
      </w:r>
      <w:r w:rsidRPr="00647F72">
        <w:rPr>
          <w:rFonts w:ascii="Book Antiqua" w:eastAsia="Book Antiqua" w:hAnsi="Book Antiqua" w:cs="Book Antiqua"/>
          <w:color w:val="000000"/>
          <w:vertAlign w:val="superscript"/>
        </w:rPr>
        <w:t>[132,133]</w:t>
      </w:r>
      <w:r w:rsidRPr="00647F72">
        <w:rPr>
          <w:rFonts w:ascii="Book Antiqua" w:eastAsia="Book Antiqua" w:hAnsi="Book Antiqua" w:cs="Book Antiqua"/>
          <w:color w:val="000000"/>
        </w:rPr>
        <w:t>.</w:t>
      </w:r>
    </w:p>
    <w:p w:rsidR="00A77B3E" w:rsidRPr="00647F72" w:rsidRDefault="00B34FC9" w:rsidP="00B34FC9">
      <w:pPr>
        <w:spacing w:line="360" w:lineRule="auto"/>
        <w:ind w:firstLineChars="100" w:firstLine="240"/>
        <w:jc w:val="both"/>
      </w:pPr>
      <w:r w:rsidRPr="00647F72">
        <w:rPr>
          <w:rFonts w:ascii="Book Antiqua" w:eastAsia="Book Antiqua" w:hAnsi="Book Antiqua" w:cs="Book Antiqua"/>
          <w:color w:val="000000"/>
        </w:rPr>
        <w:t>The development of the SARS-CoV-2 vaccine has evolved favorably with phase 3 trials, offering effectiveness and safety. Currently, 53 vaccines have been authorized by the United States’ Federal Drug Administration, including those from Pfizer/</w:t>
      </w:r>
      <w:r w:rsidR="00D30787"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BioNTech, Moderna, Oxford/AstraZeneca/Sputnik V</w:t>
      </w:r>
      <w:r w:rsidR="00C86655"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Janssen. Due to the haste of the trials, very strict inclusion and exclusion criteria have been applied to avoid adverse effects. Patients with CHD are preferably not included. In the Pfizer vaccination study, 217 (0.6%) of 37706 participants had liver disease, and only </w:t>
      </w:r>
      <w:r w:rsidR="00C86655" w:rsidRPr="00647F72">
        <w:rPr>
          <w:rFonts w:ascii="Book Antiqua" w:eastAsia="Book Antiqua" w:hAnsi="Book Antiqua" w:cs="Book Antiqua"/>
          <w:color w:val="000000"/>
        </w:rPr>
        <w:t xml:space="preserve">three </w:t>
      </w:r>
      <w:r w:rsidRPr="00647F72">
        <w:rPr>
          <w:rFonts w:ascii="Book Antiqua" w:eastAsia="Book Antiqua" w:hAnsi="Book Antiqua" w:cs="Book Antiqua"/>
          <w:color w:val="000000"/>
        </w:rPr>
        <w:t>(&lt; 0.1%) had moderate to severe liver disease. In the Moderna trial, 196 (0.6%) of 30351 participants had liver disease; the Oxford/AstraZeneca, Sputnik V</w:t>
      </w:r>
      <w:r w:rsidR="00C86655" w:rsidRPr="00647F72">
        <w:rPr>
          <w:rFonts w:ascii="Book Antiqua" w:eastAsia="Book Antiqua" w:hAnsi="Book Antiqua" w:cs="Book Antiqua"/>
          <w:color w:val="000000"/>
        </w:rPr>
        <w:t>,</w:t>
      </w:r>
      <w:r w:rsidRPr="00647F72">
        <w:rPr>
          <w:rFonts w:ascii="Book Antiqua" w:eastAsia="Book Antiqua" w:hAnsi="Book Antiqua" w:cs="Book Antiqua"/>
          <w:color w:val="000000"/>
        </w:rPr>
        <w:t xml:space="preserve"> and Janssen trials completely excluded patients with pre-existent CHD. On the other hand, trials of the 53 vaccines excluded patients with systemic immunosuppression which involves post-transplant liver patients and AIH patients</w:t>
      </w:r>
      <w:r w:rsidRPr="00647F72">
        <w:rPr>
          <w:rFonts w:ascii="Book Antiqua" w:eastAsia="Book Antiqua" w:hAnsi="Book Antiqua" w:cs="Book Antiqua"/>
          <w:color w:val="000000"/>
          <w:vertAlign w:val="superscript"/>
        </w:rPr>
        <w:t>[114,134,135]</w:t>
      </w:r>
      <w:r w:rsidRPr="00647F72">
        <w:rPr>
          <w:rFonts w:ascii="Book Antiqua" w:eastAsia="Book Antiqua" w:hAnsi="Book Antiqua" w:cs="Book Antiqua"/>
          <w:color w:val="000000"/>
        </w:rPr>
        <w:t>.</w:t>
      </w:r>
    </w:p>
    <w:p w:rsidR="00A77B3E" w:rsidRPr="00647F72" w:rsidRDefault="00B34FC9" w:rsidP="00B34FC9">
      <w:pPr>
        <w:spacing w:line="360" w:lineRule="auto"/>
        <w:ind w:firstLineChars="100" w:firstLine="240"/>
        <w:jc w:val="both"/>
      </w:pPr>
      <w:r w:rsidRPr="00647F72">
        <w:rPr>
          <w:rFonts w:ascii="Book Antiqua" w:eastAsia="Book Antiqua" w:hAnsi="Book Antiqua" w:cs="Book Antiqua"/>
          <w:color w:val="000000"/>
        </w:rPr>
        <w:t>As mentioned, CHD patients are a susceptible and high-risk population for COVID-19 complications, and should be classified as a vulnerable population. It is paramount to define the effectiveness and safety of immunization against SARS-CoV-2. As the development and trial of new vaccines occur and vaccination programs are started, information will be generated in different subgroups of populations, including patients with hepatic disease.</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aps/>
          <w:color w:val="000000"/>
          <w:u w:val="single"/>
        </w:rPr>
        <w:t>FUTURE RESEARCH DIRECTIONS</w:t>
      </w:r>
    </w:p>
    <w:p w:rsidR="00A77B3E" w:rsidRPr="00647F72" w:rsidRDefault="00B34FC9">
      <w:pPr>
        <w:spacing w:line="360" w:lineRule="auto"/>
        <w:jc w:val="both"/>
      </w:pPr>
      <w:r w:rsidRPr="00647F72">
        <w:rPr>
          <w:rFonts w:ascii="Book Antiqua" w:eastAsia="Book Antiqua" w:hAnsi="Book Antiqua" w:cs="Book Antiqua"/>
          <w:color w:val="000000"/>
        </w:rPr>
        <w:t>After a year of pandemic, the information that has emerged regarding SARS-CoV-2 infection and liver injury in patients without or with pre-existing liver disease has opened the course of new lines of research that should be addressed in future studies. The pathophysiology of COVID-19-induced liver injury is complex and more research is necessary to determine the degree of relevance of each of the described mechanisms. Abnormal liver biochemical parameters have been associated with a more serious course and a worse prognosis in patients with SARS-CoV-2 infection, so the usefulness of such measurements in the identification and staging of those patients with related alterations should be evaluated in depth in prospective studies. It is necessary to investigate the impact of SARS-CoV-2 infection in the clinical course of pre-existing liver disease (</w:t>
      </w:r>
      <w:r w:rsidR="00E955FA" w:rsidRPr="00647F72">
        <w:rPr>
          <w:rFonts w:ascii="Book Antiqua" w:eastAsia="Book Antiqua" w:hAnsi="Book Antiqua" w:cs="Book Antiqua"/>
          <w:i/>
          <w:iCs/>
          <w:color w:val="000000"/>
        </w:rPr>
        <w:t>e.g</w:t>
      </w:r>
      <w:r w:rsidR="00E955FA" w:rsidRPr="00647F72">
        <w:rPr>
          <w:rFonts w:ascii="Book Antiqua" w:eastAsia="Book Antiqua" w:hAnsi="Book Antiqua" w:cs="Book Antiqua"/>
          <w:i/>
          <w:color w:val="000000"/>
        </w:rPr>
        <w:t>.</w:t>
      </w:r>
      <w:r w:rsidRPr="00647F72">
        <w:rPr>
          <w:rFonts w:ascii="Book Antiqua" w:eastAsia="Book Antiqua" w:hAnsi="Book Antiqua" w:cs="Book Antiqua"/>
          <w:color w:val="000000"/>
        </w:rPr>
        <w:t>, fatty liver disease, viral or AIH, and cirrhosis). Long-term follow-up in liver transplant patients suffering from COVID-19 should be investigated to determine if the infection alters graft viability. It is necessary to include patients with liver diseases in the vaccination protocols, to determine the related effectiveness and safety.</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caps/>
          <w:color w:val="000000"/>
          <w:u w:val="single"/>
        </w:rPr>
        <w:t>CONCLUSION</w:t>
      </w:r>
    </w:p>
    <w:p w:rsidR="00A77B3E" w:rsidRPr="00647F72" w:rsidRDefault="00B34FC9">
      <w:pPr>
        <w:spacing w:line="360" w:lineRule="auto"/>
        <w:jc w:val="both"/>
      </w:pPr>
      <w:r w:rsidRPr="00647F72">
        <w:rPr>
          <w:rFonts w:ascii="Book Antiqua" w:eastAsia="Book Antiqua" w:hAnsi="Book Antiqua" w:cs="Book Antiqua"/>
          <w:color w:val="000000"/>
        </w:rPr>
        <w:t>Liver injury in patients with infection due to SARS-CoV-2 is a frequent extrapulmonary manifestation, particularly in hospitalized patients, and its presence has been associated with an increased risk of complications, including death. The pathophysiology of liver damage in COVID-19 patients is multifactorial and various mechanisms interact. On the other hand, SARS-CoV-2 infection in patients with pre-existing liver disease (</w:t>
      </w:r>
      <w:r w:rsidR="00151B5F" w:rsidRPr="00647F72">
        <w:rPr>
          <w:rFonts w:ascii="Book Antiqua" w:eastAsia="Book Antiqua" w:hAnsi="Book Antiqua" w:cs="Book Antiqua"/>
          <w:i/>
          <w:iCs/>
          <w:color w:val="000000"/>
        </w:rPr>
        <w:t>i.e</w:t>
      </w:r>
      <w:r w:rsidR="00151B5F" w:rsidRPr="00647F72">
        <w:rPr>
          <w:rFonts w:ascii="Book Antiqua" w:eastAsia="Book Antiqua" w:hAnsi="Book Antiqua" w:cs="Book Antiqua"/>
          <w:i/>
          <w:color w:val="000000"/>
        </w:rPr>
        <w:t>.</w:t>
      </w:r>
      <w:r w:rsidR="00151B5F"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 fatty liver disease, cirrhosis, autoimmune or viral hepatitis, and liver transplant patients) presents an increased risk of an ominous course of the disease. Therefore, the presence of liver damage (both acute onset or as a pre-existing condition) requires close monitoring and individualized management according to the individual conditions of the patients. Further research is required to have a better understanding of the SARS-CoV-2 and liver interaction that can improve the therapeutic approach for patients.</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color w:val="000000"/>
        </w:rPr>
        <w:t>REFERENCES</w:t>
      </w:r>
    </w:p>
    <w:p w:rsidR="00A77B3E" w:rsidRPr="00647F72" w:rsidRDefault="00B34FC9">
      <w:pPr>
        <w:spacing w:line="360" w:lineRule="auto"/>
        <w:jc w:val="both"/>
      </w:pPr>
      <w:r w:rsidRPr="00647F72">
        <w:rPr>
          <w:rFonts w:ascii="Book Antiqua" w:eastAsia="Book Antiqua" w:hAnsi="Book Antiqua" w:cs="Book Antiqua"/>
          <w:color w:val="000000"/>
        </w:rPr>
        <w:t xml:space="preserve">1 </w:t>
      </w:r>
      <w:r w:rsidRPr="00647F72">
        <w:rPr>
          <w:rFonts w:ascii="Book Antiqua" w:eastAsia="Book Antiqua" w:hAnsi="Book Antiqua" w:cs="Book Antiqua"/>
          <w:b/>
          <w:bCs/>
          <w:color w:val="000000"/>
        </w:rPr>
        <w:t>Zhu N</w:t>
      </w:r>
      <w:r w:rsidRPr="00647F72">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647F72">
        <w:rPr>
          <w:rFonts w:ascii="Book Antiqua" w:eastAsia="Book Antiqua" w:hAnsi="Book Antiqua" w:cs="Book Antiqua"/>
          <w:i/>
          <w:iCs/>
          <w:color w:val="000000"/>
        </w:rPr>
        <w:t>N Engl J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382</w:t>
      </w:r>
      <w:r w:rsidRPr="00647F72">
        <w:rPr>
          <w:rFonts w:ascii="Book Antiqua" w:eastAsia="Book Antiqua" w:hAnsi="Book Antiqua" w:cs="Book Antiqua"/>
          <w:color w:val="000000"/>
        </w:rPr>
        <w:t>: 727-733 [PMID: 31978945 DOI: 10.1056/NEJMoa2001017]</w:t>
      </w:r>
    </w:p>
    <w:p w:rsidR="00A77B3E" w:rsidRPr="00647F72" w:rsidRDefault="00B34FC9">
      <w:pPr>
        <w:spacing w:line="360" w:lineRule="auto"/>
        <w:jc w:val="both"/>
      </w:pPr>
      <w:r w:rsidRPr="00647F72">
        <w:rPr>
          <w:rFonts w:ascii="Book Antiqua" w:eastAsia="Book Antiqua" w:hAnsi="Book Antiqua" w:cs="Book Antiqua"/>
          <w:color w:val="000000"/>
        </w:rPr>
        <w:t xml:space="preserve">2 </w:t>
      </w:r>
      <w:r w:rsidRPr="00647F72">
        <w:rPr>
          <w:rFonts w:ascii="Book Antiqua" w:eastAsia="Book Antiqua" w:hAnsi="Book Antiqua" w:cs="Book Antiqua"/>
          <w:b/>
          <w:bCs/>
          <w:color w:val="000000"/>
        </w:rPr>
        <w:t>Hu B</w:t>
      </w:r>
      <w:r w:rsidRPr="00647F72">
        <w:rPr>
          <w:rFonts w:ascii="Book Antiqua" w:eastAsia="Book Antiqua" w:hAnsi="Book Antiqua" w:cs="Book Antiqua"/>
          <w:color w:val="000000"/>
        </w:rPr>
        <w:t xml:space="preserve">, Guo H, Zhou P, Shi ZL. Characteristics of SARS-CoV-2 and COVID-19. </w:t>
      </w:r>
      <w:r w:rsidRPr="00647F72">
        <w:rPr>
          <w:rFonts w:ascii="Book Antiqua" w:eastAsia="Book Antiqua" w:hAnsi="Book Antiqua" w:cs="Book Antiqua"/>
          <w:i/>
          <w:iCs/>
          <w:color w:val="000000"/>
        </w:rPr>
        <w:t>Nat Rev Microbiol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19</w:t>
      </w:r>
      <w:r w:rsidRPr="00647F72">
        <w:rPr>
          <w:rFonts w:ascii="Book Antiqua" w:eastAsia="Book Antiqua" w:hAnsi="Book Antiqua" w:cs="Book Antiqua"/>
          <w:color w:val="000000"/>
        </w:rPr>
        <w:t>: 141-154 [PMID: 33024307 DOI: 10.1038/s41579-020-00459-7]</w:t>
      </w:r>
    </w:p>
    <w:p w:rsidR="00A77B3E" w:rsidRPr="00647F72" w:rsidRDefault="00B34FC9">
      <w:pPr>
        <w:spacing w:line="360" w:lineRule="auto"/>
        <w:jc w:val="both"/>
      </w:pPr>
      <w:r w:rsidRPr="00647F72">
        <w:rPr>
          <w:rFonts w:ascii="Book Antiqua" w:eastAsia="Book Antiqua" w:hAnsi="Book Antiqua" w:cs="Book Antiqua"/>
          <w:color w:val="000000"/>
        </w:rPr>
        <w:t xml:space="preserve">3 </w:t>
      </w:r>
      <w:r w:rsidRPr="00647F72">
        <w:rPr>
          <w:rFonts w:ascii="Book Antiqua" w:eastAsia="Book Antiqua" w:hAnsi="Book Antiqua" w:cs="Book Antiqua"/>
          <w:b/>
          <w:color w:val="000000"/>
        </w:rPr>
        <w:t>World Health Organization</w:t>
      </w:r>
      <w:r w:rsidRPr="00647F72">
        <w:rPr>
          <w:rFonts w:ascii="Book Antiqua" w:eastAsia="Book Antiqua" w:hAnsi="Book Antiqua" w:cs="Book Antiqua"/>
          <w:color w:val="000000"/>
        </w:rPr>
        <w:t>. WHO Director-General’s opening remarks at the media briefing on COVID-19 - 11 March 2020.</w:t>
      </w:r>
      <w:r w:rsidR="00385908" w:rsidRPr="00647F72">
        <w:rPr>
          <w:rFonts w:ascii="Book Antiqua" w:hAnsi="Book Antiqua" w:cs="Book Antiqua" w:hint="eastAsia"/>
          <w:color w:val="000000"/>
          <w:lang w:eastAsia="zh-CN"/>
        </w:rPr>
        <w:t xml:space="preserve"> [cited</w:t>
      </w:r>
      <w:r w:rsidR="001C5712" w:rsidRPr="00647F72">
        <w:rPr>
          <w:rFonts w:ascii="Book Antiqua" w:hAnsi="Book Antiqua" w:cs="Book Antiqua" w:hint="eastAsia"/>
          <w:color w:val="000000"/>
          <w:lang w:eastAsia="zh-CN"/>
        </w:rPr>
        <w:t xml:space="preserve"> </w:t>
      </w:r>
      <w:r w:rsidR="0002737D" w:rsidRPr="00647F72">
        <w:rPr>
          <w:rFonts w:ascii="Book Antiqua" w:hAnsi="Book Antiqua" w:cs="Book Antiqua"/>
          <w:color w:val="000000"/>
          <w:lang w:eastAsia="zh-CN"/>
        </w:rPr>
        <w:t>12 March 2021</w:t>
      </w:r>
      <w:r w:rsidR="00385908"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 xml:space="preserve"> </w:t>
      </w:r>
      <w:r w:rsidR="00385908" w:rsidRPr="00647F72">
        <w:rPr>
          <w:rFonts w:ascii="Book Antiqua" w:hAnsi="Book Antiqua" w:cs="Book Antiqua" w:hint="eastAsia"/>
          <w:color w:val="000000"/>
          <w:lang w:eastAsia="zh-CN"/>
        </w:rPr>
        <w:t xml:space="preserve">In: </w:t>
      </w:r>
      <w:r w:rsidR="00385908" w:rsidRPr="00647F72">
        <w:rPr>
          <w:rFonts w:ascii="Book Antiqua" w:eastAsia="Book Antiqua" w:hAnsi="Book Antiqua" w:cs="Book Antiqua"/>
          <w:color w:val="000000"/>
        </w:rPr>
        <w:t>World Health Organization</w:t>
      </w:r>
      <w:r w:rsidR="00385908" w:rsidRPr="00647F72">
        <w:rPr>
          <w:rFonts w:ascii="Book Antiqua" w:hAnsi="Book Antiqua" w:cs="Book Antiqua" w:hint="eastAsia"/>
          <w:color w:val="000000"/>
          <w:lang w:eastAsia="zh-CN"/>
        </w:rPr>
        <w:t xml:space="preserve"> [Internet].</w:t>
      </w:r>
      <w:r w:rsidR="00385908" w:rsidRPr="00647F72">
        <w:t xml:space="preserve"> </w:t>
      </w:r>
      <w:r w:rsidR="00385908" w:rsidRPr="00647F72">
        <w:rPr>
          <w:rFonts w:ascii="Book Antiqua" w:hAnsi="Book Antiqua"/>
          <w:lang w:eastAsia="zh-CN"/>
        </w:rPr>
        <w:t xml:space="preserve">Available from: </w:t>
      </w:r>
      <w:r w:rsidR="00385908" w:rsidRPr="00647F72">
        <w:rPr>
          <w:rFonts w:ascii="Book Antiqua" w:eastAsia="Book Antiqua" w:hAnsi="Book Antiqua" w:cs="Book Antiqua"/>
          <w:color w:val="000000"/>
        </w:rPr>
        <w:t>https://www.who.int/director-general/speeches/detail/who-director-general-s-opening-remarks-at-the-media-briefing-on-covid-19---11-march-2020</w:t>
      </w:r>
    </w:p>
    <w:p w:rsidR="00A77B3E" w:rsidRPr="00647F72" w:rsidRDefault="00B34FC9">
      <w:pPr>
        <w:spacing w:line="360" w:lineRule="auto"/>
        <w:jc w:val="both"/>
      </w:pPr>
      <w:r w:rsidRPr="00647F72">
        <w:rPr>
          <w:rFonts w:ascii="Book Antiqua" w:eastAsia="Book Antiqua" w:hAnsi="Book Antiqua" w:cs="Book Antiqua"/>
          <w:color w:val="000000"/>
        </w:rPr>
        <w:t xml:space="preserve">4 </w:t>
      </w:r>
      <w:r w:rsidR="001A3AF1" w:rsidRPr="00647F72">
        <w:rPr>
          <w:rFonts w:ascii="Book Antiqua" w:eastAsia="Book Antiqua" w:hAnsi="Book Antiqua" w:cs="Book Antiqua"/>
          <w:b/>
          <w:color w:val="000000"/>
        </w:rPr>
        <w:t>World Health Organization</w:t>
      </w:r>
      <w:r w:rsidRPr="00647F72">
        <w:rPr>
          <w:rFonts w:ascii="Book Antiqua" w:eastAsia="Book Antiqua" w:hAnsi="Book Antiqua" w:cs="Book Antiqua"/>
          <w:color w:val="000000"/>
        </w:rPr>
        <w:t>. Weekly epidemiological update - 19 January 2021.</w:t>
      </w:r>
      <w:r w:rsidR="001A3AF1" w:rsidRPr="00647F72">
        <w:rPr>
          <w:rFonts w:ascii="Book Antiqua" w:hAnsi="Book Antiqua" w:cs="Book Antiqua" w:hint="eastAsia"/>
          <w:color w:val="000000"/>
          <w:lang w:eastAsia="zh-CN"/>
        </w:rPr>
        <w:t xml:space="preserve"> [cited </w:t>
      </w:r>
      <w:r w:rsidR="0002737D" w:rsidRPr="00647F72">
        <w:rPr>
          <w:rFonts w:ascii="Book Antiqua" w:hAnsi="Book Antiqua" w:cs="Book Antiqua"/>
          <w:color w:val="000000"/>
          <w:lang w:eastAsia="zh-CN"/>
        </w:rPr>
        <w:t>12 March 2021</w:t>
      </w:r>
      <w:r w:rsidR="001A3AF1" w:rsidRPr="00647F72">
        <w:rPr>
          <w:rFonts w:ascii="Book Antiqua" w:hAnsi="Book Antiqua" w:cs="Book Antiqua" w:hint="eastAsia"/>
          <w:color w:val="000000"/>
          <w:lang w:eastAsia="zh-CN"/>
        </w:rPr>
        <w:t>].</w:t>
      </w:r>
      <w:r w:rsidR="001A3AF1" w:rsidRPr="00647F72">
        <w:rPr>
          <w:rFonts w:ascii="Book Antiqua" w:eastAsia="Book Antiqua" w:hAnsi="Book Antiqua" w:cs="Book Antiqua"/>
          <w:color w:val="000000"/>
        </w:rPr>
        <w:t xml:space="preserve"> </w:t>
      </w:r>
      <w:r w:rsidR="001A3AF1" w:rsidRPr="00647F72">
        <w:rPr>
          <w:rFonts w:ascii="Book Antiqua" w:hAnsi="Book Antiqua" w:cs="Book Antiqua" w:hint="eastAsia"/>
          <w:color w:val="000000"/>
          <w:lang w:eastAsia="zh-CN"/>
        </w:rPr>
        <w:t xml:space="preserve">In: </w:t>
      </w:r>
      <w:r w:rsidR="001A3AF1" w:rsidRPr="00647F72">
        <w:rPr>
          <w:rFonts w:ascii="Book Antiqua" w:eastAsia="Book Antiqua" w:hAnsi="Book Antiqua" w:cs="Book Antiqua"/>
          <w:color w:val="000000"/>
        </w:rPr>
        <w:t>World Health Organization</w:t>
      </w:r>
      <w:r w:rsidR="001A3AF1" w:rsidRPr="00647F72">
        <w:rPr>
          <w:rFonts w:ascii="Book Antiqua" w:hAnsi="Book Antiqua" w:cs="Book Antiqua" w:hint="eastAsia"/>
          <w:color w:val="000000"/>
          <w:lang w:eastAsia="zh-CN"/>
        </w:rPr>
        <w:t xml:space="preserve"> [Internet].</w:t>
      </w:r>
      <w:r w:rsidRPr="00647F72">
        <w:rPr>
          <w:rFonts w:ascii="Book Antiqua" w:eastAsia="Book Antiqua" w:hAnsi="Book Antiqua" w:cs="Book Antiqua"/>
          <w:color w:val="000000"/>
        </w:rPr>
        <w:t xml:space="preserve"> Available from: https://www.who.int/publications/m/item/weekly-epidemiological-update---19-january-2021</w:t>
      </w:r>
    </w:p>
    <w:p w:rsidR="00A77B3E" w:rsidRPr="00647F72" w:rsidRDefault="00B34FC9">
      <w:pPr>
        <w:spacing w:line="360" w:lineRule="auto"/>
        <w:jc w:val="both"/>
      </w:pPr>
      <w:r w:rsidRPr="00647F72">
        <w:rPr>
          <w:rFonts w:ascii="Book Antiqua" w:eastAsia="Book Antiqua" w:hAnsi="Book Antiqua" w:cs="Book Antiqua"/>
          <w:color w:val="000000"/>
        </w:rPr>
        <w:t xml:space="preserve">5 </w:t>
      </w:r>
      <w:r w:rsidRPr="00647F72">
        <w:rPr>
          <w:rFonts w:ascii="Book Antiqua" w:eastAsia="Book Antiqua" w:hAnsi="Book Antiqua" w:cs="Book Antiqua"/>
          <w:b/>
          <w:bCs/>
          <w:color w:val="000000"/>
        </w:rPr>
        <w:t>Zhou P</w:t>
      </w:r>
      <w:r w:rsidRPr="00647F72">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647F72">
        <w:rPr>
          <w:rFonts w:ascii="Book Antiqua" w:eastAsia="Book Antiqua" w:hAnsi="Book Antiqua" w:cs="Book Antiqua"/>
          <w:i/>
          <w:iCs/>
          <w:color w:val="000000"/>
        </w:rPr>
        <w:t>Nature</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579</w:t>
      </w:r>
      <w:r w:rsidRPr="00647F72">
        <w:rPr>
          <w:rFonts w:ascii="Book Antiqua" w:eastAsia="Book Antiqua" w:hAnsi="Book Antiqua" w:cs="Book Antiqua"/>
          <w:color w:val="000000"/>
        </w:rPr>
        <w:t>: 270-273 [PMID: 32015507 DOI: 10.1038/s41586-020-2012-7]</w:t>
      </w:r>
    </w:p>
    <w:p w:rsidR="00A77B3E" w:rsidRPr="00647F72" w:rsidRDefault="00B34FC9">
      <w:pPr>
        <w:spacing w:line="360" w:lineRule="auto"/>
        <w:jc w:val="both"/>
        <w:rPr>
          <w:lang w:val="es-MX"/>
        </w:rPr>
      </w:pPr>
      <w:r w:rsidRPr="00647F72">
        <w:rPr>
          <w:rFonts w:ascii="Book Antiqua" w:eastAsia="Book Antiqua" w:hAnsi="Book Antiqua" w:cs="Book Antiqua"/>
          <w:color w:val="000000"/>
        </w:rPr>
        <w:t xml:space="preserve">6 </w:t>
      </w:r>
      <w:r w:rsidRPr="00647F72">
        <w:rPr>
          <w:rFonts w:ascii="Book Antiqua" w:eastAsia="Book Antiqua" w:hAnsi="Book Antiqua" w:cs="Book Antiqua"/>
          <w:b/>
          <w:bCs/>
          <w:color w:val="000000"/>
        </w:rPr>
        <w:t>Ortiz-Prado E</w:t>
      </w:r>
      <w:r w:rsidRPr="00647F72">
        <w:rPr>
          <w:rFonts w:ascii="Book Antiqua" w:eastAsia="Book Antiqua" w:hAnsi="Book Antiqua" w:cs="Book Antiqua"/>
          <w:color w:val="000000"/>
        </w:rPr>
        <w:t xml:space="preserve">, Simbaña-Rivera K, Gómez-Barreno L, Rubio-Neira M, Guaman LP, Kyriakidis NC, Muslin C, Jaramillo AMG, Barba-Ostria C, Cevallos-Robalino D, Sanches-SanMiguel H, Unigarro L, Zalakeviciute R, Gadian N, López-Cortés A. Clinical, molecular, and epidemiological characterization of the SARS-CoV-2 virus and the Coronavirus Disease 2019 (COVID-19), a comprehensive literature review. </w:t>
      </w:r>
      <w:r w:rsidRPr="00647F72">
        <w:rPr>
          <w:rFonts w:ascii="Book Antiqua" w:eastAsia="Book Antiqua" w:hAnsi="Book Antiqua" w:cs="Book Antiqua"/>
          <w:i/>
          <w:iCs/>
          <w:color w:val="000000"/>
          <w:lang w:val="es-MX"/>
        </w:rPr>
        <w:t>Diagn Microbiol Infect Dis</w:t>
      </w:r>
      <w:r w:rsidRPr="00647F72">
        <w:rPr>
          <w:rFonts w:ascii="Book Antiqua" w:eastAsia="Book Antiqua" w:hAnsi="Book Antiqua" w:cs="Book Antiqua"/>
          <w:color w:val="000000"/>
          <w:lang w:val="es-MX"/>
        </w:rPr>
        <w:t xml:space="preserve"> 2020; </w:t>
      </w:r>
      <w:r w:rsidRPr="00647F72">
        <w:rPr>
          <w:rFonts w:ascii="Book Antiqua" w:eastAsia="Book Antiqua" w:hAnsi="Book Antiqua" w:cs="Book Antiqua"/>
          <w:b/>
          <w:bCs/>
          <w:color w:val="000000"/>
          <w:lang w:val="es-MX"/>
        </w:rPr>
        <w:t>98</w:t>
      </w:r>
      <w:r w:rsidRPr="00647F72">
        <w:rPr>
          <w:rFonts w:ascii="Book Antiqua" w:eastAsia="Book Antiqua" w:hAnsi="Book Antiqua" w:cs="Book Antiqua"/>
          <w:color w:val="000000"/>
          <w:lang w:val="es-MX"/>
        </w:rPr>
        <w:t>: 115094 [PMID: 32623267 DOI: 10.1016/j.diagmicrobio.2020.115094]</w:t>
      </w:r>
    </w:p>
    <w:p w:rsidR="00A77B3E" w:rsidRPr="00647F72" w:rsidRDefault="00B34FC9">
      <w:pPr>
        <w:spacing w:line="360" w:lineRule="auto"/>
        <w:jc w:val="both"/>
      </w:pPr>
      <w:r w:rsidRPr="00647F72">
        <w:rPr>
          <w:rFonts w:ascii="Book Antiqua" w:eastAsia="Book Antiqua" w:hAnsi="Book Antiqua" w:cs="Book Antiqua"/>
          <w:color w:val="000000"/>
          <w:lang w:val="es-MX"/>
        </w:rPr>
        <w:t xml:space="preserve">7 </w:t>
      </w:r>
      <w:r w:rsidRPr="00647F72">
        <w:rPr>
          <w:rFonts w:ascii="Book Antiqua" w:eastAsia="Book Antiqua" w:hAnsi="Book Antiqua" w:cs="Book Antiqua"/>
          <w:b/>
          <w:bCs/>
          <w:color w:val="000000"/>
          <w:lang w:val="es-MX"/>
        </w:rPr>
        <w:t>Gracia-Ramos AE</w:t>
      </w:r>
      <w:r w:rsidRPr="00647F72">
        <w:rPr>
          <w:rFonts w:ascii="Book Antiqua" w:eastAsia="Book Antiqua" w:hAnsi="Book Antiqua" w:cs="Book Antiqua"/>
          <w:color w:val="000000"/>
          <w:lang w:val="es-MX"/>
        </w:rPr>
        <w:t xml:space="preserve">. </w:t>
      </w:r>
      <w:r w:rsidRPr="00647F72">
        <w:rPr>
          <w:rFonts w:ascii="Book Antiqua" w:eastAsia="Book Antiqua" w:hAnsi="Book Antiqua" w:cs="Book Antiqua"/>
          <w:color w:val="000000"/>
        </w:rPr>
        <w:t xml:space="preserve">Is the ACE2 Overexpression a Risk Factor for COVID-19 Infection? </w:t>
      </w:r>
      <w:r w:rsidRPr="00647F72">
        <w:rPr>
          <w:rFonts w:ascii="Book Antiqua" w:eastAsia="Book Antiqua" w:hAnsi="Book Antiqua" w:cs="Book Antiqua"/>
          <w:i/>
          <w:iCs/>
          <w:color w:val="000000"/>
        </w:rPr>
        <w:t>Arch Med Res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51</w:t>
      </w:r>
      <w:r w:rsidRPr="00647F72">
        <w:rPr>
          <w:rFonts w:ascii="Book Antiqua" w:eastAsia="Book Antiqua" w:hAnsi="Book Antiqua" w:cs="Book Antiqua"/>
          <w:color w:val="000000"/>
        </w:rPr>
        <w:t>: 345-346 [PMID: 32279908 DOI: 10.1016/j.arcmed.2020.03.011]</w:t>
      </w:r>
    </w:p>
    <w:p w:rsidR="00A77B3E" w:rsidRPr="00647F72" w:rsidRDefault="00B34FC9">
      <w:pPr>
        <w:spacing w:line="360" w:lineRule="auto"/>
        <w:jc w:val="both"/>
      </w:pPr>
      <w:r w:rsidRPr="00647F72">
        <w:rPr>
          <w:rFonts w:ascii="Book Antiqua" w:eastAsia="Book Antiqua" w:hAnsi="Book Antiqua" w:cs="Book Antiqua"/>
          <w:color w:val="000000"/>
        </w:rPr>
        <w:t xml:space="preserve">8 </w:t>
      </w:r>
      <w:r w:rsidRPr="00647F72">
        <w:rPr>
          <w:rFonts w:ascii="Book Antiqua" w:eastAsia="Book Antiqua" w:hAnsi="Book Antiqua" w:cs="Book Antiqua"/>
          <w:b/>
          <w:bCs/>
          <w:color w:val="000000"/>
        </w:rPr>
        <w:t>Gheblawi M</w:t>
      </w:r>
      <w:r w:rsidRPr="00647F72">
        <w:rPr>
          <w:rFonts w:ascii="Book Antiqua" w:eastAsia="Book Antiqua" w:hAnsi="Book Antiqua" w:cs="Book Antiqua"/>
          <w:color w:val="000000"/>
        </w:rPr>
        <w:t xml:space="preserve">, Wang K, Viveiros A, Nguyen Q, Zhong JC, Turner AJ, Raizada MK, Grant MB, Oudit GY. Angiotensin-Converting Enzyme 2: SARS-CoV-2 Receptor and Regulator of the Renin-Angiotensin System: Celebrating the 20th Anniversary of the Discovery of ACE2. </w:t>
      </w:r>
      <w:r w:rsidRPr="00647F72">
        <w:rPr>
          <w:rFonts w:ascii="Book Antiqua" w:eastAsia="Book Antiqua" w:hAnsi="Book Antiqua" w:cs="Book Antiqua"/>
          <w:i/>
          <w:iCs/>
          <w:color w:val="000000"/>
        </w:rPr>
        <w:t>Circ Res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126</w:t>
      </w:r>
      <w:r w:rsidRPr="00647F72">
        <w:rPr>
          <w:rFonts w:ascii="Book Antiqua" w:eastAsia="Book Antiqua" w:hAnsi="Book Antiqua" w:cs="Book Antiqua"/>
          <w:color w:val="000000"/>
        </w:rPr>
        <w:t>: 1456-1474 [PMID: 32264791 DOI: 10.1161/CIRCRESAHA.120.317015]</w:t>
      </w:r>
    </w:p>
    <w:p w:rsidR="00A77B3E" w:rsidRPr="00647F72" w:rsidRDefault="00B34FC9">
      <w:pPr>
        <w:spacing w:line="360" w:lineRule="auto"/>
        <w:jc w:val="both"/>
      </w:pPr>
      <w:r w:rsidRPr="00647F72">
        <w:rPr>
          <w:rFonts w:ascii="Book Antiqua" w:eastAsia="Book Antiqua" w:hAnsi="Book Antiqua" w:cs="Book Antiqua"/>
          <w:color w:val="000000"/>
        </w:rPr>
        <w:t xml:space="preserve">9 </w:t>
      </w:r>
      <w:r w:rsidRPr="00647F72">
        <w:rPr>
          <w:rFonts w:ascii="Book Antiqua" w:eastAsia="Book Antiqua" w:hAnsi="Book Antiqua" w:cs="Book Antiqua"/>
          <w:b/>
          <w:bCs/>
          <w:color w:val="000000"/>
        </w:rPr>
        <w:t>Hoffmann M</w:t>
      </w:r>
      <w:r w:rsidRPr="00647F72">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647F72">
        <w:rPr>
          <w:rFonts w:ascii="Book Antiqua" w:eastAsia="Book Antiqua" w:hAnsi="Book Antiqua" w:cs="Book Antiqua"/>
          <w:i/>
          <w:iCs/>
          <w:color w:val="000000"/>
        </w:rPr>
        <w:t>Cell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181</w:t>
      </w:r>
      <w:r w:rsidRPr="00647F72">
        <w:rPr>
          <w:rFonts w:ascii="Book Antiqua" w:eastAsia="Book Antiqua" w:hAnsi="Book Antiqua" w:cs="Book Antiqua"/>
          <w:color w:val="000000"/>
        </w:rPr>
        <w:t>: 271-280.e8 [PMID: 32142651 DOI: 10.1016/j.cell.2020.02.052]</w:t>
      </w:r>
    </w:p>
    <w:p w:rsidR="00A77B3E" w:rsidRPr="00647F72" w:rsidRDefault="00B34FC9">
      <w:pPr>
        <w:spacing w:line="360" w:lineRule="auto"/>
        <w:jc w:val="both"/>
      </w:pPr>
      <w:r w:rsidRPr="00647F72">
        <w:rPr>
          <w:rFonts w:ascii="Book Antiqua" w:eastAsia="Book Antiqua" w:hAnsi="Book Antiqua" w:cs="Book Antiqua"/>
          <w:color w:val="000000"/>
        </w:rPr>
        <w:t xml:space="preserve">10 </w:t>
      </w:r>
      <w:r w:rsidRPr="00647F72">
        <w:rPr>
          <w:rFonts w:ascii="Book Antiqua" w:eastAsia="Book Antiqua" w:hAnsi="Book Antiqua" w:cs="Book Antiqua"/>
          <w:b/>
          <w:bCs/>
          <w:color w:val="000000"/>
        </w:rPr>
        <w:t>Harrison AG</w:t>
      </w:r>
      <w:r w:rsidRPr="00647F72">
        <w:rPr>
          <w:rFonts w:ascii="Book Antiqua" w:eastAsia="Book Antiqua" w:hAnsi="Book Antiqua" w:cs="Book Antiqua"/>
          <w:color w:val="000000"/>
        </w:rPr>
        <w:t xml:space="preserve">, Lin T, Wang P. Mechanisms of SARS-CoV-2 Transmission and Pathogenesis. </w:t>
      </w:r>
      <w:r w:rsidRPr="00647F72">
        <w:rPr>
          <w:rFonts w:ascii="Book Antiqua" w:eastAsia="Book Antiqua" w:hAnsi="Book Antiqua" w:cs="Book Antiqua"/>
          <w:i/>
          <w:iCs/>
          <w:color w:val="000000"/>
        </w:rPr>
        <w:t>Trends Immunol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41</w:t>
      </w:r>
      <w:r w:rsidRPr="00647F72">
        <w:rPr>
          <w:rFonts w:ascii="Book Antiqua" w:eastAsia="Book Antiqua" w:hAnsi="Book Antiqua" w:cs="Book Antiqua"/>
          <w:color w:val="000000"/>
        </w:rPr>
        <w:t>: 1100-1115 [PMID: 33132005 DOI: 10.1016/j.it.2020.10.004]</w:t>
      </w:r>
    </w:p>
    <w:p w:rsidR="00A77B3E" w:rsidRPr="00647F72" w:rsidRDefault="00B34FC9">
      <w:pPr>
        <w:spacing w:line="360" w:lineRule="auto"/>
        <w:jc w:val="both"/>
      </w:pPr>
      <w:r w:rsidRPr="00647F72">
        <w:rPr>
          <w:rFonts w:ascii="Book Antiqua" w:eastAsia="Book Antiqua" w:hAnsi="Book Antiqua" w:cs="Book Antiqua"/>
          <w:color w:val="000000"/>
        </w:rPr>
        <w:t xml:space="preserve">11 </w:t>
      </w:r>
      <w:r w:rsidRPr="00647F72">
        <w:rPr>
          <w:rFonts w:ascii="Book Antiqua" w:eastAsia="Book Antiqua" w:hAnsi="Book Antiqua" w:cs="Book Antiqua"/>
          <w:b/>
          <w:bCs/>
          <w:color w:val="000000"/>
        </w:rPr>
        <w:t>Wu Z</w:t>
      </w:r>
      <w:r w:rsidRPr="00647F72">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sidRPr="00647F72">
        <w:rPr>
          <w:rFonts w:ascii="Book Antiqua" w:eastAsia="Book Antiqua" w:hAnsi="Book Antiqua" w:cs="Book Antiqua"/>
          <w:i/>
          <w:iCs/>
          <w:color w:val="000000"/>
        </w:rPr>
        <w:t>JAMA</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323</w:t>
      </w:r>
      <w:r w:rsidRPr="00647F72">
        <w:rPr>
          <w:rFonts w:ascii="Book Antiqua" w:eastAsia="Book Antiqua" w:hAnsi="Book Antiqua" w:cs="Book Antiqua"/>
          <w:color w:val="000000"/>
        </w:rPr>
        <w:t>: 1239-1242 [PMID: 32091533 DOI: 10.1001/jama.2020.2648]</w:t>
      </w:r>
    </w:p>
    <w:p w:rsidR="00A77B3E" w:rsidRPr="00647F72" w:rsidRDefault="00B34FC9">
      <w:pPr>
        <w:spacing w:line="360" w:lineRule="auto"/>
        <w:jc w:val="both"/>
      </w:pPr>
      <w:r w:rsidRPr="00647F72">
        <w:rPr>
          <w:rFonts w:ascii="Book Antiqua" w:eastAsia="Book Antiqua" w:hAnsi="Book Antiqua" w:cs="Book Antiqua"/>
          <w:color w:val="000000"/>
        </w:rPr>
        <w:t xml:space="preserve">12 </w:t>
      </w:r>
      <w:r w:rsidRPr="00647F72">
        <w:rPr>
          <w:rFonts w:ascii="Book Antiqua" w:eastAsia="Book Antiqua" w:hAnsi="Book Antiqua" w:cs="Book Antiqua"/>
          <w:b/>
          <w:bCs/>
          <w:color w:val="000000"/>
        </w:rPr>
        <w:t>Gupta A</w:t>
      </w:r>
      <w:r w:rsidRPr="00647F72">
        <w:rPr>
          <w:rFonts w:ascii="Book Antiqua" w:eastAsia="Book Antiqua" w:hAnsi="Book Antiqua" w:cs="Book Antiqua"/>
          <w:color w:val="000000"/>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647F72">
        <w:rPr>
          <w:rFonts w:ascii="Book Antiqua" w:eastAsia="Book Antiqua" w:hAnsi="Book Antiqua" w:cs="Book Antiqua"/>
          <w:i/>
          <w:iCs/>
          <w:color w:val="000000"/>
        </w:rPr>
        <w:t>Nat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26</w:t>
      </w:r>
      <w:r w:rsidRPr="00647F72">
        <w:rPr>
          <w:rFonts w:ascii="Book Antiqua" w:eastAsia="Book Antiqua" w:hAnsi="Book Antiqua" w:cs="Book Antiqua"/>
          <w:color w:val="000000"/>
        </w:rPr>
        <w:t>: 1017-1032 [PMID: 32651579 DOI: 10.1038/s41591-020-0968-3]</w:t>
      </w:r>
    </w:p>
    <w:p w:rsidR="00A77B3E" w:rsidRPr="00647F72" w:rsidRDefault="00B34FC9">
      <w:pPr>
        <w:spacing w:line="360" w:lineRule="auto"/>
        <w:jc w:val="both"/>
      </w:pPr>
      <w:r w:rsidRPr="00647F72">
        <w:rPr>
          <w:rFonts w:ascii="Book Antiqua" w:eastAsia="Book Antiqua" w:hAnsi="Book Antiqua" w:cs="Book Antiqua"/>
          <w:color w:val="000000"/>
        </w:rPr>
        <w:t xml:space="preserve">13 </w:t>
      </w:r>
      <w:r w:rsidRPr="00647F72">
        <w:rPr>
          <w:rFonts w:ascii="Book Antiqua" w:eastAsia="Book Antiqua" w:hAnsi="Book Antiqua" w:cs="Book Antiqua"/>
          <w:b/>
          <w:bCs/>
          <w:color w:val="000000"/>
        </w:rPr>
        <w:t>Baral R</w:t>
      </w:r>
      <w:r w:rsidRPr="00647F72">
        <w:rPr>
          <w:rFonts w:ascii="Book Antiqua" w:eastAsia="Book Antiqua" w:hAnsi="Book Antiqua" w:cs="Book Antiqua"/>
          <w:color w:val="000000"/>
        </w:rPr>
        <w:t xml:space="preserve">, Ali O, Brett I, Reinhold J, Vassiliou VS. COVID-19: a pan-organ pandemic. </w:t>
      </w:r>
      <w:r w:rsidRPr="00647F72">
        <w:rPr>
          <w:rFonts w:ascii="Book Antiqua" w:eastAsia="Book Antiqua" w:hAnsi="Book Antiqua" w:cs="Book Antiqua"/>
          <w:i/>
          <w:iCs/>
          <w:color w:val="000000"/>
        </w:rPr>
        <w:t>Oxf Med Case Reports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2020</w:t>
      </w:r>
      <w:r w:rsidRPr="00647F72">
        <w:rPr>
          <w:rFonts w:ascii="Book Antiqua" w:eastAsia="Book Antiqua" w:hAnsi="Book Antiqua" w:cs="Book Antiqua"/>
          <w:color w:val="000000"/>
        </w:rPr>
        <w:t>: omaa107 [PMID: 33304597 DOI: 10.1093/omcr/omaa107]</w:t>
      </w:r>
    </w:p>
    <w:p w:rsidR="00A77B3E" w:rsidRPr="00647F72" w:rsidRDefault="00B34FC9">
      <w:pPr>
        <w:spacing w:line="360" w:lineRule="auto"/>
        <w:jc w:val="both"/>
      </w:pPr>
      <w:r w:rsidRPr="00647F72">
        <w:rPr>
          <w:rFonts w:ascii="Book Antiqua" w:eastAsia="Book Antiqua" w:hAnsi="Book Antiqua" w:cs="Book Antiqua"/>
          <w:color w:val="000000"/>
        </w:rPr>
        <w:t xml:space="preserve">14 </w:t>
      </w:r>
      <w:r w:rsidRPr="00647F72">
        <w:rPr>
          <w:rFonts w:ascii="Book Antiqua" w:eastAsia="Book Antiqua" w:hAnsi="Book Antiqua" w:cs="Book Antiqua"/>
          <w:b/>
          <w:bCs/>
          <w:color w:val="000000"/>
        </w:rPr>
        <w:t>Sun J</w:t>
      </w:r>
      <w:r w:rsidRPr="00647F72">
        <w:rPr>
          <w:rFonts w:ascii="Book Antiqua" w:eastAsia="Book Antiqua" w:hAnsi="Book Antiqua" w:cs="Book Antiqua"/>
          <w:color w:val="000000"/>
        </w:rPr>
        <w:t xml:space="preserve">, Aghemo A, Forner A, Valenti L. COVID-19 and liver disease.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40</w:t>
      </w:r>
      <w:r w:rsidRPr="00647F72">
        <w:rPr>
          <w:rFonts w:ascii="Book Antiqua" w:eastAsia="Book Antiqua" w:hAnsi="Book Antiqua" w:cs="Book Antiqua"/>
          <w:color w:val="000000"/>
        </w:rPr>
        <w:t>: 1278-1281 [PMID: 32251539 DOI: 10.1111/</w:t>
      </w:r>
      <w:r w:rsidR="00AF5F0F"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iv.14470]</w:t>
      </w:r>
    </w:p>
    <w:p w:rsidR="00A77B3E" w:rsidRPr="00647F72" w:rsidRDefault="00B34FC9">
      <w:pPr>
        <w:spacing w:line="360" w:lineRule="auto"/>
        <w:jc w:val="both"/>
      </w:pPr>
      <w:r w:rsidRPr="00647F72">
        <w:rPr>
          <w:rFonts w:ascii="Book Antiqua" w:eastAsia="Book Antiqua" w:hAnsi="Book Antiqua" w:cs="Book Antiqua"/>
          <w:color w:val="000000"/>
        </w:rPr>
        <w:t xml:space="preserve">15 </w:t>
      </w:r>
      <w:r w:rsidRPr="00647F72">
        <w:rPr>
          <w:rFonts w:ascii="Book Antiqua" w:eastAsia="Book Antiqua" w:hAnsi="Book Antiqua" w:cs="Book Antiqua"/>
          <w:b/>
          <w:bCs/>
          <w:color w:val="000000"/>
        </w:rPr>
        <w:t>Mao R</w:t>
      </w:r>
      <w:r w:rsidRPr="00647F72">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647F72">
        <w:rPr>
          <w:rFonts w:ascii="Book Antiqua" w:eastAsia="Book Antiqua" w:hAnsi="Book Antiqua" w:cs="Book Antiqua"/>
          <w:i/>
          <w:iCs/>
          <w:color w:val="000000"/>
        </w:rPr>
        <w:t>Lancet Gastroenterol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w:t>
      </w:r>
      <w:r w:rsidRPr="00647F72">
        <w:rPr>
          <w:rFonts w:ascii="Book Antiqua" w:eastAsia="Book Antiqua" w:hAnsi="Book Antiqua" w:cs="Book Antiqua"/>
          <w:color w:val="000000"/>
        </w:rPr>
        <w:t>: 667-678 [PMID: 32405603 DOI: 10.1016/S2468-1253(20)30126-6]</w:t>
      </w:r>
    </w:p>
    <w:p w:rsidR="00A77B3E" w:rsidRPr="00647F72" w:rsidRDefault="00B34FC9">
      <w:pPr>
        <w:spacing w:line="360" w:lineRule="auto"/>
        <w:jc w:val="both"/>
      </w:pPr>
      <w:r w:rsidRPr="00647F72">
        <w:rPr>
          <w:rFonts w:ascii="Book Antiqua" w:eastAsia="Book Antiqua" w:hAnsi="Book Antiqua" w:cs="Book Antiqua"/>
          <w:color w:val="000000"/>
        </w:rPr>
        <w:t xml:space="preserve">16 </w:t>
      </w:r>
      <w:r w:rsidRPr="00647F72">
        <w:rPr>
          <w:rFonts w:ascii="Book Antiqua" w:eastAsia="Book Antiqua" w:hAnsi="Book Antiqua" w:cs="Book Antiqua"/>
          <w:b/>
          <w:bCs/>
          <w:color w:val="000000"/>
        </w:rPr>
        <w:t>Wijarnpreecha K</w:t>
      </w:r>
      <w:r w:rsidRPr="00647F72">
        <w:rPr>
          <w:rFonts w:ascii="Book Antiqua" w:eastAsia="Book Antiqua" w:hAnsi="Book Antiqua" w:cs="Book Antiqua"/>
          <w:color w:val="000000"/>
        </w:rPr>
        <w:t xml:space="preserve">, Ungprasert P, Panjawatanan P, Harnois DM, Zaver HB, Ahmed A, Kim D. COVID-19 and liver injury: a meta-analysis. </w:t>
      </w:r>
      <w:r w:rsidRPr="00647F72">
        <w:rPr>
          <w:rFonts w:ascii="Book Antiqua" w:eastAsia="Book Antiqua" w:hAnsi="Book Antiqua" w:cs="Book Antiqua"/>
          <w:i/>
          <w:iCs/>
          <w:color w:val="000000"/>
        </w:rPr>
        <w:t>Eur J Gastroenterol Hepatol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33</w:t>
      </w:r>
      <w:r w:rsidRPr="00647F72">
        <w:rPr>
          <w:rFonts w:ascii="Book Antiqua" w:eastAsia="Book Antiqua" w:hAnsi="Book Antiqua" w:cs="Book Antiqua"/>
          <w:color w:val="000000"/>
        </w:rPr>
        <w:t>: 990-995 [PMID: 32639420 DOI: 10.1097/MEG.0000000000001817]</w:t>
      </w:r>
    </w:p>
    <w:p w:rsidR="00A77B3E" w:rsidRPr="00647F72" w:rsidRDefault="00B34FC9">
      <w:pPr>
        <w:spacing w:line="360" w:lineRule="auto"/>
        <w:jc w:val="both"/>
      </w:pPr>
      <w:r w:rsidRPr="00647F72">
        <w:rPr>
          <w:rFonts w:ascii="Book Antiqua" w:eastAsia="Book Antiqua" w:hAnsi="Book Antiqua" w:cs="Book Antiqua"/>
          <w:color w:val="000000"/>
        </w:rPr>
        <w:t xml:space="preserve">17 </w:t>
      </w:r>
      <w:r w:rsidRPr="00647F72">
        <w:rPr>
          <w:rFonts w:ascii="Book Antiqua" w:eastAsia="Book Antiqua" w:hAnsi="Book Antiqua" w:cs="Book Antiqua"/>
          <w:b/>
          <w:bCs/>
          <w:color w:val="000000"/>
        </w:rPr>
        <w:t>Wang Q</w:t>
      </w:r>
      <w:r w:rsidRPr="00647F72">
        <w:rPr>
          <w:rFonts w:ascii="Book Antiqua" w:eastAsia="Book Antiqua" w:hAnsi="Book Antiqua" w:cs="Book Antiqua"/>
          <w:color w:val="000000"/>
        </w:rPr>
        <w:t xml:space="preserve">, Zhao H, Liu LG, Wang YB, Zhang T, Li MH, Xu YL, Gao GJ, Xiong HF, Fan Y, Cao Y, Ding R, Wang JJ, Cheng C, Xie W. Pattern of liver injury in adult patients with COVID-19: a retrospective analysis of 105 patients. </w:t>
      </w:r>
      <w:r w:rsidRPr="00647F72">
        <w:rPr>
          <w:rFonts w:ascii="Book Antiqua" w:eastAsia="Book Antiqua" w:hAnsi="Book Antiqua" w:cs="Book Antiqua"/>
          <w:i/>
          <w:iCs/>
          <w:color w:val="000000"/>
        </w:rPr>
        <w:t>Mil Med Res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w:t>
      </w:r>
      <w:r w:rsidRPr="00647F72">
        <w:rPr>
          <w:rFonts w:ascii="Book Antiqua" w:eastAsia="Book Antiqua" w:hAnsi="Book Antiqua" w:cs="Book Antiqua"/>
          <w:color w:val="000000"/>
        </w:rPr>
        <w:t>: 28 [PMID: 32507110 DOI: 10.1186/s40779-020-00256-6]</w:t>
      </w:r>
    </w:p>
    <w:p w:rsidR="00A77B3E" w:rsidRPr="00647F72" w:rsidRDefault="00B34FC9">
      <w:pPr>
        <w:spacing w:line="360" w:lineRule="auto"/>
        <w:jc w:val="both"/>
      </w:pPr>
      <w:r w:rsidRPr="00647F72">
        <w:rPr>
          <w:rFonts w:ascii="Book Antiqua" w:eastAsia="Book Antiqua" w:hAnsi="Book Antiqua" w:cs="Book Antiqua"/>
          <w:color w:val="000000"/>
        </w:rPr>
        <w:t xml:space="preserve">18 </w:t>
      </w:r>
      <w:r w:rsidRPr="00647F72">
        <w:rPr>
          <w:rFonts w:ascii="Book Antiqua" w:eastAsia="Book Antiqua" w:hAnsi="Book Antiqua" w:cs="Book Antiqua"/>
          <w:b/>
          <w:bCs/>
          <w:color w:val="000000"/>
        </w:rPr>
        <w:t>Lei F</w:t>
      </w:r>
      <w:r w:rsidRPr="00647F72">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647F72">
        <w:rPr>
          <w:rFonts w:ascii="Book Antiqua" w:eastAsia="Book Antiqua" w:hAnsi="Book Antiqua" w:cs="Book Antiqua"/>
          <w:i/>
          <w:iCs/>
          <w:color w:val="000000"/>
        </w:rPr>
        <w:t>Hepatology</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72</w:t>
      </w:r>
      <w:r w:rsidRPr="00647F72">
        <w:rPr>
          <w:rFonts w:ascii="Book Antiqua" w:eastAsia="Book Antiqua" w:hAnsi="Book Antiqua" w:cs="Book Antiqua"/>
          <w:color w:val="000000"/>
        </w:rPr>
        <w:t>: 389-398 [PMID: 32359177 DOI: 10.1002/hep.31301]</w:t>
      </w:r>
    </w:p>
    <w:p w:rsidR="00A77B3E" w:rsidRPr="00647F72" w:rsidRDefault="00B34FC9">
      <w:pPr>
        <w:spacing w:line="360" w:lineRule="auto"/>
        <w:jc w:val="both"/>
      </w:pPr>
      <w:r w:rsidRPr="00647F72">
        <w:rPr>
          <w:rFonts w:ascii="Book Antiqua" w:eastAsia="Book Antiqua" w:hAnsi="Book Antiqua" w:cs="Book Antiqua"/>
          <w:color w:val="000000"/>
        </w:rPr>
        <w:t xml:space="preserve">19 </w:t>
      </w:r>
      <w:r w:rsidRPr="00647F72">
        <w:rPr>
          <w:rFonts w:ascii="Book Antiqua" w:eastAsia="Book Antiqua" w:hAnsi="Book Antiqua" w:cs="Book Antiqua"/>
          <w:b/>
          <w:bCs/>
          <w:color w:val="000000"/>
        </w:rPr>
        <w:t>Xie H</w:t>
      </w:r>
      <w:r w:rsidRPr="00647F72">
        <w:rPr>
          <w:rFonts w:ascii="Book Antiqua" w:eastAsia="Book Antiqua" w:hAnsi="Book Antiqua" w:cs="Book Antiqua"/>
          <w:color w:val="000000"/>
        </w:rPr>
        <w:t xml:space="preserve">, Zhao J, Lian N, Lin S, Xie Q, Zhuo H. Clinical characteristics of non-ICU hospitalized patients with coronavirus disease 2019 and liver injury: A retrospective study.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40</w:t>
      </w:r>
      <w:r w:rsidRPr="00647F72">
        <w:rPr>
          <w:rFonts w:ascii="Book Antiqua" w:eastAsia="Book Antiqua" w:hAnsi="Book Antiqua" w:cs="Book Antiqua"/>
          <w:color w:val="000000"/>
        </w:rPr>
        <w:t>: 1321-1326 [PMID: 32239591 DOI: 10.1111/</w:t>
      </w:r>
      <w:r w:rsidR="00AF5F0F"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iv.14449]</w:t>
      </w:r>
    </w:p>
    <w:p w:rsidR="00A77B3E" w:rsidRPr="00647F72" w:rsidRDefault="00B34FC9">
      <w:pPr>
        <w:spacing w:line="360" w:lineRule="auto"/>
        <w:jc w:val="both"/>
      </w:pPr>
      <w:r w:rsidRPr="00647F72">
        <w:rPr>
          <w:rFonts w:ascii="Book Antiqua" w:eastAsia="Book Antiqua" w:hAnsi="Book Antiqua" w:cs="Book Antiqua"/>
          <w:color w:val="000000"/>
        </w:rPr>
        <w:t xml:space="preserve">20 </w:t>
      </w:r>
      <w:r w:rsidRPr="00647F72">
        <w:rPr>
          <w:rFonts w:ascii="Book Antiqua" w:eastAsia="Book Antiqua" w:hAnsi="Book Antiqua" w:cs="Book Antiqua"/>
          <w:b/>
          <w:bCs/>
          <w:color w:val="000000"/>
        </w:rPr>
        <w:t>Wu Y</w:t>
      </w:r>
      <w:r w:rsidRPr="00647F72">
        <w:rPr>
          <w:rFonts w:ascii="Book Antiqua" w:eastAsia="Book Antiqua" w:hAnsi="Book Antiqua" w:cs="Book Antiqua"/>
          <w:color w:val="000000"/>
        </w:rPr>
        <w:t xml:space="preserve">, Li H, Guo X, Yoshida EM, Mendez-Sanchez N, Levi Sandri GB, Teschke R, Romeiro FG, Shukla A, Qi X. Incidence, risk factors, and prognosis of abnormal liver biochemical tests in COVID-19 patients: a systematic review and meta-analysis. </w:t>
      </w:r>
      <w:r w:rsidRPr="00647F72">
        <w:rPr>
          <w:rFonts w:ascii="Book Antiqua" w:eastAsia="Book Antiqua" w:hAnsi="Book Antiqua" w:cs="Book Antiqua"/>
          <w:i/>
          <w:iCs/>
          <w:color w:val="000000"/>
        </w:rPr>
        <w:t>Hepatol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621-637 [PMID: 32710250 DOI: 10.1007/s12072-020-10074-6]</w:t>
      </w:r>
    </w:p>
    <w:p w:rsidR="00A77B3E" w:rsidRPr="00647F72" w:rsidRDefault="00B34FC9">
      <w:pPr>
        <w:spacing w:line="360" w:lineRule="auto"/>
        <w:jc w:val="both"/>
        <w:rPr>
          <w:lang w:val="es-MX"/>
        </w:rPr>
      </w:pPr>
      <w:r w:rsidRPr="00647F72">
        <w:rPr>
          <w:rFonts w:ascii="Book Antiqua" w:eastAsia="Book Antiqua" w:hAnsi="Book Antiqua" w:cs="Book Antiqua"/>
          <w:color w:val="000000"/>
        </w:rPr>
        <w:t xml:space="preserve">21 </w:t>
      </w:r>
      <w:r w:rsidRPr="00647F72">
        <w:rPr>
          <w:rFonts w:ascii="Book Antiqua" w:eastAsia="Book Antiqua" w:hAnsi="Book Antiqua" w:cs="Book Antiqua"/>
          <w:b/>
          <w:bCs/>
          <w:color w:val="000000"/>
        </w:rPr>
        <w:t>Kulkarni AV</w:t>
      </w:r>
      <w:r w:rsidRPr="00647F72">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647F72">
        <w:rPr>
          <w:rFonts w:ascii="Book Antiqua" w:eastAsia="Book Antiqua" w:hAnsi="Book Antiqua" w:cs="Book Antiqua"/>
          <w:i/>
          <w:iCs/>
          <w:color w:val="000000"/>
          <w:lang w:val="es-MX"/>
        </w:rPr>
        <w:t>Aliment Pharmacol Ther</w:t>
      </w:r>
      <w:r w:rsidRPr="00647F72">
        <w:rPr>
          <w:rFonts w:ascii="Book Antiqua" w:eastAsia="Book Antiqua" w:hAnsi="Book Antiqua" w:cs="Book Antiqua"/>
          <w:color w:val="000000"/>
          <w:lang w:val="es-MX"/>
        </w:rPr>
        <w:t xml:space="preserve"> 2020; </w:t>
      </w:r>
      <w:r w:rsidRPr="00647F72">
        <w:rPr>
          <w:rFonts w:ascii="Book Antiqua" w:eastAsia="Book Antiqua" w:hAnsi="Book Antiqua" w:cs="Book Antiqua"/>
          <w:b/>
          <w:bCs/>
          <w:color w:val="000000"/>
          <w:lang w:val="es-MX"/>
        </w:rPr>
        <w:t>52</w:t>
      </w:r>
      <w:r w:rsidRPr="00647F72">
        <w:rPr>
          <w:rFonts w:ascii="Book Antiqua" w:eastAsia="Book Antiqua" w:hAnsi="Book Antiqua" w:cs="Book Antiqua"/>
          <w:color w:val="000000"/>
          <w:lang w:val="es-MX"/>
        </w:rPr>
        <w:t>: 584-599 [PMID: 32638436 DOI: 10.1111/apt.15916]</w:t>
      </w:r>
    </w:p>
    <w:p w:rsidR="00A77B3E" w:rsidRPr="00647F72" w:rsidRDefault="00B34FC9">
      <w:pPr>
        <w:spacing w:line="360" w:lineRule="auto"/>
        <w:jc w:val="both"/>
      </w:pPr>
      <w:r w:rsidRPr="00647F72">
        <w:rPr>
          <w:rFonts w:ascii="Book Antiqua" w:eastAsia="Book Antiqua" w:hAnsi="Book Antiqua" w:cs="Book Antiqua"/>
          <w:color w:val="000000"/>
          <w:lang w:val="es-MX"/>
        </w:rPr>
        <w:t xml:space="preserve">22 </w:t>
      </w:r>
      <w:r w:rsidRPr="00647F72">
        <w:rPr>
          <w:rFonts w:ascii="Book Antiqua" w:eastAsia="Book Antiqua" w:hAnsi="Book Antiqua" w:cs="Book Antiqua"/>
          <w:b/>
          <w:bCs/>
          <w:color w:val="000000"/>
          <w:lang w:val="es-MX"/>
        </w:rPr>
        <w:t>Mendizabal M</w:t>
      </w:r>
      <w:r w:rsidRPr="00647F72">
        <w:rPr>
          <w:rFonts w:ascii="Book Antiqua" w:eastAsia="Book Antiqua" w:hAnsi="Book Antiqua" w:cs="Book Antiqua"/>
          <w:color w:val="000000"/>
          <w:lang w:val="es-MX"/>
        </w:rPr>
        <w:t xml:space="preserve">, Piñero F, Ridruejo E, Anders M, Silveyra MD, Torre A, Montes P, Urzúa A, Pages J, Toro LG, Díaz J, Gonzalez Ballerga E, Miranda-Zazueta G, Peralta M, Gutiérrez I, Michelato D, Venturelli MG, Varón A, Vera-Pozo E, Tagle M, García M, Tassara A, Brutti J, Ruiz García S, Bustios C, Escajadillo N, Macias Y, Higuera-de la Tijera F, Gómez AJ, Dominguez A, Castillo-Barradas M, Contreras F, Scarpin A, Schinoni MI, Toledo C, Girala M, Mainardi V, Sanchez A, Bessone F, Rubinstein F, Silva MO. </w:t>
      </w:r>
      <w:r w:rsidRPr="00647F72">
        <w:rPr>
          <w:rFonts w:ascii="Book Antiqua" w:eastAsia="Book Antiqua" w:hAnsi="Book Antiqua" w:cs="Book Antiqua"/>
          <w:color w:val="000000"/>
        </w:rPr>
        <w:t xml:space="preserve">Prospective Latin American cohort evaluating outcomes of patients with COVID-19 and abnormal liver tests on admission. </w:t>
      </w:r>
      <w:r w:rsidRPr="00647F72">
        <w:rPr>
          <w:rFonts w:ascii="Book Antiqua" w:eastAsia="Book Antiqua" w:hAnsi="Book Antiqua" w:cs="Book Antiqua"/>
          <w:i/>
          <w:iCs/>
          <w:color w:val="000000"/>
        </w:rPr>
        <w:t>Ann Hepatol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21</w:t>
      </w:r>
      <w:r w:rsidRPr="00647F72">
        <w:rPr>
          <w:rFonts w:ascii="Book Antiqua" w:eastAsia="Book Antiqua" w:hAnsi="Book Antiqua" w:cs="Book Antiqua"/>
          <w:color w:val="000000"/>
        </w:rPr>
        <w:t>: 100298 [PMID: 33359234 DOI: 10.1016/j.aohep.2020.100298]</w:t>
      </w:r>
    </w:p>
    <w:p w:rsidR="00A77B3E" w:rsidRPr="00647F72" w:rsidRDefault="00B34FC9">
      <w:pPr>
        <w:spacing w:line="360" w:lineRule="auto"/>
        <w:jc w:val="both"/>
      </w:pPr>
      <w:r w:rsidRPr="00647F72">
        <w:rPr>
          <w:rFonts w:ascii="Book Antiqua" w:eastAsia="Book Antiqua" w:hAnsi="Book Antiqua" w:cs="Book Antiqua"/>
          <w:color w:val="000000"/>
        </w:rPr>
        <w:t xml:space="preserve">23 </w:t>
      </w:r>
      <w:r w:rsidRPr="00647F72">
        <w:rPr>
          <w:rFonts w:ascii="Book Antiqua" w:eastAsia="Book Antiqua" w:hAnsi="Book Antiqua" w:cs="Book Antiqua"/>
          <w:b/>
          <w:bCs/>
          <w:color w:val="000000"/>
        </w:rPr>
        <w:t>Wong YJ</w:t>
      </w:r>
      <w:r w:rsidRPr="00647F72">
        <w:rPr>
          <w:rFonts w:ascii="Book Antiqua" w:eastAsia="Book Antiqua" w:hAnsi="Book Antiqua" w:cs="Book Antiqua"/>
          <w:color w:val="000000"/>
        </w:rPr>
        <w:t xml:space="preserve">, Tan M, Zheng Q, Li JW, Kumar R, Fock KM, Teo EK, Ang TL. A systematic review and meta-analysis of the COVID-19 associated liver injury. </w:t>
      </w:r>
      <w:r w:rsidRPr="00647F72">
        <w:rPr>
          <w:rFonts w:ascii="Book Antiqua" w:eastAsia="Book Antiqua" w:hAnsi="Book Antiqua" w:cs="Book Antiqua"/>
          <w:i/>
          <w:iCs/>
          <w:color w:val="000000"/>
        </w:rPr>
        <w:t>Ann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19</w:t>
      </w:r>
      <w:r w:rsidRPr="00647F72">
        <w:rPr>
          <w:rFonts w:ascii="Book Antiqua" w:eastAsia="Book Antiqua" w:hAnsi="Book Antiqua" w:cs="Book Antiqua"/>
          <w:color w:val="000000"/>
        </w:rPr>
        <w:t>: 627-634 [PMID: 32882393 DOI: 10.1016/j.aohep.2020.08.064]</w:t>
      </w:r>
    </w:p>
    <w:p w:rsidR="00A77B3E" w:rsidRPr="00647F72" w:rsidRDefault="00B34FC9">
      <w:pPr>
        <w:spacing w:line="360" w:lineRule="auto"/>
        <w:jc w:val="both"/>
      </w:pPr>
      <w:r w:rsidRPr="00647F72">
        <w:rPr>
          <w:rFonts w:ascii="Book Antiqua" w:eastAsia="Book Antiqua" w:hAnsi="Book Antiqua" w:cs="Book Antiqua"/>
          <w:color w:val="000000"/>
        </w:rPr>
        <w:t xml:space="preserve">24 </w:t>
      </w:r>
      <w:r w:rsidRPr="00647F72">
        <w:rPr>
          <w:rFonts w:ascii="Book Antiqua" w:eastAsia="Book Antiqua" w:hAnsi="Book Antiqua" w:cs="Book Antiqua"/>
          <w:b/>
          <w:bCs/>
          <w:color w:val="000000"/>
        </w:rPr>
        <w:t>Zhu J</w:t>
      </w:r>
      <w:r w:rsidRPr="00647F72">
        <w:rPr>
          <w:rFonts w:ascii="Book Antiqua" w:eastAsia="Book Antiqua" w:hAnsi="Book Antiqua" w:cs="Book Antiqua"/>
          <w:color w:val="000000"/>
        </w:rPr>
        <w:t xml:space="preserve">, Pang J, Ji P, Zhong Z, Li H, Li B, Zhang J, Lu J. Coagulation dysfunction is associated with severity of COVID-19: A meta-analysis. </w:t>
      </w:r>
      <w:r w:rsidRPr="00647F72">
        <w:rPr>
          <w:rFonts w:ascii="Book Antiqua" w:eastAsia="Book Antiqua" w:hAnsi="Book Antiqua" w:cs="Book Antiqua"/>
          <w:i/>
          <w:iCs/>
          <w:color w:val="000000"/>
        </w:rPr>
        <w:t>J Med Virol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93</w:t>
      </w:r>
      <w:r w:rsidRPr="00647F72">
        <w:rPr>
          <w:rFonts w:ascii="Book Antiqua" w:eastAsia="Book Antiqua" w:hAnsi="Book Antiqua" w:cs="Book Antiqua"/>
          <w:color w:val="000000"/>
        </w:rPr>
        <w:t>: 962-972 [PMID: 32706396 DOI: 10.1002/jmv.26336]</w:t>
      </w:r>
    </w:p>
    <w:p w:rsidR="00A77B3E" w:rsidRPr="00647F72" w:rsidRDefault="00B34FC9">
      <w:pPr>
        <w:spacing w:line="360" w:lineRule="auto"/>
        <w:jc w:val="both"/>
      </w:pPr>
      <w:r w:rsidRPr="00647F72">
        <w:rPr>
          <w:rFonts w:ascii="Book Antiqua" w:eastAsia="Book Antiqua" w:hAnsi="Book Antiqua" w:cs="Book Antiqua"/>
          <w:color w:val="000000"/>
        </w:rPr>
        <w:t xml:space="preserve">25 </w:t>
      </w:r>
      <w:r w:rsidRPr="00647F72">
        <w:rPr>
          <w:rFonts w:ascii="Book Antiqua" w:eastAsia="Book Antiqua" w:hAnsi="Book Antiqua" w:cs="Book Antiqua"/>
          <w:b/>
          <w:bCs/>
          <w:color w:val="000000"/>
        </w:rPr>
        <w:t>Elshazli RM</w:t>
      </w:r>
      <w:r w:rsidRPr="00647F72">
        <w:rPr>
          <w:rFonts w:ascii="Book Antiqua" w:eastAsia="Book Antiqua" w:hAnsi="Book Antiqua" w:cs="Book Antiqua"/>
          <w:color w:val="000000"/>
        </w:rPr>
        <w:t xml:space="preserve">, Toraih EA, Elgaml A, El-Mowafy M, El-Mesery M, Amin MN, Hussein MH, Killackey MT, Fawzy MS, Kandil E. Diagnostic and prognostic value of hematological and immunological markers in COVID-19 infection: A meta-analysis of 6320 patients. </w:t>
      </w:r>
      <w:r w:rsidRPr="00647F72">
        <w:rPr>
          <w:rFonts w:ascii="Book Antiqua" w:eastAsia="Book Antiqua" w:hAnsi="Book Antiqua" w:cs="Book Antiqua"/>
          <w:i/>
          <w:iCs/>
          <w:color w:val="000000"/>
        </w:rPr>
        <w:t>PLoS One</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15</w:t>
      </w:r>
      <w:r w:rsidRPr="00647F72">
        <w:rPr>
          <w:rFonts w:ascii="Book Antiqua" w:eastAsia="Book Antiqua" w:hAnsi="Book Antiqua" w:cs="Book Antiqua"/>
          <w:color w:val="000000"/>
        </w:rPr>
        <w:t>: e0238160 [PMID: 32822430 DOI: 10.1371/journal.pone.0238160]</w:t>
      </w:r>
    </w:p>
    <w:p w:rsidR="00A77B3E" w:rsidRPr="00647F72" w:rsidRDefault="00B34FC9">
      <w:pPr>
        <w:spacing w:line="360" w:lineRule="auto"/>
        <w:jc w:val="both"/>
      </w:pPr>
      <w:r w:rsidRPr="00647F72">
        <w:rPr>
          <w:rFonts w:ascii="Book Antiqua" w:eastAsia="Book Antiqua" w:hAnsi="Book Antiqua" w:cs="Book Antiqua"/>
          <w:color w:val="000000"/>
        </w:rPr>
        <w:t xml:space="preserve">26 </w:t>
      </w:r>
      <w:r w:rsidRPr="00647F72">
        <w:rPr>
          <w:rFonts w:ascii="Book Antiqua" w:eastAsia="Book Antiqua" w:hAnsi="Book Antiqua" w:cs="Book Antiqua"/>
          <w:b/>
          <w:bCs/>
          <w:color w:val="000000"/>
        </w:rPr>
        <w:t>Wu ZH</w:t>
      </w:r>
      <w:r w:rsidRPr="00647F72">
        <w:rPr>
          <w:rFonts w:ascii="Book Antiqua" w:eastAsia="Book Antiqua" w:hAnsi="Book Antiqua" w:cs="Book Antiqua"/>
          <w:color w:val="000000"/>
        </w:rPr>
        <w:t xml:space="preserve">, Yang DL. A meta-analysis of the impact of COVID-19 on liver dysfunction. </w:t>
      </w:r>
      <w:r w:rsidRPr="00647F72">
        <w:rPr>
          <w:rFonts w:ascii="Book Antiqua" w:eastAsia="Book Antiqua" w:hAnsi="Book Antiqua" w:cs="Book Antiqua"/>
          <w:i/>
          <w:iCs/>
          <w:color w:val="000000"/>
        </w:rPr>
        <w:t>Eur J Med Res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25</w:t>
      </w:r>
      <w:r w:rsidRPr="00647F72">
        <w:rPr>
          <w:rFonts w:ascii="Book Antiqua" w:eastAsia="Book Antiqua" w:hAnsi="Book Antiqua" w:cs="Book Antiqua"/>
          <w:color w:val="000000"/>
        </w:rPr>
        <w:t>: 54 [PMID: 33148326 DOI: 10.1186/s40001-020-00454-x]</w:t>
      </w:r>
    </w:p>
    <w:p w:rsidR="00A77B3E" w:rsidRPr="00647F72" w:rsidRDefault="00B34FC9">
      <w:pPr>
        <w:spacing w:line="360" w:lineRule="auto"/>
        <w:jc w:val="both"/>
      </w:pPr>
      <w:r w:rsidRPr="00647F72">
        <w:rPr>
          <w:rFonts w:ascii="Book Antiqua" w:eastAsia="Book Antiqua" w:hAnsi="Book Antiqua" w:cs="Book Antiqua"/>
          <w:color w:val="000000"/>
        </w:rPr>
        <w:t xml:space="preserve">27 </w:t>
      </w:r>
      <w:r w:rsidRPr="00647F72">
        <w:rPr>
          <w:rFonts w:ascii="Book Antiqua" w:eastAsia="Book Antiqua" w:hAnsi="Book Antiqua" w:cs="Book Antiqua"/>
          <w:b/>
          <w:bCs/>
          <w:color w:val="000000"/>
        </w:rPr>
        <w:t>Xu L</w:t>
      </w:r>
      <w:r w:rsidRPr="00647F72">
        <w:rPr>
          <w:rFonts w:ascii="Book Antiqua" w:eastAsia="Book Antiqua" w:hAnsi="Book Antiqua" w:cs="Book Antiqua"/>
          <w:color w:val="000000"/>
        </w:rPr>
        <w:t xml:space="preserve">, Liu J, Lu M, Yang D, Zheng X. Liver injury during highly pathogenic human coronavirus infections.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40</w:t>
      </w:r>
      <w:r w:rsidRPr="00647F72">
        <w:rPr>
          <w:rFonts w:ascii="Book Antiqua" w:eastAsia="Book Antiqua" w:hAnsi="Book Antiqua" w:cs="Book Antiqua"/>
          <w:color w:val="000000"/>
        </w:rPr>
        <w:t>: 998-1004 [PMID: 32170806 DOI: 10.1111/</w:t>
      </w:r>
      <w:r w:rsidR="00A50C72"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iv.14435]</w:t>
      </w:r>
    </w:p>
    <w:p w:rsidR="00A77B3E" w:rsidRPr="00647F72" w:rsidRDefault="00B34FC9">
      <w:pPr>
        <w:spacing w:line="360" w:lineRule="auto"/>
        <w:jc w:val="both"/>
      </w:pPr>
      <w:r w:rsidRPr="00647F72">
        <w:rPr>
          <w:rFonts w:ascii="Book Antiqua" w:eastAsia="Book Antiqua" w:hAnsi="Book Antiqua" w:cs="Book Antiqua"/>
          <w:color w:val="000000"/>
        </w:rPr>
        <w:t xml:space="preserve">28 </w:t>
      </w:r>
      <w:r w:rsidRPr="00647F72">
        <w:rPr>
          <w:rFonts w:ascii="Book Antiqua" w:eastAsia="Book Antiqua" w:hAnsi="Book Antiqua" w:cs="Book Antiqua"/>
          <w:b/>
          <w:bCs/>
          <w:color w:val="000000"/>
        </w:rPr>
        <w:t>Weber S</w:t>
      </w:r>
      <w:r w:rsidRPr="00647F72">
        <w:rPr>
          <w:rFonts w:ascii="Book Antiqua" w:eastAsia="Book Antiqua" w:hAnsi="Book Antiqua" w:cs="Book Antiqua"/>
          <w:color w:val="000000"/>
        </w:rPr>
        <w:t xml:space="preserve">, Mayerle J, Irlbeck M, Gerbes AL. Severe liver failure during SARS-CoV-2 infection. </w:t>
      </w:r>
      <w:r w:rsidRPr="00647F72">
        <w:rPr>
          <w:rFonts w:ascii="Book Antiqua" w:eastAsia="Book Antiqua" w:hAnsi="Book Antiqua" w:cs="Book Antiqua"/>
          <w:i/>
          <w:iCs/>
          <w:color w:val="000000"/>
        </w:rPr>
        <w:t>Gut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69</w:t>
      </w:r>
      <w:r w:rsidRPr="00647F72">
        <w:rPr>
          <w:rFonts w:ascii="Book Antiqua" w:eastAsia="Book Antiqua" w:hAnsi="Book Antiqua" w:cs="Book Antiqua"/>
          <w:color w:val="000000"/>
        </w:rPr>
        <w:t>: 1365-1367 [PMID: 32327526 DOI: 10.1136/gutjnl-2020-321350]</w:t>
      </w:r>
    </w:p>
    <w:p w:rsidR="00A77B3E" w:rsidRPr="00647F72" w:rsidRDefault="00B34FC9">
      <w:pPr>
        <w:spacing w:line="360" w:lineRule="auto"/>
        <w:jc w:val="both"/>
      </w:pPr>
      <w:r w:rsidRPr="00647F72">
        <w:rPr>
          <w:rFonts w:ascii="Book Antiqua" w:eastAsia="Book Antiqua" w:hAnsi="Book Antiqua" w:cs="Book Antiqua"/>
          <w:color w:val="000000"/>
        </w:rPr>
        <w:t xml:space="preserve">29 </w:t>
      </w:r>
      <w:r w:rsidRPr="00647F72">
        <w:rPr>
          <w:rFonts w:ascii="Book Antiqua" w:eastAsia="Book Antiqua" w:hAnsi="Book Antiqua" w:cs="Book Antiqua"/>
          <w:b/>
          <w:bCs/>
          <w:color w:val="000000"/>
        </w:rPr>
        <w:t>Richardson S</w:t>
      </w:r>
      <w:r w:rsidRPr="00647F72">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647F72">
        <w:rPr>
          <w:rFonts w:ascii="Book Antiqua" w:eastAsia="Book Antiqua" w:hAnsi="Book Antiqua" w:cs="Book Antiqua"/>
          <w:i/>
          <w:iCs/>
          <w:color w:val="000000"/>
        </w:rPr>
        <w:t>JAMA</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323</w:t>
      </w:r>
      <w:r w:rsidRPr="00647F72">
        <w:rPr>
          <w:rFonts w:ascii="Book Antiqua" w:eastAsia="Book Antiqua" w:hAnsi="Book Antiqua" w:cs="Book Antiqua"/>
          <w:color w:val="000000"/>
        </w:rPr>
        <w:t>: 2052-2059 [PMID: 32320003 DOI: 10.1001/jama.2020.6775]</w:t>
      </w:r>
    </w:p>
    <w:p w:rsidR="00A77B3E" w:rsidRPr="00647F72" w:rsidRDefault="00B34FC9">
      <w:pPr>
        <w:spacing w:line="360" w:lineRule="auto"/>
        <w:jc w:val="both"/>
        <w:rPr>
          <w:lang w:val="es-MX"/>
        </w:rPr>
      </w:pPr>
      <w:r w:rsidRPr="00647F72">
        <w:rPr>
          <w:rFonts w:ascii="Book Antiqua" w:eastAsia="Book Antiqua" w:hAnsi="Book Antiqua" w:cs="Book Antiqua"/>
          <w:color w:val="000000"/>
        </w:rPr>
        <w:t xml:space="preserve">30 </w:t>
      </w:r>
      <w:r w:rsidRPr="00647F72">
        <w:rPr>
          <w:rFonts w:ascii="Book Antiqua" w:eastAsia="Book Antiqua" w:hAnsi="Book Antiqua" w:cs="Book Antiqua"/>
          <w:b/>
          <w:bCs/>
          <w:color w:val="000000"/>
        </w:rPr>
        <w:t>Shi H</w:t>
      </w:r>
      <w:r w:rsidRPr="00647F72">
        <w:rPr>
          <w:rFonts w:ascii="Book Antiqua" w:eastAsia="Book Antiqua" w:hAnsi="Book Antiqua" w:cs="Book Antiqua"/>
          <w:color w:val="000000"/>
        </w:rPr>
        <w:t xml:space="preserve">, Han X, Jiang N, Cao Y, Alwalid O, Gu J, Fan Y, Zheng C. Radiological findings from 81 patients with COVID-19 pneumonia in Wuhan, China: a descriptive study. </w:t>
      </w:r>
      <w:r w:rsidRPr="00647F72">
        <w:rPr>
          <w:rFonts w:ascii="Book Antiqua" w:eastAsia="Book Antiqua" w:hAnsi="Book Antiqua" w:cs="Book Antiqua"/>
          <w:i/>
          <w:iCs/>
          <w:color w:val="000000"/>
          <w:lang w:val="es-MX"/>
        </w:rPr>
        <w:t>Lancet Infect Dis</w:t>
      </w:r>
      <w:r w:rsidRPr="00647F72">
        <w:rPr>
          <w:rFonts w:ascii="Book Antiqua" w:eastAsia="Book Antiqua" w:hAnsi="Book Antiqua" w:cs="Book Antiqua"/>
          <w:color w:val="000000"/>
          <w:lang w:val="es-MX"/>
        </w:rPr>
        <w:t xml:space="preserve"> 2020; </w:t>
      </w:r>
      <w:r w:rsidRPr="00647F72">
        <w:rPr>
          <w:rFonts w:ascii="Book Antiqua" w:eastAsia="Book Antiqua" w:hAnsi="Book Antiqua" w:cs="Book Antiqua"/>
          <w:b/>
          <w:bCs/>
          <w:color w:val="000000"/>
          <w:lang w:val="es-MX"/>
        </w:rPr>
        <w:t>20</w:t>
      </w:r>
      <w:r w:rsidRPr="00647F72">
        <w:rPr>
          <w:rFonts w:ascii="Book Antiqua" w:eastAsia="Book Antiqua" w:hAnsi="Book Antiqua" w:cs="Book Antiqua"/>
          <w:color w:val="000000"/>
          <w:lang w:val="es-MX"/>
        </w:rPr>
        <w:t>: 425-434 [PMID: 32105637 DOI: 10.1016/S1473-3099(20)30086-4]</w:t>
      </w:r>
    </w:p>
    <w:p w:rsidR="00A77B3E" w:rsidRPr="00647F72" w:rsidRDefault="00B34FC9">
      <w:pPr>
        <w:spacing w:line="360" w:lineRule="auto"/>
        <w:jc w:val="both"/>
      </w:pPr>
      <w:r w:rsidRPr="00647F72">
        <w:rPr>
          <w:rFonts w:ascii="Book Antiqua" w:eastAsia="Book Antiqua" w:hAnsi="Book Antiqua" w:cs="Book Antiqua"/>
          <w:color w:val="000000"/>
          <w:lang w:val="es-MX"/>
        </w:rPr>
        <w:t xml:space="preserve">31 </w:t>
      </w:r>
      <w:r w:rsidRPr="00647F72">
        <w:rPr>
          <w:rFonts w:ascii="Book Antiqua" w:eastAsia="Book Antiqua" w:hAnsi="Book Antiqua" w:cs="Book Antiqua"/>
          <w:b/>
          <w:bCs/>
          <w:color w:val="000000"/>
          <w:lang w:val="es-MX"/>
        </w:rPr>
        <w:t>Lozano-Sepulveda SA</w:t>
      </w:r>
      <w:r w:rsidRPr="00647F72">
        <w:rPr>
          <w:rFonts w:ascii="Book Antiqua" w:eastAsia="Book Antiqua" w:hAnsi="Book Antiqua" w:cs="Book Antiqua"/>
          <w:color w:val="000000"/>
          <w:lang w:val="es-MX"/>
        </w:rPr>
        <w:t xml:space="preserve">, Galan-Huerta K, Martínez-Acuña N, Arellanos-Soto D, Rivas-Estilla AM. </w:t>
      </w:r>
      <w:r w:rsidRPr="00647F72">
        <w:rPr>
          <w:rFonts w:ascii="Book Antiqua" w:eastAsia="Book Antiqua" w:hAnsi="Book Antiqua" w:cs="Book Antiqua"/>
          <w:color w:val="000000"/>
        </w:rPr>
        <w:t xml:space="preserve">SARS-CoV-2 another kind of liver aggressor, how does it do that? </w:t>
      </w:r>
      <w:r w:rsidRPr="00647F72">
        <w:rPr>
          <w:rFonts w:ascii="Book Antiqua" w:eastAsia="Book Antiqua" w:hAnsi="Book Antiqua" w:cs="Book Antiqua"/>
          <w:i/>
          <w:iCs/>
          <w:color w:val="000000"/>
        </w:rPr>
        <w:t>Ann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19</w:t>
      </w:r>
      <w:r w:rsidRPr="00647F72">
        <w:rPr>
          <w:rFonts w:ascii="Book Antiqua" w:eastAsia="Book Antiqua" w:hAnsi="Book Antiqua" w:cs="Book Antiqua"/>
          <w:color w:val="000000"/>
        </w:rPr>
        <w:t>: 592-596 [PMID: 32858226 DOI: 10.1016/j.aohep.2020.08.062]</w:t>
      </w:r>
    </w:p>
    <w:p w:rsidR="00A77B3E" w:rsidRPr="00647F72" w:rsidRDefault="00B34FC9">
      <w:pPr>
        <w:spacing w:line="360" w:lineRule="auto"/>
        <w:jc w:val="both"/>
      </w:pPr>
      <w:r w:rsidRPr="00647F72">
        <w:rPr>
          <w:rFonts w:ascii="Book Antiqua" w:eastAsia="Book Antiqua" w:hAnsi="Book Antiqua" w:cs="Book Antiqua"/>
          <w:color w:val="000000"/>
        </w:rPr>
        <w:t xml:space="preserve">32 </w:t>
      </w:r>
      <w:r w:rsidRPr="00647F72">
        <w:rPr>
          <w:rFonts w:ascii="Book Antiqua" w:eastAsia="Book Antiqua" w:hAnsi="Book Antiqua" w:cs="Book Antiqua"/>
          <w:b/>
          <w:bCs/>
          <w:color w:val="000000"/>
        </w:rPr>
        <w:t>Metawea MI</w:t>
      </w:r>
      <w:r w:rsidRPr="00647F72">
        <w:rPr>
          <w:rFonts w:ascii="Book Antiqua" w:eastAsia="Book Antiqua" w:hAnsi="Book Antiqua" w:cs="Book Antiqua"/>
          <w:color w:val="000000"/>
        </w:rPr>
        <w:t xml:space="preserve">, Yousif WI, Moheb I. COVID 19 and liver: An A-Z literature review. </w:t>
      </w:r>
      <w:r w:rsidRPr="00647F72">
        <w:rPr>
          <w:rFonts w:ascii="Book Antiqua" w:eastAsia="Book Antiqua" w:hAnsi="Book Antiqua" w:cs="Book Antiqua"/>
          <w:i/>
          <w:iCs/>
          <w:color w:val="000000"/>
        </w:rPr>
        <w:t>Dig Liver Dis</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53</w:t>
      </w:r>
      <w:r w:rsidRPr="00647F72">
        <w:rPr>
          <w:rFonts w:ascii="Book Antiqua" w:eastAsia="Book Antiqua" w:hAnsi="Book Antiqua" w:cs="Book Antiqua"/>
          <w:color w:val="000000"/>
        </w:rPr>
        <w:t>: 146-152 [PMID: 32988758 DOI: 10.1016/j.dld.2020.09.010]</w:t>
      </w:r>
    </w:p>
    <w:p w:rsidR="00A77B3E" w:rsidRPr="00647F72" w:rsidRDefault="00B34FC9">
      <w:pPr>
        <w:spacing w:line="360" w:lineRule="auto"/>
        <w:jc w:val="both"/>
      </w:pPr>
      <w:r w:rsidRPr="00647F72">
        <w:rPr>
          <w:rFonts w:ascii="Book Antiqua" w:eastAsia="Book Antiqua" w:hAnsi="Book Antiqua" w:cs="Book Antiqua"/>
          <w:color w:val="000000"/>
        </w:rPr>
        <w:t xml:space="preserve">33 </w:t>
      </w:r>
      <w:r w:rsidRPr="00647F72">
        <w:rPr>
          <w:rFonts w:ascii="Book Antiqua" w:eastAsia="Book Antiqua" w:hAnsi="Book Antiqua" w:cs="Book Antiqua"/>
          <w:b/>
          <w:bCs/>
          <w:color w:val="000000"/>
        </w:rPr>
        <w:t>Banales JM</w:t>
      </w:r>
      <w:r w:rsidRPr="00647F72">
        <w:rPr>
          <w:rFonts w:ascii="Book Antiqua" w:eastAsia="Book Antiqua" w:hAnsi="Book Antiqua" w:cs="Book Antiqua"/>
          <w:color w:val="000000"/>
        </w:rPr>
        <w:t xml:space="preserve">, Huebert RC, Karlsen T, Strazzabosco M, LaRusso NF, Gores GJ. Cholangiocyte pathobiology. </w:t>
      </w:r>
      <w:r w:rsidRPr="00647F72">
        <w:rPr>
          <w:rFonts w:ascii="Book Antiqua" w:eastAsia="Book Antiqua" w:hAnsi="Book Antiqua" w:cs="Book Antiqua"/>
          <w:i/>
          <w:iCs/>
          <w:color w:val="000000"/>
        </w:rPr>
        <w:t>Nat Rev Gastroenterol Hepatol</w:t>
      </w:r>
      <w:r w:rsidRPr="00647F72">
        <w:rPr>
          <w:rFonts w:ascii="Book Antiqua" w:eastAsia="Book Antiqua" w:hAnsi="Book Antiqua" w:cs="Book Antiqua"/>
          <w:color w:val="000000"/>
        </w:rPr>
        <w:t xml:space="preserve"> 2019; </w:t>
      </w:r>
      <w:r w:rsidRPr="00647F72">
        <w:rPr>
          <w:rFonts w:ascii="Book Antiqua" w:eastAsia="Book Antiqua" w:hAnsi="Book Antiqua" w:cs="Book Antiqua"/>
          <w:b/>
          <w:bCs/>
          <w:color w:val="000000"/>
        </w:rPr>
        <w:t>16</w:t>
      </w:r>
      <w:r w:rsidRPr="00647F72">
        <w:rPr>
          <w:rFonts w:ascii="Book Antiqua" w:eastAsia="Book Antiqua" w:hAnsi="Book Antiqua" w:cs="Book Antiqua"/>
          <w:color w:val="000000"/>
        </w:rPr>
        <w:t>: 269-281 [PMID: 30850822 DOI: 10.1038/s41575-019-0125-y]</w:t>
      </w:r>
    </w:p>
    <w:p w:rsidR="00A77B3E" w:rsidRPr="00647F72" w:rsidRDefault="00B34FC9">
      <w:pPr>
        <w:spacing w:line="360" w:lineRule="auto"/>
        <w:jc w:val="both"/>
      </w:pPr>
      <w:r w:rsidRPr="00647F72">
        <w:rPr>
          <w:rFonts w:ascii="Book Antiqua" w:eastAsia="Book Antiqua" w:hAnsi="Book Antiqua" w:cs="Book Antiqua"/>
          <w:color w:val="000000"/>
        </w:rPr>
        <w:t xml:space="preserve">34 </w:t>
      </w:r>
      <w:r w:rsidRPr="00647F72">
        <w:rPr>
          <w:rFonts w:ascii="Book Antiqua" w:eastAsia="Book Antiqua" w:hAnsi="Book Antiqua" w:cs="Book Antiqua"/>
          <w:b/>
          <w:bCs/>
          <w:color w:val="000000"/>
        </w:rPr>
        <w:t>Herath CB</w:t>
      </w:r>
      <w:r w:rsidRPr="00647F72">
        <w:rPr>
          <w:rFonts w:ascii="Book Antiqua" w:eastAsia="Book Antiqua" w:hAnsi="Book Antiqua" w:cs="Book Antiqua"/>
          <w:color w:val="000000"/>
        </w:rPr>
        <w:t xml:space="preserve">, Warner FJ, Lubel JS, Dean RG, Jia Z, Lew RA, Smith AI, Burrell LM, Angus PW. Upregulation of hepatic angiotensin-converting enzyme 2 (ACE2) and angiotensin-(1-7) levels in experimental biliary fibrosis.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2007; </w:t>
      </w:r>
      <w:r w:rsidRPr="00647F72">
        <w:rPr>
          <w:rFonts w:ascii="Book Antiqua" w:eastAsia="Book Antiqua" w:hAnsi="Book Antiqua" w:cs="Book Antiqua"/>
          <w:b/>
          <w:bCs/>
          <w:color w:val="000000"/>
        </w:rPr>
        <w:t>47</w:t>
      </w:r>
      <w:r w:rsidRPr="00647F72">
        <w:rPr>
          <w:rFonts w:ascii="Book Antiqua" w:eastAsia="Book Antiqua" w:hAnsi="Book Antiqua" w:cs="Book Antiqua"/>
          <w:color w:val="000000"/>
        </w:rPr>
        <w:t>: 387-395 [PMID: 17532087 DOI: 10.1016/j.jhep.2007.03.008]</w:t>
      </w:r>
    </w:p>
    <w:p w:rsidR="00A77B3E" w:rsidRPr="00647F72" w:rsidRDefault="00B34FC9">
      <w:pPr>
        <w:spacing w:line="360" w:lineRule="auto"/>
        <w:jc w:val="both"/>
      </w:pPr>
      <w:r w:rsidRPr="00647F72">
        <w:rPr>
          <w:rFonts w:ascii="Book Antiqua" w:eastAsia="Book Antiqua" w:hAnsi="Book Antiqua" w:cs="Book Antiqua"/>
          <w:color w:val="000000"/>
        </w:rPr>
        <w:t xml:space="preserve">35 </w:t>
      </w:r>
      <w:r w:rsidRPr="00647F72">
        <w:rPr>
          <w:rFonts w:ascii="Book Antiqua" w:eastAsia="Book Antiqua" w:hAnsi="Book Antiqua" w:cs="Book Antiqua"/>
          <w:b/>
          <w:bCs/>
          <w:color w:val="000000"/>
        </w:rPr>
        <w:t>Wang Y</w:t>
      </w:r>
      <w:r w:rsidRPr="00647F72">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73</w:t>
      </w:r>
      <w:r w:rsidRPr="00647F72">
        <w:rPr>
          <w:rFonts w:ascii="Book Antiqua" w:eastAsia="Book Antiqua" w:hAnsi="Book Antiqua" w:cs="Book Antiqua"/>
          <w:color w:val="000000"/>
        </w:rPr>
        <w:t>: 807-816 [PMID: 32437830 DOI: 10.1016/j.jhep.2020.05.002]</w:t>
      </w:r>
    </w:p>
    <w:p w:rsidR="00A77B3E" w:rsidRPr="00647F72" w:rsidRDefault="00B34FC9">
      <w:pPr>
        <w:spacing w:line="360" w:lineRule="auto"/>
        <w:jc w:val="both"/>
      </w:pPr>
      <w:r w:rsidRPr="00647F72">
        <w:rPr>
          <w:rFonts w:ascii="Book Antiqua" w:eastAsia="Book Antiqua" w:hAnsi="Book Antiqua" w:cs="Book Antiqua"/>
          <w:color w:val="000000"/>
        </w:rPr>
        <w:t xml:space="preserve">36 </w:t>
      </w:r>
      <w:r w:rsidRPr="00647F72">
        <w:rPr>
          <w:rFonts w:ascii="Book Antiqua" w:eastAsia="Book Antiqua" w:hAnsi="Book Antiqua" w:cs="Book Antiqua"/>
          <w:b/>
          <w:bCs/>
          <w:color w:val="000000"/>
        </w:rPr>
        <w:t>Working Group*.</w:t>
      </w:r>
      <w:r w:rsidR="00D30787"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 xml:space="preserve">Association of Pathologists** for Guidebook of NASH and NAFLD, 2015: The Japan Society of Hepatology. Pathological Findings of NASH and NAFLD: for Guidebook of NASH and NAFLD, 2015: The Japan Society of Hepatology. </w:t>
      </w:r>
      <w:r w:rsidRPr="00647F72">
        <w:rPr>
          <w:rFonts w:ascii="Book Antiqua" w:eastAsia="Book Antiqua" w:hAnsi="Book Antiqua" w:cs="Book Antiqua"/>
          <w:i/>
          <w:iCs/>
          <w:color w:val="000000"/>
        </w:rPr>
        <w:t>Hepatol Res</w:t>
      </w:r>
      <w:r w:rsidRPr="00647F72">
        <w:rPr>
          <w:rFonts w:ascii="Book Antiqua" w:eastAsia="Book Antiqua" w:hAnsi="Book Antiqua" w:cs="Book Antiqua"/>
          <w:color w:val="000000"/>
        </w:rPr>
        <w:t xml:space="preserve"> 2017; </w:t>
      </w:r>
      <w:r w:rsidRPr="00647F72">
        <w:rPr>
          <w:rFonts w:ascii="Book Antiqua" w:eastAsia="Book Antiqua" w:hAnsi="Book Antiqua" w:cs="Book Antiqua"/>
          <w:b/>
          <w:bCs/>
          <w:color w:val="000000"/>
        </w:rPr>
        <w:t>47</w:t>
      </w:r>
      <w:r w:rsidRPr="00647F72">
        <w:rPr>
          <w:rFonts w:ascii="Book Antiqua" w:eastAsia="Book Antiqua" w:hAnsi="Book Antiqua" w:cs="Book Antiqua"/>
          <w:color w:val="000000"/>
        </w:rPr>
        <w:t>: 3-10 [PMID: 27889947 DOI: 10.1111/hepr.12847]</w:t>
      </w:r>
    </w:p>
    <w:p w:rsidR="00A77B3E" w:rsidRPr="00647F72" w:rsidRDefault="00B34FC9">
      <w:pPr>
        <w:spacing w:line="360" w:lineRule="auto"/>
        <w:jc w:val="both"/>
      </w:pPr>
      <w:r w:rsidRPr="00647F72">
        <w:rPr>
          <w:rFonts w:ascii="Book Antiqua" w:eastAsia="Book Antiqua" w:hAnsi="Book Antiqua" w:cs="Book Antiqua"/>
          <w:color w:val="000000"/>
        </w:rPr>
        <w:t xml:space="preserve">37 </w:t>
      </w:r>
      <w:r w:rsidRPr="00647F72">
        <w:rPr>
          <w:rFonts w:ascii="Book Antiqua" w:eastAsia="Book Antiqua" w:hAnsi="Book Antiqua" w:cs="Book Antiqua"/>
          <w:b/>
          <w:bCs/>
          <w:color w:val="000000"/>
        </w:rPr>
        <w:t>Xu Z</w:t>
      </w:r>
      <w:r w:rsidRPr="00647F72">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647F72">
        <w:rPr>
          <w:rFonts w:ascii="Book Antiqua" w:eastAsia="Book Antiqua" w:hAnsi="Book Antiqua" w:cs="Book Antiqua"/>
          <w:i/>
          <w:iCs/>
          <w:color w:val="000000"/>
        </w:rPr>
        <w:t>Lancet Respir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8</w:t>
      </w:r>
      <w:r w:rsidRPr="00647F72">
        <w:rPr>
          <w:rFonts w:ascii="Book Antiqua" w:eastAsia="Book Antiqua" w:hAnsi="Book Antiqua" w:cs="Book Antiqua"/>
          <w:color w:val="000000"/>
        </w:rPr>
        <w:t>: 420-422 [PMID: 32085846 DOI: 10.1016/S2213-2600(20)30076-X]</w:t>
      </w:r>
    </w:p>
    <w:p w:rsidR="00A77B3E" w:rsidRPr="00647F72" w:rsidRDefault="00B34FC9">
      <w:pPr>
        <w:spacing w:line="360" w:lineRule="auto"/>
        <w:jc w:val="both"/>
      </w:pPr>
      <w:r w:rsidRPr="00647F72">
        <w:rPr>
          <w:rFonts w:ascii="Book Antiqua" w:eastAsia="Book Antiqua" w:hAnsi="Book Antiqua" w:cs="Book Antiqua"/>
          <w:color w:val="000000"/>
        </w:rPr>
        <w:t xml:space="preserve">38 </w:t>
      </w:r>
      <w:r w:rsidRPr="00647F72">
        <w:rPr>
          <w:rFonts w:ascii="Book Antiqua" w:eastAsia="Book Antiqua" w:hAnsi="Book Antiqua" w:cs="Book Antiqua"/>
          <w:b/>
          <w:bCs/>
          <w:color w:val="000000"/>
        </w:rPr>
        <w:t>Ji D</w:t>
      </w:r>
      <w:r w:rsidRPr="00647F72">
        <w:rPr>
          <w:rFonts w:ascii="Book Antiqua" w:eastAsia="Book Antiqua" w:hAnsi="Book Antiqua" w:cs="Book Antiqua"/>
          <w:color w:val="000000"/>
        </w:rPr>
        <w:t xml:space="preserve">, Qin E, Xu J, Zhang D, Cheng G, Wang Y, Lau G. Non-alcoholic fatty liver diseases in patients with COVID-19: A retrospective study.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73</w:t>
      </w:r>
      <w:r w:rsidRPr="00647F72">
        <w:rPr>
          <w:rFonts w:ascii="Book Antiqua" w:eastAsia="Book Antiqua" w:hAnsi="Book Antiqua" w:cs="Book Antiqua"/>
          <w:color w:val="000000"/>
        </w:rPr>
        <w:t>: 451-453 [PMID: 32278005 DOI: 10.1016/j.jhep.2020.03.044]</w:t>
      </w:r>
    </w:p>
    <w:p w:rsidR="00A77B3E" w:rsidRPr="00647F72" w:rsidRDefault="00B34FC9">
      <w:pPr>
        <w:spacing w:line="360" w:lineRule="auto"/>
        <w:jc w:val="both"/>
      </w:pPr>
      <w:r w:rsidRPr="00647F72">
        <w:rPr>
          <w:rFonts w:ascii="Book Antiqua" w:eastAsia="Book Antiqua" w:hAnsi="Book Antiqua" w:cs="Book Antiqua"/>
          <w:color w:val="000000"/>
        </w:rPr>
        <w:t xml:space="preserve">39 </w:t>
      </w:r>
      <w:r w:rsidRPr="00647F72">
        <w:rPr>
          <w:rFonts w:ascii="Book Antiqua" w:eastAsia="Book Antiqua" w:hAnsi="Book Antiqua" w:cs="Book Antiqua"/>
          <w:b/>
          <w:bCs/>
          <w:color w:val="000000"/>
        </w:rPr>
        <w:t>Bertolini A</w:t>
      </w:r>
      <w:r w:rsidRPr="00647F72">
        <w:rPr>
          <w:rFonts w:ascii="Book Antiqua" w:eastAsia="Book Antiqua" w:hAnsi="Book Antiqua" w:cs="Book Antiqua"/>
          <w:color w:val="000000"/>
        </w:rPr>
        <w:t xml:space="preserve">, van de Peppel IP, Bodewes FAJA, Moshage H, Fantin A, Farinati F, Fiorotto R, Jonker JW, Strazzabosco M, Verkade HJ, Peserico G. Abnormal Liver Function Tests in Patients With COVID-19: Relevance and Potential Pathogenesis. </w:t>
      </w:r>
      <w:r w:rsidRPr="00647F72">
        <w:rPr>
          <w:rFonts w:ascii="Book Antiqua" w:eastAsia="Book Antiqua" w:hAnsi="Book Antiqua" w:cs="Book Antiqua"/>
          <w:i/>
          <w:iCs/>
          <w:color w:val="000000"/>
        </w:rPr>
        <w:t>Hepatology</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72</w:t>
      </w:r>
      <w:r w:rsidRPr="00647F72">
        <w:rPr>
          <w:rFonts w:ascii="Book Antiqua" w:eastAsia="Book Antiqua" w:hAnsi="Book Antiqua" w:cs="Book Antiqua"/>
          <w:color w:val="000000"/>
        </w:rPr>
        <w:t>: 1864-1872 [PMID: 32702162 DOI: 10.1002/hep.31480]</w:t>
      </w:r>
    </w:p>
    <w:p w:rsidR="00A77B3E" w:rsidRPr="00647F72" w:rsidRDefault="00B34FC9">
      <w:pPr>
        <w:spacing w:line="360" w:lineRule="auto"/>
        <w:jc w:val="both"/>
      </w:pPr>
      <w:r w:rsidRPr="00647F72">
        <w:rPr>
          <w:rFonts w:ascii="Book Antiqua" w:eastAsia="Book Antiqua" w:hAnsi="Book Antiqua" w:cs="Book Antiqua"/>
          <w:color w:val="000000"/>
        </w:rPr>
        <w:t xml:space="preserve">40 </w:t>
      </w:r>
      <w:r w:rsidRPr="00647F72">
        <w:rPr>
          <w:rFonts w:ascii="Book Antiqua" w:eastAsia="Book Antiqua" w:hAnsi="Book Antiqua" w:cs="Book Antiqua"/>
          <w:b/>
          <w:bCs/>
          <w:color w:val="000000"/>
        </w:rPr>
        <w:t>Dar WA</w:t>
      </w:r>
      <w:r w:rsidRPr="00647F72">
        <w:rPr>
          <w:rFonts w:ascii="Book Antiqua" w:eastAsia="Book Antiqua" w:hAnsi="Book Antiqua" w:cs="Book Antiqua"/>
          <w:color w:val="000000"/>
        </w:rPr>
        <w:t xml:space="preserve">, Sullivan E, Bynon JS, Eltzschig H, Ju C. Ischaemia reperfusion injury in liver transplantation: Cellular and molecular mechanisms.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2019; </w:t>
      </w:r>
      <w:r w:rsidRPr="00647F72">
        <w:rPr>
          <w:rFonts w:ascii="Book Antiqua" w:eastAsia="Book Antiqua" w:hAnsi="Book Antiqua" w:cs="Book Antiqua"/>
          <w:b/>
          <w:bCs/>
          <w:color w:val="000000"/>
        </w:rPr>
        <w:t>39</w:t>
      </w:r>
      <w:r w:rsidRPr="00647F72">
        <w:rPr>
          <w:rFonts w:ascii="Book Antiqua" w:eastAsia="Book Antiqua" w:hAnsi="Book Antiqua" w:cs="Book Antiqua"/>
          <w:color w:val="000000"/>
        </w:rPr>
        <w:t>: 788-801 [PMID: 30843314 DOI: 10.1111/</w:t>
      </w:r>
      <w:r w:rsidR="00A50C72"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iv.14091]</w:t>
      </w:r>
    </w:p>
    <w:p w:rsidR="00A77B3E" w:rsidRPr="00647F72" w:rsidRDefault="00B34FC9">
      <w:pPr>
        <w:spacing w:line="360" w:lineRule="auto"/>
        <w:jc w:val="both"/>
      </w:pPr>
      <w:r w:rsidRPr="00647F72">
        <w:rPr>
          <w:rFonts w:ascii="Book Antiqua" w:eastAsia="Book Antiqua" w:hAnsi="Book Antiqua" w:cs="Book Antiqua"/>
          <w:color w:val="000000"/>
        </w:rPr>
        <w:t xml:space="preserve">41 </w:t>
      </w:r>
      <w:r w:rsidRPr="00647F72">
        <w:rPr>
          <w:rFonts w:ascii="Book Antiqua" w:eastAsia="Book Antiqua" w:hAnsi="Book Antiqua" w:cs="Book Antiqua"/>
          <w:b/>
          <w:bCs/>
          <w:color w:val="000000"/>
        </w:rPr>
        <w:t>Sonzogni A</w:t>
      </w:r>
      <w:r w:rsidRPr="00647F72">
        <w:rPr>
          <w:rFonts w:ascii="Book Antiqua" w:eastAsia="Book Antiqua" w:hAnsi="Book Antiqua" w:cs="Book Antiqua"/>
          <w:color w:val="000000"/>
        </w:rPr>
        <w:t xml:space="preserve">, Previtali G, Seghezzi M, Grazia Alessio M, Gianatti A, Licini L, Morotti D, Zerbi P, Carsana L, Rossi R, Lauri E, Pellegrinelli A, Nebuloni M. Liver histopathology in severe COVID 19 respiratory failure is suggestive of vascular alterations.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40</w:t>
      </w:r>
      <w:r w:rsidRPr="00647F72">
        <w:rPr>
          <w:rFonts w:ascii="Book Antiqua" w:eastAsia="Book Antiqua" w:hAnsi="Book Antiqua" w:cs="Book Antiqua"/>
          <w:color w:val="000000"/>
        </w:rPr>
        <w:t>: 2110-2116 [PMID: 32654359 DOI: 10.1111/</w:t>
      </w:r>
      <w:r w:rsidR="00A50C72"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iv.14601]</w:t>
      </w:r>
    </w:p>
    <w:p w:rsidR="00A77B3E" w:rsidRPr="00647F72" w:rsidRDefault="00B34FC9">
      <w:pPr>
        <w:spacing w:line="360" w:lineRule="auto"/>
        <w:jc w:val="both"/>
      </w:pPr>
      <w:r w:rsidRPr="00647F72">
        <w:rPr>
          <w:rFonts w:ascii="Book Antiqua" w:eastAsia="Book Antiqua" w:hAnsi="Book Antiqua" w:cs="Book Antiqua"/>
          <w:color w:val="000000"/>
        </w:rPr>
        <w:t xml:space="preserve">42 </w:t>
      </w:r>
      <w:r w:rsidRPr="00647F72">
        <w:rPr>
          <w:rFonts w:ascii="Book Antiqua" w:eastAsia="Book Antiqua" w:hAnsi="Book Antiqua" w:cs="Book Antiqua"/>
          <w:b/>
          <w:bCs/>
          <w:color w:val="000000"/>
        </w:rPr>
        <w:t>Singh B</w:t>
      </w:r>
      <w:r w:rsidRPr="00647F72">
        <w:rPr>
          <w:rFonts w:ascii="Book Antiqua" w:eastAsia="Book Antiqua" w:hAnsi="Book Antiqua" w:cs="Book Antiqua"/>
          <w:color w:val="000000"/>
        </w:rPr>
        <w:t xml:space="preserve">, Kaur P, Maroules M. Splanchnic vein thrombosis in COVID-19: A review of literature. </w:t>
      </w:r>
      <w:r w:rsidRPr="00647F72">
        <w:rPr>
          <w:rFonts w:ascii="Book Antiqua" w:eastAsia="Book Antiqua" w:hAnsi="Book Antiqua" w:cs="Book Antiqua"/>
          <w:i/>
          <w:iCs/>
          <w:color w:val="000000"/>
        </w:rPr>
        <w:t>Dig Liver Dis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52</w:t>
      </w:r>
      <w:r w:rsidRPr="00647F72">
        <w:rPr>
          <w:rFonts w:ascii="Book Antiqua" w:eastAsia="Book Antiqua" w:hAnsi="Book Antiqua" w:cs="Book Antiqua"/>
          <w:color w:val="000000"/>
        </w:rPr>
        <w:t>: 1407-1409 [PMID: 33067157 DOI: 10.1016/j.dld.2020.09.025]</w:t>
      </w:r>
    </w:p>
    <w:p w:rsidR="00A77B3E" w:rsidRPr="00647F72" w:rsidRDefault="00B34FC9">
      <w:pPr>
        <w:spacing w:line="360" w:lineRule="auto"/>
        <w:jc w:val="both"/>
      </w:pPr>
      <w:r w:rsidRPr="00647F72">
        <w:rPr>
          <w:rFonts w:ascii="Book Antiqua" w:eastAsia="Book Antiqua" w:hAnsi="Book Antiqua" w:cs="Book Antiqua"/>
          <w:color w:val="000000"/>
        </w:rPr>
        <w:t xml:space="preserve">43 </w:t>
      </w:r>
      <w:r w:rsidRPr="00647F72">
        <w:rPr>
          <w:rFonts w:ascii="Book Antiqua" w:eastAsia="Book Antiqua" w:hAnsi="Book Antiqua" w:cs="Book Antiqua"/>
          <w:b/>
          <w:bCs/>
          <w:color w:val="000000"/>
        </w:rPr>
        <w:t>Hassan W</w:t>
      </w:r>
      <w:r w:rsidRPr="00647F72">
        <w:rPr>
          <w:rFonts w:ascii="Book Antiqua" w:eastAsia="Book Antiqua" w:hAnsi="Book Antiqua" w:cs="Book Antiqua"/>
          <w:color w:val="000000"/>
        </w:rPr>
        <w:t xml:space="preserve">, Ramadan HK. COVID-19 as a novel etiology of portal vein thrombosis: change in the current management concepts. </w:t>
      </w:r>
      <w:r w:rsidRPr="00647F72">
        <w:rPr>
          <w:rFonts w:ascii="Book Antiqua" w:eastAsia="Book Antiqua" w:hAnsi="Book Antiqua" w:cs="Book Antiqua"/>
          <w:i/>
          <w:iCs/>
          <w:color w:val="000000"/>
        </w:rPr>
        <w:t>Infect Dis (Lond)</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53</w:t>
      </w:r>
      <w:r w:rsidRPr="00647F72">
        <w:rPr>
          <w:rFonts w:ascii="Book Antiqua" w:eastAsia="Book Antiqua" w:hAnsi="Book Antiqua" w:cs="Book Antiqua"/>
          <w:color w:val="000000"/>
        </w:rPr>
        <w:t>: 148-150 [PMID: 33090034 DOI: 10.1080/23744235.2020.1837943]</w:t>
      </w:r>
    </w:p>
    <w:p w:rsidR="00A77B3E" w:rsidRPr="00647F72" w:rsidRDefault="00B34FC9">
      <w:pPr>
        <w:spacing w:line="360" w:lineRule="auto"/>
        <w:jc w:val="both"/>
      </w:pPr>
      <w:r w:rsidRPr="00647F72">
        <w:rPr>
          <w:rFonts w:ascii="Book Antiqua" w:eastAsia="Book Antiqua" w:hAnsi="Book Antiqua" w:cs="Book Antiqua"/>
          <w:color w:val="000000"/>
        </w:rPr>
        <w:t xml:space="preserve">44 </w:t>
      </w:r>
      <w:r w:rsidRPr="00647F72">
        <w:rPr>
          <w:rFonts w:ascii="Book Antiqua" w:eastAsia="Book Antiqua" w:hAnsi="Book Antiqua" w:cs="Book Antiqua"/>
          <w:b/>
          <w:bCs/>
          <w:color w:val="000000"/>
        </w:rPr>
        <w:t>Zhong J</w:t>
      </w:r>
      <w:r w:rsidRPr="00647F72">
        <w:rPr>
          <w:rFonts w:ascii="Book Antiqua" w:eastAsia="Book Antiqua" w:hAnsi="Book Antiqua" w:cs="Book Antiqua"/>
          <w:color w:val="000000"/>
        </w:rPr>
        <w:t xml:space="preserve">, Tang J, Ye C, Dong L. The immunology of COVID-19: is immune modulation an option for treatment? </w:t>
      </w:r>
      <w:r w:rsidRPr="00647F72">
        <w:rPr>
          <w:rFonts w:ascii="Book Antiqua" w:eastAsia="Book Antiqua" w:hAnsi="Book Antiqua" w:cs="Book Antiqua"/>
          <w:i/>
          <w:iCs/>
          <w:color w:val="000000"/>
        </w:rPr>
        <w:t>Lancet Rheumatol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w:t>
      </w:r>
      <w:r w:rsidRPr="00647F72">
        <w:rPr>
          <w:rFonts w:ascii="Book Antiqua" w:eastAsia="Book Antiqua" w:hAnsi="Book Antiqua" w:cs="Book Antiqua"/>
          <w:color w:val="000000"/>
        </w:rPr>
        <w:t>: e428-e436 [PMID: 32835246 DOI: 10.1016/S2665-9913(20)30120-X]</w:t>
      </w:r>
    </w:p>
    <w:p w:rsidR="00A77B3E" w:rsidRPr="00647F72" w:rsidRDefault="00B34FC9">
      <w:pPr>
        <w:spacing w:line="360" w:lineRule="auto"/>
        <w:jc w:val="both"/>
      </w:pPr>
      <w:r w:rsidRPr="00647F72">
        <w:rPr>
          <w:rFonts w:ascii="Book Antiqua" w:eastAsia="Book Antiqua" w:hAnsi="Book Antiqua" w:cs="Book Antiqua"/>
          <w:color w:val="000000"/>
        </w:rPr>
        <w:t xml:space="preserve">45 </w:t>
      </w:r>
      <w:r w:rsidRPr="00647F72">
        <w:rPr>
          <w:rFonts w:ascii="Book Antiqua" w:eastAsia="Book Antiqua" w:hAnsi="Book Antiqua" w:cs="Book Antiqua"/>
          <w:b/>
          <w:bCs/>
          <w:color w:val="000000"/>
        </w:rPr>
        <w:t>Fajgenbaum DC</w:t>
      </w:r>
      <w:r w:rsidRPr="00647F72">
        <w:rPr>
          <w:rFonts w:ascii="Book Antiqua" w:eastAsia="Book Antiqua" w:hAnsi="Book Antiqua" w:cs="Book Antiqua"/>
          <w:color w:val="000000"/>
        </w:rPr>
        <w:t xml:space="preserve">, June CH. Cytokine Storm. </w:t>
      </w:r>
      <w:r w:rsidRPr="00647F72">
        <w:rPr>
          <w:rFonts w:ascii="Book Antiqua" w:eastAsia="Book Antiqua" w:hAnsi="Book Antiqua" w:cs="Book Antiqua"/>
          <w:i/>
          <w:iCs/>
          <w:color w:val="000000"/>
        </w:rPr>
        <w:t>N Engl J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383</w:t>
      </w:r>
      <w:r w:rsidRPr="00647F72">
        <w:rPr>
          <w:rFonts w:ascii="Book Antiqua" w:eastAsia="Book Antiqua" w:hAnsi="Book Antiqua" w:cs="Book Antiqua"/>
          <w:color w:val="000000"/>
        </w:rPr>
        <w:t>: 2255-2273 [PMID: 33264547 DOI: 10.1056/NEJMra2026131]</w:t>
      </w:r>
    </w:p>
    <w:p w:rsidR="00A77B3E" w:rsidRPr="00647F72" w:rsidRDefault="00B34FC9">
      <w:pPr>
        <w:spacing w:line="360" w:lineRule="auto"/>
        <w:jc w:val="both"/>
      </w:pPr>
      <w:r w:rsidRPr="00647F72">
        <w:rPr>
          <w:rFonts w:ascii="Book Antiqua" w:eastAsia="Book Antiqua" w:hAnsi="Book Antiqua" w:cs="Book Antiqua"/>
          <w:color w:val="000000"/>
        </w:rPr>
        <w:t xml:space="preserve">46 </w:t>
      </w:r>
      <w:r w:rsidRPr="00647F72">
        <w:rPr>
          <w:rFonts w:ascii="Book Antiqua" w:eastAsia="Book Antiqua" w:hAnsi="Book Antiqua" w:cs="Book Antiqua"/>
          <w:b/>
          <w:bCs/>
          <w:color w:val="000000"/>
        </w:rPr>
        <w:t>Bangash MN</w:t>
      </w:r>
      <w:r w:rsidRPr="00647F72">
        <w:rPr>
          <w:rFonts w:ascii="Book Antiqua" w:eastAsia="Book Antiqua" w:hAnsi="Book Antiqua" w:cs="Book Antiqua"/>
          <w:color w:val="000000"/>
        </w:rPr>
        <w:t xml:space="preserve">, Patel J, Parekh D. COVID-19 and the liver: little cause for concern. </w:t>
      </w:r>
      <w:r w:rsidRPr="00647F72">
        <w:rPr>
          <w:rFonts w:ascii="Book Antiqua" w:eastAsia="Book Antiqua" w:hAnsi="Book Antiqua" w:cs="Book Antiqua"/>
          <w:i/>
          <w:iCs/>
          <w:color w:val="000000"/>
        </w:rPr>
        <w:t>Lancet Gastroenterol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w:t>
      </w:r>
      <w:r w:rsidRPr="00647F72">
        <w:rPr>
          <w:rFonts w:ascii="Book Antiqua" w:eastAsia="Book Antiqua" w:hAnsi="Book Antiqua" w:cs="Book Antiqua"/>
          <w:color w:val="000000"/>
        </w:rPr>
        <w:t>: 529-530 [PMID: 32203680 DOI: 10.1016/S2468-1253(20)30084-4]</w:t>
      </w:r>
    </w:p>
    <w:p w:rsidR="00A77B3E" w:rsidRPr="00647F72" w:rsidRDefault="00B34FC9">
      <w:pPr>
        <w:spacing w:line="360" w:lineRule="auto"/>
        <w:jc w:val="both"/>
      </w:pPr>
      <w:r w:rsidRPr="00647F72">
        <w:rPr>
          <w:rFonts w:ascii="Book Antiqua" w:eastAsia="Book Antiqua" w:hAnsi="Book Antiqua" w:cs="Book Antiqua"/>
          <w:color w:val="000000"/>
        </w:rPr>
        <w:t xml:space="preserve">47 </w:t>
      </w:r>
      <w:r w:rsidRPr="00647F72">
        <w:rPr>
          <w:rFonts w:ascii="Book Antiqua" w:eastAsia="Book Antiqua" w:hAnsi="Book Antiqua" w:cs="Book Antiqua"/>
          <w:b/>
          <w:bCs/>
          <w:color w:val="000000"/>
        </w:rPr>
        <w:t>Adams DH</w:t>
      </w:r>
      <w:r w:rsidRPr="00647F72">
        <w:rPr>
          <w:rFonts w:ascii="Book Antiqua" w:eastAsia="Book Antiqua" w:hAnsi="Book Antiqua" w:cs="Book Antiqua"/>
          <w:color w:val="000000"/>
        </w:rPr>
        <w:t xml:space="preserve">, Hubscher SG. Systemic viral infections and collateral damage in the liver. </w:t>
      </w:r>
      <w:r w:rsidRPr="00647F72">
        <w:rPr>
          <w:rFonts w:ascii="Book Antiqua" w:eastAsia="Book Antiqua" w:hAnsi="Book Antiqua" w:cs="Book Antiqua"/>
          <w:i/>
          <w:iCs/>
          <w:color w:val="000000"/>
        </w:rPr>
        <w:t>Am J Pathol</w:t>
      </w:r>
      <w:r w:rsidRPr="00647F72">
        <w:rPr>
          <w:rFonts w:ascii="Book Antiqua" w:eastAsia="Book Antiqua" w:hAnsi="Book Antiqua" w:cs="Book Antiqua"/>
          <w:color w:val="000000"/>
        </w:rPr>
        <w:t xml:space="preserve"> 2006; </w:t>
      </w:r>
      <w:r w:rsidRPr="00647F72">
        <w:rPr>
          <w:rFonts w:ascii="Book Antiqua" w:eastAsia="Book Antiqua" w:hAnsi="Book Antiqua" w:cs="Book Antiqua"/>
          <w:b/>
          <w:bCs/>
          <w:color w:val="000000"/>
        </w:rPr>
        <w:t>168</w:t>
      </w:r>
      <w:r w:rsidRPr="00647F72">
        <w:rPr>
          <w:rFonts w:ascii="Book Antiqua" w:eastAsia="Book Antiqua" w:hAnsi="Book Antiqua" w:cs="Book Antiqua"/>
          <w:color w:val="000000"/>
        </w:rPr>
        <w:t>: 1057-1059 [PMID: 16565481 DOI: 10.2353/ajpath.2006.051296]</w:t>
      </w:r>
    </w:p>
    <w:p w:rsidR="00A77B3E" w:rsidRPr="00647F72" w:rsidRDefault="00B34FC9">
      <w:pPr>
        <w:spacing w:line="360" w:lineRule="auto"/>
        <w:jc w:val="both"/>
      </w:pPr>
      <w:r w:rsidRPr="00647F72">
        <w:rPr>
          <w:rFonts w:ascii="Book Antiqua" w:eastAsia="Book Antiqua" w:hAnsi="Book Antiqua" w:cs="Book Antiqua"/>
          <w:color w:val="000000"/>
        </w:rPr>
        <w:t xml:space="preserve">48 </w:t>
      </w:r>
      <w:r w:rsidRPr="00647F72">
        <w:rPr>
          <w:rFonts w:ascii="Book Antiqua" w:eastAsia="Book Antiqua" w:hAnsi="Book Antiqua" w:cs="Book Antiqua"/>
          <w:b/>
          <w:bCs/>
          <w:color w:val="000000"/>
        </w:rPr>
        <w:t>Effenberger M</w:t>
      </w:r>
      <w:r w:rsidRPr="00647F72">
        <w:rPr>
          <w:rFonts w:ascii="Book Antiqua" w:eastAsia="Book Antiqua" w:hAnsi="Book Antiqua" w:cs="Book Antiqua"/>
          <w:color w:val="000000"/>
        </w:rPr>
        <w:t xml:space="preserve">, Grander C, Grabherr F, Griesmacher A, Ploner T, Hartig F, Bellmann-Weiler R, Joannidis M, Zoller H, Weiss G, Adolph TE, Tilg H. Systemic inflammation as fuel for acute liver injury in COVID-19. </w:t>
      </w:r>
      <w:r w:rsidRPr="00647F72">
        <w:rPr>
          <w:rFonts w:ascii="Book Antiqua" w:eastAsia="Book Antiqua" w:hAnsi="Book Antiqua" w:cs="Book Antiqua"/>
          <w:i/>
          <w:iCs/>
          <w:color w:val="000000"/>
        </w:rPr>
        <w:t>Dig Liver Dis</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53</w:t>
      </w:r>
      <w:r w:rsidRPr="00647F72">
        <w:rPr>
          <w:rFonts w:ascii="Book Antiqua" w:eastAsia="Book Antiqua" w:hAnsi="Book Antiqua" w:cs="Book Antiqua"/>
          <w:color w:val="000000"/>
        </w:rPr>
        <w:t>: 158-165 [PMID: 32873520 DOI: 10.1016/j.dld.2020.08.004]</w:t>
      </w:r>
    </w:p>
    <w:p w:rsidR="00A77B3E" w:rsidRPr="00647F72" w:rsidRDefault="00B34FC9">
      <w:pPr>
        <w:spacing w:line="360" w:lineRule="auto"/>
        <w:jc w:val="both"/>
      </w:pPr>
      <w:r w:rsidRPr="00647F72">
        <w:rPr>
          <w:rFonts w:ascii="Book Antiqua" w:eastAsia="Book Antiqua" w:hAnsi="Book Antiqua" w:cs="Book Antiqua"/>
          <w:color w:val="000000"/>
        </w:rPr>
        <w:t xml:space="preserve">49 </w:t>
      </w:r>
      <w:r w:rsidRPr="00647F72">
        <w:rPr>
          <w:rFonts w:ascii="Book Antiqua" w:eastAsia="Book Antiqua" w:hAnsi="Book Antiqua" w:cs="Book Antiqua"/>
          <w:b/>
          <w:bCs/>
          <w:color w:val="000000"/>
        </w:rPr>
        <w:t>Ali N</w:t>
      </w:r>
      <w:r w:rsidRPr="00647F72">
        <w:rPr>
          <w:rFonts w:ascii="Book Antiqua" w:eastAsia="Book Antiqua" w:hAnsi="Book Antiqua" w:cs="Book Antiqua"/>
          <w:color w:val="000000"/>
        </w:rPr>
        <w:t xml:space="preserve">, Hossain K. Liver injury in severe COVID-19 infection: current insights and challenges. </w:t>
      </w:r>
      <w:r w:rsidRPr="00647F72">
        <w:rPr>
          <w:rFonts w:ascii="Book Antiqua" w:eastAsia="Book Antiqua" w:hAnsi="Book Antiqua" w:cs="Book Antiqua"/>
          <w:i/>
          <w:iCs/>
          <w:color w:val="000000"/>
        </w:rPr>
        <w:t>Expert Rev Gastroenterol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879-884 [PMID: 32649840 DOI: 10.1080/17474124.2020.1794812]</w:t>
      </w:r>
    </w:p>
    <w:p w:rsidR="00A77B3E" w:rsidRPr="00647F72" w:rsidRDefault="00B34FC9">
      <w:pPr>
        <w:spacing w:line="360" w:lineRule="auto"/>
        <w:jc w:val="both"/>
      </w:pPr>
      <w:r w:rsidRPr="00647F72">
        <w:rPr>
          <w:rFonts w:ascii="Book Antiqua" w:eastAsia="Book Antiqua" w:hAnsi="Book Antiqua" w:cs="Book Antiqua"/>
          <w:color w:val="000000"/>
        </w:rPr>
        <w:t xml:space="preserve">50 </w:t>
      </w:r>
      <w:r w:rsidRPr="00647F72">
        <w:rPr>
          <w:rFonts w:ascii="Book Antiqua" w:eastAsia="Book Antiqua" w:hAnsi="Book Antiqua" w:cs="Book Antiqua"/>
          <w:b/>
          <w:bCs/>
          <w:color w:val="000000"/>
        </w:rPr>
        <w:t>Portincasa P</w:t>
      </w:r>
      <w:r w:rsidRPr="00647F72">
        <w:rPr>
          <w:rFonts w:ascii="Book Antiqua" w:eastAsia="Book Antiqua" w:hAnsi="Book Antiqua" w:cs="Book Antiqua"/>
          <w:color w:val="000000"/>
        </w:rPr>
        <w:t xml:space="preserve">, Krawczyk M, Machill A, Lammert F, Di Ciaula A. Hepatic consequences of COVID-19 infection. Lapping or biting? </w:t>
      </w:r>
      <w:r w:rsidRPr="00647F72">
        <w:rPr>
          <w:rFonts w:ascii="Book Antiqua" w:eastAsia="Book Antiqua" w:hAnsi="Book Antiqua" w:cs="Book Antiqua"/>
          <w:i/>
          <w:iCs/>
          <w:color w:val="000000"/>
        </w:rPr>
        <w:t>Eur J Intern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77</w:t>
      </w:r>
      <w:r w:rsidRPr="00647F72">
        <w:rPr>
          <w:rFonts w:ascii="Book Antiqua" w:eastAsia="Book Antiqua" w:hAnsi="Book Antiqua" w:cs="Book Antiqua"/>
          <w:color w:val="000000"/>
        </w:rPr>
        <w:t>: 18-24 [PMID: 32507608 DOI: 10.1016/j.ejim.2020.05.035]</w:t>
      </w:r>
    </w:p>
    <w:p w:rsidR="00A77B3E" w:rsidRPr="00647F72" w:rsidRDefault="00B34FC9">
      <w:pPr>
        <w:spacing w:line="360" w:lineRule="auto"/>
        <w:jc w:val="both"/>
      </w:pPr>
      <w:r w:rsidRPr="00647F72">
        <w:rPr>
          <w:rFonts w:ascii="Book Antiqua" w:eastAsia="Book Antiqua" w:hAnsi="Book Antiqua" w:cs="Book Antiqua"/>
          <w:color w:val="000000"/>
        </w:rPr>
        <w:t xml:space="preserve">51 </w:t>
      </w:r>
      <w:r w:rsidRPr="00647F72">
        <w:rPr>
          <w:rFonts w:ascii="Book Antiqua" w:eastAsia="Book Antiqua" w:hAnsi="Book Antiqua" w:cs="Book Antiqua"/>
          <w:b/>
          <w:bCs/>
          <w:color w:val="000000"/>
        </w:rPr>
        <w:t>Boeckmans J</w:t>
      </w:r>
      <w:r w:rsidRPr="00647F72">
        <w:rPr>
          <w:rFonts w:ascii="Book Antiqua" w:eastAsia="Book Antiqua" w:hAnsi="Book Antiqua" w:cs="Book Antiqua"/>
          <w:color w:val="000000"/>
        </w:rPr>
        <w:t xml:space="preserve">, Rodrigues RM, Demuyser T, Piérard D, Vanhaecke T, Rogiers V. COVID-19 and drug-induced liver injury: a problem of plenty or a petty point? </w:t>
      </w:r>
      <w:r w:rsidRPr="00647F72">
        <w:rPr>
          <w:rFonts w:ascii="Book Antiqua" w:eastAsia="Book Antiqua" w:hAnsi="Book Antiqua" w:cs="Book Antiqua"/>
          <w:i/>
          <w:iCs/>
          <w:color w:val="000000"/>
        </w:rPr>
        <w:t>Arch Toxicol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94</w:t>
      </w:r>
      <w:r w:rsidRPr="00647F72">
        <w:rPr>
          <w:rFonts w:ascii="Book Antiqua" w:eastAsia="Book Antiqua" w:hAnsi="Book Antiqua" w:cs="Book Antiqua"/>
          <w:color w:val="000000"/>
        </w:rPr>
        <w:t>: 1367-1369 [PMID: 32266419 DOI: 10.1007/s00204-020-02734-1]</w:t>
      </w:r>
    </w:p>
    <w:p w:rsidR="00A77B3E" w:rsidRPr="00647F72" w:rsidRDefault="00B34FC9">
      <w:pPr>
        <w:spacing w:line="360" w:lineRule="auto"/>
        <w:jc w:val="both"/>
      </w:pPr>
      <w:r w:rsidRPr="00647F72">
        <w:rPr>
          <w:rFonts w:ascii="Book Antiqua" w:eastAsia="Book Antiqua" w:hAnsi="Book Antiqua" w:cs="Book Antiqua"/>
          <w:color w:val="000000"/>
        </w:rPr>
        <w:t xml:space="preserve">52 </w:t>
      </w:r>
      <w:r w:rsidRPr="00647F72">
        <w:rPr>
          <w:rFonts w:ascii="Book Antiqua" w:eastAsia="Book Antiqua" w:hAnsi="Book Antiqua" w:cs="Book Antiqua"/>
          <w:b/>
          <w:bCs/>
          <w:color w:val="000000"/>
        </w:rPr>
        <w:t>Guan WJ</w:t>
      </w:r>
      <w:r w:rsidRPr="00647F72">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647F72">
        <w:rPr>
          <w:rFonts w:ascii="Book Antiqua" w:eastAsia="Book Antiqua" w:hAnsi="Book Antiqua" w:cs="Book Antiqua"/>
          <w:i/>
          <w:iCs/>
          <w:color w:val="000000"/>
        </w:rPr>
        <w:t>N Engl J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382</w:t>
      </w:r>
      <w:r w:rsidRPr="00647F72">
        <w:rPr>
          <w:rFonts w:ascii="Book Antiqua" w:eastAsia="Book Antiqua" w:hAnsi="Book Antiqua" w:cs="Book Antiqua"/>
          <w:color w:val="000000"/>
        </w:rPr>
        <w:t>: 1708-1720 [PMID: 32109013 DOI: 10.1056/NEJMoa2002032]</w:t>
      </w:r>
    </w:p>
    <w:p w:rsidR="00A77B3E" w:rsidRPr="00647F72" w:rsidRDefault="00B34FC9">
      <w:pPr>
        <w:spacing w:line="360" w:lineRule="auto"/>
        <w:jc w:val="both"/>
      </w:pPr>
      <w:r w:rsidRPr="00647F72">
        <w:rPr>
          <w:rFonts w:ascii="Book Antiqua" w:eastAsia="Book Antiqua" w:hAnsi="Book Antiqua" w:cs="Book Antiqua"/>
          <w:color w:val="000000"/>
        </w:rPr>
        <w:t xml:space="preserve">53 </w:t>
      </w:r>
      <w:r w:rsidRPr="00647F72">
        <w:rPr>
          <w:rFonts w:ascii="Book Antiqua" w:eastAsia="Book Antiqua" w:hAnsi="Book Antiqua" w:cs="Book Antiqua"/>
          <w:b/>
          <w:bCs/>
          <w:color w:val="000000"/>
        </w:rPr>
        <w:t>Tsivgoulis G</w:t>
      </w:r>
      <w:r w:rsidRPr="00647F72">
        <w:rPr>
          <w:rFonts w:ascii="Book Antiqua" w:eastAsia="Book Antiqua" w:hAnsi="Book Antiqua" w:cs="Book Antiqua"/>
          <w:color w:val="000000"/>
        </w:rPr>
        <w:t xml:space="preserve">, Palaiodimou L, Katsanos AH, Caso V, Köhrmann M, Molina C, Cordonnier C, Fischer U, Kelly P, Sharma VK, Chan AC, Zand R, Sarraj A, Schellinger PD, Voumvourakis KI, Grigoriadis N, Alexandrov AV, Tsiodras S. Neurological manifestations and implications of COVID-19 pandemic. </w:t>
      </w:r>
      <w:r w:rsidRPr="00647F72">
        <w:rPr>
          <w:rFonts w:ascii="Book Antiqua" w:eastAsia="Book Antiqua" w:hAnsi="Book Antiqua" w:cs="Book Antiqua"/>
          <w:i/>
          <w:iCs/>
          <w:color w:val="000000"/>
        </w:rPr>
        <w:t>Ther Adv Neurol Disord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13</w:t>
      </w:r>
      <w:r w:rsidRPr="00647F72">
        <w:rPr>
          <w:rFonts w:ascii="Book Antiqua" w:eastAsia="Book Antiqua" w:hAnsi="Book Antiqua" w:cs="Book Antiqua"/>
          <w:color w:val="000000"/>
        </w:rPr>
        <w:t>: 1756286420932036 [PMID: 32565914 DOI: 10.1177/1756286420932036]</w:t>
      </w:r>
    </w:p>
    <w:p w:rsidR="00A77B3E" w:rsidRPr="00647F72" w:rsidRDefault="00B34FC9">
      <w:pPr>
        <w:spacing w:line="360" w:lineRule="auto"/>
        <w:jc w:val="both"/>
      </w:pPr>
      <w:r w:rsidRPr="00647F72">
        <w:rPr>
          <w:rFonts w:ascii="Book Antiqua" w:eastAsia="Book Antiqua" w:hAnsi="Book Antiqua" w:cs="Book Antiqua"/>
          <w:color w:val="000000"/>
        </w:rPr>
        <w:t xml:space="preserve">54 </w:t>
      </w:r>
      <w:r w:rsidRPr="00647F72">
        <w:rPr>
          <w:rFonts w:ascii="Book Antiqua" w:eastAsia="Book Antiqua" w:hAnsi="Book Antiqua" w:cs="Book Antiqua"/>
          <w:b/>
          <w:bCs/>
          <w:color w:val="000000"/>
        </w:rPr>
        <w:t>Berth SH</w:t>
      </w:r>
      <w:r w:rsidRPr="00647F72">
        <w:rPr>
          <w:rFonts w:ascii="Book Antiqua" w:eastAsia="Book Antiqua" w:hAnsi="Book Antiqua" w:cs="Book Antiqua"/>
          <w:color w:val="000000"/>
        </w:rPr>
        <w:t xml:space="preserve">, Lloyd TE. Secondary Causes of Myositis. </w:t>
      </w:r>
      <w:r w:rsidRPr="00647F72">
        <w:rPr>
          <w:rFonts w:ascii="Book Antiqua" w:eastAsia="Book Antiqua" w:hAnsi="Book Antiqua" w:cs="Book Antiqua"/>
          <w:i/>
          <w:iCs/>
          <w:color w:val="000000"/>
        </w:rPr>
        <w:t>Curr Treat Options Neurol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22</w:t>
      </w:r>
      <w:r w:rsidRPr="00647F72">
        <w:rPr>
          <w:rFonts w:ascii="Book Antiqua" w:eastAsia="Book Antiqua" w:hAnsi="Book Antiqua" w:cs="Book Antiqua"/>
          <w:color w:val="000000"/>
        </w:rPr>
        <w:t>: 38 [PMID: 33041620 DOI: 10.1007/s11940-020-00646-0]</w:t>
      </w:r>
    </w:p>
    <w:p w:rsidR="00A77B3E" w:rsidRPr="00647F72" w:rsidRDefault="00B34FC9">
      <w:pPr>
        <w:spacing w:line="360" w:lineRule="auto"/>
        <w:jc w:val="both"/>
      </w:pPr>
      <w:r w:rsidRPr="00647F72">
        <w:rPr>
          <w:rFonts w:ascii="Book Antiqua" w:eastAsia="Book Antiqua" w:hAnsi="Book Antiqua" w:cs="Book Antiqua"/>
          <w:color w:val="000000"/>
        </w:rPr>
        <w:t xml:space="preserve">55 </w:t>
      </w:r>
      <w:r w:rsidRPr="00647F72">
        <w:rPr>
          <w:rFonts w:ascii="Book Antiqua" w:eastAsia="Book Antiqua" w:hAnsi="Book Antiqua" w:cs="Book Antiqua"/>
          <w:b/>
          <w:bCs/>
          <w:color w:val="000000"/>
        </w:rPr>
        <w:t>Zhang Y</w:t>
      </w:r>
      <w:r w:rsidRPr="00647F72">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40</w:t>
      </w:r>
      <w:r w:rsidRPr="00647F72">
        <w:rPr>
          <w:rFonts w:ascii="Book Antiqua" w:eastAsia="Book Antiqua" w:hAnsi="Book Antiqua" w:cs="Book Antiqua"/>
          <w:color w:val="000000"/>
        </w:rPr>
        <w:t>: 2095-2103 [PMID: 32239796 DOI: 10.1111/</w:t>
      </w:r>
      <w:r w:rsidR="00A50C72"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iv.14455]</w:t>
      </w:r>
    </w:p>
    <w:p w:rsidR="00A77B3E" w:rsidRPr="00647F72" w:rsidRDefault="00B34FC9">
      <w:pPr>
        <w:spacing w:line="360" w:lineRule="auto"/>
        <w:jc w:val="both"/>
      </w:pPr>
      <w:r w:rsidRPr="00647F72">
        <w:rPr>
          <w:rFonts w:ascii="Book Antiqua" w:eastAsia="Book Antiqua" w:hAnsi="Book Antiqua" w:cs="Book Antiqua"/>
          <w:color w:val="000000"/>
        </w:rPr>
        <w:t xml:space="preserve">56 </w:t>
      </w:r>
      <w:r w:rsidRPr="00647F72">
        <w:rPr>
          <w:rFonts w:ascii="Book Antiqua" w:eastAsia="Book Antiqua" w:hAnsi="Book Antiqua" w:cs="Book Antiqua"/>
          <w:b/>
          <w:bCs/>
          <w:color w:val="000000"/>
        </w:rPr>
        <w:t>Soeters PB</w:t>
      </w:r>
      <w:r w:rsidRPr="00647F72">
        <w:rPr>
          <w:rFonts w:ascii="Book Antiqua" w:eastAsia="Book Antiqua" w:hAnsi="Book Antiqua" w:cs="Book Antiqua"/>
          <w:color w:val="000000"/>
        </w:rPr>
        <w:t xml:space="preserve">, Wolfe RR, Shenkin A. Hypoalbuminemia: Pathogenesis and Clinical Significance. </w:t>
      </w:r>
      <w:r w:rsidRPr="00647F72">
        <w:rPr>
          <w:rFonts w:ascii="Book Antiqua" w:eastAsia="Book Antiqua" w:hAnsi="Book Antiqua" w:cs="Book Antiqua"/>
          <w:i/>
          <w:iCs/>
          <w:color w:val="000000"/>
        </w:rPr>
        <w:t>JPEN J Parenter Enteral Nutr</w:t>
      </w:r>
      <w:r w:rsidRPr="00647F72">
        <w:rPr>
          <w:rFonts w:ascii="Book Antiqua" w:eastAsia="Book Antiqua" w:hAnsi="Book Antiqua" w:cs="Book Antiqua"/>
          <w:color w:val="000000"/>
        </w:rPr>
        <w:t xml:space="preserve"> 2019; </w:t>
      </w:r>
      <w:r w:rsidRPr="00647F72">
        <w:rPr>
          <w:rFonts w:ascii="Book Antiqua" w:eastAsia="Book Antiqua" w:hAnsi="Book Antiqua" w:cs="Book Antiqua"/>
          <w:b/>
          <w:bCs/>
          <w:color w:val="000000"/>
        </w:rPr>
        <w:t>43</w:t>
      </w:r>
      <w:r w:rsidRPr="00647F72">
        <w:rPr>
          <w:rFonts w:ascii="Book Antiqua" w:eastAsia="Book Antiqua" w:hAnsi="Book Antiqua" w:cs="Book Antiqua"/>
          <w:color w:val="000000"/>
        </w:rPr>
        <w:t>: 181-193 [PMID: 30288759 DOI: 10.1002/jpen.1451]</w:t>
      </w:r>
    </w:p>
    <w:p w:rsidR="00A77B3E" w:rsidRPr="00647F72" w:rsidRDefault="00B34FC9">
      <w:pPr>
        <w:spacing w:line="360" w:lineRule="auto"/>
        <w:jc w:val="both"/>
      </w:pPr>
      <w:r w:rsidRPr="00647F72">
        <w:rPr>
          <w:rFonts w:ascii="Book Antiqua" w:eastAsia="Book Antiqua" w:hAnsi="Book Antiqua" w:cs="Book Antiqua"/>
          <w:color w:val="000000"/>
        </w:rPr>
        <w:t xml:space="preserve">57 </w:t>
      </w:r>
      <w:r w:rsidRPr="00647F72">
        <w:rPr>
          <w:rFonts w:ascii="Book Antiqua" w:eastAsia="Book Antiqua" w:hAnsi="Book Antiqua" w:cs="Book Antiqua"/>
          <w:b/>
          <w:bCs/>
          <w:color w:val="000000"/>
        </w:rPr>
        <w:t>Corti A</w:t>
      </w:r>
      <w:r w:rsidRPr="00647F72">
        <w:rPr>
          <w:rFonts w:ascii="Book Antiqua" w:eastAsia="Book Antiqua" w:hAnsi="Book Antiqua" w:cs="Book Antiqua"/>
          <w:color w:val="000000"/>
        </w:rPr>
        <w:t xml:space="preserve">, Belcastro E, Dominici S, Maellaro E, Pompella A. The dark side of gamma-glutamyltransferase (GGT): Pathogenic effects of an 'antioxidant' enzyme. </w:t>
      </w:r>
      <w:r w:rsidRPr="00647F72">
        <w:rPr>
          <w:rFonts w:ascii="Book Antiqua" w:eastAsia="Book Antiqua" w:hAnsi="Book Antiqua" w:cs="Book Antiqua"/>
          <w:i/>
          <w:iCs/>
          <w:color w:val="000000"/>
        </w:rPr>
        <w:t>Free Radic Biol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160</w:t>
      </w:r>
      <w:r w:rsidRPr="00647F72">
        <w:rPr>
          <w:rFonts w:ascii="Book Antiqua" w:eastAsia="Book Antiqua" w:hAnsi="Book Antiqua" w:cs="Book Antiqua"/>
          <w:color w:val="000000"/>
        </w:rPr>
        <w:t>: 807-819 [PMID: 32916278 DOI: 10.1016/j.freeradbiomed.2020.09.005]</w:t>
      </w:r>
    </w:p>
    <w:p w:rsidR="00A77B3E" w:rsidRPr="00647F72" w:rsidRDefault="00B34FC9">
      <w:pPr>
        <w:spacing w:line="360" w:lineRule="auto"/>
        <w:jc w:val="both"/>
      </w:pPr>
      <w:r w:rsidRPr="00647F72">
        <w:rPr>
          <w:rFonts w:ascii="Book Antiqua" w:eastAsia="Book Antiqua" w:hAnsi="Book Antiqua" w:cs="Book Antiqua"/>
          <w:color w:val="000000"/>
        </w:rPr>
        <w:t xml:space="preserve">58 </w:t>
      </w:r>
      <w:r w:rsidRPr="00647F72">
        <w:rPr>
          <w:rFonts w:ascii="Book Antiqua" w:eastAsia="Book Antiqua" w:hAnsi="Book Antiqua" w:cs="Book Antiqua"/>
          <w:b/>
          <w:bCs/>
          <w:color w:val="000000"/>
        </w:rPr>
        <w:t>Sultan S</w:t>
      </w:r>
      <w:r w:rsidRPr="00647F72">
        <w:rPr>
          <w:rFonts w:ascii="Book Antiqua" w:eastAsia="Book Antiqua" w:hAnsi="Book Antiqua" w:cs="Book Antiqua"/>
          <w:color w:val="000000"/>
        </w:rPr>
        <w:t>, Altayar O, Siddique SM, Davitkov P, Feuerstein JD, Lim JK, Falck-Ytter</w:t>
      </w:r>
      <w:r w:rsidR="00D30787" w:rsidRPr="00647F72">
        <w:rPr>
          <w:rFonts w:ascii="Book Antiqua" w:eastAsia="Book Antiqua" w:hAnsi="Book Antiqua" w:cs="Book Antiqua"/>
          <w:color w:val="000000"/>
        </w:rPr>
        <w:t xml:space="preserve"> Y, El-Serag HB; AGA Institute.</w:t>
      </w:r>
      <w:r w:rsidR="00D30787"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 xml:space="preserve">AGA Institute Rapid Review of the Gastrointestinal and Liver Manifestations of COVID-19, Meta-Analysis of International Data, and Recommendations for the Consultative Management of Patients with COVID-19. </w:t>
      </w:r>
      <w:r w:rsidRPr="00647F72">
        <w:rPr>
          <w:rFonts w:ascii="Book Antiqua" w:eastAsia="Book Antiqua" w:hAnsi="Book Antiqua" w:cs="Book Antiqua"/>
          <w:i/>
          <w:iCs/>
          <w:color w:val="000000"/>
        </w:rPr>
        <w:t>Gastroenterology</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159</w:t>
      </w:r>
      <w:r w:rsidRPr="00647F72">
        <w:rPr>
          <w:rFonts w:ascii="Book Antiqua" w:eastAsia="Book Antiqua" w:hAnsi="Book Antiqua" w:cs="Book Antiqua"/>
          <w:color w:val="000000"/>
        </w:rPr>
        <w:t>: 320-334.e27 [PMID: 32407808 DOI: 10.1053/j.gastro.2020.05.001]</w:t>
      </w:r>
    </w:p>
    <w:p w:rsidR="00A77B3E" w:rsidRPr="00647F72" w:rsidRDefault="00B34FC9">
      <w:pPr>
        <w:spacing w:line="360" w:lineRule="auto"/>
        <w:jc w:val="both"/>
      </w:pPr>
      <w:r w:rsidRPr="00647F72">
        <w:rPr>
          <w:rFonts w:ascii="Book Antiqua" w:eastAsia="Book Antiqua" w:hAnsi="Book Antiqua" w:cs="Book Antiqua"/>
          <w:color w:val="000000"/>
        </w:rPr>
        <w:t xml:space="preserve">59 </w:t>
      </w:r>
      <w:r w:rsidRPr="00647F72">
        <w:rPr>
          <w:rFonts w:ascii="Book Antiqua" w:eastAsia="Book Antiqua" w:hAnsi="Book Antiqua" w:cs="Book Antiqua"/>
          <w:b/>
          <w:bCs/>
          <w:color w:val="000000"/>
        </w:rPr>
        <w:t>Hamid S</w:t>
      </w:r>
      <w:r w:rsidRPr="00647F72">
        <w:rPr>
          <w:rFonts w:ascii="Book Antiqua" w:eastAsia="Book Antiqua" w:hAnsi="Book Antiqua" w:cs="Book Antiqua"/>
          <w:color w:val="000000"/>
        </w:rPr>
        <w:t xml:space="preserve">, Alvares da Silva MR, Burak KW, Chen T, Drenth JPH, Esmat G, Gaspar R, LaBrecque D, Lee A, Macedo G, McMahon B, Ning Q, Reau N, Sonderup M, van Leeuwen DJ, Armstrong D, Yurdaydin C. WGO Guidance for the Care of Patients With COVID-19 and Liver Disease. </w:t>
      </w:r>
      <w:r w:rsidRPr="00647F72">
        <w:rPr>
          <w:rFonts w:ascii="Book Antiqua" w:eastAsia="Book Antiqua" w:hAnsi="Book Antiqua" w:cs="Book Antiqua"/>
          <w:i/>
          <w:iCs/>
          <w:color w:val="000000"/>
        </w:rPr>
        <w:t>J Clin Gastroenterol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55</w:t>
      </w:r>
      <w:r w:rsidRPr="00647F72">
        <w:rPr>
          <w:rFonts w:ascii="Book Antiqua" w:eastAsia="Book Antiqua" w:hAnsi="Book Antiqua" w:cs="Book Antiqua"/>
          <w:color w:val="000000"/>
        </w:rPr>
        <w:t>: 1-11 [PMID: 33230011 DOI: 10.1097/MCG.0000000000001459]</w:t>
      </w:r>
    </w:p>
    <w:p w:rsidR="00A77B3E" w:rsidRPr="00647F72" w:rsidRDefault="00B34FC9">
      <w:pPr>
        <w:spacing w:line="360" w:lineRule="auto"/>
        <w:jc w:val="both"/>
      </w:pPr>
      <w:r w:rsidRPr="00647F72">
        <w:rPr>
          <w:rFonts w:ascii="Book Antiqua" w:eastAsia="Book Antiqua" w:hAnsi="Book Antiqua" w:cs="Book Antiqua"/>
          <w:color w:val="000000"/>
        </w:rPr>
        <w:t xml:space="preserve">60 </w:t>
      </w:r>
      <w:r w:rsidRPr="00647F72">
        <w:rPr>
          <w:rFonts w:ascii="Book Antiqua" w:eastAsia="Book Antiqua" w:hAnsi="Book Antiqua" w:cs="Book Antiqua"/>
          <w:b/>
          <w:bCs/>
          <w:color w:val="000000"/>
        </w:rPr>
        <w:t>Eslam M</w:t>
      </w:r>
      <w:r w:rsidRPr="00647F72">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73</w:t>
      </w:r>
      <w:r w:rsidRPr="00647F72">
        <w:rPr>
          <w:rFonts w:ascii="Book Antiqua" w:eastAsia="Book Antiqua" w:hAnsi="Book Antiqua" w:cs="Book Antiqua"/>
          <w:color w:val="000000"/>
        </w:rPr>
        <w:t>: 202-209 [PMID: 32278004 DOI: 10.1016/j.jhep.2020.03.039]</w:t>
      </w:r>
    </w:p>
    <w:p w:rsidR="00A77B3E" w:rsidRPr="00647F72" w:rsidRDefault="00B34FC9">
      <w:pPr>
        <w:spacing w:line="360" w:lineRule="auto"/>
        <w:jc w:val="both"/>
      </w:pPr>
      <w:r w:rsidRPr="00647F72">
        <w:rPr>
          <w:rFonts w:ascii="Book Antiqua" w:eastAsia="Book Antiqua" w:hAnsi="Book Antiqua" w:cs="Book Antiqua"/>
          <w:color w:val="000000"/>
        </w:rPr>
        <w:t xml:space="preserve">61 </w:t>
      </w:r>
      <w:r w:rsidRPr="00647F72">
        <w:rPr>
          <w:rFonts w:ascii="Book Antiqua" w:eastAsia="Book Antiqua" w:hAnsi="Book Antiqua" w:cs="Book Antiqua"/>
          <w:b/>
          <w:bCs/>
          <w:color w:val="000000"/>
        </w:rPr>
        <w:t>Wang B</w:t>
      </w:r>
      <w:r w:rsidRPr="00647F72">
        <w:rPr>
          <w:rFonts w:ascii="Book Antiqua" w:eastAsia="Book Antiqua" w:hAnsi="Book Antiqua" w:cs="Book Antiqua"/>
          <w:color w:val="000000"/>
        </w:rPr>
        <w:t xml:space="preserve">, Li R, Lu Z, Huang Y. Does comorbidity increase the risk of patients with COVID-19: evidence from meta-analysis. </w:t>
      </w:r>
      <w:r w:rsidRPr="00647F72">
        <w:rPr>
          <w:rFonts w:ascii="Book Antiqua" w:eastAsia="Book Antiqua" w:hAnsi="Book Antiqua" w:cs="Book Antiqua"/>
          <w:i/>
          <w:iCs/>
          <w:color w:val="000000"/>
        </w:rPr>
        <w:t>Aging (Albany NY)</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12</w:t>
      </w:r>
      <w:r w:rsidRPr="00647F72">
        <w:rPr>
          <w:rFonts w:ascii="Book Antiqua" w:eastAsia="Book Antiqua" w:hAnsi="Book Antiqua" w:cs="Book Antiqua"/>
          <w:color w:val="000000"/>
        </w:rPr>
        <w:t>: 6049-6057 [PMID: 32267833 DOI: 10.18632/aging.103000]</w:t>
      </w:r>
    </w:p>
    <w:p w:rsidR="00A77B3E" w:rsidRPr="00647F72" w:rsidRDefault="00B34FC9">
      <w:pPr>
        <w:spacing w:line="360" w:lineRule="auto"/>
        <w:jc w:val="both"/>
      </w:pPr>
      <w:r w:rsidRPr="00647F72">
        <w:rPr>
          <w:rFonts w:ascii="Book Antiqua" w:eastAsia="Book Antiqua" w:hAnsi="Book Antiqua" w:cs="Book Antiqua"/>
          <w:color w:val="000000"/>
        </w:rPr>
        <w:t xml:space="preserve">62 </w:t>
      </w:r>
      <w:r w:rsidRPr="00647F72">
        <w:rPr>
          <w:rFonts w:ascii="Book Antiqua" w:eastAsia="Book Antiqua" w:hAnsi="Book Antiqua" w:cs="Book Antiqua"/>
          <w:b/>
          <w:bCs/>
          <w:color w:val="000000"/>
        </w:rPr>
        <w:t>Zhou F</w:t>
      </w:r>
      <w:r w:rsidRPr="00647F72">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647F72">
        <w:rPr>
          <w:rFonts w:ascii="Book Antiqua" w:eastAsia="Book Antiqua" w:hAnsi="Book Antiqua" w:cs="Book Antiqua"/>
          <w:i/>
          <w:iCs/>
          <w:color w:val="000000"/>
        </w:rPr>
        <w:t>Lancet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395</w:t>
      </w:r>
      <w:r w:rsidRPr="00647F72">
        <w:rPr>
          <w:rFonts w:ascii="Book Antiqua" w:eastAsia="Book Antiqua" w:hAnsi="Book Antiqua" w:cs="Book Antiqua"/>
          <w:color w:val="000000"/>
        </w:rPr>
        <w:t>: 1054-1062 [PMID: 32171076 DOI: 10.1016/S0140-6736(20)30566-3]</w:t>
      </w:r>
    </w:p>
    <w:p w:rsidR="00A77B3E" w:rsidRPr="00647F72" w:rsidRDefault="00B34FC9">
      <w:pPr>
        <w:spacing w:line="360" w:lineRule="auto"/>
        <w:jc w:val="both"/>
      </w:pPr>
      <w:r w:rsidRPr="00647F72">
        <w:rPr>
          <w:rFonts w:ascii="Book Antiqua" w:eastAsia="Book Antiqua" w:hAnsi="Book Antiqua" w:cs="Book Antiqua"/>
          <w:color w:val="000000"/>
        </w:rPr>
        <w:t xml:space="preserve">63 </w:t>
      </w:r>
      <w:r w:rsidRPr="00647F72">
        <w:rPr>
          <w:rFonts w:ascii="Book Antiqua" w:eastAsia="Book Antiqua" w:hAnsi="Book Antiqua" w:cs="Book Antiqua"/>
          <w:b/>
          <w:bCs/>
          <w:color w:val="000000"/>
        </w:rPr>
        <w:t>Mantovani A</w:t>
      </w:r>
      <w:r w:rsidRPr="00647F72">
        <w:rPr>
          <w:rFonts w:ascii="Book Antiqua" w:eastAsia="Book Antiqua" w:hAnsi="Book Antiqua" w:cs="Book Antiqua"/>
          <w:color w:val="000000"/>
        </w:rPr>
        <w:t xml:space="preserve">, Byrne CD, Zheng MH, Targher G. Diabetes as a risk factor for greater COVID-19 severity and in-hospital death: A meta-analysis of observational studies. </w:t>
      </w:r>
      <w:r w:rsidRPr="00647F72">
        <w:rPr>
          <w:rFonts w:ascii="Book Antiqua" w:eastAsia="Book Antiqua" w:hAnsi="Book Antiqua" w:cs="Book Antiqua"/>
          <w:i/>
          <w:iCs/>
          <w:color w:val="000000"/>
        </w:rPr>
        <w:t>Nutr Metab Cardiovasc Dis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30</w:t>
      </w:r>
      <w:r w:rsidRPr="00647F72">
        <w:rPr>
          <w:rFonts w:ascii="Book Antiqua" w:eastAsia="Book Antiqua" w:hAnsi="Book Antiqua" w:cs="Book Antiqua"/>
          <w:color w:val="000000"/>
        </w:rPr>
        <w:t>: 1236-1248 [PMID: 32571616 DOI: 10.1016/j.numecd.2020.05.014]</w:t>
      </w:r>
    </w:p>
    <w:p w:rsidR="00A77B3E" w:rsidRPr="00647F72" w:rsidRDefault="00B34FC9">
      <w:pPr>
        <w:spacing w:line="360" w:lineRule="auto"/>
        <w:jc w:val="both"/>
      </w:pPr>
      <w:r w:rsidRPr="00647F72">
        <w:rPr>
          <w:rFonts w:ascii="Book Antiqua" w:eastAsia="Book Antiqua" w:hAnsi="Book Antiqua" w:cs="Book Antiqua"/>
          <w:color w:val="000000"/>
        </w:rPr>
        <w:t xml:space="preserve">64 </w:t>
      </w:r>
      <w:r w:rsidRPr="00647F72">
        <w:rPr>
          <w:rFonts w:ascii="Book Antiqua" w:eastAsia="Book Antiqua" w:hAnsi="Book Antiqua" w:cs="Book Antiqua"/>
          <w:b/>
          <w:bCs/>
          <w:color w:val="000000"/>
        </w:rPr>
        <w:t>Lim S</w:t>
      </w:r>
      <w:r w:rsidRPr="00647F72">
        <w:rPr>
          <w:rFonts w:ascii="Book Antiqua" w:eastAsia="Book Antiqua" w:hAnsi="Book Antiqua" w:cs="Book Antiqua"/>
          <w:color w:val="000000"/>
        </w:rPr>
        <w:t xml:space="preserve">, Bae JH, Kwon HS, Nauck MA. COVID-19 and diabetes mellitus: from pathophysiology to clinical management. </w:t>
      </w:r>
      <w:r w:rsidRPr="00647F72">
        <w:rPr>
          <w:rFonts w:ascii="Book Antiqua" w:eastAsia="Book Antiqua" w:hAnsi="Book Antiqua" w:cs="Book Antiqua"/>
          <w:i/>
          <w:iCs/>
          <w:color w:val="000000"/>
        </w:rPr>
        <w:t>Nat Rev Endocrinol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17</w:t>
      </w:r>
      <w:r w:rsidRPr="00647F72">
        <w:rPr>
          <w:rFonts w:ascii="Book Antiqua" w:eastAsia="Book Antiqua" w:hAnsi="Book Antiqua" w:cs="Book Antiqua"/>
          <w:color w:val="000000"/>
        </w:rPr>
        <w:t>: 11-30 [PMID: 33188364 DOI: 10.1038/s41574-020-00435-4]</w:t>
      </w:r>
    </w:p>
    <w:p w:rsidR="00A77B3E" w:rsidRPr="00647F72" w:rsidRDefault="00B34FC9">
      <w:pPr>
        <w:spacing w:line="360" w:lineRule="auto"/>
        <w:jc w:val="both"/>
      </w:pPr>
      <w:r w:rsidRPr="00647F72">
        <w:rPr>
          <w:rFonts w:ascii="Book Antiqua" w:eastAsia="Book Antiqua" w:hAnsi="Book Antiqua" w:cs="Book Antiqua"/>
          <w:color w:val="000000"/>
        </w:rPr>
        <w:t xml:space="preserve">65 </w:t>
      </w:r>
      <w:r w:rsidRPr="00647F72">
        <w:rPr>
          <w:rFonts w:ascii="Book Antiqua" w:eastAsia="Book Antiqua" w:hAnsi="Book Antiqua" w:cs="Book Antiqua"/>
          <w:b/>
          <w:bCs/>
          <w:color w:val="000000"/>
        </w:rPr>
        <w:t>Gao F</w:t>
      </w:r>
      <w:r w:rsidRPr="00647F72">
        <w:rPr>
          <w:rFonts w:ascii="Book Antiqua" w:eastAsia="Book Antiqua" w:hAnsi="Book Antiqua" w:cs="Book Antiqua"/>
          <w:color w:val="000000"/>
        </w:rPr>
        <w:t xml:space="preserve">, Zheng KI, Wang XB, Sun QF, Pan KH, Wang TY, Chen YP, Targher G, Byrne CD, George J, Zheng MH. Obesity Is a Risk Factor for Greater COVID-19 Severity. </w:t>
      </w:r>
      <w:r w:rsidRPr="00647F72">
        <w:rPr>
          <w:rFonts w:ascii="Book Antiqua" w:eastAsia="Book Antiqua" w:hAnsi="Book Antiqua" w:cs="Book Antiqua"/>
          <w:i/>
          <w:iCs/>
          <w:color w:val="000000"/>
        </w:rPr>
        <w:t>Diabetes Care</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43</w:t>
      </w:r>
      <w:r w:rsidRPr="00647F72">
        <w:rPr>
          <w:rFonts w:ascii="Book Antiqua" w:eastAsia="Book Antiqua" w:hAnsi="Book Antiqua" w:cs="Book Antiqua"/>
          <w:color w:val="000000"/>
        </w:rPr>
        <w:t>: e72-e74 [PMID: 32409499 DOI: 10.2337/dc20-0682]</w:t>
      </w:r>
    </w:p>
    <w:p w:rsidR="00A77B3E" w:rsidRPr="00647F72" w:rsidRDefault="00B34FC9">
      <w:pPr>
        <w:spacing w:line="360" w:lineRule="auto"/>
        <w:jc w:val="both"/>
      </w:pPr>
      <w:r w:rsidRPr="00647F72">
        <w:rPr>
          <w:rFonts w:ascii="Book Antiqua" w:eastAsia="Book Antiqua" w:hAnsi="Book Antiqua" w:cs="Book Antiqua"/>
          <w:color w:val="000000"/>
        </w:rPr>
        <w:t xml:space="preserve">66 </w:t>
      </w:r>
      <w:r w:rsidRPr="00647F72">
        <w:rPr>
          <w:rFonts w:ascii="Book Antiqua" w:eastAsia="Book Antiqua" w:hAnsi="Book Antiqua" w:cs="Book Antiqua"/>
          <w:b/>
          <w:bCs/>
          <w:color w:val="000000"/>
        </w:rPr>
        <w:t>Petrilli CM</w:t>
      </w:r>
      <w:r w:rsidRPr="00647F72">
        <w:rPr>
          <w:rFonts w:ascii="Book Antiqua" w:eastAsia="Book Antiqua" w:hAnsi="Book Antiqua" w:cs="Book Antiqua"/>
          <w:color w:val="000000"/>
        </w:rPr>
        <w:t xml:space="preserve">, Jones SA, Yang J, Rajagopalan H, O'Donnell L, Chernyak Y, Tobin KA, Cerfolio RJ, Francois F, Horwitz LI. Factors associated with hospital admission and critical illness among 5279 people with coronavirus disease 2019 in New York City: prospective cohort study. </w:t>
      </w:r>
      <w:r w:rsidRPr="00647F72">
        <w:rPr>
          <w:rFonts w:ascii="Book Antiqua" w:eastAsia="Book Antiqua" w:hAnsi="Book Antiqua" w:cs="Book Antiqua"/>
          <w:i/>
          <w:iCs/>
          <w:color w:val="000000"/>
        </w:rPr>
        <w:t>BMJ</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369</w:t>
      </w:r>
      <w:r w:rsidRPr="00647F72">
        <w:rPr>
          <w:rFonts w:ascii="Book Antiqua" w:eastAsia="Book Antiqua" w:hAnsi="Book Antiqua" w:cs="Book Antiqua"/>
          <w:color w:val="000000"/>
        </w:rPr>
        <w:t>: m1966 [PMID: 32444366 DOI: 10.1136/bmj.m1966]</w:t>
      </w:r>
    </w:p>
    <w:p w:rsidR="00A77B3E" w:rsidRPr="00647F72" w:rsidRDefault="00B34FC9">
      <w:pPr>
        <w:spacing w:line="360" w:lineRule="auto"/>
        <w:jc w:val="both"/>
      </w:pPr>
      <w:r w:rsidRPr="00647F72">
        <w:rPr>
          <w:rFonts w:ascii="Book Antiqua" w:eastAsia="Book Antiqua" w:hAnsi="Book Antiqua" w:cs="Book Antiqua"/>
          <w:color w:val="000000"/>
        </w:rPr>
        <w:t xml:space="preserve">67 </w:t>
      </w:r>
      <w:r w:rsidRPr="00647F72">
        <w:rPr>
          <w:rFonts w:ascii="Book Antiqua" w:eastAsia="Book Antiqua" w:hAnsi="Book Antiqua" w:cs="Book Antiqua"/>
          <w:b/>
          <w:bCs/>
          <w:color w:val="000000"/>
        </w:rPr>
        <w:t>Nseir WB</w:t>
      </w:r>
      <w:r w:rsidRPr="00647F72">
        <w:rPr>
          <w:rFonts w:ascii="Book Antiqua" w:eastAsia="Book Antiqua" w:hAnsi="Book Antiqua" w:cs="Book Antiqua"/>
          <w:color w:val="000000"/>
        </w:rPr>
        <w:t xml:space="preserve">, Mograbi JM, Amara AE, Abu Elheja OH, Mahamid MN. Non-alcoholic fatty liver disease and 30-day all-cause mortality in adult patients with community-acquired pneumonia. </w:t>
      </w:r>
      <w:r w:rsidRPr="00647F72">
        <w:rPr>
          <w:rFonts w:ascii="Book Antiqua" w:eastAsia="Book Antiqua" w:hAnsi="Book Antiqua" w:cs="Book Antiqua"/>
          <w:i/>
          <w:iCs/>
          <w:color w:val="000000"/>
        </w:rPr>
        <w:t>QJM</w:t>
      </w:r>
      <w:r w:rsidRPr="00647F72">
        <w:rPr>
          <w:rFonts w:ascii="Book Antiqua" w:eastAsia="Book Antiqua" w:hAnsi="Book Antiqua" w:cs="Book Antiqua"/>
          <w:color w:val="000000"/>
        </w:rPr>
        <w:t xml:space="preserve"> 2019; </w:t>
      </w:r>
      <w:r w:rsidRPr="00647F72">
        <w:rPr>
          <w:rFonts w:ascii="Book Antiqua" w:eastAsia="Book Antiqua" w:hAnsi="Book Antiqua" w:cs="Book Antiqua"/>
          <w:b/>
          <w:bCs/>
          <w:color w:val="000000"/>
        </w:rPr>
        <w:t>112</w:t>
      </w:r>
      <w:r w:rsidRPr="00647F72">
        <w:rPr>
          <w:rFonts w:ascii="Book Antiqua" w:eastAsia="Book Antiqua" w:hAnsi="Book Antiqua" w:cs="Book Antiqua"/>
          <w:color w:val="000000"/>
        </w:rPr>
        <w:t>: 95-99 [PMID: 30325458 DOI: 10.1093/qjmed/hcy227]</w:t>
      </w:r>
    </w:p>
    <w:p w:rsidR="00A77B3E" w:rsidRPr="00647F72" w:rsidRDefault="00B34FC9">
      <w:pPr>
        <w:spacing w:line="360" w:lineRule="auto"/>
        <w:jc w:val="both"/>
      </w:pPr>
      <w:r w:rsidRPr="00647F72">
        <w:rPr>
          <w:rFonts w:ascii="Book Antiqua" w:eastAsia="Book Antiqua" w:hAnsi="Book Antiqua" w:cs="Book Antiqua"/>
          <w:color w:val="000000"/>
        </w:rPr>
        <w:t xml:space="preserve">68 </w:t>
      </w:r>
      <w:r w:rsidRPr="00647F72">
        <w:rPr>
          <w:rFonts w:ascii="Book Antiqua" w:eastAsia="Book Antiqua" w:hAnsi="Book Antiqua" w:cs="Book Antiqua"/>
          <w:b/>
          <w:bCs/>
          <w:color w:val="000000"/>
        </w:rPr>
        <w:t>Nseir W</w:t>
      </w:r>
      <w:r w:rsidRPr="00647F72">
        <w:rPr>
          <w:rFonts w:ascii="Book Antiqua" w:eastAsia="Book Antiqua" w:hAnsi="Book Antiqua" w:cs="Book Antiqua"/>
          <w:color w:val="000000"/>
        </w:rPr>
        <w:t xml:space="preserve">, Taha H, Khateeb J, Grosovski M, Assy N. Fatty liver is associated with recurrent bacterial infections independent of metabolic syndrome. </w:t>
      </w:r>
      <w:r w:rsidRPr="00647F72">
        <w:rPr>
          <w:rFonts w:ascii="Book Antiqua" w:eastAsia="Book Antiqua" w:hAnsi="Book Antiqua" w:cs="Book Antiqua"/>
          <w:i/>
          <w:iCs/>
          <w:color w:val="000000"/>
        </w:rPr>
        <w:t>Dig Dis Sci</w:t>
      </w:r>
      <w:r w:rsidRPr="00647F72">
        <w:rPr>
          <w:rFonts w:ascii="Book Antiqua" w:eastAsia="Book Antiqua" w:hAnsi="Book Antiqua" w:cs="Book Antiqua"/>
          <w:color w:val="000000"/>
        </w:rPr>
        <w:t xml:space="preserve"> 2011; </w:t>
      </w:r>
      <w:r w:rsidRPr="00647F72">
        <w:rPr>
          <w:rFonts w:ascii="Book Antiqua" w:eastAsia="Book Antiqua" w:hAnsi="Book Antiqua" w:cs="Book Antiqua"/>
          <w:b/>
          <w:bCs/>
          <w:color w:val="000000"/>
        </w:rPr>
        <w:t>56</w:t>
      </w:r>
      <w:r w:rsidRPr="00647F72">
        <w:rPr>
          <w:rFonts w:ascii="Book Antiqua" w:eastAsia="Book Antiqua" w:hAnsi="Book Antiqua" w:cs="Book Antiqua"/>
          <w:color w:val="000000"/>
        </w:rPr>
        <w:t>: 3328-3334 [PMID: 21562784 DOI: 10.1007/s10620-011-1736-5]</w:t>
      </w:r>
    </w:p>
    <w:p w:rsidR="00A77B3E" w:rsidRPr="00647F72" w:rsidRDefault="00B34FC9">
      <w:pPr>
        <w:spacing w:line="360" w:lineRule="auto"/>
        <w:jc w:val="both"/>
      </w:pPr>
      <w:r w:rsidRPr="00647F72">
        <w:rPr>
          <w:rFonts w:ascii="Book Antiqua" w:eastAsia="Book Antiqua" w:hAnsi="Book Antiqua" w:cs="Book Antiqua"/>
          <w:color w:val="000000"/>
        </w:rPr>
        <w:t xml:space="preserve">69 </w:t>
      </w:r>
      <w:r w:rsidRPr="00647F72">
        <w:rPr>
          <w:rFonts w:ascii="Book Antiqua" w:eastAsia="Book Antiqua" w:hAnsi="Book Antiqua" w:cs="Book Antiqua"/>
          <w:b/>
          <w:bCs/>
          <w:color w:val="000000"/>
        </w:rPr>
        <w:t>Ji D</w:t>
      </w:r>
      <w:r w:rsidRPr="00647F72">
        <w:rPr>
          <w:rFonts w:ascii="Book Antiqua" w:eastAsia="Book Antiqua" w:hAnsi="Book Antiqua" w:cs="Book Antiqua"/>
          <w:color w:val="000000"/>
        </w:rPr>
        <w:t xml:space="preserve">, Zhang D, Yang T, Mu J, Zhao P, Xu J, Li C, Cheng G, Wang Y, Chen Z, Qin E, Lau G. Effect of COVID-19 on patients with compensated chronic liver diseases. </w:t>
      </w:r>
      <w:r w:rsidRPr="00647F72">
        <w:rPr>
          <w:rFonts w:ascii="Book Antiqua" w:eastAsia="Book Antiqua" w:hAnsi="Book Antiqua" w:cs="Book Antiqua"/>
          <w:i/>
          <w:iCs/>
          <w:color w:val="000000"/>
        </w:rPr>
        <w:t>Hepatol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701-710 [PMID: 32734407 DOI: 10.1007/s12072-020-10058-6]</w:t>
      </w:r>
    </w:p>
    <w:p w:rsidR="00A77B3E" w:rsidRPr="00647F72" w:rsidRDefault="00B34FC9">
      <w:pPr>
        <w:spacing w:line="360" w:lineRule="auto"/>
        <w:jc w:val="both"/>
      </w:pPr>
      <w:r w:rsidRPr="00647F72">
        <w:rPr>
          <w:rFonts w:ascii="Book Antiqua" w:eastAsia="Book Antiqua" w:hAnsi="Book Antiqua" w:cs="Book Antiqua"/>
          <w:color w:val="000000"/>
        </w:rPr>
        <w:t xml:space="preserve">70 </w:t>
      </w:r>
      <w:r w:rsidRPr="00647F72">
        <w:rPr>
          <w:rFonts w:ascii="Book Antiqua" w:eastAsia="Book Antiqua" w:hAnsi="Book Antiqua" w:cs="Book Antiqua"/>
          <w:b/>
          <w:bCs/>
          <w:color w:val="000000"/>
        </w:rPr>
        <w:t>Targher G</w:t>
      </w:r>
      <w:r w:rsidRPr="00647F72">
        <w:rPr>
          <w:rFonts w:ascii="Book Antiqua" w:eastAsia="Book Antiqua" w:hAnsi="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sidRPr="00647F72">
        <w:rPr>
          <w:rFonts w:ascii="Book Antiqua" w:eastAsia="Book Antiqua" w:hAnsi="Book Antiqua" w:cs="Book Antiqua"/>
          <w:i/>
          <w:iCs/>
          <w:color w:val="000000"/>
        </w:rPr>
        <w:t>Gut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69</w:t>
      </w:r>
      <w:r w:rsidRPr="00647F72">
        <w:rPr>
          <w:rFonts w:ascii="Book Antiqua" w:eastAsia="Book Antiqua" w:hAnsi="Book Antiqua" w:cs="Book Antiqua"/>
          <w:color w:val="000000"/>
        </w:rPr>
        <w:t>: 1545-1547 [PMID: 32414813 DOI: 10.1136/gutjnl-2020-321611]</w:t>
      </w:r>
    </w:p>
    <w:p w:rsidR="00A77B3E" w:rsidRPr="00647F72" w:rsidRDefault="00B34FC9">
      <w:pPr>
        <w:spacing w:line="360" w:lineRule="auto"/>
        <w:jc w:val="both"/>
      </w:pPr>
      <w:r w:rsidRPr="00647F72">
        <w:rPr>
          <w:rFonts w:ascii="Book Antiqua" w:eastAsia="Book Antiqua" w:hAnsi="Book Antiqua" w:cs="Book Antiqua"/>
          <w:color w:val="000000"/>
        </w:rPr>
        <w:t xml:space="preserve">71 </w:t>
      </w:r>
      <w:r w:rsidRPr="00647F72">
        <w:rPr>
          <w:rFonts w:ascii="Book Antiqua" w:eastAsia="Book Antiqua" w:hAnsi="Book Antiqua" w:cs="Book Antiqua"/>
          <w:b/>
          <w:bCs/>
          <w:color w:val="000000"/>
        </w:rPr>
        <w:t>Hashemi N</w:t>
      </w:r>
      <w:r w:rsidRPr="00647F72">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40</w:t>
      </w:r>
      <w:r w:rsidRPr="00647F72">
        <w:rPr>
          <w:rFonts w:ascii="Book Antiqua" w:eastAsia="Book Antiqua" w:hAnsi="Book Antiqua" w:cs="Book Antiqua"/>
          <w:color w:val="000000"/>
        </w:rPr>
        <w:t>: 2515-2521 [PMID: 32585065 DOI: 10.1111/</w:t>
      </w:r>
      <w:r w:rsidR="00A50C72"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iv.14583]</w:t>
      </w:r>
    </w:p>
    <w:p w:rsidR="00A77B3E" w:rsidRPr="00647F72" w:rsidRDefault="00B34FC9">
      <w:pPr>
        <w:spacing w:line="360" w:lineRule="auto"/>
        <w:jc w:val="both"/>
      </w:pPr>
      <w:r w:rsidRPr="00647F72">
        <w:rPr>
          <w:rFonts w:ascii="Book Antiqua" w:eastAsia="Book Antiqua" w:hAnsi="Book Antiqua" w:cs="Book Antiqua"/>
          <w:color w:val="000000"/>
        </w:rPr>
        <w:t xml:space="preserve">72 </w:t>
      </w:r>
      <w:r w:rsidRPr="00647F72">
        <w:rPr>
          <w:rFonts w:ascii="Book Antiqua" w:eastAsia="Book Antiqua" w:hAnsi="Book Antiqua" w:cs="Book Antiqua"/>
          <w:b/>
          <w:bCs/>
          <w:color w:val="000000"/>
        </w:rPr>
        <w:t>Forlano R</w:t>
      </w:r>
      <w:r w:rsidRPr="00647F72">
        <w:rPr>
          <w:rFonts w:ascii="Book Antiqua" w:eastAsia="Book Antiqua" w:hAnsi="Book Antiqua" w:cs="Book Antiqua"/>
          <w:color w:val="000000"/>
        </w:rPr>
        <w:t xml:space="preserve">, Mullish BH, Mukherjee SK, Nathwani R, Harlow C, Crook P, Judge R, Soubieres A, Middleton P, Daunt A, Perez-Guzman P, Selvapatt N, Lemoine M, Dhar A, Thursz MR, Nayagam S, Manousou P. In-hospital mortality is associated with inflammatory response in NAFLD patients admitted for COVID-19. </w:t>
      </w:r>
      <w:r w:rsidRPr="00647F72">
        <w:rPr>
          <w:rFonts w:ascii="Book Antiqua" w:eastAsia="Book Antiqua" w:hAnsi="Book Antiqua" w:cs="Book Antiqua"/>
          <w:i/>
          <w:iCs/>
          <w:color w:val="000000"/>
        </w:rPr>
        <w:t>PLoS One</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15</w:t>
      </w:r>
      <w:r w:rsidRPr="00647F72">
        <w:rPr>
          <w:rFonts w:ascii="Book Antiqua" w:eastAsia="Book Antiqua" w:hAnsi="Book Antiqua" w:cs="Book Antiqua"/>
          <w:color w:val="000000"/>
        </w:rPr>
        <w:t>: e0240400 [PMID: 33031439 DOI: 10.1371/journal.pone.0240400]</w:t>
      </w:r>
    </w:p>
    <w:p w:rsidR="00A77B3E" w:rsidRPr="00647F72" w:rsidRDefault="00B34FC9">
      <w:pPr>
        <w:spacing w:line="360" w:lineRule="auto"/>
        <w:jc w:val="both"/>
      </w:pPr>
      <w:r w:rsidRPr="00647F72">
        <w:rPr>
          <w:rFonts w:ascii="Book Antiqua" w:eastAsia="Book Antiqua" w:hAnsi="Book Antiqua" w:cs="Book Antiqua"/>
          <w:color w:val="000000"/>
        </w:rPr>
        <w:t xml:space="preserve">73 </w:t>
      </w:r>
      <w:r w:rsidRPr="00647F72">
        <w:rPr>
          <w:rFonts w:ascii="Book Antiqua" w:eastAsia="Book Antiqua" w:hAnsi="Book Antiqua" w:cs="Book Antiqua"/>
          <w:b/>
          <w:bCs/>
          <w:color w:val="000000"/>
        </w:rPr>
        <w:t>Sachdeva S</w:t>
      </w:r>
      <w:r w:rsidRPr="00647F72">
        <w:rPr>
          <w:rFonts w:ascii="Book Antiqua" w:eastAsia="Book Antiqua" w:hAnsi="Book Antiqua" w:cs="Book Antiqua"/>
          <w:color w:val="000000"/>
        </w:rPr>
        <w:t xml:space="preserve">, Khandait H, Kopel J, Aloysius MM, Desai R, Goyal H. NAFLD and COVID-19: a Pooled Analysis. </w:t>
      </w:r>
      <w:r w:rsidRPr="00647F72">
        <w:rPr>
          <w:rFonts w:ascii="Book Antiqua" w:eastAsia="Book Antiqua" w:hAnsi="Book Antiqua" w:cs="Book Antiqua"/>
          <w:i/>
          <w:iCs/>
          <w:color w:val="000000"/>
        </w:rPr>
        <w:t>SN Compr Clin Med</w:t>
      </w:r>
      <w:r w:rsidRPr="00647F72">
        <w:rPr>
          <w:rFonts w:ascii="Book Antiqua" w:eastAsia="Book Antiqua" w:hAnsi="Book Antiqua" w:cs="Book Antiqua"/>
          <w:color w:val="000000"/>
        </w:rPr>
        <w:t xml:space="preserve"> 2020: 1-4 [PMID: 33173850 DOI: 10.1007/s42399-020-00631-3]</w:t>
      </w:r>
    </w:p>
    <w:p w:rsidR="00A77B3E" w:rsidRPr="00647F72" w:rsidRDefault="00B34FC9">
      <w:pPr>
        <w:spacing w:line="360" w:lineRule="auto"/>
        <w:jc w:val="both"/>
      </w:pPr>
      <w:r w:rsidRPr="00647F72">
        <w:rPr>
          <w:rFonts w:ascii="Book Antiqua" w:eastAsia="Book Antiqua" w:hAnsi="Book Antiqua" w:cs="Book Antiqua"/>
          <w:color w:val="000000"/>
        </w:rPr>
        <w:t xml:space="preserve">74 </w:t>
      </w:r>
      <w:r w:rsidRPr="00647F72">
        <w:rPr>
          <w:rFonts w:ascii="Book Antiqua" w:eastAsia="Book Antiqua" w:hAnsi="Book Antiqua" w:cs="Book Antiqua"/>
          <w:b/>
          <w:bCs/>
          <w:color w:val="000000"/>
        </w:rPr>
        <w:t>Pan L</w:t>
      </w:r>
      <w:r w:rsidRPr="00647F72">
        <w:rPr>
          <w:rFonts w:ascii="Book Antiqua" w:eastAsia="Book Antiqua" w:hAnsi="Book Antiqua" w:cs="Book Antiqua"/>
          <w:color w:val="000000"/>
        </w:rPr>
        <w:t xml:space="preserve">, Huang P, Xie X, Xu J, Guo D, Jiang Y. Metabolic associated fatty liver disease increases the severity of COVID-19: A meta-analysis. </w:t>
      </w:r>
      <w:r w:rsidRPr="00647F72">
        <w:rPr>
          <w:rFonts w:ascii="Book Antiqua" w:eastAsia="Book Antiqua" w:hAnsi="Book Antiqua" w:cs="Book Antiqua"/>
          <w:i/>
          <w:iCs/>
          <w:color w:val="000000"/>
        </w:rPr>
        <w:t>Dig Liver Dis</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53</w:t>
      </w:r>
      <w:r w:rsidRPr="00647F72">
        <w:rPr>
          <w:rFonts w:ascii="Book Antiqua" w:eastAsia="Book Antiqua" w:hAnsi="Book Antiqua" w:cs="Book Antiqua"/>
          <w:color w:val="000000"/>
        </w:rPr>
        <w:t>: 153-157 [PMID: 33011088 DOI: 10.1016/j.dld.2020.09.007]</w:t>
      </w:r>
    </w:p>
    <w:p w:rsidR="00A77B3E" w:rsidRPr="00647F72" w:rsidRDefault="00B34FC9">
      <w:pPr>
        <w:spacing w:line="360" w:lineRule="auto"/>
        <w:jc w:val="both"/>
      </w:pPr>
      <w:r w:rsidRPr="00647F72">
        <w:rPr>
          <w:rFonts w:ascii="Book Antiqua" w:eastAsia="Book Antiqua" w:hAnsi="Book Antiqua" w:cs="Book Antiqua"/>
          <w:color w:val="000000"/>
        </w:rPr>
        <w:t xml:space="preserve">75 </w:t>
      </w:r>
      <w:r w:rsidRPr="00647F72">
        <w:rPr>
          <w:rFonts w:ascii="Book Antiqua" w:eastAsia="Book Antiqua" w:hAnsi="Book Antiqua" w:cs="Book Antiqua"/>
          <w:b/>
          <w:bCs/>
          <w:color w:val="000000"/>
        </w:rPr>
        <w:t>Ferron PJ</w:t>
      </w:r>
      <w:r w:rsidRPr="00647F72">
        <w:rPr>
          <w:rFonts w:ascii="Book Antiqua" w:eastAsia="Book Antiqua" w:hAnsi="Book Antiqua" w:cs="Book Antiqua"/>
          <w:color w:val="000000"/>
        </w:rPr>
        <w:t xml:space="preserve">, Gicquel T, Mégarbane B, Clément B, Fromenty B. Treatments in Covid-19 patients with pre-existing metabolic dysfunction-associated fatty liver disease: A potential threat for drug-induced liver injury? </w:t>
      </w:r>
      <w:r w:rsidRPr="00647F72">
        <w:rPr>
          <w:rFonts w:ascii="Book Antiqua" w:eastAsia="Book Antiqua" w:hAnsi="Book Antiqua" w:cs="Book Antiqua"/>
          <w:i/>
          <w:iCs/>
          <w:color w:val="000000"/>
        </w:rPr>
        <w:t>Biochimie</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179</w:t>
      </w:r>
      <w:r w:rsidRPr="00647F72">
        <w:rPr>
          <w:rFonts w:ascii="Book Antiqua" w:eastAsia="Book Antiqua" w:hAnsi="Book Antiqua" w:cs="Book Antiqua"/>
          <w:color w:val="000000"/>
        </w:rPr>
        <w:t>: 266-274 [PMID: 32891697 DOI: 10.1016/j.biochi.2020.08.018]</w:t>
      </w:r>
    </w:p>
    <w:p w:rsidR="00A77B3E" w:rsidRPr="00647F72" w:rsidRDefault="00B34FC9">
      <w:pPr>
        <w:spacing w:line="360" w:lineRule="auto"/>
        <w:jc w:val="both"/>
      </w:pPr>
      <w:r w:rsidRPr="00647F72">
        <w:rPr>
          <w:rFonts w:ascii="Book Antiqua" w:eastAsia="Book Antiqua" w:hAnsi="Book Antiqua" w:cs="Book Antiqua"/>
          <w:color w:val="000000"/>
        </w:rPr>
        <w:t xml:space="preserve">76 </w:t>
      </w:r>
      <w:r w:rsidRPr="00647F72">
        <w:rPr>
          <w:rFonts w:ascii="Book Antiqua" w:eastAsia="Book Antiqua" w:hAnsi="Book Antiqua" w:cs="Book Antiqua"/>
          <w:b/>
          <w:bCs/>
          <w:color w:val="000000"/>
        </w:rPr>
        <w:t>Zhou YJ</w:t>
      </w:r>
      <w:r w:rsidRPr="00647F72">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73</w:t>
      </w:r>
      <w:r w:rsidRPr="00647F72">
        <w:rPr>
          <w:rFonts w:ascii="Book Antiqua" w:eastAsia="Book Antiqua" w:hAnsi="Book Antiqua" w:cs="Book Antiqua"/>
          <w:color w:val="000000"/>
        </w:rPr>
        <w:t>: 719-721 [PMID: 32348790 DOI: 10.1016/j.jhep.2020.04.027]</w:t>
      </w:r>
    </w:p>
    <w:p w:rsidR="00A77B3E" w:rsidRPr="00647F72" w:rsidRDefault="00B34FC9">
      <w:pPr>
        <w:spacing w:line="360" w:lineRule="auto"/>
        <w:jc w:val="both"/>
      </w:pPr>
      <w:r w:rsidRPr="00647F72">
        <w:rPr>
          <w:rFonts w:ascii="Book Antiqua" w:eastAsia="Book Antiqua" w:hAnsi="Book Antiqua" w:cs="Book Antiqua"/>
          <w:color w:val="000000"/>
        </w:rPr>
        <w:t xml:space="preserve">77 </w:t>
      </w:r>
      <w:r w:rsidRPr="00647F72">
        <w:rPr>
          <w:rFonts w:ascii="Book Antiqua" w:eastAsia="Book Antiqua" w:hAnsi="Book Antiqua" w:cs="Book Antiqua"/>
          <w:b/>
          <w:bCs/>
          <w:color w:val="000000"/>
        </w:rPr>
        <w:t>Zhou YJ</w:t>
      </w:r>
      <w:r w:rsidRPr="00647F72">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40</w:t>
      </w:r>
      <w:r w:rsidRPr="00647F72">
        <w:rPr>
          <w:rFonts w:ascii="Book Antiqua" w:eastAsia="Book Antiqua" w:hAnsi="Book Antiqua" w:cs="Book Antiqua"/>
          <w:color w:val="000000"/>
        </w:rPr>
        <w:t>: 2160-2163 [PMID: 32573883 DOI: 10.1111/</w:t>
      </w:r>
      <w:r w:rsidR="00A50C72"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iv.14575]</w:t>
      </w:r>
    </w:p>
    <w:p w:rsidR="00A77B3E" w:rsidRPr="00647F72" w:rsidRDefault="00B34FC9">
      <w:pPr>
        <w:spacing w:line="360" w:lineRule="auto"/>
        <w:jc w:val="both"/>
      </w:pPr>
      <w:r w:rsidRPr="00647F72">
        <w:rPr>
          <w:rFonts w:ascii="Book Antiqua" w:eastAsia="Book Antiqua" w:hAnsi="Book Antiqua" w:cs="Book Antiqua"/>
          <w:color w:val="000000"/>
        </w:rPr>
        <w:t xml:space="preserve">78 </w:t>
      </w:r>
      <w:r w:rsidRPr="00647F72">
        <w:rPr>
          <w:rFonts w:ascii="Book Antiqua" w:eastAsia="Book Antiqua" w:hAnsi="Book Antiqua" w:cs="Book Antiqua"/>
          <w:b/>
          <w:bCs/>
          <w:color w:val="000000"/>
        </w:rPr>
        <w:t>Roca-Fernández A</w:t>
      </w:r>
      <w:r w:rsidRPr="00647F72">
        <w:rPr>
          <w:rFonts w:ascii="Book Antiqua" w:eastAsia="Book Antiqua" w:hAnsi="Book Antiqua" w:cs="Book Antiqua"/>
          <w:bCs/>
          <w:color w:val="000000"/>
        </w:rPr>
        <w:t>,</w:t>
      </w:r>
      <w:r w:rsidRPr="00647F72">
        <w:rPr>
          <w:rFonts w:ascii="Book Antiqua" w:eastAsia="Book Antiqua" w:hAnsi="Book Antiqua" w:cs="Book Antiqua"/>
          <w:color w:val="000000"/>
        </w:rPr>
        <w:t xml:space="preserve"> Dennis A, Nicolls R, McGonigle J, Kelly M, Banerjee R. High Liver Fat Associates with Higher Risk of Developing Symptomatic COVID-19 Infection - Initial UK Biobank Observations. </w:t>
      </w:r>
      <w:r w:rsidR="001A3AF1" w:rsidRPr="00647F72">
        <w:rPr>
          <w:rFonts w:ascii="Book Antiqua" w:hAnsi="Book Antiqua" w:cs="Segoe UI"/>
          <w:color w:val="000000"/>
        </w:rPr>
        <w:t>20</w:t>
      </w:r>
      <w:r w:rsidR="001A3AF1" w:rsidRPr="00647F72">
        <w:rPr>
          <w:rFonts w:ascii="Book Antiqua" w:hAnsi="Book Antiqua" w:cs="Segoe UI" w:hint="eastAsia"/>
          <w:color w:val="000000"/>
          <w:lang w:eastAsia="zh-CN"/>
        </w:rPr>
        <w:t>20</w:t>
      </w:r>
      <w:r w:rsidR="001A3AF1" w:rsidRPr="00647F72">
        <w:rPr>
          <w:rFonts w:ascii="Book Antiqua" w:hAnsi="Book Antiqua" w:cs="Segoe UI"/>
          <w:color w:val="000000"/>
        </w:rPr>
        <w:t xml:space="preserve"> Preprint. Available from:</w:t>
      </w:r>
      <w:r w:rsidR="001A3AF1" w:rsidRPr="00647F72">
        <w:rPr>
          <w:rFonts w:ascii="Book Antiqua" w:hAnsi="Book Antiqua" w:cs="Segoe UI" w:hint="eastAsia"/>
          <w:color w:val="000000"/>
          <w:lang w:eastAsia="zh-CN"/>
        </w:rPr>
        <w:t xml:space="preserve"> </w:t>
      </w:r>
      <w:r w:rsidRPr="00647F72">
        <w:rPr>
          <w:rFonts w:ascii="Book Antiqua" w:eastAsia="Book Antiqua" w:hAnsi="Book Antiqua" w:cs="Book Antiqua"/>
          <w:color w:val="000000"/>
        </w:rPr>
        <w:t>medRxiv:2020.06.04.20122457</w:t>
      </w:r>
      <w:r w:rsidR="001A3AF1"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[DOI: 10.1101/2020.06.04.20122457]</w:t>
      </w:r>
    </w:p>
    <w:p w:rsidR="00A77B3E" w:rsidRPr="00647F72" w:rsidRDefault="00B34FC9">
      <w:pPr>
        <w:spacing w:line="360" w:lineRule="auto"/>
        <w:jc w:val="both"/>
      </w:pPr>
      <w:r w:rsidRPr="00647F72">
        <w:rPr>
          <w:rFonts w:ascii="Book Antiqua" w:eastAsia="Book Antiqua" w:hAnsi="Book Antiqua" w:cs="Book Antiqua"/>
          <w:color w:val="000000"/>
        </w:rPr>
        <w:t xml:space="preserve">79 </w:t>
      </w:r>
      <w:r w:rsidRPr="00647F72">
        <w:rPr>
          <w:rFonts w:ascii="Book Antiqua" w:eastAsia="Book Antiqua" w:hAnsi="Book Antiqua" w:cs="Book Antiqua"/>
          <w:b/>
          <w:bCs/>
          <w:color w:val="000000"/>
        </w:rPr>
        <w:t>Saviano A</w:t>
      </w:r>
      <w:r w:rsidRPr="00647F72">
        <w:rPr>
          <w:rFonts w:ascii="Book Antiqua" w:eastAsia="Book Antiqua" w:hAnsi="Book Antiqua" w:cs="Book Antiqua"/>
          <w:color w:val="000000"/>
        </w:rPr>
        <w:t xml:space="preserve">, Wrensch F, Ghany MG, Baumert TF. Liver disease and COVID-19: from Pathogenesis to Clinical Care. </w:t>
      </w:r>
      <w:r w:rsidRPr="00647F72">
        <w:rPr>
          <w:rFonts w:ascii="Book Antiqua" w:eastAsia="Book Antiqua" w:hAnsi="Book Antiqua" w:cs="Book Antiqua"/>
          <w:i/>
          <w:iCs/>
          <w:color w:val="000000"/>
        </w:rPr>
        <w:t>Hepatology</w:t>
      </w:r>
      <w:r w:rsidRPr="00647F72">
        <w:rPr>
          <w:rFonts w:ascii="Book Antiqua" w:eastAsia="Book Antiqua" w:hAnsi="Book Antiqua" w:cs="Book Antiqua"/>
          <w:color w:val="000000"/>
        </w:rPr>
        <w:t xml:space="preserve"> 2020 [PMID: 33332624 DOI: 10.1002/hep.31684]</w:t>
      </w:r>
    </w:p>
    <w:p w:rsidR="00A77B3E" w:rsidRPr="00647F72" w:rsidRDefault="00B34FC9">
      <w:pPr>
        <w:spacing w:line="360" w:lineRule="auto"/>
        <w:jc w:val="both"/>
      </w:pPr>
      <w:r w:rsidRPr="00647F72">
        <w:rPr>
          <w:rFonts w:ascii="Book Antiqua" w:eastAsia="Book Antiqua" w:hAnsi="Book Antiqua" w:cs="Book Antiqua"/>
          <w:color w:val="000000"/>
        </w:rPr>
        <w:t xml:space="preserve">80 </w:t>
      </w:r>
      <w:r w:rsidRPr="00647F72">
        <w:rPr>
          <w:rFonts w:ascii="Book Antiqua" w:eastAsia="Book Antiqua" w:hAnsi="Book Antiqua" w:cs="Book Antiqua"/>
          <w:b/>
          <w:bCs/>
          <w:color w:val="000000"/>
        </w:rPr>
        <w:t>Nardo AD</w:t>
      </w:r>
      <w:r w:rsidRPr="00647F72">
        <w:rPr>
          <w:rFonts w:ascii="Book Antiqua" w:eastAsia="Book Antiqua" w:hAnsi="Book Antiqua" w:cs="Book Antiqua"/>
          <w:color w:val="000000"/>
        </w:rPr>
        <w:t xml:space="preserve">, Schneeweiss-Gleixner M, Bakail M, Dixon ED, Lax SF, Trauner M. Pathophysiological mechanisms of liver injury in COVID-19. </w:t>
      </w:r>
      <w:r w:rsidRPr="00647F72">
        <w:rPr>
          <w:rFonts w:ascii="Book Antiqua" w:eastAsia="Book Antiqua" w:hAnsi="Book Antiqua" w:cs="Book Antiqua"/>
          <w:i/>
          <w:iCs/>
          <w:color w:val="000000"/>
        </w:rPr>
        <w:t>Liver Int</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41</w:t>
      </w:r>
      <w:r w:rsidRPr="00647F72">
        <w:rPr>
          <w:rFonts w:ascii="Book Antiqua" w:eastAsia="Book Antiqua" w:hAnsi="Book Antiqua" w:cs="Book Antiqua"/>
          <w:color w:val="000000"/>
        </w:rPr>
        <w:t>: 20-32 [PMID: 33190346 DOI: 10.1111/</w:t>
      </w:r>
      <w:r w:rsidR="00A50C72" w:rsidRPr="00647F72">
        <w:rPr>
          <w:rFonts w:ascii="Book Antiqua" w:hAnsi="Book Antiqua" w:cs="Book Antiqua" w:hint="eastAsia"/>
          <w:color w:val="000000"/>
          <w:lang w:eastAsia="zh-CN"/>
        </w:rPr>
        <w:t>l</w:t>
      </w:r>
      <w:r w:rsidRPr="00647F72">
        <w:rPr>
          <w:rFonts w:ascii="Book Antiqua" w:eastAsia="Book Antiqua" w:hAnsi="Book Antiqua" w:cs="Book Antiqua"/>
          <w:color w:val="000000"/>
        </w:rPr>
        <w:t>iv.14730]</w:t>
      </w:r>
    </w:p>
    <w:p w:rsidR="00A77B3E" w:rsidRPr="00647F72" w:rsidRDefault="00B34FC9">
      <w:pPr>
        <w:spacing w:line="360" w:lineRule="auto"/>
        <w:jc w:val="both"/>
      </w:pPr>
      <w:r w:rsidRPr="00647F72">
        <w:rPr>
          <w:rFonts w:ascii="Book Antiqua" w:eastAsia="Book Antiqua" w:hAnsi="Book Antiqua" w:cs="Book Antiqua"/>
          <w:color w:val="000000"/>
        </w:rPr>
        <w:t xml:space="preserve">81 </w:t>
      </w:r>
      <w:r w:rsidRPr="00647F72">
        <w:rPr>
          <w:rFonts w:ascii="Book Antiqua" w:eastAsia="Book Antiqua" w:hAnsi="Book Antiqua" w:cs="Book Antiqua"/>
          <w:b/>
          <w:bCs/>
          <w:color w:val="000000"/>
        </w:rPr>
        <w:t>Saltiel AR</w:t>
      </w:r>
      <w:r w:rsidRPr="00647F72">
        <w:rPr>
          <w:rFonts w:ascii="Book Antiqua" w:eastAsia="Book Antiqua" w:hAnsi="Book Antiqua" w:cs="Book Antiqua"/>
          <w:color w:val="000000"/>
        </w:rPr>
        <w:t xml:space="preserve">, Olefsky JM. Inflammatory mechanisms linking obesity and metabolic disease. </w:t>
      </w:r>
      <w:r w:rsidRPr="00647F72">
        <w:rPr>
          <w:rFonts w:ascii="Book Antiqua" w:eastAsia="Book Antiqua" w:hAnsi="Book Antiqua" w:cs="Book Antiqua"/>
          <w:i/>
          <w:iCs/>
          <w:color w:val="000000"/>
        </w:rPr>
        <w:t>J Clin Invest</w:t>
      </w:r>
      <w:r w:rsidRPr="00647F72">
        <w:rPr>
          <w:rFonts w:ascii="Book Antiqua" w:eastAsia="Book Antiqua" w:hAnsi="Book Antiqua" w:cs="Book Antiqua"/>
          <w:color w:val="000000"/>
        </w:rPr>
        <w:t xml:space="preserve"> 2017; </w:t>
      </w:r>
      <w:r w:rsidRPr="00647F72">
        <w:rPr>
          <w:rFonts w:ascii="Book Antiqua" w:eastAsia="Book Antiqua" w:hAnsi="Book Antiqua" w:cs="Book Antiqua"/>
          <w:b/>
          <w:bCs/>
          <w:color w:val="000000"/>
        </w:rPr>
        <w:t>127</w:t>
      </w:r>
      <w:r w:rsidRPr="00647F72">
        <w:rPr>
          <w:rFonts w:ascii="Book Antiqua" w:eastAsia="Book Antiqua" w:hAnsi="Book Antiqua" w:cs="Book Antiqua"/>
          <w:color w:val="000000"/>
        </w:rPr>
        <w:t>: 1-4 [PMID: 28045402 DOI: 10.1172/JCI92035]</w:t>
      </w:r>
    </w:p>
    <w:p w:rsidR="00A77B3E" w:rsidRPr="00647F72" w:rsidRDefault="00B34FC9">
      <w:pPr>
        <w:spacing w:line="360" w:lineRule="auto"/>
        <w:jc w:val="both"/>
      </w:pPr>
      <w:r w:rsidRPr="00647F72">
        <w:rPr>
          <w:rFonts w:ascii="Book Antiqua" w:eastAsia="Book Antiqua" w:hAnsi="Book Antiqua" w:cs="Book Antiqua"/>
          <w:color w:val="000000"/>
        </w:rPr>
        <w:t xml:space="preserve">82 </w:t>
      </w:r>
      <w:r w:rsidRPr="00647F72">
        <w:rPr>
          <w:rFonts w:ascii="Book Antiqua" w:eastAsia="Book Antiqua" w:hAnsi="Book Antiqua" w:cs="Book Antiqua"/>
          <w:b/>
          <w:bCs/>
          <w:color w:val="000000"/>
        </w:rPr>
        <w:t>GBD 2015 Obesity Collaborators.</w:t>
      </w:r>
      <w:r w:rsidRPr="00647F72">
        <w:rPr>
          <w:rFonts w:ascii="Book Antiqua" w:eastAsia="Book Antiqua" w:hAnsi="Book Antiqua" w:cs="Book Antiqua"/>
          <w:color w:val="000000"/>
        </w:rPr>
        <w:t xml:space="preserve"> Afshin A, Forouzanfar MH, Reitsma MB, Sur P, Estep K, Lee A, Marczak L, Mokdad AH, Moradi-Lakeh M, Naghavi M, Salama JS, Vos T, Abate KH, Abbafati C, Ahmed MB, Al-Aly Z, Alkerwi A, Al-Raddadi R, Amare AT, Amberbir A, Amegah AK, Amini E, Amrock SM, Anjana RM, Ärnlöv J, Asayesh H, Banerjee A, Barac A, Baye E, Bennett DA, Beyene AS, Biadgilign S, Biryukov S, Bjertness E, Boneya DJ, Campos-Nonato I, Carrero JJ, Cecilio P, Cercy K, Ciobanu LG, Cornaby L, Damtew SA, Dandona L, Dandona R, Dharmaratne SD, Duncan BB, Eshrati B, Esteghamati A, Feigin VL, Fernandes JC, Fürst T, Gebrehiwot TT, Gold A, Gona PN, Goto A, Habtewold TD, Hadush KT, Hafezi-Nejad N, Hay SI, Horino M, Islami F, Kamal R, Kasaeian A, Katikireddi SV, Kengne AP, Kesavachandran CN, Khader YS, Khang YH, Khubchandani J, Kim D, Kim YJ, Kinfu Y, Kosen S, Ku T, Defo BK, Kumar GA, Larson HJ, Leinsalu M, Liang X, Lim SS, Liu P, Lopez AD, Lozano R, Majeed A, Malekzadeh R, Malta DC, Mazidi M, McAlinden C, McGarvey ST, Mengistu DT, Mensah GA, Mensink GBM, Mezgebe HB, Mirrakhimov EM, Mueller UO, Noubiap JJ, Obermeyer CM, Ogbo FA, Owolabi MO, Patton GC, Pourmalek F, Qorbani M, Rafay A, Rai RK, Ranabhat CL, Reinig N, Safiri S, Salomon JA, Sanabria JR, Santos IS, Sartorius B, Sawhney M, Schmidhuber J, Schutte AE, Schmidt MI, Sepanlou SG, Shamsizadeh M, Sheikhbahaei S, Shin MJ, Shiri R, Shiue I, Roba HS, Silva DAS, Silverberg JI, Singh JA, Stranges S, Swaminathan S, Tabarés-Seisdedos R, Tadese F, Tedla BA, Tegegne BS, Terkawi AS, Thakur JS, Tonelli M, Topor-Madry R, Tyrovolas S, Ukwaja KN, Uthman OA, Vaezghasemi M, Vasankari T, Vlassov VV, Vollset SE, Weiderpass E, Werdecker A, Wesana J, Westerman R, Yano Y, Yonemoto N, Yonga G, Zaidi Z, Zenebe ZM, Zipkin B, Murray CJL. Health Effects of Overweight and Obesity in 195 Countries over 25 Years. </w:t>
      </w:r>
      <w:r w:rsidRPr="00647F72">
        <w:rPr>
          <w:rFonts w:ascii="Book Antiqua" w:eastAsia="Book Antiqua" w:hAnsi="Book Antiqua" w:cs="Book Antiqua"/>
          <w:i/>
          <w:iCs/>
          <w:color w:val="000000"/>
        </w:rPr>
        <w:t>N Engl J Med</w:t>
      </w:r>
      <w:r w:rsidRPr="00647F72">
        <w:rPr>
          <w:rFonts w:ascii="Book Antiqua" w:eastAsia="Book Antiqua" w:hAnsi="Book Antiqua" w:cs="Book Antiqua"/>
          <w:color w:val="000000"/>
        </w:rPr>
        <w:t xml:space="preserve"> 2017; </w:t>
      </w:r>
      <w:r w:rsidRPr="00647F72">
        <w:rPr>
          <w:rFonts w:ascii="Book Antiqua" w:eastAsia="Book Antiqua" w:hAnsi="Book Antiqua" w:cs="Book Antiqua"/>
          <w:b/>
          <w:bCs/>
          <w:color w:val="000000"/>
        </w:rPr>
        <w:t>377</w:t>
      </w:r>
      <w:r w:rsidRPr="00647F72">
        <w:rPr>
          <w:rFonts w:ascii="Book Antiqua" w:eastAsia="Book Antiqua" w:hAnsi="Book Antiqua" w:cs="Book Antiqua"/>
          <w:color w:val="000000"/>
        </w:rPr>
        <w:t>: 13-27 [PMID: 28604169 DOI: 10.1056/NEJMoa1614362]</w:t>
      </w:r>
    </w:p>
    <w:p w:rsidR="00A77B3E" w:rsidRPr="00647F72" w:rsidRDefault="00B34FC9">
      <w:pPr>
        <w:spacing w:line="360" w:lineRule="auto"/>
        <w:jc w:val="both"/>
      </w:pPr>
      <w:r w:rsidRPr="00647F72">
        <w:rPr>
          <w:rFonts w:ascii="Book Antiqua" w:eastAsia="Book Antiqua" w:hAnsi="Book Antiqua" w:cs="Book Antiqua"/>
          <w:color w:val="000000"/>
        </w:rPr>
        <w:t xml:space="preserve">83 </w:t>
      </w:r>
      <w:r w:rsidRPr="00647F72">
        <w:rPr>
          <w:rFonts w:ascii="Book Antiqua" w:eastAsia="Book Antiqua" w:hAnsi="Book Antiqua" w:cs="Book Antiqua"/>
          <w:b/>
          <w:bCs/>
          <w:color w:val="000000"/>
        </w:rPr>
        <w:t>Honce R</w:t>
      </w:r>
      <w:r w:rsidRPr="00647F72">
        <w:rPr>
          <w:rFonts w:ascii="Book Antiqua" w:eastAsia="Book Antiqua" w:hAnsi="Book Antiqua" w:cs="Book Antiqua"/>
          <w:color w:val="000000"/>
        </w:rPr>
        <w:t xml:space="preserve">, Schultz-Cherry S. Impact of Obesity on Influenza A Virus Pathogenesis, Immune Response, and Evolution. </w:t>
      </w:r>
      <w:r w:rsidRPr="00647F72">
        <w:rPr>
          <w:rFonts w:ascii="Book Antiqua" w:eastAsia="Book Antiqua" w:hAnsi="Book Antiqua" w:cs="Book Antiqua"/>
          <w:i/>
          <w:iCs/>
          <w:color w:val="000000"/>
        </w:rPr>
        <w:t>Front Immunol</w:t>
      </w:r>
      <w:r w:rsidRPr="00647F72">
        <w:rPr>
          <w:rFonts w:ascii="Book Antiqua" w:eastAsia="Book Antiqua" w:hAnsi="Book Antiqua" w:cs="Book Antiqua"/>
          <w:color w:val="000000"/>
        </w:rPr>
        <w:t xml:space="preserve"> 2019; </w:t>
      </w:r>
      <w:r w:rsidRPr="00647F72">
        <w:rPr>
          <w:rFonts w:ascii="Book Antiqua" w:eastAsia="Book Antiqua" w:hAnsi="Book Antiqua" w:cs="Book Antiqua"/>
          <w:b/>
          <w:bCs/>
          <w:color w:val="000000"/>
        </w:rPr>
        <w:t>10</w:t>
      </w:r>
      <w:r w:rsidRPr="00647F72">
        <w:rPr>
          <w:rFonts w:ascii="Book Antiqua" w:eastAsia="Book Antiqua" w:hAnsi="Book Antiqua" w:cs="Book Antiqua"/>
          <w:color w:val="000000"/>
        </w:rPr>
        <w:t>: 1071 [PMID: 31134099 DOI: 10.3389/fimmu.2019.01071]</w:t>
      </w:r>
    </w:p>
    <w:p w:rsidR="00A77B3E" w:rsidRPr="00647F72" w:rsidRDefault="00B34FC9">
      <w:pPr>
        <w:spacing w:line="360" w:lineRule="auto"/>
        <w:jc w:val="both"/>
      </w:pPr>
      <w:r w:rsidRPr="00647F72">
        <w:rPr>
          <w:rFonts w:ascii="Book Antiqua" w:eastAsia="Book Antiqua" w:hAnsi="Book Antiqua" w:cs="Book Antiqua"/>
          <w:color w:val="000000"/>
        </w:rPr>
        <w:t xml:space="preserve">84 </w:t>
      </w:r>
      <w:r w:rsidRPr="00647F72">
        <w:rPr>
          <w:rFonts w:ascii="Book Antiqua" w:eastAsia="Book Antiqua" w:hAnsi="Book Antiqua" w:cs="Book Antiqua"/>
          <w:b/>
          <w:bCs/>
          <w:color w:val="000000"/>
        </w:rPr>
        <w:t>Portincasa P</w:t>
      </w:r>
      <w:r w:rsidRPr="00647F72">
        <w:rPr>
          <w:rFonts w:ascii="Book Antiqua" w:eastAsia="Book Antiqua" w:hAnsi="Book Antiqua" w:cs="Book Antiqua"/>
          <w:color w:val="000000"/>
        </w:rPr>
        <w:t xml:space="preserve">, Krawczyk M, Smyk W, Lammert F, Di Ciaula A. COVID-19 and non-alcoholic fatty liver disease: Two intersecting pandemics. </w:t>
      </w:r>
      <w:r w:rsidRPr="00647F72">
        <w:rPr>
          <w:rFonts w:ascii="Book Antiqua" w:eastAsia="Book Antiqua" w:hAnsi="Book Antiqua" w:cs="Book Antiqua"/>
          <w:i/>
          <w:iCs/>
          <w:color w:val="000000"/>
        </w:rPr>
        <w:t>Eur J Clin Invest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50</w:t>
      </w:r>
      <w:r w:rsidRPr="00647F72">
        <w:rPr>
          <w:rFonts w:ascii="Book Antiqua" w:eastAsia="Book Antiqua" w:hAnsi="Book Antiqua" w:cs="Book Antiqua"/>
          <w:color w:val="000000"/>
        </w:rPr>
        <w:t>: e13338 [PMID: 32589264 DOI: 10.1111/eci.13338]</w:t>
      </w:r>
    </w:p>
    <w:p w:rsidR="00A77B3E" w:rsidRPr="00647F72" w:rsidRDefault="00B34FC9">
      <w:pPr>
        <w:spacing w:line="360" w:lineRule="auto"/>
        <w:jc w:val="both"/>
      </w:pPr>
      <w:r w:rsidRPr="00647F72">
        <w:rPr>
          <w:rFonts w:ascii="Book Antiqua" w:eastAsia="Book Antiqua" w:hAnsi="Book Antiqua" w:cs="Book Antiqua"/>
          <w:color w:val="000000"/>
        </w:rPr>
        <w:t xml:space="preserve">85 </w:t>
      </w:r>
      <w:r w:rsidRPr="00647F72">
        <w:rPr>
          <w:rFonts w:ascii="Book Antiqua" w:eastAsia="Book Antiqua" w:hAnsi="Book Antiqua" w:cs="Book Antiqua"/>
          <w:b/>
          <w:bCs/>
          <w:color w:val="000000"/>
        </w:rPr>
        <w:t>Kass DA</w:t>
      </w:r>
      <w:r w:rsidRPr="00647F72">
        <w:rPr>
          <w:rFonts w:ascii="Book Antiqua" w:eastAsia="Book Antiqua" w:hAnsi="Book Antiqua" w:cs="Book Antiqua"/>
          <w:color w:val="000000"/>
        </w:rPr>
        <w:t xml:space="preserve">, Duggal P, Cingolani O. Obesity could shift severe COVID-19 disease to younger ages. </w:t>
      </w:r>
      <w:r w:rsidRPr="00647F72">
        <w:rPr>
          <w:rFonts w:ascii="Book Antiqua" w:eastAsia="Book Antiqua" w:hAnsi="Book Antiqua" w:cs="Book Antiqua"/>
          <w:i/>
          <w:iCs/>
          <w:color w:val="000000"/>
        </w:rPr>
        <w:t>Lancet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395</w:t>
      </w:r>
      <w:r w:rsidRPr="00647F72">
        <w:rPr>
          <w:rFonts w:ascii="Book Antiqua" w:eastAsia="Book Antiqua" w:hAnsi="Book Antiqua" w:cs="Book Antiqua"/>
          <w:color w:val="000000"/>
        </w:rPr>
        <w:t>: 1544-1545 [PMID: 32380044 DOI: 10.1016/S0140-6736(20)31024-2]</w:t>
      </w:r>
    </w:p>
    <w:p w:rsidR="00A77B3E" w:rsidRPr="00647F72" w:rsidRDefault="00B34FC9">
      <w:pPr>
        <w:spacing w:line="360" w:lineRule="auto"/>
        <w:jc w:val="both"/>
      </w:pPr>
      <w:r w:rsidRPr="00647F72">
        <w:rPr>
          <w:rFonts w:ascii="Book Antiqua" w:eastAsia="Book Antiqua" w:hAnsi="Book Antiqua" w:cs="Book Antiqua"/>
          <w:color w:val="000000"/>
        </w:rPr>
        <w:t xml:space="preserve">86 </w:t>
      </w:r>
      <w:r w:rsidRPr="00647F72">
        <w:rPr>
          <w:rFonts w:ascii="Book Antiqua" w:eastAsia="Book Antiqua" w:hAnsi="Book Antiqua" w:cs="Book Antiqua"/>
          <w:b/>
          <w:bCs/>
          <w:color w:val="000000"/>
        </w:rPr>
        <w:t>Zheng KI</w:t>
      </w:r>
      <w:r w:rsidRPr="00647F72">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sidRPr="00647F72">
        <w:rPr>
          <w:rFonts w:ascii="Book Antiqua" w:eastAsia="Book Antiqua" w:hAnsi="Book Antiqua" w:cs="Book Antiqua"/>
          <w:i/>
          <w:iCs/>
          <w:color w:val="000000"/>
        </w:rPr>
        <w:t>Metabolism</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108</w:t>
      </w:r>
      <w:r w:rsidRPr="00647F72">
        <w:rPr>
          <w:rFonts w:ascii="Book Antiqua" w:eastAsia="Book Antiqua" w:hAnsi="Book Antiqua" w:cs="Book Antiqua"/>
          <w:color w:val="000000"/>
        </w:rPr>
        <w:t>: 154244 [PMID: 32320741 DOI: 10.1016/j.metabol.2020.154244]</w:t>
      </w:r>
    </w:p>
    <w:p w:rsidR="00A77B3E" w:rsidRPr="00647F72" w:rsidRDefault="00B34FC9">
      <w:pPr>
        <w:spacing w:line="360" w:lineRule="auto"/>
        <w:jc w:val="both"/>
      </w:pPr>
      <w:r w:rsidRPr="00647F72">
        <w:rPr>
          <w:rFonts w:ascii="Book Antiqua" w:eastAsia="Book Antiqua" w:hAnsi="Book Antiqua" w:cs="Book Antiqua"/>
          <w:color w:val="000000"/>
        </w:rPr>
        <w:t xml:space="preserve">87 </w:t>
      </w:r>
      <w:r w:rsidRPr="00647F72">
        <w:rPr>
          <w:rFonts w:ascii="Book Antiqua" w:eastAsia="Book Antiqua" w:hAnsi="Book Antiqua" w:cs="Book Antiqua"/>
          <w:b/>
          <w:bCs/>
          <w:color w:val="000000"/>
        </w:rPr>
        <w:t>Imam A</w:t>
      </w:r>
      <w:r w:rsidRPr="00647F72">
        <w:rPr>
          <w:rFonts w:ascii="Book Antiqua" w:eastAsia="Book Antiqua" w:hAnsi="Book Antiqua" w:cs="Book Antiqua"/>
          <w:color w:val="000000"/>
        </w:rPr>
        <w:t xml:space="preserve">, Abukhalaf SA, Merhav H, Abu-Gazala S, Cohen-Arazi O, Pikarsky AJ, Safadi R, Khalaileh A. Prognosis and Treatment of Liver Transplant Recipients in the COVID-19 Era: A Literature Review. </w:t>
      </w:r>
      <w:r w:rsidRPr="00647F72">
        <w:rPr>
          <w:rFonts w:ascii="Book Antiqua" w:eastAsia="Book Antiqua" w:hAnsi="Book Antiqua" w:cs="Book Antiqua"/>
          <w:i/>
          <w:iCs/>
          <w:color w:val="000000"/>
        </w:rPr>
        <w:t>Ann Transplant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25</w:t>
      </w:r>
      <w:r w:rsidRPr="00647F72">
        <w:rPr>
          <w:rFonts w:ascii="Book Antiqua" w:eastAsia="Book Antiqua" w:hAnsi="Book Antiqua" w:cs="Book Antiqua"/>
          <w:color w:val="000000"/>
        </w:rPr>
        <w:t>: e926196 [PMID: 33106469 DOI: 10.12659/AOT.926196]</w:t>
      </w:r>
    </w:p>
    <w:p w:rsidR="00A77B3E" w:rsidRPr="00647F72" w:rsidRDefault="00B34FC9">
      <w:pPr>
        <w:spacing w:line="360" w:lineRule="auto"/>
        <w:jc w:val="both"/>
      </w:pPr>
      <w:r w:rsidRPr="00647F72">
        <w:rPr>
          <w:rFonts w:ascii="Book Antiqua" w:eastAsia="Book Antiqua" w:hAnsi="Book Antiqua" w:cs="Book Antiqua"/>
          <w:color w:val="000000"/>
        </w:rPr>
        <w:t xml:space="preserve">88 </w:t>
      </w:r>
      <w:r w:rsidRPr="00647F72">
        <w:rPr>
          <w:rFonts w:ascii="Book Antiqua" w:eastAsia="Book Antiqua" w:hAnsi="Book Antiqua" w:cs="Book Antiqua"/>
          <w:b/>
          <w:bCs/>
          <w:color w:val="000000"/>
        </w:rPr>
        <w:t>Zhang H</w:t>
      </w:r>
      <w:r w:rsidRPr="00647F72">
        <w:rPr>
          <w:rFonts w:ascii="Book Antiqua" w:eastAsia="Book Antiqua" w:hAnsi="Book Antiqua" w:cs="Book Antiqua"/>
          <w:color w:val="000000"/>
        </w:rPr>
        <w:t xml:space="preserve">, Dai H, Xie X. Solid Organ Transplantation During the COVID-19 Pandemic. </w:t>
      </w:r>
      <w:r w:rsidRPr="00647F72">
        <w:rPr>
          <w:rFonts w:ascii="Book Antiqua" w:eastAsia="Book Antiqua" w:hAnsi="Book Antiqua" w:cs="Book Antiqua"/>
          <w:i/>
          <w:iCs/>
          <w:color w:val="000000"/>
        </w:rPr>
        <w:t>Front Immunol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11</w:t>
      </w:r>
      <w:r w:rsidRPr="00647F72">
        <w:rPr>
          <w:rFonts w:ascii="Book Antiqua" w:eastAsia="Book Antiqua" w:hAnsi="Book Antiqua" w:cs="Book Antiqua"/>
          <w:color w:val="000000"/>
        </w:rPr>
        <w:t>: 1392 [PMID: 32612614 DOI: 10.3389/fimmu.2020.01392]</w:t>
      </w:r>
    </w:p>
    <w:p w:rsidR="00A77B3E" w:rsidRPr="00647F72" w:rsidRDefault="00B34FC9">
      <w:pPr>
        <w:spacing w:line="360" w:lineRule="auto"/>
        <w:jc w:val="both"/>
      </w:pPr>
      <w:r w:rsidRPr="00647F72">
        <w:rPr>
          <w:rFonts w:ascii="Book Antiqua" w:eastAsia="Book Antiqua" w:hAnsi="Book Antiqua" w:cs="Book Antiqua"/>
          <w:color w:val="000000"/>
        </w:rPr>
        <w:t xml:space="preserve">89 </w:t>
      </w:r>
      <w:r w:rsidRPr="00647F72">
        <w:rPr>
          <w:rFonts w:ascii="Book Antiqua" w:eastAsia="Book Antiqua" w:hAnsi="Book Antiqua" w:cs="Book Antiqua"/>
          <w:b/>
          <w:bCs/>
          <w:color w:val="000000"/>
        </w:rPr>
        <w:t>Ranabothu S</w:t>
      </w:r>
      <w:r w:rsidRPr="00647F72">
        <w:rPr>
          <w:rFonts w:ascii="Book Antiqua" w:eastAsia="Book Antiqua" w:hAnsi="Book Antiqua" w:cs="Book Antiqua"/>
          <w:color w:val="000000"/>
        </w:rPr>
        <w:t xml:space="preserve">, Kanduri SR, Nalleballe K, Cheungpasitporn W, Onteddu S, Kovvuru K. Outcomes of COVID-19 in Solid Organ Transplants. </w:t>
      </w:r>
      <w:r w:rsidRPr="00647F72">
        <w:rPr>
          <w:rFonts w:ascii="Book Antiqua" w:eastAsia="Book Antiqua" w:hAnsi="Book Antiqua" w:cs="Book Antiqua"/>
          <w:i/>
          <w:iCs/>
          <w:color w:val="000000"/>
        </w:rPr>
        <w:t>Cureus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12</w:t>
      </w:r>
      <w:r w:rsidRPr="00647F72">
        <w:rPr>
          <w:rFonts w:ascii="Book Antiqua" w:eastAsia="Book Antiqua" w:hAnsi="Book Antiqua" w:cs="Book Antiqua"/>
          <w:color w:val="000000"/>
        </w:rPr>
        <w:t>: e11344 [PMID: 33173653 DOI: 10.7759/cureus.11344]</w:t>
      </w:r>
    </w:p>
    <w:p w:rsidR="00A77B3E" w:rsidRPr="00647F72" w:rsidRDefault="00B34FC9">
      <w:pPr>
        <w:spacing w:line="360" w:lineRule="auto"/>
        <w:jc w:val="both"/>
      </w:pPr>
      <w:r w:rsidRPr="00647F72">
        <w:rPr>
          <w:rFonts w:ascii="Book Antiqua" w:eastAsia="Book Antiqua" w:hAnsi="Book Antiqua" w:cs="Book Antiqua"/>
          <w:color w:val="000000"/>
        </w:rPr>
        <w:t xml:space="preserve">90 </w:t>
      </w:r>
      <w:r w:rsidRPr="00647F72">
        <w:rPr>
          <w:rFonts w:ascii="Book Antiqua" w:eastAsia="Book Antiqua" w:hAnsi="Book Antiqua" w:cs="Book Antiqua"/>
          <w:b/>
          <w:bCs/>
          <w:color w:val="000000"/>
        </w:rPr>
        <w:t>Becchetti C</w:t>
      </w:r>
      <w:r w:rsidRPr="00647F72">
        <w:rPr>
          <w:rFonts w:ascii="Book Antiqua" w:eastAsia="Book Antiqua" w:hAnsi="Book Antiqua" w:cs="Book Antiqua"/>
          <w:color w:val="000000"/>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sidRPr="00647F72">
        <w:rPr>
          <w:rFonts w:ascii="Book Antiqua" w:eastAsia="Book Antiqua" w:hAnsi="Book Antiqua" w:cs="Book Antiqua"/>
          <w:i/>
          <w:iCs/>
          <w:color w:val="000000"/>
        </w:rPr>
        <w:t>Gut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69</w:t>
      </w:r>
      <w:r w:rsidRPr="00647F72">
        <w:rPr>
          <w:rFonts w:ascii="Book Antiqua" w:eastAsia="Book Antiqua" w:hAnsi="Book Antiqua" w:cs="Book Antiqua"/>
          <w:color w:val="000000"/>
        </w:rPr>
        <w:t>: 1832-1840 [PMID: 32571972 DOI: 10.1136/gutjnl-2020-321923]</w:t>
      </w:r>
    </w:p>
    <w:p w:rsidR="00A77B3E" w:rsidRPr="00647F72" w:rsidRDefault="00B34FC9">
      <w:pPr>
        <w:spacing w:line="360" w:lineRule="auto"/>
        <w:jc w:val="both"/>
      </w:pPr>
      <w:r w:rsidRPr="00647F72">
        <w:rPr>
          <w:rFonts w:ascii="Book Antiqua" w:eastAsia="Book Antiqua" w:hAnsi="Book Antiqua" w:cs="Book Antiqua"/>
          <w:color w:val="000000"/>
        </w:rPr>
        <w:t xml:space="preserve">91 </w:t>
      </w:r>
      <w:r w:rsidRPr="00647F72">
        <w:rPr>
          <w:rFonts w:ascii="Book Antiqua" w:eastAsia="Book Antiqua" w:hAnsi="Book Antiqua" w:cs="Book Antiqua"/>
          <w:b/>
          <w:bCs/>
          <w:color w:val="000000"/>
        </w:rPr>
        <w:t>Webb GJ</w:t>
      </w:r>
      <w:r w:rsidRPr="00647F72">
        <w:rPr>
          <w:rFonts w:ascii="Book Antiqua" w:eastAsia="Book Antiqua" w:hAnsi="Book Antiqua" w:cs="Book Antiqua"/>
          <w:color w:val="000000"/>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Pr="00647F72">
        <w:rPr>
          <w:rFonts w:ascii="Book Antiqua" w:eastAsia="Book Antiqua" w:hAnsi="Book Antiqua" w:cs="Book Antiqua"/>
          <w:i/>
          <w:iCs/>
          <w:color w:val="000000"/>
        </w:rPr>
        <w:t>Lancet Gastroenterol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w:t>
      </w:r>
      <w:r w:rsidRPr="00647F72">
        <w:rPr>
          <w:rFonts w:ascii="Book Antiqua" w:eastAsia="Book Antiqua" w:hAnsi="Book Antiqua" w:cs="Book Antiqua"/>
          <w:color w:val="000000"/>
        </w:rPr>
        <w:t>: 1008-1016 [PMID: 32866433 DOI: 10.1016/S2468-1253(20)30271-5]</w:t>
      </w:r>
    </w:p>
    <w:p w:rsidR="00A77B3E" w:rsidRPr="00647F72" w:rsidRDefault="00B34FC9">
      <w:pPr>
        <w:spacing w:line="360" w:lineRule="auto"/>
        <w:jc w:val="both"/>
      </w:pPr>
      <w:r w:rsidRPr="00647F72">
        <w:rPr>
          <w:rFonts w:ascii="Book Antiqua" w:eastAsia="Book Antiqua" w:hAnsi="Book Antiqua" w:cs="Book Antiqua"/>
          <w:color w:val="000000"/>
        </w:rPr>
        <w:t xml:space="preserve">92 </w:t>
      </w:r>
      <w:r w:rsidRPr="00647F72">
        <w:rPr>
          <w:rFonts w:ascii="Book Antiqua" w:eastAsia="Book Antiqua" w:hAnsi="Book Antiqua" w:cs="Book Antiqua"/>
          <w:b/>
          <w:bCs/>
          <w:color w:val="000000"/>
        </w:rPr>
        <w:t>Taher M</w:t>
      </w:r>
      <w:r w:rsidRPr="00647F72">
        <w:rPr>
          <w:rFonts w:ascii="Book Antiqua" w:eastAsia="Book Antiqua" w:hAnsi="Book Antiqua" w:cs="Book Antiqua"/>
          <w:color w:val="000000"/>
        </w:rPr>
        <w:t xml:space="preserve">, Miroliaee A, Ebrahimi Daryani N, Alborzi Avanaki F, Aletaha N, Nasiri-Toosi M, Dashti H, Basirat V, Jafarian A. Management of Patients with Liver Transplant and Chronic Liver Diseases During COVID-19 Pandemic: A Brief Review. </w:t>
      </w:r>
      <w:r w:rsidRPr="00647F72">
        <w:rPr>
          <w:rFonts w:ascii="Book Antiqua" w:eastAsia="Book Antiqua" w:hAnsi="Book Antiqua" w:cs="Book Antiqua"/>
          <w:i/>
          <w:iCs/>
          <w:color w:val="000000"/>
        </w:rPr>
        <w:t>Arch Iran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23</w:t>
      </w:r>
      <w:r w:rsidRPr="00647F72">
        <w:rPr>
          <w:rFonts w:ascii="Book Antiqua" w:eastAsia="Book Antiqua" w:hAnsi="Book Antiqua" w:cs="Book Antiqua"/>
          <w:color w:val="000000"/>
        </w:rPr>
        <w:t>: 713-717 [PMID: 33107315 DOI: 10.34172/aim.2020.92]</w:t>
      </w:r>
    </w:p>
    <w:p w:rsidR="00A77B3E" w:rsidRPr="00647F72" w:rsidRDefault="00B34FC9">
      <w:pPr>
        <w:spacing w:line="360" w:lineRule="auto"/>
        <w:jc w:val="both"/>
      </w:pPr>
      <w:r w:rsidRPr="00647F72">
        <w:rPr>
          <w:rFonts w:ascii="Book Antiqua" w:eastAsia="Book Antiqua" w:hAnsi="Book Antiqua" w:cs="Book Antiqua"/>
          <w:color w:val="000000"/>
        </w:rPr>
        <w:t xml:space="preserve">93 </w:t>
      </w:r>
      <w:r w:rsidRPr="00647F72">
        <w:rPr>
          <w:rFonts w:ascii="Book Antiqua" w:eastAsia="Book Antiqua" w:hAnsi="Book Antiqua" w:cs="Book Antiqua"/>
          <w:b/>
          <w:bCs/>
          <w:color w:val="000000"/>
        </w:rPr>
        <w:t>Kabaçam G</w:t>
      </w:r>
      <w:r w:rsidRPr="00647F72">
        <w:rPr>
          <w:rFonts w:ascii="Book Antiqua" w:eastAsia="Book Antiqua" w:hAnsi="Book Antiqua" w:cs="Book Antiqua"/>
          <w:color w:val="000000"/>
        </w:rPr>
        <w:t xml:space="preserve">, Dayangaç M, Üçbilek E, Erçin CN, Günsar F, Akyıldız M, Akarsu M, Demir M, Kaymakoğlu S, Karasu Z, İdilman R. The COVID-19 pandemic: Clinical practice advice for gastroenterologists, hepatologists, and liver transplant specialists. </w:t>
      </w:r>
      <w:r w:rsidRPr="00647F72">
        <w:rPr>
          <w:rFonts w:ascii="Book Antiqua" w:eastAsia="Book Antiqua" w:hAnsi="Book Antiqua" w:cs="Book Antiqua"/>
          <w:i/>
          <w:iCs/>
          <w:color w:val="000000"/>
        </w:rPr>
        <w:t>Turk J Gastroenterol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31</w:t>
      </w:r>
      <w:r w:rsidRPr="00647F72">
        <w:rPr>
          <w:rFonts w:ascii="Book Antiqua" w:eastAsia="Book Antiqua" w:hAnsi="Book Antiqua" w:cs="Book Antiqua"/>
          <w:color w:val="000000"/>
        </w:rPr>
        <w:t>: 348-355 [PMID: 32519953 DOI: 10.5152/tjg.2020.20413]</w:t>
      </w:r>
    </w:p>
    <w:p w:rsidR="00A77B3E" w:rsidRPr="00647F72" w:rsidRDefault="00B34FC9">
      <w:pPr>
        <w:spacing w:line="360" w:lineRule="auto"/>
        <w:jc w:val="both"/>
      </w:pPr>
      <w:r w:rsidRPr="00647F72">
        <w:rPr>
          <w:rFonts w:ascii="Book Antiqua" w:eastAsia="Book Antiqua" w:hAnsi="Book Antiqua" w:cs="Book Antiqua"/>
          <w:color w:val="000000"/>
        </w:rPr>
        <w:t xml:space="preserve">94 </w:t>
      </w:r>
      <w:r w:rsidRPr="00647F72">
        <w:rPr>
          <w:rFonts w:ascii="Book Antiqua" w:eastAsia="Book Antiqua" w:hAnsi="Book Antiqua" w:cs="Book Antiqua"/>
          <w:b/>
          <w:bCs/>
          <w:color w:val="000000"/>
        </w:rPr>
        <w:t>Di Maira T</w:t>
      </w:r>
      <w:r w:rsidRPr="00647F72">
        <w:rPr>
          <w:rFonts w:ascii="Book Antiqua" w:eastAsia="Book Antiqua" w:hAnsi="Book Antiqua" w:cs="Book Antiqua"/>
          <w:color w:val="000000"/>
        </w:rPr>
        <w:t xml:space="preserve">, Berenguer M. COVID-19 and liver transplantation. </w:t>
      </w:r>
      <w:r w:rsidRPr="00647F72">
        <w:rPr>
          <w:rFonts w:ascii="Book Antiqua" w:eastAsia="Book Antiqua" w:hAnsi="Book Antiqua" w:cs="Book Antiqua"/>
          <w:i/>
          <w:iCs/>
          <w:color w:val="000000"/>
        </w:rPr>
        <w:t>Nat Rev Gastroenterol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17</w:t>
      </w:r>
      <w:r w:rsidRPr="00647F72">
        <w:rPr>
          <w:rFonts w:ascii="Book Antiqua" w:eastAsia="Book Antiqua" w:hAnsi="Book Antiqua" w:cs="Book Antiqua"/>
          <w:color w:val="000000"/>
        </w:rPr>
        <w:t>: 526-528 [PMID: 32651555 DOI: 10.1038/s41575-020-0347-z]</w:t>
      </w:r>
    </w:p>
    <w:p w:rsidR="00A77B3E" w:rsidRPr="00647F72" w:rsidRDefault="00B34FC9">
      <w:pPr>
        <w:spacing w:line="360" w:lineRule="auto"/>
        <w:jc w:val="both"/>
      </w:pPr>
      <w:r w:rsidRPr="00647F72">
        <w:rPr>
          <w:rFonts w:ascii="Book Antiqua" w:eastAsia="Book Antiqua" w:hAnsi="Book Antiqua" w:cs="Book Antiqua"/>
          <w:color w:val="000000"/>
        </w:rPr>
        <w:t xml:space="preserve">95 </w:t>
      </w:r>
      <w:r w:rsidRPr="00647F72">
        <w:rPr>
          <w:rFonts w:ascii="Book Antiqua" w:eastAsia="Book Antiqua" w:hAnsi="Book Antiqua" w:cs="Book Antiqua"/>
          <w:b/>
          <w:bCs/>
          <w:color w:val="000000"/>
        </w:rPr>
        <w:t>Boettler T</w:t>
      </w:r>
      <w:r w:rsidRPr="00647F72">
        <w:rPr>
          <w:rFonts w:ascii="Book Antiqua" w:eastAsia="Book Antiqua" w:hAnsi="Book Antiqua" w:cs="Book Antiqua"/>
          <w:color w:val="000000"/>
        </w:rPr>
        <w:t xml:space="preserve">, Newsome PN, Mondelli MU, Maticic M, Cordero E, Cornberg M, Berg T. Care of patients with liver disease during the COVID-19 pandemic: EASL-ESCMID position paper. </w:t>
      </w:r>
      <w:r w:rsidRPr="00647F72">
        <w:rPr>
          <w:rFonts w:ascii="Book Antiqua" w:eastAsia="Book Antiqua" w:hAnsi="Book Antiqua" w:cs="Book Antiqua"/>
          <w:i/>
          <w:iCs/>
          <w:color w:val="000000"/>
        </w:rPr>
        <w:t>JHEP Rep</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w:t>
      </w:r>
      <w:r w:rsidRPr="00647F72">
        <w:rPr>
          <w:rFonts w:ascii="Book Antiqua" w:eastAsia="Book Antiqua" w:hAnsi="Book Antiqua" w:cs="Book Antiqua"/>
          <w:color w:val="000000"/>
        </w:rPr>
        <w:t>: 100113 [PMID: 32289115 DOI: 10.1016/j.jhepr.2020.100113]</w:t>
      </w:r>
    </w:p>
    <w:p w:rsidR="00A77B3E" w:rsidRPr="00647F72" w:rsidRDefault="00B34FC9">
      <w:pPr>
        <w:spacing w:line="360" w:lineRule="auto"/>
        <w:jc w:val="both"/>
      </w:pPr>
      <w:r w:rsidRPr="00647F72">
        <w:rPr>
          <w:rFonts w:ascii="Book Antiqua" w:eastAsia="Book Antiqua" w:hAnsi="Book Antiqua" w:cs="Book Antiqua"/>
          <w:color w:val="000000"/>
        </w:rPr>
        <w:t xml:space="preserve">96 </w:t>
      </w:r>
      <w:r w:rsidRPr="00647F72">
        <w:rPr>
          <w:rFonts w:ascii="Book Antiqua" w:eastAsia="Book Antiqua" w:hAnsi="Book Antiqua" w:cs="Book Antiqua"/>
          <w:b/>
          <w:bCs/>
          <w:color w:val="000000"/>
        </w:rPr>
        <w:t>Sahin TT</w:t>
      </w:r>
      <w:r w:rsidRPr="00647F72">
        <w:rPr>
          <w:rFonts w:ascii="Book Antiqua" w:eastAsia="Book Antiqua" w:hAnsi="Book Antiqua" w:cs="Book Antiqua"/>
          <w:color w:val="000000"/>
        </w:rPr>
        <w:t xml:space="preserve">, Akbulut S, Yilmaz S. COVID-19 pandemic: Its impact on liver disease and liver transplantation. </w:t>
      </w:r>
      <w:r w:rsidRPr="00647F72">
        <w:rPr>
          <w:rFonts w:ascii="Book Antiqua" w:eastAsia="Book Antiqua" w:hAnsi="Book Antiqua" w:cs="Book Antiqua"/>
          <w:i/>
          <w:iCs/>
          <w:color w:val="000000"/>
        </w:rPr>
        <w:t>World J Gastroenterol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26</w:t>
      </w:r>
      <w:r w:rsidRPr="00647F72">
        <w:rPr>
          <w:rFonts w:ascii="Book Antiqua" w:eastAsia="Book Antiqua" w:hAnsi="Book Antiqua" w:cs="Book Antiqua"/>
          <w:color w:val="000000"/>
        </w:rPr>
        <w:t>: 2987-2999 [PMID: 32587443 DOI: 10.3748/wjg.v26.i22.2987]</w:t>
      </w:r>
    </w:p>
    <w:p w:rsidR="00A77B3E" w:rsidRPr="00647F72" w:rsidRDefault="00B34FC9">
      <w:pPr>
        <w:spacing w:line="360" w:lineRule="auto"/>
        <w:jc w:val="both"/>
      </w:pPr>
      <w:r w:rsidRPr="00647F72">
        <w:rPr>
          <w:rFonts w:ascii="Book Antiqua" w:eastAsia="Book Antiqua" w:hAnsi="Book Antiqua" w:cs="Book Antiqua"/>
          <w:color w:val="000000"/>
        </w:rPr>
        <w:t xml:space="preserve">97 </w:t>
      </w:r>
      <w:r w:rsidRPr="00647F72">
        <w:rPr>
          <w:rFonts w:ascii="Book Antiqua" w:eastAsia="Book Antiqua" w:hAnsi="Book Antiqua" w:cs="Book Antiqua"/>
          <w:b/>
          <w:bCs/>
          <w:color w:val="000000"/>
        </w:rPr>
        <w:t>Saigal S</w:t>
      </w:r>
      <w:r w:rsidRPr="00647F72">
        <w:rPr>
          <w:rFonts w:ascii="Book Antiqua" w:eastAsia="Book Antiqua" w:hAnsi="Book Antiqua" w:cs="Book Antiqua"/>
          <w:color w:val="000000"/>
        </w:rPr>
        <w:t xml:space="preserve">, Gupta S, Sudhindran S, Goyal N, Rastogi A, Jacob M, Raja K, Ramamurthy A, Asthana S, Dhiman RK, Singh B, Perumalla R, Malik A, Shanmugham N, Soin AS. Liver transplantation and COVID-19 (Coronavirus) infection: guidelines of the liver transplant Society of India (LTSI). </w:t>
      </w:r>
      <w:r w:rsidRPr="00647F72">
        <w:rPr>
          <w:rFonts w:ascii="Book Antiqua" w:eastAsia="Book Antiqua" w:hAnsi="Book Antiqua" w:cs="Book Antiqua"/>
          <w:i/>
          <w:iCs/>
          <w:color w:val="000000"/>
        </w:rPr>
        <w:t>Hepatol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429-431 [PMID: 32270388 DOI: 10.1007/s12072-020-10041-1]</w:t>
      </w:r>
    </w:p>
    <w:p w:rsidR="00A77B3E" w:rsidRPr="00647F72" w:rsidRDefault="00B34FC9">
      <w:pPr>
        <w:spacing w:line="360" w:lineRule="auto"/>
        <w:jc w:val="both"/>
      </w:pPr>
      <w:r w:rsidRPr="00647F72">
        <w:rPr>
          <w:rFonts w:ascii="Book Antiqua" w:eastAsia="Book Antiqua" w:hAnsi="Book Antiqua" w:cs="Book Antiqua"/>
          <w:color w:val="000000"/>
        </w:rPr>
        <w:t xml:space="preserve">98 </w:t>
      </w:r>
      <w:r w:rsidRPr="00647F72">
        <w:rPr>
          <w:rFonts w:ascii="Book Antiqua" w:eastAsia="Book Antiqua" w:hAnsi="Book Antiqua" w:cs="Book Antiqua"/>
          <w:b/>
          <w:bCs/>
          <w:color w:val="000000"/>
        </w:rPr>
        <w:t>Liu H</w:t>
      </w:r>
      <w:r w:rsidRPr="00647F72">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r w:rsidRPr="00647F72">
        <w:rPr>
          <w:rFonts w:ascii="Book Antiqua" w:eastAsia="Book Antiqua" w:hAnsi="Book Antiqua" w:cs="Book Antiqua"/>
          <w:i/>
          <w:iCs/>
          <w:color w:val="000000"/>
        </w:rPr>
        <w:t>Hepatol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432-436 [PMID: 32277387 DOI: 10.1007/s12072-020-10043-z]</w:t>
      </w:r>
    </w:p>
    <w:p w:rsidR="00A77B3E" w:rsidRPr="00647F72" w:rsidRDefault="00B34FC9">
      <w:pPr>
        <w:spacing w:line="360" w:lineRule="auto"/>
        <w:jc w:val="both"/>
      </w:pPr>
      <w:r w:rsidRPr="00647F72">
        <w:rPr>
          <w:rFonts w:ascii="Book Antiqua" w:eastAsia="Book Antiqua" w:hAnsi="Book Antiqua" w:cs="Book Antiqua"/>
          <w:color w:val="000000"/>
        </w:rPr>
        <w:t xml:space="preserve">99 </w:t>
      </w:r>
      <w:r w:rsidRPr="00647F72">
        <w:rPr>
          <w:rFonts w:ascii="Book Antiqua" w:eastAsia="Book Antiqua" w:hAnsi="Book Antiqua" w:cs="Book Antiqua"/>
          <w:b/>
          <w:bCs/>
          <w:color w:val="000000"/>
        </w:rPr>
        <w:t>Fix OK</w:t>
      </w:r>
      <w:r w:rsidRPr="00647F72">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647F72">
        <w:rPr>
          <w:rFonts w:ascii="Book Antiqua" w:eastAsia="Book Antiqua" w:hAnsi="Book Antiqua" w:cs="Book Antiqua"/>
          <w:i/>
          <w:iCs/>
          <w:color w:val="000000"/>
        </w:rPr>
        <w:t>Hepatology</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72</w:t>
      </w:r>
      <w:r w:rsidRPr="00647F72">
        <w:rPr>
          <w:rFonts w:ascii="Book Antiqua" w:eastAsia="Book Antiqua" w:hAnsi="Book Antiqua" w:cs="Book Antiqua"/>
          <w:color w:val="000000"/>
        </w:rPr>
        <w:t>: 287-304 [PMID: 32298473 DOI: 10.1002/hep.31281]</w:t>
      </w:r>
    </w:p>
    <w:p w:rsidR="00A77B3E" w:rsidRPr="00647F72" w:rsidRDefault="00B34FC9">
      <w:pPr>
        <w:spacing w:line="360" w:lineRule="auto"/>
        <w:jc w:val="both"/>
      </w:pPr>
      <w:r w:rsidRPr="00647F72">
        <w:rPr>
          <w:rFonts w:ascii="Book Antiqua" w:eastAsia="Book Antiqua" w:hAnsi="Book Antiqua" w:cs="Book Antiqua"/>
          <w:color w:val="000000"/>
        </w:rPr>
        <w:t xml:space="preserve">100 </w:t>
      </w:r>
      <w:r w:rsidRPr="00647F72">
        <w:rPr>
          <w:rFonts w:ascii="Book Antiqua" w:eastAsia="Book Antiqua" w:hAnsi="Book Antiqua" w:cs="Book Antiqua"/>
          <w:b/>
          <w:bCs/>
          <w:color w:val="000000"/>
        </w:rPr>
        <w:t>APASL Covid-19 Task Force.</w:t>
      </w:r>
      <w:r w:rsidR="00D30787"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 xml:space="preserve">Lau G, Sharma M. Clinical practice guidance for hepatology and liver transplant providers during the COVID-19 pandemic: APASL expert panel consensus recommendations. </w:t>
      </w:r>
      <w:r w:rsidRPr="00647F72">
        <w:rPr>
          <w:rFonts w:ascii="Book Antiqua" w:eastAsia="Book Antiqua" w:hAnsi="Book Antiqua" w:cs="Book Antiqua"/>
          <w:i/>
          <w:iCs/>
          <w:color w:val="000000"/>
        </w:rPr>
        <w:t>Hepatol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415-428 [PMID: 32447721 DOI: 10.1007/s12072-020-10054-w]</w:t>
      </w:r>
    </w:p>
    <w:p w:rsidR="00A77B3E" w:rsidRPr="00647F72" w:rsidRDefault="00B34FC9">
      <w:pPr>
        <w:spacing w:line="360" w:lineRule="auto"/>
        <w:jc w:val="both"/>
      </w:pPr>
      <w:r w:rsidRPr="00647F72">
        <w:rPr>
          <w:rFonts w:ascii="Book Antiqua" w:eastAsia="Book Antiqua" w:hAnsi="Book Antiqua" w:cs="Book Antiqua"/>
          <w:color w:val="000000"/>
        </w:rPr>
        <w:t xml:space="preserve">101 </w:t>
      </w:r>
      <w:r w:rsidRPr="00647F72">
        <w:rPr>
          <w:rFonts w:ascii="Book Antiqua" w:eastAsia="Book Antiqua" w:hAnsi="Book Antiqua" w:cs="Book Antiqua"/>
          <w:b/>
          <w:bCs/>
          <w:color w:val="000000"/>
        </w:rPr>
        <w:t>Tian S</w:t>
      </w:r>
      <w:r w:rsidRPr="00647F72">
        <w:rPr>
          <w:rFonts w:ascii="Book Antiqua" w:eastAsia="Book Antiqua" w:hAnsi="Book Antiqua" w:cs="Book Antiqua"/>
          <w:color w:val="000000"/>
        </w:rPr>
        <w:t xml:space="preserve">, Xiong Y, Liu H, Niu L, Guo J, Liao M, Xiao SY. Pathological study of the 2019 novel coronavirus disease (COVID-19) through postmortem core biopsies. </w:t>
      </w:r>
      <w:r w:rsidRPr="00647F72">
        <w:rPr>
          <w:rFonts w:ascii="Book Antiqua" w:eastAsia="Book Antiqua" w:hAnsi="Book Antiqua" w:cs="Book Antiqua"/>
          <w:i/>
          <w:iCs/>
          <w:color w:val="000000"/>
        </w:rPr>
        <w:t>Mod Pathol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33</w:t>
      </w:r>
      <w:r w:rsidRPr="00647F72">
        <w:rPr>
          <w:rFonts w:ascii="Book Antiqua" w:eastAsia="Book Antiqua" w:hAnsi="Book Antiqua" w:cs="Book Antiqua"/>
          <w:color w:val="000000"/>
        </w:rPr>
        <w:t>: 1007-1014 [PMID: 32291399 DOI: 10.1038/s41379-020-0536-x]</w:t>
      </w:r>
    </w:p>
    <w:p w:rsidR="00A77B3E" w:rsidRPr="00647F72" w:rsidRDefault="00B34FC9">
      <w:pPr>
        <w:spacing w:line="360" w:lineRule="auto"/>
        <w:jc w:val="both"/>
      </w:pPr>
      <w:r w:rsidRPr="00647F72">
        <w:rPr>
          <w:rFonts w:ascii="Book Antiqua" w:eastAsia="Book Antiqua" w:hAnsi="Book Antiqua" w:cs="Book Antiqua"/>
          <w:color w:val="000000"/>
        </w:rPr>
        <w:t xml:space="preserve">102 </w:t>
      </w:r>
      <w:r w:rsidRPr="00647F72">
        <w:rPr>
          <w:rFonts w:ascii="Book Antiqua" w:eastAsia="Book Antiqua" w:hAnsi="Book Antiqua" w:cs="Book Antiqua"/>
          <w:b/>
          <w:bCs/>
          <w:color w:val="000000"/>
        </w:rPr>
        <w:t>Sarin SK</w:t>
      </w:r>
      <w:r w:rsidRPr="00647F72">
        <w:rPr>
          <w:rFonts w:ascii="Book Antiqua" w:eastAsia="Book Antiqua" w:hAnsi="Book Antiqua" w:cs="Book Antiqua"/>
          <w:color w:val="000000"/>
        </w:rPr>
        <w:t xml:space="preserve">. "Fast, faster, and fastest: science on the run during COVID-19 drama"-"do not forget the liver". </w:t>
      </w:r>
      <w:r w:rsidRPr="00647F72">
        <w:rPr>
          <w:rFonts w:ascii="Book Antiqua" w:eastAsia="Book Antiqua" w:hAnsi="Book Antiqua" w:cs="Book Antiqua"/>
          <w:i/>
          <w:iCs/>
          <w:color w:val="000000"/>
        </w:rPr>
        <w:t>Hepatol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454-455 [PMID: 32277386 DOI: 10.1007/s12072-020-10042-0]</w:t>
      </w:r>
    </w:p>
    <w:p w:rsidR="00A77B3E" w:rsidRPr="00647F72" w:rsidRDefault="00B34FC9">
      <w:pPr>
        <w:spacing w:line="360" w:lineRule="auto"/>
        <w:jc w:val="both"/>
      </w:pPr>
      <w:r w:rsidRPr="00647F72">
        <w:rPr>
          <w:rFonts w:ascii="Book Antiqua" w:eastAsia="Book Antiqua" w:hAnsi="Book Antiqua" w:cs="Book Antiqua"/>
          <w:color w:val="000000"/>
        </w:rPr>
        <w:t xml:space="preserve">103 </w:t>
      </w:r>
      <w:r w:rsidRPr="00647F72">
        <w:rPr>
          <w:rFonts w:ascii="Book Antiqua" w:eastAsia="Book Antiqua" w:hAnsi="Book Antiqua" w:cs="Book Antiqua"/>
          <w:b/>
          <w:bCs/>
          <w:color w:val="000000"/>
        </w:rPr>
        <w:t>Gambato M</w:t>
      </w:r>
      <w:r w:rsidRPr="00647F72">
        <w:rPr>
          <w:rFonts w:ascii="Book Antiqua" w:eastAsia="Book Antiqua" w:hAnsi="Book Antiqua" w:cs="Book Antiqua"/>
          <w:color w:val="000000"/>
        </w:rPr>
        <w:t xml:space="preserve">, Burra P. Clinical implications of COVID-19 in patients with chronic liver disease and liver tumor. </w:t>
      </w:r>
      <w:r w:rsidRPr="00647F72">
        <w:rPr>
          <w:rFonts w:ascii="Book Antiqua" w:eastAsia="Book Antiqua" w:hAnsi="Book Antiqua" w:cs="Book Antiqua"/>
          <w:i/>
          <w:iCs/>
          <w:color w:val="000000"/>
        </w:rPr>
        <w:t>Updates Surg</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72</w:t>
      </w:r>
      <w:r w:rsidRPr="00647F72">
        <w:rPr>
          <w:rFonts w:ascii="Book Antiqua" w:eastAsia="Book Antiqua" w:hAnsi="Book Antiqua" w:cs="Book Antiqua"/>
          <w:color w:val="000000"/>
        </w:rPr>
        <w:t>: 237-239 [PMID: 32504266 DOI: 10.1007/s13304-020-00804-8]</w:t>
      </w:r>
    </w:p>
    <w:p w:rsidR="00A77B3E" w:rsidRPr="00647F72" w:rsidRDefault="00B34FC9">
      <w:pPr>
        <w:spacing w:line="360" w:lineRule="auto"/>
        <w:jc w:val="both"/>
      </w:pPr>
      <w:r w:rsidRPr="00647F72">
        <w:rPr>
          <w:rFonts w:ascii="Book Antiqua" w:eastAsia="Book Antiqua" w:hAnsi="Book Antiqua" w:cs="Book Antiqua"/>
          <w:color w:val="000000"/>
        </w:rPr>
        <w:t xml:space="preserve">104 </w:t>
      </w:r>
      <w:r w:rsidRPr="00647F72">
        <w:rPr>
          <w:rFonts w:ascii="Book Antiqua" w:eastAsia="Book Antiqua" w:hAnsi="Book Antiqua" w:cs="Book Antiqua"/>
          <w:b/>
          <w:bCs/>
          <w:color w:val="000000"/>
        </w:rPr>
        <w:t>Lippi G</w:t>
      </w:r>
      <w:r w:rsidRPr="00647F72">
        <w:rPr>
          <w:rFonts w:ascii="Book Antiqua" w:eastAsia="Book Antiqua" w:hAnsi="Book Antiqua" w:cs="Book Antiqua"/>
          <w:color w:val="000000"/>
        </w:rPr>
        <w:t xml:space="preserve">, de Oliveira MHS, Henry BM. Chronic liver disease is not associated with severity or mortality in Coronavirus disease 2019 (COVID-19): a pooled analysis. </w:t>
      </w:r>
      <w:r w:rsidRPr="00647F72">
        <w:rPr>
          <w:rFonts w:ascii="Book Antiqua" w:eastAsia="Book Antiqua" w:hAnsi="Book Antiqua" w:cs="Book Antiqua"/>
          <w:i/>
          <w:iCs/>
          <w:color w:val="000000"/>
        </w:rPr>
        <w:t>Eur J Gastroenterol Hepatol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33</w:t>
      </w:r>
      <w:r w:rsidRPr="00647F72">
        <w:rPr>
          <w:rFonts w:ascii="Book Antiqua" w:eastAsia="Book Antiqua" w:hAnsi="Book Antiqua" w:cs="Book Antiqua"/>
          <w:color w:val="000000"/>
        </w:rPr>
        <w:t>: 114-115 [PMID: 32282549 DOI: 10.1097/MEG.0000000000001742]</w:t>
      </w:r>
    </w:p>
    <w:p w:rsidR="00A77B3E" w:rsidRPr="00647F72" w:rsidRDefault="00B34FC9">
      <w:pPr>
        <w:spacing w:line="360" w:lineRule="auto"/>
        <w:jc w:val="both"/>
      </w:pPr>
      <w:r w:rsidRPr="00647F72">
        <w:rPr>
          <w:rFonts w:ascii="Book Antiqua" w:eastAsia="Book Antiqua" w:hAnsi="Book Antiqua" w:cs="Book Antiqua"/>
          <w:color w:val="000000"/>
        </w:rPr>
        <w:t xml:space="preserve">105 </w:t>
      </w:r>
      <w:r w:rsidRPr="00647F72">
        <w:rPr>
          <w:rFonts w:ascii="Book Antiqua" w:eastAsia="Book Antiqua" w:hAnsi="Book Antiqua" w:cs="Book Antiqua"/>
          <w:b/>
          <w:bCs/>
          <w:color w:val="000000"/>
        </w:rPr>
        <w:t>Kumar-M P</w:t>
      </w:r>
      <w:r w:rsidRPr="00647F72">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sidRPr="00647F72">
        <w:rPr>
          <w:rFonts w:ascii="Book Antiqua" w:eastAsia="Book Antiqua" w:hAnsi="Book Antiqua" w:cs="Book Antiqua"/>
          <w:i/>
          <w:iCs/>
          <w:color w:val="000000"/>
        </w:rPr>
        <w:t>Hepatol Int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711-722 [PMID: 32623633 DOI: 10.1007/s12072-020-10071-9]</w:t>
      </w:r>
    </w:p>
    <w:p w:rsidR="00A77B3E" w:rsidRPr="00647F72" w:rsidRDefault="00B34FC9">
      <w:pPr>
        <w:spacing w:line="360" w:lineRule="auto"/>
        <w:jc w:val="both"/>
      </w:pPr>
      <w:r w:rsidRPr="00647F72">
        <w:rPr>
          <w:rFonts w:ascii="Book Antiqua" w:eastAsia="Book Antiqua" w:hAnsi="Book Antiqua" w:cs="Book Antiqua"/>
          <w:color w:val="000000"/>
        </w:rPr>
        <w:t xml:space="preserve">106 </w:t>
      </w:r>
      <w:r w:rsidRPr="00647F72">
        <w:rPr>
          <w:rFonts w:ascii="Book Antiqua" w:eastAsia="Book Antiqua" w:hAnsi="Book Antiqua" w:cs="Book Antiqua"/>
          <w:b/>
          <w:bCs/>
          <w:color w:val="000000"/>
        </w:rPr>
        <w:t>Oyelade T</w:t>
      </w:r>
      <w:r w:rsidRPr="00647F72">
        <w:rPr>
          <w:rFonts w:ascii="Book Antiqua" w:eastAsia="Book Antiqua" w:hAnsi="Book Antiqua" w:cs="Book Antiqua"/>
          <w:color w:val="000000"/>
        </w:rPr>
        <w:t xml:space="preserve">, Alqahtani J, Canciani G. Prognosis of COVID-19 in Patients with Liver and Kidney Diseases: An Early Systematic Review and Meta-Analysis. </w:t>
      </w:r>
      <w:r w:rsidRPr="00647F72">
        <w:rPr>
          <w:rFonts w:ascii="Book Antiqua" w:eastAsia="Book Antiqua" w:hAnsi="Book Antiqua" w:cs="Book Antiqua"/>
          <w:i/>
          <w:iCs/>
          <w:color w:val="000000"/>
        </w:rPr>
        <w:t>Trop Med Infect Dis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w:t>
      </w:r>
      <w:r w:rsidRPr="00647F72">
        <w:rPr>
          <w:rFonts w:ascii="Book Antiqua" w:eastAsia="Book Antiqua" w:hAnsi="Book Antiqua" w:cs="Book Antiqua"/>
          <w:color w:val="000000"/>
        </w:rPr>
        <w:t xml:space="preserve"> [PMID: 32429038 DOI: 10.3390/tropicalmed5020080]</w:t>
      </w:r>
    </w:p>
    <w:p w:rsidR="00A77B3E" w:rsidRPr="00647F72" w:rsidRDefault="00B34FC9">
      <w:pPr>
        <w:spacing w:line="360" w:lineRule="auto"/>
        <w:jc w:val="both"/>
      </w:pPr>
      <w:r w:rsidRPr="00647F72">
        <w:rPr>
          <w:rFonts w:ascii="Book Antiqua" w:eastAsia="Book Antiqua" w:hAnsi="Book Antiqua" w:cs="Book Antiqua"/>
          <w:color w:val="000000"/>
        </w:rPr>
        <w:t xml:space="preserve">107 </w:t>
      </w:r>
      <w:r w:rsidRPr="00647F72">
        <w:rPr>
          <w:rFonts w:ascii="Book Antiqua" w:eastAsia="Book Antiqua" w:hAnsi="Book Antiqua" w:cs="Book Antiqua"/>
          <w:b/>
          <w:bCs/>
          <w:color w:val="000000"/>
        </w:rPr>
        <w:t>Qi X</w:t>
      </w:r>
      <w:r w:rsidRPr="00647F72">
        <w:rPr>
          <w:rFonts w:ascii="Book Antiqua" w:eastAsia="Book Antiqua" w:hAnsi="Book Antiqua" w:cs="Book Antiqua"/>
          <w:color w:val="000000"/>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sidRPr="00647F72">
        <w:rPr>
          <w:rFonts w:ascii="Book Antiqua" w:eastAsia="Book Antiqua" w:hAnsi="Book Antiqua" w:cs="Book Antiqua"/>
          <w:i/>
          <w:iCs/>
          <w:color w:val="000000"/>
        </w:rPr>
        <w:t>Gut</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70</w:t>
      </w:r>
      <w:r w:rsidRPr="00647F72">
        <w:rPr>
          <w:rFonts w:ascii="Book Antiqua" w:eastAsia="Book Antiqua" w:hAnsi="Book Antiqua" w:cs="Book Antiqua"/>
          <w:color w:val="000000"/>
        </w:rPr>
        <w:t>: 433-436 [PMID: 32434831 DOI: 10.1136/gutjnl-2020-321666]</w:t>
      </w:r>
    </w:p>
    <w:p w:rsidR="00A77B3E" w:rsidRPr="00647F72" w:rsidRDefault="00B34FC9">
      <w:pPr>
        <w:spacing w:line="360" w:lineRule="auto"/>
        <w:jc w:val="both"/>
      </w:pPr>
      <w:r w:rsidRPr="00647F72">
        <w:rPr>
          <w:rFonts w:ascii="Book Antiqua" w:eastAsia="Book Antiqua" w:hAnsi="Book Antiqua" w:cs="Book Antiqua"/>
          <w:color w:val="000000"/>
        </w:rPr>
        <w:t xml:space="preserve">108 </w:t>
      </w:r>
      <w:r w:rsidRPr="00647F72">
        <w:rPr>
          <w:rFonts w:ascii="Book Antiqua" w:eastAsia="Book Antiqua" w:hAnsi="Book Antiqua" w:cs="Book Antiqua"/>
          <w:b/>
          <w:bCs/>
          <w:color w:val="000000"/>
        </w:rPr>
        <w:t>Albillos A</w:t>
      </w:r>
      <w:r w:rsidRPr="00647F72">
        <w:rPr>
          <w:rFonts w:ascii="Book Antiqua" w:eastAsia="Book Antiqua" w:hAnsi="Book Antiqua" w:cs="Book Antiqua"/>
          <w:color w:val="000000"/>
        </w:rPr>
        <w:t xml:space="preserve">, Lario M, Álvarez-Mon M. Cirrhosis-associated immune dysfunction: distinctive features and clinical relevance.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2014; </w:t>
      </w:r>
      <w:r w:rsidRPr="00647F72">
        <w:rPr>
          <w:rFonts w:ascii="Book Antiqua" w:eastAsia="Book Antiqua" w:hAnsi="Book Antiqua" w:cs="Book Antiqua"/>
          <w:b/>
          <w:bCs/>
          <w:color w:val="000000"/>
        </w:rPr>
        <w:t>61</w:t>
      </w:r>
      <w:r w:rsidRPr="00647F72">
        <w:rPr>
          <w:rFonts w:ascii="Book Antiqua" w:eastAsia="Book Antiqua" w:hAnsi="Book Antiqua" w:cs="Book Antiqua"/>
          <w:color w:val="000000"/>
        </w:rPr>
        <w:t>: 1385-1396 [PMID: 25135860 DOI: 10.1016/j.jhep.2014.08.010]</w:t>
      </w:r>
    </w:p>
    <w:p w:rsidR="00A77B3E" w:rsidRPr="00647F72" w:rsidRDefault="00B34FC9">
      <w:pPr>
        <w:spacing w:line="360" w:lineRule="auto"/>
        <w:jc w:val="both"/>
      </w:pPr>
      <w:r w:rsidRPr="00647F72">
        <w:rPr>
          <w:rFonts w:ascii="Book Antiqua" w:eastAsia="Book Antiqua" w:hAnsi="Book Antiqua" w:cs="Book Antiqua"/>
          <w:color w:val="000000"/>
        </w:rPr>
        <w:t xml:space="preserve">109 </w:t>
      </w:r>
      <w:r w:rsidRPr="00647F72">
        <w:rPr>
          <w:rFonts w:ascii="Book Antiqua" w:eastAsia="Book Antiqua" w:hAnsi="Book Antiqua" w:cs="Book Antiqua"/>
          <w:b/>
          <w:bCs/>
          <w:color w:val="000000"/>
        </w:rPr>
        <w:t>Strnad P</w:t>
      </w:r>
      <w:r w:rsidRPr="00647F72">
        <w:rPr>
          <w:rFonts w:ascii="Book Antiqua" w:eastAsia="Book Antiqua" w:hAnsi="Book Antiqua" w:cs="Book Antiqua"/>
          <w:color w:val="000000"/>
        </w:rPr>
        <w:t xml:space="preserve">, Tacke F, Koch A, Trautwein C. Liver - guardian, modifier and target of sepsis. </w:t>
      </w:r>
      <w:r w:rsidRPr="00647F72">
        <w:rPr>
          <w:rFonts w:ascii="Book Antiqua" w:eastAsia="Book Antiqua" w:hAnsi="Book Antiqua" w:cs="Book Antiqua"/>
          <w:i/>
          <w:iCs/>
          <w:color w:val="000000"/>
        </w:rPr>
        <w:t>Nat Rev Gastroenterol Hepatol</w:t>
      </w:r>
      <w:r w:rsidRPr="00647F72">
        <w:rPr>
          <w:rFonts w:ascii="Book Antiqua" w:eastAsia="Book Antiqua" w:hAnsi="Book Antiqua" w:cs="Book Antiqua"/>
          <w:color w:val="000000"/>
        </w:rPr>
        <w:t xml:space="preserve"> 2017; </w:t>
      </w:r>
      <w:r w:rsidRPr="00647F72">
        <w:rPr>
          <w:rFonts w:ascii="Book Antiqua" w:eastAsia="Book Antiqua" w:hAnsi="Book Antiqua" w:cs="Book Antiqua"/>
          <w:b/>
          <w:bCs/>
          <w:color w:val="000000"/>
        </w:rPr>
        <w:t>14</w:t>
      </w:r>
      <w:r w:rsidRPr="00647F72">
        <w:rPr>
          <w:rFonts w:ascii="Book Antiqua" w:eastAsia="Book Antiqua" w:hAnsi="Book Antiqua" w:cs="Book Antiqua"/>
          <w:color w:val="000000"/>
        </w:rPr>
        <w:t>: 55-66 [PMID: 27924081 DOI: 10.1038/nrgastro.2016.168]</w:t>
      </w:r>
    </w:p>
    <w:p w:rsidR="00A77B3E" w:rsidRPr="00647F72" w:rsidRDefault="00B34FC9">
      <w:pPr>
        <w:spacing w:line="360" w:lineRule="auto"/>
        <w:jc w:val="both"/>
      </w:pPr>
      <w:r w:rsidRPr="00647F72">
        <w:rPr>
          <w:rFonts w:ascii="Book Antiqua" w:eastAsia="Book Antiqua" w:hAnsi="Book Antiqua" w:cs="Book Antiqua"/>
          <w:color w:val="000000"/>
        </w:rPr>
        <w:t xml:space="preserve">110 </w:t>
      </w:r>
      <w:r w:rsidRPr="00647F72">
        <w:rPr>
          <w:rFonts w:ascii="Book Antiqua" w:eastAsia="Book Antiqua" w:hAnsi="Book Antiqua" w:cs="Book Antiqua"/>
          <w:b/>
          <w:bCs/>
          <w:color w:val="000000"/>
        </w:rPr>
        <w:t>Iavarone M</w:t>
      </w:r>
      <w:r w:rsidRPr="00647F72">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73</w:t>
      </w:r>
      <w:r w:rsidRPr="00647F72">
        <w:rPr>
          <w:rFonts w:ascii="Book Antiqua" w:eastAsia="Book Antiqua" w:hAnsi="Book Antiqua" w:cs="Book Antiqua"/>
          <w:color w:val="000000"/>
        </w:rPr>
        <w:t>: 1063-1071 [PMID: 32526252 DOI: 10.1016/j.jhep.2020.06.001]</w:t>
      </w:r>
    </w:p>
    <w:p w:rsidR="00A77B3E" w:rsidRPr="00647F72" w:rsidRDefault="00B34FC9">
      <w:pPr>
        <w:spacing w:line="360" w:lineRule="auto"/>
        <w:jc w:val="both"/>
      </w:pPr>
      <w:r w:rsidRPr="00647F72">
        <w:rPr>
          <w:rFonts w:ascii="Book Antiqua" w:eastAsia="Book Antiqua" w:hAnsi="Book Antiqua" w:cs="Book Antiqua"/>
          <w:color w:val="000000"/>
        </w:rPr>
        <w:t xml:space="preserve">111 </w:t>
      </w:r>
      <w:r w:rsidRPr="00647F72">
        <w:rPr>
          <w:rFonts w:ascii="Book Antiqua" w:eastAsia="Book Antiqua" w:hAnsi="Book Antiqua" w:cs="Book Antiqua"/>
          <w:b/>
          <w:bCs/>
          <w:color w:val="000000"/>
        </w:rPr>
        <w:t>Lleo A</w:t>
      </w:r>
      <w:r w:rsidRPr="00647F72">
        <w:rPr>
          <w:rFonts w:ascii="Book Antiqua" w:eastAsia="Book Antiqua" w:hAnsi="Book Antiqua" w:cs="Book Antiqua"/>
          <w:color w:val="000000"/>
        </w:rPr>
        <w:t xml:space="preserve">, Invernizzi P, Lohse AW, Aghemo A, Carbone M. Management of patients with autoimmune liver disease during COVID-19 pandemic.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73</w:t>
      </w:r>
      <w:r w:rsidRPr="00647F72">
        <w:rPr>
          <w:rFonts w:ascii="Book Antiqua" w:eastAsia="Book Antiqua" w:hAnsi="Book Antiqua" w:cs="Book Antiqua"/>
          <w:color w:val="000000"/>
        </w:rPr>
        <w:t>: 453-455 [PMID: 32283134 DOI: 10.1016/j.jhep.2020.04.002]</w:t>
      </w:r>
    </w:p>
    <w:p w:rsidR="00A77B3E" w:rsidRPr="00647F72" w:rsidRDefault="00B34FC9">
      <w:pPr>
        <w:spacing w:line="360" w:lineRule="auto"/>
        <w:jc w:val="both"/>
      </w:pPr>
      <w:r w:rsidRPr="00647F72">
        <w:rPr>
          <w:rFonts w:ascii="Book Antiqua" w:eastAsia="Book Antiqua" w:hAnsi="Book Antiqua" w:cs="Book Antiqua"/>
          <w:color w:val="000000"/>
        </w:rPr>
        <w:t xml:space="preserve">112 </w:t>
      </w:r>
      <w:r w:rsidRPr="00647F72">
        <w:rPr>
          <w:rFonts w:ascii="Book Antiqua" w:eastAsia="Book Antiqua" w:hAnsi="Book Antiqua" w:cs="Book Antiqua"/>
          <w:b/>
          <w:bCs/>
          <w:color w:val="000000"/>
        </w:rPr>
        <w:t>Bollipo S</w:t>
      </w:r>
      <w:r w:rsidRPr="00647F72">
        <w:rPr>
          <w:rFonts w:ascii="Book Antiqua" w:eastAsia="Book Antiqua" w:hAnsi="Book Antiqua" w:cs="Book Antiqua"/>
          <w:color w:val="000000"/>
        </w:rPr>
        <w:t xml:space="preserve">, Kapuria D, Rabiee A, Ben-Yakov G, Lui RN, Lee HW, Kumar G, Siau K, Turnes J, Dhanasekaran R. One world, one pandemic, many guidelines: management of liver diseases during COVID-19. </w:t>
      </w:r>
      <w:r w:rsidRPr="00647F72">
        <w:rPr>
          <w:rFonts w:ascii="Book Antiqua" w:eastAsia="Book Antiqua" w:hAnsi="Book Antiqua" w:cs="Book Antiqua"/>
          <w:i/>
          <w:iCs/>
          <w:color w:val="000000"/>
        </w:rPr>
        <w:t>Gut</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69</w:t>
      </w:r>
      <w:r w:rsidRPr="00647F72">
        <w:rPr>
          <w:rFonts w:ascii="Book Antiqua" w:eastAsia="Book Antiqua" w:hAnsi="Book Antiqua" w:cs="Book Antiqua"/>
          <w:color w:val="000000"/>
        </w:rPr>
        <w:t>: 1369-1372 [PMID: 32499304 DOI: 10.1136/gutjnl-2020-321553]</w:t>
      </w:r>
    </w:p>
    <w:p w:rsidR="00A77B3E" w:rsidRPr="00647F72" w:rsidRDefault="00B34FC9">
      <w:pPr>
        <w:spacing w:line="360" w:lineRule="auto"/>
        <w:jc w:val="both"/>
      </w:pPr>
      <w:r w:rsidRPr="00647F72">
        <w:rPr>
          <w:rFonts w:ascii="Book Antiqua" w:eastAsia="Book Antiqua" w:hAnsi="Book Antiqua" w:cs="Book Antiqua"/>
          <w:color w:val="000000"/>
        </w:rPr>
        <w:t xml:space="preserve">113 </w:t>
      </w:r>
      <w:r w:rsidRPr="00647F72">
        <w:rPr>
          <w:rFonts w:ascii="Book Antiqua" w:eastAsia="Book Antiqua" w:hAnsi="Book Antiqua" w:cs="Book Antiqua"/>
          <w:b/>
          <w:bCs/>
          <w:color w:val="000000"/>
        </w:rPr>
        <w:t>Tapper EB</w:t>
      </w:r>
      <w:r w:rsidRPr="00647F72">
        <w:rPr>
          <w:rFonts w:ascii="Book Antiqua" w:eastAsia="Book Antiqua" w:hAnsi="Book Antiqua" w:cs="Book Antiqua"/>
          <w:color w:val="000000"/>
        </w:rPr>
        <w:t xml:space="preserve">, Asrani SK. The COVID-19 pandemic will have a long-lasting impact on the quality of cirrhosis care.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73</w:t>
      </w:r>
      <w:r w:rsidRPr="00647F72">
        <w:rPr>
          <w:rFonts w:ascii="Book Antiqua" w:eastAsia="Book Antiqua" w:hAnsi="Book Antiqua" w:cs="Book Antiqua"/>
          <w:color w:val="000000"/>
        </w:rPr>
        <w:t>: 441-445 [PMID: 32298769 DOI: 10.1016/j.jhep.2020.04.005]</w:t>
      </w:r>
    </w:p>
    <w:p w:rsidR="00A77B3E" w:rsidRPr="00647F72" w:rsidRDefault="00B34FC9">
      <w:pPr>
        <w:spacing w:line="360" w:lineRule="auto"/>
        <w:jc w:val="both"/>
      </w:pPr>
      <w:r w:rsidRPr="00647F72">
        <w:rPr>
          <w:rFonts w:ascii="Book Antiqua" w:eastAsia="Book Antiqua" w:hAnsi="Book Antiqua" w:cs="Book Antiqua"/>
          <w:color w:val="000000"/>
        </w:rPr>
        <w:t xml:space="preserve">114 </w:t>
      </w:r>
      <w:r w:rsidRPr="00647F72">
        <w:rPr>
          <w:rFonts w:ascii="Book Antiqua" w:eastAsia="Book Antiqua" w:hAnsi="Book Antiqua" w:cs="Book Antiqua"/>
          <w:b/>
          <w:bCs/>
          <w:color w:val="000000"/>
        </w:rPr>
        <w:t>Marjot T</w:t>
      </w:r>
      <w:r w:rsidRPr="00647F72">
        <w:rPr>
          <w:rFonts w:ascii="Book Antiqua" w:eastAsia="Book Antiqua" w:hAnsi="Book Antiqua" w:cs="Book Antiqua"/>
          <w:color w:val="000000"/>
        </w:rPr>
        <w:t xml:space="preserve">, Webb GJ, Barritt AS, Ginès P, Lohse AW, Moon AM, Pose E, Trivedi P, Barnes E. SARS-CoV-2 vaccination in patients with liver disease: responding to the next big question. </w:t>
      </w:r>
      <w:r w:rsidRPr="00647F72">
        <w:rPr>
          <w:rFonts w:ascii="Book Antiqua" w:eastAsia="Book Antiqua" w:hAnsi="Book Antiqua" w:cs="Book Antiqua"/>
          <w:i/>
          <w:iCs/>
          <w:color w:val="000000"/>
        </w:rPr>
        <w:t>Lancet Gastroenterol Hepatol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6</w:t>
      </w:r>
      <w:r w:rsidRPr="00647F72">
        <w:rPr>
          <w:rFonts w:ascii="Book Antiqua" w:eastAsia="Book Antiqua" w:hAnsi="Book Antiqua" w:cs="Book Antiqua"/>
          <w:color w:val="000000"/>
        </w:rPr>
        <w:t>: 156-158 [PMID: 33444545 DOI: 10.1016/S2468-1253(21)00008-X]</w:t>
      </w:r>
    </w:p>
    <w:p w:rsidR="00A77B3E" w:rsidRPr="00647F72" w:rsidRDefault="00B34FC9">
      <w:pPr>
        <w:spacing w:line="360" w:lineRule="auto"/>
        <w:jc w:val="both"/>
      </w:pPr>
      <w:r w:rsidRPr="00647F72">
        <w:rPr>
          <w:rFonts w:ascii="Book Antiqua" w:eastAsia="Book Antiqua" w:hAnsi="Book Antiqua" w:cs="Book Antiqua"/>
          <w:color w:val="000000"/>
        </w:rPr>
        <w:t xml:space="preserve">115 </w:t>
      </w:r>
      <w:r w:rsidRPr="00647F72">
        <w:rPr>
          <w:rFonts w:ascii="Book Antiqua" w:eastAsia="Book Antiqua" w:hAnsi="Book Antiqua" w:cs="Book Antiqua"/>
          <w:b/>
          <w:bCs/>
          <w:color w:val="000000"/>
        </w:rPr>
        <w:t>Aggeletopoulou I</w:t>
      </w:r>
      <w:r w:rsidRPr="00647F72">
        <w:rPr>
          <w:rFonts w:ascii="Book Antiqua" w:eastAsia="Book Antiqua" w:hAnsi="Book Antiqua" w:cs="Book Antiqua"/>
          <w:color w:val="000000"/>
        </w:rPr>
        <w:t xml:space="preserve">, Davoulou P, Konstantakis C, Thomopoulos K, Triantos C. Response to hepatitis B vaccination in patients with liver cirrhosis. </w:t>
      </w:r>
      <w:r w:rsidRPr="00647F72">
        <w:rPr>
          <w:rFonts w:ascii="Book Antiqua" w:eastAsia="Book Antiqua" w:hAnsi="Book Antiqua" w:cs="Book Antiqua"/>
          <w:i/>
          <w:iCs/>
          <w:color w:val="000000"/>
        </w:rPr>
        <w:t>Rev Med Virol</w:t>
      </w:r>
      <w:r w:rsidRPr="00647F72">
        <w:rPr>
          <w:rFonts w:ascii="Book Antiqua" w:eastAsia="Book Antiqua" w:hAnsi="Book Antiqua" w:cs="Book Antiqua"/>
          <w:color w:val="000000"/>
        </w:rPr>
        <w:t xml:space="preserve"> 2017; </w:t>
      </w:r>
      <w:r w:rsidRPr="00647F72">
        <w:rPr>
          <w:rFonts w:ascii="Book Antiqua" w:eastAsia="Book Antiqua" w:hAnsi="Book Antiqua" w:cs="Book Antiqua"/>
          <w:b/>
          <w:bCs/>
          <w:color w:val="000000"/>
        </w:rPr>
        <w:t>27</w:t>
      </w:r>
      <w:r w:rsidRPr="00647F72">
        <w:rPr>
          <w:rFonts w:ascii="Book Antiqua" w:eastAsia="Book Antiqua" w:hAnsi="Book Antiqua" w:cs="Book Antiqua"/>
          <w:color w:val="000000"/>
        </w:rPr>
        <w:t xml:space="preserve"> [PMID: 28905444 DOI: 10.1002/rmv.1942]</w:t>
      </w:r>
    </w:p>
    <w:p w:rsidR="00A77B3E" w:rsidRPr="00647F72" w:rsidRDefault="00B34FC9">
      <w:pPr>
        <w:spacing w:line="360" w:lineRule="auto"/>
        <w:jc w:val="both"/>
      </w:pPr>
      <w:r w:rsidRPr="00647F72">
        <w:rPr>
          <w:rFonts w:ascii="Book Antiqua" w:eastAsia="Book Antiqua" w:hAnsi="Book Antiqua" w:cs="Book Antiqua"/>
          <w:color w:val="000000"/>
        </w:rPr>
        <w:t xml:space="preserve">116 </w:t>
      </w:r>
      <w:r w:rsidRPr="00647F72">
        <w:rPr>
          <w:rFonts w:ascii="Book Antiqua" w:eastAsia="Book Antiqua" w:hAnsi="Book Antiqua" w:cs="Book Antiqua"/>
          <w:b/>
          <w:bCs/>
          <w:color w:val="000000"/>
        </w:rPr>
        <w:t>Marjot T</w:t>
      </w:r>
      <w:r w:rsidRPr="00647F72">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74</w:t>
      </w:r>
      <w:r w:rsidRPr="00647F72">
        <w:rPr>
          <w:rFonts w:ascii="Book Antiqua" w:eastAsia="Book Antiqua" w:hAnsi="Book Antiqua" w:cs="Book Antiqua"/>
          <w:color w:val="000000"/>
        </w:rPr>
        <w:t>: 567-577 [PMID: 33035628 DOI: 10.1016/j.jhep.2020.09.024]</w:t>
      </w:r>
    </w:p>
    <w:p w:rsidR="00A77B3E" w:rsidRPr="00647F72" w:rsidRDefault="00B34FC9">
      <w:pPr>
        <w:spacing w:line="360" w:lineRule="auto"/>
        <w:jc w:val="both"/>
      </w:pPr>
      <w:r w:rsidRPr="00647F72">
        <w:rPr>
          <w:rFonts w:ascii="Book Antiqua" w:eastAsia="Book Antiqua" w:hAnsi="Book Antiqua" w:cs="Book Antiqua"/>
          <w:color w:val="000000"/>
        </w:rPr>
        <w:t xml:space="preserve">117 </w:t>
      </w:r>
      <w:r w:rsidRPr="00647F72">
        <w:rPr>
          <w:rFonts w:ascii="Book Antiqua" w:eastAsia="Book Antiqua" w:hAnsi="Book Antiqua" w:cs="Book Antiqua"/>
          <w:b/>
          <w:bCs/>
          <w:color w:val="000000"/>
        </w:rPr>
        <w:t>Fix OK</w:t>
      </w:r>
      <w:r w:rsidRPr="00647F72">
        <w:rPr>
          <w:rFonts w:ascii="Book Antiqua" w:eastAsia="Book Antiqua" w:hAnsi="Book Antiqua" w:cs="Book Antiqua"/>
          <w:color w:val="000000"/>
        </w:rPr>
        <w:t xml:space="preserve">, Blumberg EA, Chang KM, Chu J, Chung RT, Goacher EK, Hameed B, Kaul DR, Kulik LM, Kwok RM, McGuire BM, Mulligan DC, Price JC, Reau NS, Reddy KR, Reynolds A, Rosen HR, Russo MW, Schilsky ML, Verna EC, Ward JW, Fontana RJ; AASLD COVID-19 Vaccine Working Group. AASLD Expert Panel Consensus Statement: Vaccines to Prevent COVID-19 Infection in Patients with Liver Disease. </w:t>
      </w:r>
      <w:r w:rsidRPr="00647F72">
        <w:rPr>
          <w:rFonts w:ascii="Book Antiqua" w:eastAsia="Book Antiqua" w:hAnsi="Book Antiqua" w:cs="Book Antiqua"/>
          <w:i/>
          <w:iCs/>
          <w:color w:val="000000"/>
        </w:rPr>
        <w:t>Hepatology</w:t>
      </w:r>
      <w:r w:rsidRPr="00647F72">
        <w:rPr>
          <w:rFonts w:ascii="Book Antiqua" w:eastAsia="Book Antiqua" w:hAnsi="Book Antiqua" w:cs="Book Antiqua"/>
          <w:color w:val="000000"/>
        </w:rPr>
        <w:t xml:space="preserve"> 2021 [PMID: 33577086 DOI: 10.1002/hep.31751]</w:t>
      </w:r>
    </w:p>
    <w:p w:rsidR="00A77B3E" w:rsidRPr="00647F72" w:rsidRDefault="00B34FC9">
      <w:pPr>
        <w:spacing w:line="360" w:lineRule="auto"/>
        <w:jc w:val="both"/>
      </w:pPr>
      <w:r w:rsidRPr="00647F72">
        <w:rPr>
          <w:rFonts w:ascii="Book Antiqua" w:eastAsia="Book Antiqua" w:hAnsi="Book Antiqua" w:cs="Book Antiqua"/>
          <w:color w:val="000000"/>
        </w:rPr>
        <w:t xml:space="preserve">118 </w:t>
      </w:r>
      <w:r w:rsidRPr="00647F72">
        <w:rPr>
          <w:rFonts w:ascii="Book Antiqua" w:eastAsia="Book Antiqua" w:hAnsi="Book Antiqua" w:cs="Book Antiqua"/>
          <w:b/>
          <w:bCs/>
          <w:color w:val="000000"/>
        </w:rPr>
        <w:t>Kaltsas A</w:t>
      </w:r>
      <w:r w:rsidRPr="00647F72">
        <w:rPr>
          <w:rFonts w:ascii="Book Antiqua" w:eastAsia="Book Antiqua" w:hAnsi="Book Antiqua" w:cs="Book Antiqua"/>
          <w:color w:val="000000"/>
        </w:rPr>
        <w:t xml:space="preserve">, Sepkowitz K. Community acquired respiratory and gastrointestinal viral infections: challenges in the immunocompromised host. </w:t>
      </w:r>
      <w:r w:rsidRPr="00647F72">
        <w:rPr>
          <w:rFonts w:ascii="Book Antiqua" w:eastAsia="Book Antiqua" w:hAnsi="Book Antiqua" w:cs="Book Antiqua"/>
          <w:i/>
          <w:iCs/>
          <w:color w:val="000000"/>
        </w:rPr>
        <w:t>Curr Opin Infect Dis</w:t>
      </w:r>
      <w:r w:rsidRPr="00647F72">
        <w:rPr>
          <w:rFonts w:ascii="Book Antiqua" w:eastAsia="Book Antiqua" w:hAnsi="Book Antiqua" w:cs="Book Antiqua"/>
          <w:color w:val="000000"/>
        </w:rPr>
        <w:t xml:space="preserve"> 2012; </w:t>
      </w:r>
      <w:r w:rsidRPr="00647F72">
        <w:rPr>
          <w:rFonts w:ascii="Book Antiqua" w:eastAsia="Book Antiqua" w:hAnsi="Book Antiqua" w:cs="Book Antiqua"/>
          <w:b/>
          <w:bCs/>
          <w:color w:val="000000"/>
        </w:rPr>
        <w:t>25</w:t>
      </w:r>
      <w:r w:rsidRPr="00647F72">
        <w:rPr>
          <w:rFonts w:ascii="Book Antiqua" w:eastAsia="Book Antiqua" w:hAnsi="Book Antiqua" w:cs="Book Antiqua"/>
          <w:color w:val="000000"/>
        </w:rPr>
        <w:t>: 423-430 [PMID: 22766648 DOI: 10.1097/QCO.0b013e328355660b]</w:t>
      </w:r>
    </w:p>
    <w:p w:rsidR="00A77B3E" w:rsidRPr="00647F72" w:rsidRDefault="00B34FC9">
      <w:pPr>
        <w:spacing w:line="360" w:lineRule="auto"/>
        <w:jc w:val="both"/>
      </w:pPr>
      <w:r w:rsidRPr="00647F72">
        <w:rPr>
          <w:rFonts w:ascii="Book Antiqua" w:eastAsia="Book Antiqua" w:hAnsi="Book Antiqua" w:cs="Book Antiqua"/>
          <w:color w:val="000000"/>
        </w:rPr>
        <w:t xml:space="preserve">119 </w:t>
      </w:r>
      <w:r w:rsidRPr="00647F72">
        <w:rPr>
          <w:rFonts w:ascii="Book Antiqua" w:eastAsia="Book Antiqua" w:hAnsi="Book Antiqua" w:cs="Book Antiqua"/>
          <w:b/>
          <w:bCs/>
          <w:color w:val="000000"/>
        </w:rPr>
        <w:t>Gerussi A</w:t>
      </w:r>
      <w:r w:rsidRPr="00647F72">
        <w:rPr>
          <w:rFonts w:ascii="Book Antiqua" w:eastAsia="Book Antiqua" w:hAnsi="Book Antiqua" w:cs="Book Antiqua"/>
          <w:color w:val="000000"/>
        </w:rPr>
        <w:t xml:space="preserve">, Rigamonti C, Elia C, Cazzagon N, Floreani A, Pozzi R, Pozzoni P, Claar E, Pasulo L, Fagiuoli S, Cristoferi L, Carbone M, Invernizzi P. Coronavirus Disease 2019 (COVID-19) in autoimmune hepatitis: a lesson from immunosuppressed patients. </w:t>
      </w:r>
      <w:r w:rsidRPr="00647F72">
        <w:rPr>
          <w:rFonts w:ascii="Book Antiqua" w:eastAsia="Book Antiqua" w:hAnsi="Book Antiqua" w:cs="Book Antiqua"/>
          <w:i/>
          <w:iCs/>
          <w:color w:val="000000"/>
        </w:rPr>
        <w:t>Hepatol Commun</w:t>
      </w:r>
      <w:r w:rsidRPr="00647F72">
        <w:rPr>
          <w:rFonts w:ascii="Book Antiqua" w:eastAsia="Book Antiqua" w:hAnsi="Book Antiqua" w:cs="Book Antiqua"/>
          <w:color w:val="000000"/>
        </w:rPr>
        <w:t xml:space="preserve"> 2020 [PMID: 32838102 DOI: 10.1002/hep4.1557]</w:t>
      </w:r>
    </w:p>
    <w:p w:rsidR="00A77B3E" w:rsidRPr="00647F72" w:rsidRDefault="00B34FC9">
      <w:pPr>
        <w:spacing w:line="360" w:lineRule="auto"/>
        <w:jc w:val="both"/>
      </w:pPr>
      <w:r w:rsidRPr="00647F72">
        <w:rPr>
          <w:rFonts w:ascii="Book Antiqua" w:eastAsia="Book Antiqua" w:hAnsi="Book Antiqua" w:cs="Book Antiqua"/>
          <w:color w:val="000000"/>
        </w:rPr>
        <w:t xml:space="preserve">120 </w:t>
      </w:r>
      <w:r w:rsidRPr="00647F72">
        <w:rPr>
          <w:rFonts w:ascii="Book Antiqua" w:eastAsia="Book Antiqua" w:hAnsi="Book Antiqua" w:cs="Book Antiqua"/>
          <w:b/>
          <w:bCs/>
          <w:color w:val="000000"/>
        </w:rPr>
        <w:t>Marjot T</w:t>
      </w:r>
      <w:r w:rsidRPr="00647F72">
        <w:rPr>
          <w:rFonts w:ascii="Book Antiqua" w:eastAsia="Book Antiqua" w:hAnsi="Book Antiqua" w:cs="Book Antiqua"/>
          <w:color w:val="000000"/>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sidRPr="00647F72">
        <w:rPr>
          <w:rFonts w:ascii="Book Antiqua" w:eastAsia="Book Antiqua" w:hAnsi="Book Antiqua" w:cs="Book Antiqua"/>
          <w:i/>
          <w:iCs/>
          <w:color w:val="000000"/>
        </w:rPr>
        <w:t>J Hepatol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74</w:t>
      </w:r>
      <w:r w:rsidRPr="00647F72">
        <w:rPr>
          <w:rFonts w:ascii="Book Antiqua" w:eastAsia="Book Antiqua" w:hAnsi="Book Antiqua" w:cs="Book Antiqua"/>
          <w:color w:val="000000"/>
        </w:rPr>
        <w:t>: 1335-1343 [PMID: 33508378 DOI: 10.1016/j.jhep.2021.01.021]</w:t>
      </w:r>
    </w:p>
    <w:p w:rsidR="00A77B3E" w:rsidRPr="00647F72" w:rsidRDefault="00B34FC9">
      <w:pPr>
        <w:spacing w:line="360" w:lineRule="auto"/>
        <w:jc w:val="both"/>
      </w:pPr>
      <w:r w:rsidRPr="00647F72">
        <w:rPr>
          <w:rFonts w:ascii="Book Antiqua" w:eastAsia="Book Antiqua" w:hAnsi="Book Antiqua" w:cs="Book Antiqua"/>
          <w:color w:val="000000"/>
        </w:rPr>
        <w:t xml:space="preserve">121 </w:t>
      </w:r>
      <w:r w:rsidRPr="00647F72">
        <w:rPr>
          <w:rFonts w:ascii="Book Antiqua" w:eastAsia="Book Antiqua" w:hAnsi="Book Antiqua" w:cs="Book Antiqua"/>
          <w:b/>
          <w:bCs/>
          <w:color w:val="000000"/>
        </w:rPr>
        <w:t>Stanaway JD</w:t>
      </w:r>
      <w:r w:rsidRPr="00647F72">
        <w:rPr>
          <w:rFonts w:ascii="Book Antiqua" w:eastAsia="Book Antiqua" w:hAnsi="Book Antiqua" w:cs="Book Antiqua"/>
          <w:color w:val="000000"/>
        </w:rPr>
        <w:t xml:space="preserve">, Flaxman AD, Naghavi M, Fitzmaurice C, Vos T, Abubakar I, Abu-Raddad LJ, Assadi R, Bhala N, Cowie B, Forouzanfour MH, Groeger J, Hanafiah KM, Jacobsen KH, James SL, MacLachlan J, Malekzadeh R, Martin NK, Mokdad AA, Mokdad AH, Murray CJL, Plass D, Rana S, Rein DB, Richardus JH, Sanabria J, Saylan M, Shahraz S, So S, Vlassov VV, Weiderpass E, Wiersma ST, Younis M, Yu C, El Sayed Zaki M, Cooke GS. The global burden of viral hepatitis from 1990 to 2013: findings from the Global Burden of Disease Study 2013. </w:t>
      </w:r>
      <w:r w:rsidRPr="00647F72">
        <w:rPr>
          <w:rFonts w:ascii="Book Antiqua" w:eastAsia="Book Antiqua" w:hAnsi="Book Antiqua" w:cs="Book Antiqua"/>
          <w:i/>
          <w:iCs/>
          <w:color w:val="000000"/>
        </w:rPr>
        <w:t>Lancet</w:t>
      </w:r>
      <w:r w:rsidRPr="00647F72">
        <w:rPr>
          <w:rFonts w:ascii="Book Antiqua" w:eastAsia="Book Antiqua" w:hAnsi="Book Antiqua" w:cs="Book Antiqua"/>
          <w:color w:val="000000"/>
        </w:rPr>
        <w:t xml:space="preserve"> 2016; </w:t>
      </w:r>
      <w:r w:rsidRPr="00647F72">
        <w:rPr>
          <w:rFonts w:ascii="Book Antiqua" w:eastAsia="Book Antiqua" w:hAnsi="Book Antiqua" w:cs="Book Antiqua"/>
          <w:b/>
          <w:bCs/>
          <w:color w:val="000000"/>
        </w:rPr>
        <w:t>388</w:t>
      </w:r>
      <w:r w:rsidRPr="00647F72">
        <w:rPr>
          <w:rFonts w:ascii="Book Antiqua" w:eastAsia="Book Antiqua" w:hAnsi="Book Antiqua" w:cs="Book Antiqua"/>
          <w:color w:val="000000"/>
        </w:rPr>
        <w:t>: 1081-1088 [PMID: 27394647 DOI: 10.1016/S0140-6736(16)30579-7]</w:t>
      </w:r>
    </w:p>
    <w:p w:rsidR="00A77B3E" w:rsidRPr="00647F72" w:rsidRDefault="00B34FC9">
      <w:pPr>
        <w:spacing w:line="360" w:lineRule="auto"/>
        <w:jc w:val="both"/>
      </w:pPr>
      <w:r w:rsidRPr="00647F72">
        <w:rPr>
          <w:rFonts w:ascii="Book Antiqua" w:eastAsia="Book Antiqua" w:hAnsi="Book Antiqua" w:cs="Book Antiqua"/>
          <w:color w:val="000000"/>
        </w:rPr>
        <w:t xml:space="preserve">122 </w:t>
      </w:r>
      <w:r w:rsidRPr="00647F72">
        <w:rPr>
          <w:rFonts w:ascii="Book Antiqua" w:eastAsia="Book Antiqua" w:hAnsi="Book Antiqua" w:cs="Book Antiqua"/>
          <w:b/>
          <w:color w:val="000000"/>
        </w:rPr>
        <w:t>World Health Organization</w:t>
      </w:r>
      <w:r w:rsidRPr="00647F72">
        <w:rPr>
          <w:rFonts w:ascii="Book Antiqua" w:eastAsia="Book Antiqua" w:hAnsi="Book Antiqua" w:cs="Book Antiqua"/>
          <w:color w:val="000000"/>
        </w:rPr>
        <w:t xml:space="preserve">. Global hepatitis report 2017. 2017. </w:t>
      </w:r>
      <w:r w:rsidR="001A3AF1" w:rsidRPr="00647F72">
        <w:rPr>
          <w:rFonts w:ascii="Book Antiqua" w:hAnsi="Book Antiqua" w:cs="Book Antiqua" w:hint="eastAsia"/>
          <w:color w:val="000000"/>
          <w:lang w:eastAsia="zh-CN"/>
        </w:rPr>
        <w:t>[cited</w:t>
      </w:r>
      <w:r w:rsidR="001C5712" w:rsidRPr="00647F72">
        <w:rPr>
          <w:rFonts w:ascii="Book Antiqua" w:hAnsi="Book Antiqua" w:cs="Book Antiqua" w:hint="eastAsia"/>
          <w:color w:val="000000"/>
          <w:lang w:eastAsia="zh-CN"/>
        </w:rPr>
        <w:t xml:space="preserve"> </w:t>
      </w:r>
      <w:r w:rsidR="0002737D" w:rsidRPr="00647F72">
        <w:rPr>
          <w:rFonts w:ascii="Book Antiqua" w:hAnsi="Book Antiqua" w:cs="Book Antiqua"/>
          <w:color w:val="000000"/>
          <w:lang w:eastAsia="zh-CN"/>
        </w:rPr>
        <w:t>13 March 2021</w:t>
      </w:r>
      <w:r w:rsidR="001A3AF1" w:rsidRPr="00647F72">
        <w:rPr>
          <w:rFonts w:ascii="Book Antiqua" w:hAnsi="Book Antiqua" w:cs="Book Antiqua" w:hint="eastAsia"/>
          <w:color w:val="000000"/>
          <w:lang w:eastAsia="zh-CN"/>
        </w:rPr>
        <w:t>].</w:t>
      </w:r>
      <w:r w:rsidR="001A3AF1" w:rsidRPr="00647F72">
        <w:rPr>
          <w:rFonts w:ascii="Book Antiqua" w:eastAsia="Book Antiqua" w:hAnsi="Book Antiqua" w:cs="Book Antiqua"/>
          <w:color w:val="000000"/>
        </w:rPr>
        <w:t xml:space="preserve"> </w:t>
      </w:r>
      <w:r w:rsidR="001A3AF1" w:rsidRPr="00647F72">
        <w:rPr>
          <w:rFonts w:ascii="Book Antiqua" w:hAnsi="Book Antiqua" w:cs="Book Antiqua" w:hint="eastAsia"/>
          <w:color w:val="000000"/>
          <w:lang w:eastAsia="zh-CN"/>
        </w:rPr>
        <w:t xml:space="preserve">In: </w:t>
      </w:r>
      <w:r w:rsidR="001A3AF1" w:rsidRPr="00647F72">
        <w:rPr>
          <w:rFonts w:ascii="Book Antiqua" w:eastAsia="Book Antiqua" w:hAnsi="Book Antiqua" w:cs="Book Antiqua"/>
          <w:color w:val="000000"/>
        </w:rPr>
        <w:t>World Health Organization</w:t>
      </w:r>
      <w:r w:rsidR="001A3AF1" w:rsidRPr="00647F72">
        <w:rPr>
          <w:rFonts w:ascii="Book Antiqua" w:hAnsi="Book Antiqua" w:cs="Book Antiqua" w:hint="eastAsia"/>
          <w:color w:val="000000"/>
          <w:lang w:eastAsia="zh-CN"/>
        </w:rPr>
        <w:t xml:space="preserve"> [Internet]. </w:t>
      </w:r>
      <w:r w:rsidRPr="00647F72">
        <w:rPr>
          <w:rFonts w:ascii="Book Antiqua" w:eastAsia="Book Antiqua" w:hAnsi="Book Antiqua" w:cs="Book Antiqua"/>
          <w:color w:val="000000"/>
        </w:rPr>
        <w:t>Available from: https://www.who.int/hepatitis/publications/global-hepatitis-report2017/en/</w:t>
      </w:r>
    </w:p>
    <w:p w:rsidR="00A77B3E" w:rsidRPr="00647F72" w:rsidRDefault="00B34FC9">
      <w:pPr>
        <w:spacing w:line="360" w:lineRule="auto"/>
        <w:jc w:val="both"/>
      </w:pPr>
      <w:r w:rsidRPr="00647F72">
        <w:rPr>
          <w:rFonts w:ascii="Book Antiqua" w:eastAsia="Book Antiqua" w:hAnsi="Book Antiqua" w:cs="Book Antiqua"/>
          <w:color w:val="000000"/>
        </w:rPr>
        <w:t xml:space="preserve">123 </w:t>
      </w:r>
      <w:r w:rsidRPr="00647F72">
        <w:rPr>
          <w:rFonts w:ascii="Book Antiqua" w:eastAsia="Book Antiqua" w:hAnsi="Book Antiqua" w:cs="Book Antiqua"/>
          <w:b/>
          <w:bCs/>
          <w:color w:val="000000"/>
        </w:rPr>
        <w:t>He Q</w:t>
      </w:r>
      <w:r w:rsidRPr="00647F72">
        <w:rPr>
          <w:rFonts w:ascii="Book Antiqua" w:eastAsia="Book Antiqua" w:hAnsi="Book Antiqua" w:cs="Book Antiqua"/>
          <w:color w:val="000000"/>
        </w:rPr>
        <w:t xml:space="preserve">, Zhang G, Gu Y, Wang J, Tang Q, Jiang Z, Shao C, Zhang H, Chen Z, Ma B, Liu D, Xie G, Xu D, Huang Y, Zhang H, Liang M, Huang H, Wang Y, Liu H, Yang J, Pan H, Zou S, Li F, Wang F, Liu C, Wang W, Xiong B, Li X, Liu L, Yang J, Qi X. Clinical Characteristics of COVID-19 Patients With Pre-existing Hepatitis B Virus Infection: A Multicenter Report. </w:t>
      </w:r>
      <w:r w:rsidRPr="00647F72">
        <w:rPr>
          <w:rFonts w:ascii="Book Antiqua" w:eastAsia="Book Antiqua" w:hAnsi="Book Antiqua" w:cs="Book Antiqua"/>
          <w:i/>
          <w:iCs/>
          <w:color w:val="000000"/>
        </w:rPr>
        <w:t>Am J Gastroenterol</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116</w:t>
      </w:r>
      <w:r w:rsidRPr="00647F72">
        <w:rPr>
          <w:rFonts w:ascii="Book Antiqua" w:eastAsia="Book Antiqua" w:hAnsi="Book Antiqua" w:cs="Book Antiqua"/>
          <w:color w:val="000000"/>
        </w:rPr>
        <w:t>: 420-421 [PMID: 32925195 DOI: 10.14309/ajg.0000000000000924]</w:t>
      </w:r>
    </w:p>
    <w:p w:rsidR="00A77B3E" w:rsidRPr="00647F72" w:rsidRDefault="00B34FC9">
      <w:pPr>
        <w:spacing w:line="360" w:lineRule="auto"/>
        <w:jc w:val="both"/>
      </w:pPr>
      <w:r w:rsidRPr="00647F72">
        <w:rPr>
          <w:rFonts w:ascii="Book Antiqua" w:eastAsia="Book Antiqua" w:hAnsi="Book Antiqua" w:cs="Book Antiqua"/>
          <w:color w:val="000000"/>
        </w:rPr>
        <w:t xml:space="preserve">124 </w:t>
      </w:r>
      <w:r w:rsidRPr="00647F72">
        <w:rPr>
          <w:rFonts w:ascii="Book Antiqua" w:eastAsia="Book Antiqua" w:hAnsi="Book Antiqua" w:cs="Book Antiqua"/>
          <w:b/>
          <w:bCs/>
          <w:color w:val="000000"/>
        </w:rPr>
        <w:t>Wu J</w:t>
      </w:r>
      <w:r w:rsidRPr="00647F72">
        <w:rPr>
          <w:rFonts w:ascii="Book Antiqua" w:eastAsia="Book Antiqua" w:hAnsi="Book Antiqua" w:cs="Book Antiqua"/>
          <w:color w:val="000000"/>
        </w:rPr>
        <w:t xml:space="preserve">, Yu J, Shi X, Li W, Song S, Zhao L, Zhao X, Liu J, Wang D, Liu C, Huang B, Meng Y, Jiang B, Deng Y, Cao H, Li L. Epidemiological and clinical characteristics of 70 cases of coronavirus disease and concomitant hepatitis B virus infection: A multicentre descriptive study. </w:t>
      </w:r>
      <w:r w:rsidRPr="00647F72">
        <w:rPr>
          <w:rFonts w:ascii="Book Antiqua" w:eastAsia="Book Antiqua" w:hAnsi="Book Antiqua" w:cs="Book Antiqua"/>
          <w:i/>
          <w:iCs/>
          <w:color w:val="000000"/>
        </w:rPr>
        <w:t>J Viral Hepat</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28</w:t>
      </w:r>
      <w:r w:rsidRPr="00647F72">
        <w:rPr>
          <w:rFonts w:ascii="Book Antiqua" w:eastAsia="Book Antiqua" w:hAnsi="Book Antiqua" w:cs="Book Antiqua"/>
          <w:color w:val="000000"/>
        </w:rPr>
        <w:t>: 80-88 [PMID: 32929826 DOI: 10.1111/jvh.13404]</w:t>
      </w:r>
    </w:p>
    <w:p w:rsidR="00A77B3E" w:rsidRPr="00647F72" w:rsidRDefault="00B34FC9">
      <w:pPr>
        <w:spacing w:line="360" w:lineRule="auto"/>
        <w:jc w:val="both"/>
      </w:pPr>
      <w:r w:rsidRPr="00647F72">
        <w:rPr>
          <w:rFonts w:ascii="Book Antiqua" w:eastAsia="Book Antiqua" w:hAnsi="Book Antiqua" w:cs="Book Antiqua"/>
          <w:color w:val="000000"/>
        </w:rPr>
        <w:t xml:space="preserve">125 </w:t>
      </w:r>
      <w:r w:rsidRPr="00647F72">
        <w:rPr>
          <w:rFonts w:ascii="Book Antiqua" w:eastAsia="Book Antiqua" w:hAnsi="Book Antiqua" w:cs="Book Antiqua"/>
          <w:b/>
          <w:bCs/>
          <w:color w:val="000000"/>
        </w:rPr>
        <w:t>Chen X</w:t>
      </w:r>
      <w:r w:rsidRPr="00647F72">
        <w:rPr>
          <w:rFonts w:ascii="Book Antiqua" w:eastAsia="Book Antiqua" w:hAnsi="Book Antiqua" w:cs="Book Antiqua"/>
          <w:color w:val="000000"/>
        </w:rPr>
        <w:t xml:space="preserve">, Jiang Q, Ma Z, Ling J, Hu W, Cao Q, Mo P, Yao L, Yang R, Gao S, Gui X, Hou W, Xiong Y, Li J, Zhang Y. Clinical Characteristics of Hospitalized Patients with SARS-CoV-2 and Hepatitis B Virus Co-infection. </w:t>
      </w:r>
      <w:r w:rsidRPr="00647F72">
        <w:rPr>
          <w:rFonts w:ascii="Book Antiqua" w:eastAsia="Book Antiqua" w:hAnsi="Book Antiqua" w:cs="Book Antiqua"/>
          <w:i/>
          <w:iCs/>
          <w:color w:val="000000"/>
        </w:rPr>
        <w:t>Virol Sin</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35</w:t>
      </w:r>
      <w:r w:rsidRPr="00647F72">
        <w:rPr>
          <w:rFonts w:ascii="Book Antiqua" w:eastAsia="Book Antiqua" w:hAnsi="Book Antiqua" w:cs="Book Antiqua"/>
          <w:color w:val="000000"/>
        </w:rPr>
        <w:t>: 842-845 [PMID: 32839868 DOI: 10.1007/s12250-020-00276-5]</w:t>
      </w:r>
    </w:p>
    <w:p w:rsidR="00A77B3E" w:rsidRPr="00647F72" w:rsidRDefault="00B34FC9">
      <w:pPr>
        <w:spacing w:line="360" w:lineRule="auto"/>
        <w:jc w:val="both"/>
      </w:pPr>
      <w:r w:rsidRPr="00647F72">
        <w:rPr>
          <w:rFonts w:ascii="Book Antiqua" w:eastAsia="Book Antiqua" w:hAnsi="Book Antiqua" w:cs="Book Antiqua"/>
          <w:color w:val="000000"/>
        </w:rPr>
        <w:t xml:space="preserve">126 </w:t>
      </w:r>
      <w:r w:rsidRPr="00647F72">
        <w:rPr>
          <w:rFonts w:ascii="Book Antiqua" w:eastAsia="Book Antiqua" w:hAnsi="Book Antiqua" w:cs="Book Antiqua"/>
          <w:b/>
          <w:bCs/>
          <w:color w:val="000000"/>
        </w:rPr>
        <w:t>Yang X</w:t>
      </w:r>
      <w:r w:rsidRPr="00647F72">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647F72">
        <w:rPr>
          <w:rFonts w:ascii="Book Antiqua" w:eastAsia="Book Antiqua" w:hAnsi="Book Antiqua" w:cs="Book Antiqua"/>
          <w:i/>
          <w:iCs/>
          <w:color w:val="000000"/>
        </w:rPr>
        <w:t>Lancet Respir Med</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8</w:t>
      </w:r>
      <w:r w:rsidRPr="00647F72">
        <w:rPr>
          <w:rFonts w:ascii="Book Antiqua" w:eastAsia="Book Antiqua" w:hAnsi="Book Antiqua" w:cs="Book Antiqua"/>
          <w:color w:val="000000"/>
        </w:rPr>
        <w:t>: 475-481 [PMID: 32105632 DOI: 10.1016/S2213-2600(20)30079-5]</w:t>
      </w:r>
    </w:p>
    <w:p w:rsidR="00A77B3E" w:rsidRPr="00647F72" w:rsidRDefault="00B34FC9">
      <w:pPr>
        <w:spacing w:line="360" w:lineRule="auto"/>
        <w:jc w:val="both"/>
      </w:pPr>
      <w:r w:rsidRPr="00647F72">
        <w:rPr>
          <w:rFonts w:ascii="Book Antiqua" w:eastAsia="Book Antiqua" w:hAnsi="Book Antiqua" w:cs="Book Antiqua"/>
          <w:color w:val="000000"/>
        </w:rPr>
        <w:t xml:space="preserve">127 </w:t>
      </w:r>
      <w:r w:rsidRPr="00647F72">
        <w:rPr>
          <w:rFonts w:ascii="Book Antiqua" w:eastAsia="Book Antiqua" w:hAnsi="Book Antiqua" w:cs="Book Antiqua"/>
          <w:b/>
          <w:bCs/>
          <w:color w:val="000000"/>
        </w:rPr>
        <w:t>Rodríguez-Tajes S</w:t>
      </w:r>
      <w:r w:rsidRPr="00647F72">
        <w:rPr>
          <w:rFonts w:ascii="Book Antiqua" w:eastAsia="Book Antiqua" w:hAnsi="Book Antiqua" w:cs="Book Antiqua"/>
          <w:color w:val="000000"/>
        </w:rPr>
        <w:t xml:space="preserve">, Miralpeix A, Costa J, López-Suñé E, Laguno M, Pocurull A, Lens S, Mariño Z, Forns X. Low risk of hepatitis B reactivation in patients with severe COVID-19 who receive immunosuppressive therapy. </w:t>
      </w:r>
      <w:r w:rsidRPr="00647F72">
        <w:rPr>
          <w:rFonts w:ascii="Book Antiqua" w:eastAsia="Book Antiqua" w:hAnsi="Book Antiqua" w:cs="Book Antiqua"/>
          <w:i/>
          <w:iCs/>
          <w:color w:val="000000"/>
        </w:rPr>
        <w:t>J Viral Hepat</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28</w:t>
      </w:r>
      <w:r w:rsidRPr="00647F72">
        <w:rPr>
          <w:rFonts w:ascii="Book Antiqua" w:eastAsia="Book Antiqua" w:hAnsi="Book Antiqua" w:cs="Book Antiqua"/>
          <w:color w:val="000000"/>
        </w:rPr>
        <w:t>: 89-94 [PMID: 32969557 DOI: 10.1111/jvh.13410]</w:t>
      </w:r>
    </w:p>
    <w:p w:rsidR="00A77B3E" w:rsidRPr="00647F72" w:rsidRDefault="00B34FC9">
      <w:pPr>
        <w:spacing w:line="360" w:lineRule="auto"/>
        <w:jc w:val="both"/>
      </w:pPr>
      <w:r w:rsidRPr="00647F72">
        <w:rPr>
          <w:rFonts w:ascii="Book Antiqua" w:eastAsia="Book Antiqua" w:hAnsi="Book Antiqua" w:cs="Book Antiqua"/>
          <w:color w:val="000000"/>
        </w:rPr>
        <w:t xml:space="preserve">128 </w:t>
      </w:r>
      <w:r w:rsidRPr="00647F72">
        <w:rPr>
          <w:rFonts w:ascii="Book Antiqua" w:eastAsia="Book Antiqua" w:hAnsi="Book Antiqua" w:cs="Book Antiqua"/>
          <w:b/>
          <w:bCs/>
          <w:color w:val="000000"/>
        </w:rPr>
        <w:t>Zhu JH</w:t>
      </w:r>
      <w:r w:rsidRPr="00647F72">
        <w:rPr>
          <w:rFonts w:ascii="Book Antiqua" w:eastAsia="Book Antiqua" w:hAnsi="Book Antiqua" w:cs="Book Antiqua"/>
          <w:bCs/>
          <w:color w:val="000000"/>
        </w:rPr>
        <w:t>,</w:t>
      </w:r>
      <w:r w:rsidRPr="00647F72">
        <w:rPr>
          <w:rFonts w:ascii="Book Antiqua" w:eastAsia="Book Antiqua" w:hAnsi="Book Antiqua" w:cs="Book Antiqua"/>
          <w:color w:val="000000"/>
        </w:rPr>
        <w:t xml:space="preserve"> Peltekian KM. HBV coinfection and in-hospital outcomes for COVID-19: a systematic review and meta-analysis. </w:t>
      </w:r>
      <w:r w:rsidRPr="00647F72">
        <w:rPr>
          <w:rFonts w:ascii="Book Antiqua" w:eastAsia="Book Antiqua" w:hAnsi="Book Antiqua" w:cs="Book Antiqua"/>
          <w:i/>
          <w:color w:val="000000"/>
        </w:rPr>
        <w:t>Can Liver J</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color w:val="000000"/>
        </w:rPr>
        <w:t>4</w:t>
      </w:r>
      <w:r w:rsidRPr="00647F72">
        <w:rPr>
          <w:rFonts w:ascii="Book Antiqua" w:eastAsia="Book Antiqua" w:hAnsi="Book Antiqua" w:cs="Book Antiqua"/>
          <w:color w:val="000000"/>
        </w:rPr>
        <w:t>: 16</w:t>
      </w:r>
      <w:r w:rsidR="001A3AF1" w:rsidRPr="00647F72">
        <w:rPr>
          <w:rFonts w:ascii="Book Antiqua" w:hAnsi="Book Antiqua" w:cs="Book Antiqua" w:hint="eastAsia"/>
          <w:color w:val="000000"/>
          <w:lang w:eastAsia="zh-CN"/>
        </w:rPr>
        <w:t>-</w:t>
      </w:r>
      <w:r w:rsidRPr="00647F72">
        <w:rPr>
          <w:rFonts w:ascii="Book Antiqua" w:eastAsia="Book Antiqua" w:hAnsi="Book Antiqua" w:cs="Book Antiqua"/>
          <w:color w:val="000000"/>
        </w:rPr>
        <w:t>22</w:t>
      </w:r>
      <w:r w:rsidR="001A3AF1" w:rsidRPr="00647F72">
        <w:rPr>
          <w:rFonts w:ascii="Book Antiqua" w:hAnsi="Book Antiqua" w:cs="Book Antiqua" w:hint="eastAsia"/>
          <w:color w:val="000000"/>
          <w:lang w:eastAsia="zh-CN"/>
        </w:rPr>
        <w:t xml:space="preserve"> </w:t>
      </w:r>
      <w:r w:rsidRPr="00647F72">
        <w:rPr>
          <w:rFonts w:ascii="Book Antiqua" w:eastAsia="Book Antiqua" w:hAnsi="Book Antiqua" w:cs="Book Antiqua"/>
          <w:color w:val="000000"/>
        </w:rPr>
        <w:t>[DOI: 10.3138/canlivj-2020-0029]</w:t>
      </w:r>
    </w:p>
    <w:p w:rsidR="00A77B3E" w:rsidRPr="00647F72" w:rsidRDefault="00B34FC9">
      <w:pPr>
        <w:spacing w:line="360" w:lineRule="auto"/>
        <w:jc w:val="both"/>
      </w:pPr>
      <w:r w:rsidRPr="00647F72">
        <w:rPr>
          <w:rFonts w:ascii="Book Antiqua" w:eastAsia="Book Antiqua" w:hAnsi="Book Antiqua" w:cs="Book Antiqua"/>
          <w:color w:val="000000"/>
        </w:rPr>
        <w:t xml:space="preserve">129 </w:t>
      </w:r>
      <w:r w:rsidRPr="00647F72">
        <w:rPr>
          <w:rFonts w:ascii="Book Antiqua" w:eastAsia="Book Antiqua" w:hAnsi="Book Antiqua" w:cs="Book Antiqua"/>
          <w:b/>
          <w:bCs/>
          <w:color w:val="000000"/>
        </w:rPr>
        <w:t>Liu J</w:t>
      </w:r>
      <w:r w:rsidRPr="00647F72">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with pre-existing chronic hepatitis B virus infection. </w:t>
      </w:r>
      <w:r w:rsidRPr="00647F72">
        <w:rPr>
          <w:rFonts w:ascii="Book Antiqua" w:eastAsia="Book Antiqua" w:hAnsi="Book Antiqua" w:cs="Book Antiqua"/>
          <w:i/>
          <w:iCs/>
          <w:color w:val="000000"/>
        </w:rPr>
        <w:t>Hepatol Res</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50</w:t>
      </w:r>
      <w:r w:rsidRPr="00647F72">
        <w:rPr>
          <w:rFonts w:ascii="Book Antiqua" w:eastAsia="Book Antiqua" w:hAnsi="Book Antiqua" w:cs="Book Antiqua"/>
          <w:color w:val="000000"/>
        </w:rPr>
        <w:t>: 1211-1221 [PMID: 32761993 DOI: 10.1111/hepr.13553]</w:t>
      </w:r>
    </w:p>
    <w:p w:rsidR="00830E7B" w:rsidRPr="00647F72" w:rsidRDefault="00B34FC9">
      <w:pPr>
        <w:spacing w:line="360" w:lineRule="auto"/>
        <w:jc w:val="both"/>
        <w:rPr>
          <w:rFonts w:ascii="Book Antiqua" w:hAnsi="Book Antiqua" w:cs="Book Antiqua"/>
          <w:color w:val="000000"/>
          <w:lang w:eastAsia="zh-CN"/>
        </w:rPr>
      </w:pPr>
      <w:r w:rsidRPr="00647F72">
        <w:rPr>
          <w:rFonts w:ascii="Book Antiqua" w:eastAsia="Book Antiqua" w:hAnsi="Book Antiqua" w:cs="Book Antiqua"/>
          <w:color w:val="000000"/>
        </w:rPr>
        <w:t xml:space="preserve">130 </w:t>
      </w:r>
      <w:r w:rsidRPr="00647F72">
        <w:rPr>
          <w:rFonts w:ascii="Book Antiqua" w:eastAsia="Book Antiqua" w:hAnsi="Book Antiqua" w:cs="Book Antiqua"/>
          <w:b/>
          <w:color w:val="000000"/>
        </w:rPr>
        <w:t>National Institute of Diabetes and Digestive and Kidney Diseases</w:t>
      </w:r>
      <w:r w:rsidRPr="00647F72">
        <w:rPr>
          <w:rFonts w:ascii="Book Antiqua" w:eastAsia="Book Antiqua" w:hAnsi="Book Antiqua" w:cs="Book Antiqua"/>
          <w:color w:val="000000"/>
        </w:rPr>
        <w:t>. LiverTox: Clinical and Research Information on Drug-Induced Liver Injury. Bethesda</w:t>
      </w:r>
      <w:r w:rsidR="00830E7B" w:rsidRPr="00647F72">
        <w:t xml:space="preserve"> </w:t>
      </w:r>
      <w:r w:rsidR="00830E7B" w:rsidRPr="00647F72">
        <w:rPr>
          <w:rFonts w:ascii="Book Antiqua" w:eastAsia="Book Antiqua" w:hAnsi="Book Antiqua" w:cs="Book Antiqua"/>
          <w:color w:val="000000"/>
        </w:rPr>
        <w:t>(MD): National Institute of Diabetes and Digestive and Kidney Diseases; 2012</w:t>
      </w:r>
    </w:p>
    <w:p w:rsidR="00A77B3E" w:rsidRPr="00647F72" w:rsidRDefault="00B34FC9">
      <w:pPr>
        <w:spacing w:line="360" w:lineRule="auto"/>
        <w:jc w:val="both"/>
      </w:pPr>
      <w:r w:rsidRPr="00647F72">
        <w:rPr>
          <w:rFonts w:ascii="Book Antiqua" w:eastAsia="Book Antiqua" w:hAnsi="Book Antiqua" w:cs="Book Antiqua"/>
          <w:color w:val="000000"/>
        </w:rPr>
        <w:t xml:space="preserve">131 </w:t>
      </w:r>
      <w:r w:rsidRPr="00647F72">
        <w:rPr>
          <w:rFonts w:ascii="Book Antiqua" w:eastAsia="Book Antiqua" w:hAnsi="Book Antiqua" w:cs="Book Antiqua"/>
          <w:b/>
          <w:bCs/>
          <w:color w:val="000000"/>
        </w:rPr>
        <w:t>Bonnel AR</w:t>
      </w:r>
      <w:r w:rsidRPr="00647F72">
        <w:rPr>
          <w:rFonts w:ascii="Book Antiqua" w:eastAsia="Book Antiqua" w:hAnsi="Book Antiqua" w:cs="Book Antiqua"/>
          <w:color w:val="000000"/>
        </w:rPr>
        <w:t xml:space="preserve">, Bunchorntavakul C, Reddy KR. Immune dysfunction and infections in patients with cirrhosis. </w:t>
      </w:r>
      <w:r w:rsidRPr="00647F72">
        <w:rPr>
          <w:rFonts w:ascii="Book Antiqua" w:eastAsia="Book Antiqua" w:hAnsi="Book Antiqua" w:cs="Book Antiqua"/>
          <w:i/>
          <w:iCs/>
          <w:color w:val="000000"/>
        </w:rPr>
        <w:t>Clin Gastroenterol Hepatol</w:t>
      </w:r>
      <w:r w:rsidRPr="00647F72">
        <w:rPr>
          <w:rFonts w:ascii="Book Antiqua" w:eastAsia="Book Antiqua" w:hAnsi="Book Antiqua" w:cs="Book Antiqua"/>
          <w:color w:val="000000"/>
        </w:rPr>
        <w:t xml:space="preserve"> 2011; </w:t>
      </w:r>
      <w:r w:rsidRPr="00647F72">
        <w:rPr>
          <w:rFonts w:ascii="Book Antiqua" w:eastAsia="Book Antiqua" w:hAnsi="Book Antiqua" w:cs="Book Antiqua"/>
          <w:b/>
          <w:bCs/>
          <w:color w:val="000000"/>
        </w:rPr>
        <w:t>9</w:t>
      </w:r>
      <w:r w:rsidRPr="00647F72">
        <w:rPr>
          <w:rFonts w:ascii="Book Antiqua" w:eastAsia="Book Antiqua" w:hAnsi="Book Antiqua" w:cs="Book Antiqua"/>
          <w:color w:val="000000"/>
        </w:rPr>
        <w:t>: 727-738 [PMID: 21397731 DOI: 10.1016/j.cgh.2011.02.031]</w:t>
      </w:r>
    </w:p>
    <w:p w:rsidR="00A77B3E" w:rsidRPr="00647F72" w:rsidRDefault="00B34FC9">
      <w:pPr>
        <w:spacing w:line="360" w:lineRule="auto"/>
        <w:jc w:val="both"/>
      </w:pPr>
      <w:r w:rsidRPr="00647F72">
        <w:rPr>
          <w:rFonts w:ascii="Book Antiqua" w:eastAsia="Book Antiqua" w:hAnsi="Book Antiqua" w:cs="Book Antiqua"/>
          <w:color w:val="000000"/>
        </w:rPr>
        <w:t xml:space="preserve">132 </w:t>
      </w:r>
      <w:r w:rsidRPr="00647F72">
        <w:rPr>
          <w:rFonts w:ascii="Book Antiqua" w:eastAsia="Book Antiqua" w:hAnsi="Book Antiqua" w:cs="Book Antiqua"/>
          <w:b/>
          <w:bCs/>
          <w:color w:val="000000"/>
        </w:rPr>
        <w:t>Ekpanyapong S</w:t>
      </w:r>
      <w:r w:rsidRPr="00647F72">
        <w:rPr>
          <w:rFonts w:ascii="Book Antiqua" w:eastAsia="Book Antiqua" w:hAnsi="Book Antiqua" w:cs="Book Antiqua"/>
          <w:color w:val="000000"/>
        </w:rPr>
        <w:t xml:space="preserve">, Reddy KR. Infections in Cirrhosis. </w:t>
      </w:r>
      <w:r w:rsidRPr="00647F72">
        <w:rPr>
          <w:rFonts w:ascii="Book Antiqua" w:eastAsia="Book Antiqua" w:hAnsi="Book Antiqua" w:cs="Book Antiqua"/>
          <w:i/>
          <w:iCs/>
          <w:color w:val="000000"/>
        </w:rPr>
        <w:t>Curr Treat Options Gastroenterol</w:t>
      </w:r>
      <w:r w:rsidRPr="00647F72">
        <w:rPr>
          <w:rFonts w:ascii="Book Antiqua" w:eastAsia="Book Antiqua" w:hAnsi="Book Antiqua" w:cs="Book Antiqua"/>
          <w:color w:val="000000"/>
        </w:rPr>
        <w:t xml:space="preserve"> 2019; </w:t>
      </w:r>
      <w:r w:rsidRPr="00647F72">
        <w:rPr>
          <w:rFonts w:ascii="Book Antiqua" w:eastAsia="Book Antiqua" w:hAnsi="Book Antiqua" w:cs="Book Antiqua"/>
          <w:b/>
          <w:bCs/>
          <w:color w:val="000000"/>
        </w:rPr>
        <w:t>17</w:t>
      </w:r>
      <w:r w:rsidRPr="00647F72">
        <w:rPr>
          <w:rFonts w:ascii="Book Antiqua" w:eastAsia="Book Antiqua" w:hAnsi="Book Antiqua" w:cs="Book Antiqua"/>
          <w:color w:val="000000"/>
        </w:rPr>
        <w:t>: 254-270 [PMID: 30980335 DOI: 10.1007/s11938-019-00229-2]</w:t>
      </w:r>
    </w:p>
    <w:p w:rsidR="00A77B3E" w:rsidRPr="00647F72" w:rsidRDefault="00B34FC9">
      <w:pPr>
        <w:spacing w:line="360" w:lineRule="auto"/>
        <w:jc w:val="both"/>
      </w:pPr>
      <w:r w:rsidRPr="00647F72">
        <w:rPr>
          <w:rFonts w:ascii="Book Antiqua" w:eastAsia="Book Antiqua" w:hAnsi="Book Antiqua" w:cs="Book Antiqua"/>
          <w:color w:val="000000"/>
        </w:rPr>
        <w:t xml:space="preserve">133 </w:t>
      </w:r>
      <w:r w:rsidRPr="00647F72">
        <w:rPr>
          <w:rFonts w:ascii="Book Antiqua" w:eastAsia="Book Antiqua" w:hAnsi="Book Antiqua" w:cs="Book Antiqua"/>
          <w:b/>
          <w:bCs/>
          <w:color w:val="000000"/>
        </w:rPr>
        <w:t>Valour F</w:t>
      </w:r>
      <w:r w:rsidRPr="00647F72">
        <w:rPr>
          <w:rFonts w:ascii="Book Antiqua" w:eastAsia="Book Antiqua" w:hAnsi="Book Antiqua" w:cs="Book Antiqua"/>
          <w:color w:val="000000"/>
        </w:rPr>
        <w:t xml:space="preserve">, Conrad A, Ader F, Launay O. Vaccination in adult liver transplantation candidates and recipients. </w:t>
      </w:r>
      <w:r w:rsidRPr="00647F72">
        <w:rPr>
          <w:rFonts w:ascii="Book Antiqua" w:eastAsia="Book Antiqua" w:hAnsi="Book Antiqua" w:cs="Book Antiqua"/>
          <w:i/>
          <w:iCs/>
          <w:color w:val="000000"/>
        </w:rPr>
        <w:t>Clin Res Hepatol Gastroenterol</w:t>
      </w:r>
      <w:r w:rsidRPr="00647F72">
        <w:rPr>
          <w:rFonts w:ascii="Book Antiqua" w:eastAsia="Book Antiqua" w:hAnsi="Book Antiqua" w:cs="Book Antiqua"/>
          <w:color w:val="000000"/>
        </w:rPr>
        <w:t xml:space="preserve"> 2020; </w:t>
      </w:r>
      <w:r w:rsidRPr="00647F72">
        <w:rPr>
          <w:rFonts w:ascii="Book Antiqua" w:eastAsia="Book Antiqua" w:hAnsi="Book Antiqua" w:cs="Book Antiqua"/>
          <w:b/>
          <w:bCs/>
          <w:color w:val="000000"/>
        </w:rPr>
        <w:t>44</w:t>
      </w:r>
      <w:r w:rsidRPr="00647F72">
        <w:rPr>
          <w:rFonts w:ascii="Book Antiqua" w:eastAsia="Book Antiqua" w:hAnsi="Book Antiqua" w:cs="Book Antiqua"/>
          <w:color w:val="000000"/>
        </w:rPr>
        <w:t>: 126-134 [PMID: 31607643 DOI: 10.1016/j.clinre.2019.08.007]</w:t>
      </w:r>
    </w:p>
    <w:p w:rsidR="00A77B3E" w:rsidRPr="00647F72" w:rsidRDefault="00B34FC9">
      <w:pPr>
        <w:spacing w:line="360" w:lineRule="auto"/>
        <w:jc w:val="both"/>
      </w:pPr>
      <w:r w:rsidRPr="00647F72">
        <w:rPr>
          <w:rFonts w:ascii="Book Antiqua" w:eastAsia="Book Antiqua" w:hAnsi="Book Antiqua" w:cs="Book Antiqua"/>
          <w:color w:val="000000"/>
        </w:rPr>
        <w:t xml:space="preserve">134 </w:t>
      </w:r>
      <w:r w:rsidRPr="00647F72">
        <w:rPr>
          <w:rFonts w:ascii="Book Antiqua" w:eastAsia="Book Antiqua" w:hAnsi="Book Antiqua" w:cs="Book Antiqua"/>
          <w:b/>
          <w:bCs/>
          <w:color w:val="000000"/>
        </w:rPr>
        <w:t>Sadoff J</w:t>
      </w:r>
      <w:r w:rsidRPr="00647F72">
        <w:rPr>
          <w:rFonts w:ascii="Book Antiqua" w:eastAsia="Book Antiqua" w:hAnsi="Book Antiqua" w:cs="Book Antiqua"/>
          <w:color w:val="000000"/>
        </w:rPr>
        <w:t xml:space="preserve">, Le Gars M, Shukarev G, Heerwegh D, Truyers C, de Groot AM, Stoop J, Tete S, Van Damme W, Leroux-Roels I, Berghmans PJ, Kimmel M, Van Damme P, de Hoon J, Smith W, Stephenson KE, De Rosa SC, Cohen KW, McElrath MJ, Cormier E, Scheper G, Barouch DH, Hendriks J, Struyf F, Douoguih M, Van Hoof J, Schuitemaker H. Interim Results of a Phase 1-2a Trial of Ad26.COV2.S Covid-19 Vaccine. </w:t>
      </w:r>
      <w:r w:rsidRPr="00647F72">
        <w:rPr>
          <w:rFonts w:ascii="Book Antiqua" w:eastAsia="Book Antiqua" w:hAnsi="Book Antiqua" w:cs="Book Antiqua"/>
          <w:i/>
          <w:iCs/>
          <w:color w:val="000000"/>
        </w:rPr>
        <w:t>N Engl J Med</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384</w:t>
      </w:r>
      <w:r w:rsidRPr="00647F72">
        <w:rPr>
          <w:rFonts w:ascii="Book Antiqua" w:eastAsia="Book Antiqua" w:hAnsi="Book Antiqua" w:cs="Book Antiqua"/>
          <w:color w:val="000000"/>
        </w:rPr>
        <w:t>: 1824-1835 [PMID: 33440088 DOI: 10.1056/NEJMoa2034201]</w:t>
      </w:r>
    </w:p>
    <w:p w:rsidR="00A77B3E" w:rsidRPr="00647F72" w:rsidRDefault="00B34FC9">
      <w:pPr>
        <w:spacing w:line="360" w:lineRule="auto"/>
        <w:jc w:val="both"/>
      </w:pPr>
      <w:r w:rsidRPr="00647F72">
        <w:rPr>
          <w:rFonts w:ascii="Book Antiqua" w:eastAsia="Book Antiqua" w:hAnsi="Book Antiqua" w:cs="Book Antiqua"/>
          <w:color w:val="000000"/>
        </w:rPr>
        <w:t xml:space="preserve">135 </w:t>
      </w:r>
      <w:r w:rsidRPr="00647F72">
        <w:rPr>
          <w:rFonts w:ascii="Book Antiqua" w:eastAsia="Book Antiqua" w:hAnsi="Book Antiqua" w:cs="Book Antiqua"/>
          <w:b/>
          <w:bCs/>
          <w:color w:val="000000"/>
        </w:rPr>
        <w:t>Logunov DY</w:t>
      </w:r>
      <w:r w:rsidRPr="00647F72">
        <w:rPr>
          <w:rFonts w:ascii="Book Antiqua" w:eastAsia="Book Antiqua" w:hAnsi="Book Antiqua" w:cs="Book Antiqua"/>
          <w:color w:val="000000"/>
        </w:rPr>
        <w:t xml:space="preserve">, Dolzhikova IV, Shcheblyakov DV, Tukhvatulin AI, Zubkova OV, Dzharullaeva AS, Kovyrshina AV, Lubenets NL, Grousova DM, Erokhova AS, Botikov AG, Izhaeva FM, Popova O, Ozharovskaya TA, Esmagambetov IB, Favorskaya IA, Zrelkin DI, Voronina DV, Shcherbinin DN, Semikhin AS, Simakova YV, Tokarskaya EA, Egorova DA, Shmarov MM, Nikitenko NA, Gushchin VA, Smolyarchuk EA, Zyryanov SK, Borisevich SV, Naroditsky BS, Gintsburg AL; Gam-COVID-Vac Vaccine Trial Group. Safety and efficacy of an rAd26 and rAd5 vector-based heterologous prime-boost COVID-19 vaccine: an interim analysis of a randomised controlled phase 3 trial in Russia. </w:t>
      </w:r>
      <w:r w:rsidRPr="00647F72">
        <w:rPr>
          <w:rFonts w:ascii="Book Antiqua" w:eastAsia="Book Antiqua" w:hAnsi="Book Antiqua" w:cs="Book Antiqua"/>
          <w:i/>
          <w:iCs/>
          <w:color w:val="000000"/>
        </w:rPr>
        <w:t>Lancet</w:t>
      </w:r>
      <w:r w:rsidRPr="00647F72">
        <w:rPr>
          <w:rFonts w:ascii="Book Antiqua" w:eastAsia="Book Antiqua" w:hAnsi="Book Antiqua" w:cs="Book Antiqua"/>
          <w:color w:val="000000"/>
        </w:rPr>
        <w:t xml:space="preserve"> 2021; </w:t>
      </w:r>
      <w:r w:rsidRPr="00647F72">
        <w:rPr>
          <w:rFonts w:ascii="Book Antiqua" w:eastAsia="Book Antiqua" w:hAnsi="Book Antiqua" w:cs="Book Antiqua"/>
          <w:b/>
          <w:bCs/>
          <w:color w:val="000000"/>
        </w:rPr>
        <w:t>397</w:t>
      </w:r>
      <w:r w:rsidRPr="00647F72">
        <w:rPr>
          <w:rFonts w:ascii="Book Antiqua" w:eastAsia="Book Antiqua" w:hAnsi="Book Antiqua" w:cs="Book Antiqua"/>
          <w:color w:val="000000"/>
        </w:rPr>
        <w:t>: 671-681 [PMID: 33545094 DOI: 10.1016/S0140-6736(21)00234-8]</w:t>
      </w:r>
    </w:p>
    <w:p w:rsidR="00A77B3E" w:rsidRPr="00647F72" w:rsidRDefault="00A77B3E">
      <w:pPr>
        <w:spacing w:line="360" w:lineRule="auto"/>
        <w:jc w:val="both"/>
        <w:sectPr w:rsidR="00A77B3E" w:rsidRPr="00647F72">
          <w:pgSz w:w="12240" w:h="15840"/>
          <w:pgMar w:top="1440" w:right="1440" w:bottom="1440" w:left="1440" w:header="720" w:footer="720" w:gutter="0"/>
          <w:cols w:space="720"/>
          <w:docGrid w:linePitch="360"/>
        </w:sectPr>
      </w:pPr>
    </w:p>
    <w:p w:rsidR="00A77B3E" w:rsidRPr="00647F72" w:rsidRDefault="00B34FC9">
      <w:pPr>
        <w:spacing w:line="360" w:lineRule="auto"/>
        <w:jc w:val="both"/>
      </w:pPr>
      <w:r w:rsidRPr="00647F72">
        <w:rPr>
          <w:rFonts w:ascii="Book Antiqua" w:eastAsia="Book Antiqua" w:hAnsi="Book Antiqua" w:cs="Book Antiqua"/>
          <w:b/>
          <w:color w:val="000000"/>
        </w:rPr>
        <w:t>Footnotes</w:t>
      </w:r>
    </w:p>
    <w:p w:rsidR="00A77B3E" w:rsidRPr="00647F72" w:rsidRDefault="00B34FC9">
      <w:pPr>
        <w:spacing w:line="360" w:lineRule="auto"/>
        <w:jc w:val="both"/>
      </w:pPr>
      <w:r w:rsidRPr="00647F72">
        <w:rPr>
          <w:rFonts w:ascii="Book Antiqua" w:eastAsia="Book Antiqua" w:hAnsi="Book Antiqua" w:cs="Book Antiqua"/>
          <w:b/>
          <w:bCs/>
          <w:color w:val="000000"/>
          <w:szCs w:val="22"/>
        </w:rPr>
        <w:t xml:space="preserve">Conflict-of-interest statement: </w:t>
      </w:r>
      <w:r w:rsidRPr="00647F72">
        <w:rPr>
          <w:rFonts w:ascii="Book Antiqua" w:eastAsia="Book Antiqua" w:hAnsi="Book Antiqua" w:cs="Book Antiqua"/>
          <w:color w:val="000000"/>
        </w:rPr>
        <w:t>The authors declare having no conflict of interests for this article.</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bCs/>
          <w:color w:val="000000"/>
        </w:rPr>
        <w:t xml:space="preserve">Open-Access: </w:t>
      </w:r>
      <w:r w:rsidRPr="00647F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color w:val="000000"/>
        </w:rPr>
        <w:t xml:space="preserve">Manuscript source: </w:t>
      </w:r>
      <w:r w:rsidRPr="00647F72">
        <w:rPr>
          <w:rFonts w:ascii="Book Antiqua" w:eastAsia="Book Antiqua" w:hAnsi="Book Antiqua" w:cs="Book Antiqua"/>
          <w:color w:val="000000"/>
        </w:rPr>
        <w:t xml:space="preserve">Invited </w:t>
      </w:r>
      <w:r w:rsidR="00385908" w:rsidRPr="00647F72">
        <w:rPr>
          <w:rFonts w:ascii="Book Antiqua" w:hAnsi="Book Antiqua" w:cs="Book Antiqua" w:hint="eastAsia"/>
          <w:color w:val="000000"/>
          <w:lang w:eastAsia="zh-CN"/>
        </w:rPr>
        <w:t>m</w:t>
      </w:r>
      <w:r w:rsidRPr="00647F72">
        <w:rPr>
          <w:rFonts w:ascii="Book Antiqua" w:eastAsia="Book Antiqua" w:hAnsi="Book Antiqua" w:cs="Book Antiqua"/>
          <w:color w:val="000000"/>
        </w:rPr>
        <w:t>anuscript</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color w:val="000000"/>
        </w:rPr>
        <w:t xml:space="preserve">Peer-review started: </w:t>
      </w:r>
      <w:r w:rsidRPr="00647F72">
        <w:rPr>
          <w:rFonts w:ascii="Book Antiqua" w:eastAsia="Book Antiqua" w:hAnsi="Book Antiqua" w:cs="Book Antiqua"/>
          <w:color w:val="000000"/>
        </w:rPr>
        <w:t>March 16, 2021</w:t>
      </w:r>
    </w:p>
    <w:p w:rsidR="00A77B3E" w:rsidRPr="00647F72" w:rsidRDefault="00B34FC9">
      <w:pPr>
        <w:spacing w:line="360" w:lineRule="auto"/>
        <w:jc w:val="both"/>
      </w:pPr>
      <w:r w:rsidRPr="00647F72">
        <w:rPr>
          <w:rFonts w:ascii="Book Antiqua" w:eastAsia="Book Antiqua" w:hAnsi="Book Antiqua" w:cs="Book Antiqua"/>
          <w:b/>
          <w:color w:val="000000"/>
        </w:rPr>
        <w:t xml:space="preserve">First decision: </w:t>
      </w:r>
      <w:r w:rsidRPr="00647F72">
        <w:rPr>
          <w:rFonts w:ascii="Book Antiqua" w:eastAsia="Book Antiqua" w:hAnsi="Book Antiqua" w:cs="Book Antiqua"/>
          <w:color w:val="000000"/>
        </w:rPr>
        <w:t>May 1, 2021</w:t>
      </w:r>
    </w:p>
    <w:p w:rsidR="00A77B3E" w:rsidRPr="00647F72" w:rsidRDefault="00B34FC9">
      <w:pPr>
        <w:spacing w:line="360" w:lineRule="auto"/>
        <w:jc w:val="both"/>
      </w:pPr>
      <w:r w:rsidRPr="00647F72">
        <w:rPr>
          <w:rFonts w:ascii="Book Antiqua" w:eastAsia="Book Antiqua" w:hAnsi="Book Antiqua" w:cs="Book Antiqua"/>
          <w:b/>
          <w:color w:val="000000"/>
        </w:rPr>
        <w:t xml:space="preserve">Article in press: </w:t>
      </w:r>
      <w:r w:rsidR="00C115F7" w:rsidRPr="00647F72">
        <w:rPr>
          <w:rFonts w:ascii="Book Antiqua" w:eastAsia="Book Antiqua" w:hAnsi="Book Antiqua" w:cs="Book Antiqua"/>
          <w:bCs/>
          <w:color w:val="000000"/>
        </w:rPr>
        <w:t>June 16, 2021</w:t>
      </w:r>
    </w:p>
    <w:p w:rsidR="00A77B3E" w:rsidRPr="00647F72" w:rsidRDefault="00A77B3E">
      <w:pPr>
        <w:spacing w:line="360" w:lineRule="auto"/>
        <w:jc w:val="both"/>
      </w:pPr>
    </w:p>
    <w:p w:rsidR="00A77B3E" w:rsidRPr="00647F72" w:rsidRDefault="00B34FC9">
      <w:pPr>
        <w:spacing w:line="360" w:lineRule="auto"/>
        <w:jc w:val="both"/>
      </w:pPr>
      <w:r w:rsidRPr="00647F72">
        <w:rPr>
          <w:rFonts w:ascii="Book Antiqua" w:eastAsia="Book Antiqua" w:hAnsi="Book Antiqua" w:cs="Book Antiqua"/>
          <w:b/>
          <w:color w:val="000000"/>
        </w:rPr>
        <w:t xml:space="preserve">Specialty type: </w:t>
      </w:r>
      <w:r w:rsidRPr="00647F72">
        <w:rPr>
          <w:rFonts w:ascii="Book Antiqua" w:eastAsia="Book Antiqua" w:hAnsi="Book Antiqua" w:cs="Book Antiqua"/>
          <w:color w:val="000000"/>
        </w:rPr>
        <w:t xml:space="preserve">Gastroenterology and </w:t>
      </w:r>
      <w:r w:rsidR="00385908" w:rsidRPr="00647F72">
        <w:rPr>
          <w:rFonts w:ascii="Book Antiqua" w:hAnsi="Book Antiqua" w:cs="Book Antiqua" w:hint="eastAsia"/>
          <w:color w:val="000000"/>
          <w:lang w:eastAsia="zh-CN"/>
        </w:rPr>
        <w:t>h</w:t>
      </w:r>
      <w:r w:rsidRPr="00647F72">
        <w:rPr>
          <w:rFonts w:ascii="Book Antiqua" w:eastAsia="Book Antiqua" w:hAnsi="Book Antiqua" w:cs="Book Antiqua"/>
          <w:color w:val="000000"/>
        </w:rPr>
        <w:t>epatology</w:t>
      </w:r>
    </w:p>
    <w:p w:rsidR="00A77B3E" w:rsidRPr="00647F72" w:rsidRDefault="00B34FC9">
      <w:pPr>
        <w:spacing w:line="360" w:lineRule="auto"/>
        <w:jc w:val="both"/>
      </w:pPr>
      <w:r w:rsidRPr="00647F72">
        <w:rPr>
          <w:rFonts w:ascii="Book Antiqua" w:eastAsia="Book Antiqua" w:hAnsi="Book Antiqua" w:cs="Book Antiqua"/>
          <w:b/>
          <w:color w:val="000000"/>
        </w:rPr>
        <w:t xml:space="preserve">Country/Territory of origin: </w:t>
      </w:r>
      <w:r w:rsidR="00891C93" w:rsidRPr="00647F72">
        <w:rPr>
          <w:rFonts w:ascii="Book Antiqua" w:eastAsia="Book Antiqua" w:hAnsi="Book Antiqua" w:cs="Book Antiqua"/>
          <w:color w:val="000000"/>
        </w:rPr>
        <w:t xml:space="preserve"> </w:t>
      </w:r>
      <w:commentRangeStart w:id="0"/>
      <w:r w:rsidR="00891C93" w:rsidRPr="00647F72">
        <w:rPr>
          <w:rFonts w:ascii="Book Antiqua" w:eastAsia="Book Antiqua" w:hAnsi="Book Antiqua" w:cs="Book Antiqua"/>
          <w:color w:val="000000"/>
        </w:rPr>
        <w:t>Mexico</w:t>
      </w:r>
      <w:commentRangeEnd w:id="0"/>
      <w:r w:rsidR="00891C93" w:rsidRPr="00647F72">
        <w:rPr>
          <w:rStyle w:val="a3"/>
        </w:rPr>
        <w:commentReference w:id="0"/>
      </w:r>
    </w:p>
    <w:p w:rsidR="00A77B3E" w:rsidRPr="00647F72" w:rsidRDefault="00B34FC9">
      <w:pPr>
        <w:spacing w:line="360" w:lineRule="auto"/>
        <w:jc w:val="both"/>
      </w:pPr>
      <w:r w:rsidRPr="00647F72">
        <w:rPr>
          <w:rFonts w:ascii="Book Antiqua" w:eastAsia="Book Antiqua" w:hAnsi="Book Antiqua" w:cs="Book Antiqua"/>
          <w:b/>
          <w:color w:val="000000"/>
        </w:rPr>
        <w:t>Peer-review report’s scientific quality classification</w:t>
      </w:r>
    </w:p>
    <w:p w:rsidR="00A77B3E" w:rsidRPr="00647F72" w:rsidRDefault="00B34FC9">
      <w:pPr>
        <w:spacing w:line="360" w:lineRule="auto"/>
        <w:jc w:val="both"/>
      </w:pPr>
      <w:r w:rsidRPr="00647F72">
        <w:rPr>
          <w:rFonts w:ascii="Book Antiqua" w:eastAsia="Book Antiqua" w:hAnsi="Book Antiqua" w:cs="Book Antiqua"/>
          <w:color w:val="000000"/>
        </w:rPr>
        <w:t>Grade A (Excellent): A, A</w:t>
      </w:r>
    </w:p>
    <w:p w:rsidR="00A77B3E" w:rsidRPr="00647F72" w:rsidRDefault="00B34FC9">
      <w:pPr>
        <w:spacing w:line="360" w:lineRule="auto"/>
        <w:jc w:val="both"/>
      </w:pPr>
      <w:r w:rsidRPr="00647F72">
        <w:rPr>
          <w:rFonts w:ascii="Book Antiqua" w:eastAsia="Book Antiqua" w:hAnsi="Book Antiqua" w:cs="Book Antiqua"/>
          <w:color w:val="000000"/>
        </w:rPr>
        <w:t>Grade B (Very good): 0</w:t>
      </w:r>
    </w:p>
    <w:p w:rsidR="00A77B3E" w:rsidRPr="00647F72" w:rsidRDefault="00B34FC9">
      <w:pPr>
        <w:spacing w:line="360" w:lineRule="auto"/>
        <w:jc w:val="both"/>
      </w:pPr>
      <w:r w:rsidRPr="00647F72">
        <w:rPr>
          <w:rFonts w:ascii="Book Antiqua" w:eastAsia="Book Antiqua" w:hAnsi="Book Antiqua" w:cs="Book Antiqua"/>
          <w:color w:val="000000"/>
        </w:rPr>
        <w:t>Grade C (Good): C</w:t>
      </w:r>
    </w:p>
    <w:p w:rsidR="00A77B3E" w:rsidRPr="00647F72" w:rsidRDefault="00B34FC9">
      <w:pPr>
        <w:spacing w:line="360" w:lineRule="auto"/>
        <w:jc w:val="both"/>
      </w:pPr>
      <w:r w:rsidRPr="00647F72">
        <w:rPr>
          <w:rFonts w:ascii="Book Antiqua" w:eastAsia="Book Antiqua" w:hAnsi="Book Antiqua" w:cs="Book Antiqua"/>
          <w:color w:val="000000"/>
        </w:rPr>
        <w:t>Grade D (Fair): 0</w:t>
      </w:r>
    </w:p>
    <w:p w:rsidR="00A77B3E" w:rsidRPr="00647F72" w:rsidRDefault="00B34FC9">
      <w:pPr>
        <w:spacing w:line="360" w:lineRule="auto"/>
        <w:jc w:val="both"/>
      </w:pPr>
      <w:r w:rsidRPr="00647F72">
        <w:rPr>
          <w:rFonts w:ascii="Book Antiqua" w:eastAsia="Book Antiqua" w:hAnsi="Book Antiqua" w:cs="Book Antiqua"/>
          <w:color w:val="000000"/>
        </w:rPr>
        <w:t>Grade E (Poor): 0</w:t>
      </w:r>
    </w:p>
    <w:p w:rsidR="00A77B3E" w:rsidRPr="00647F72" w:rsidRDefault="00A77B3E">
      <w:pPr>
        <w:spacing w:line="360" w:lineRule="auto"/>
        <w:jc w:val="both"/>
      </w:pPr>
    </w:p>
    <w:p w:rsidR="00B34FC9" w:rsidRPr="00647F72" w:rsidRDefault="00B34FC9">
      <w:pPr>
        <w:spacing w:line="360" w:lineRule="auto"/>
        <w:jc w:val="both"/>
        <w:rPr>
          <w:rFonts w:ascii="Book Antiqua" w:eastAsia="Book Antiqua" w:hAnsi="Book Antiqua" w:cs="Book Antiqua"/>
          <w:b/>
          <w:color w:val="000000"/>
        </w:rPr>
      </w:pPr>
      <w:r w:rsidRPr="00647F72">
        <w:rPr>
          <w:rFonts w:ascii="Book Antiqua" w:eastAsia="Book Antiqua" w:hAnsi="Book Antiqua" w:cs="Book Antiqua"/>
          <w:b/>
          <w:color w:val="000000"/>
        </w:rPr>
        <w:t xml:space="preserve">P-Reviewer: </w:t>
      </w:r>
      <w:r w:rsidRPr="00647F72">
        <w:rPr>
          <w:rFonts w:ascii="Book Antiqua" w:eastAsia="Book Antiqua" w:hAnsi="Book Antiqua" w:cs="Book Antiqua"/>
          <w:color w:val="000000"/>
        </w:rPr>
        <w:t>Chen S, Tamori A, Zhong HJ</w:t>
      </w:r>
      <w:r w:rsidRPr="00647F72">
        <w:rPr>
          <w:rFonts w:ascii="Book Antiqua" w:eastAsia="Book Antiqua" w:hAnsi="Book Antiqua" w:cs="Book Antiqua"/>
          <w:b/>
          <w:color w:val="000000"/>
        </w:rPr>
        <w:t xml:space="preserve"> S-Editor: </w:t>
      </w:r>
      <w:r w:rsidRPr="00647F72">
        <w:rPr>
          <w:rFonts w:ascii="Book Antiqua" w:eastAsia="Book Antiqua" w:hAnsi="Book Antiqua" w:cs="Book Antiqua"/>
          <w:color w:val="000000"/>
        </w:rPr>
        <w:t>Gao CC</w:t>
      </w:r>
      <w:r w:rsidRPr="00647F72">
        <w:rPr>
          <w:rFonts w:ascii="Book Antiqua" w:eastAsia="Book Antiqua" w:hAnsi="Book Antiqua" w:cs="Book Antiqua"/>
          <w:b/>
          <w:color w:val="000000"/>
        </w:rPr>
        <w:t xml:space="preserve"> L-Editor: </w:t>
      </w:r>
      <w:r w:rsidR="009C150F" w:rsidRPr="00647F72">
        <w:rPr>
          <w:rFonts w:ascii="Book Antiqua" w:eastAsia="Book Antiqua" w:hAnsi="Book Antiqua" w:cs="Book Antiqua"/>
          <w:color w:val="000000"/>
        </w:rPr>
        <w:t>Wang TQ</w:t>
      </w:r>
      <w:r w:rsidRPr="00647F72">
        <w:rPr>
          <w:rFonts w:ascii="Book Antiqua" w:eastAsia="Book Antiqua" w:hAnsi="Book Antiqua" w:cs="Book Antiqua"/>
          <w:b/>
          <w:color w:val="000000"/>
        </w:rPr>
        <w:t xml:space="preserve"> P-Editor: </w:t>
      </w:r>
      <w:r w:rsidR="00C115F7" w:rsidRPr="00647F72">
        <w:rPr>
          <w:rFonts w:ascii="Book Antiqua" w:eastAsia="Book Antiqua" w:hAnsi="Book Antiqua" w:cs="Book Antiqua"/>
          <w:color w:val="000000"/>
        </w:rPr>
        <w:t>Xing YX</w:t>
      </w:r>
    </w:p>
    <w:p w:rsidR="00A77B3E" w:rsidRPr="00647F72" w:rsidRDefault="00B34FC9">
      <w:pPr>
        <w:spacing w:line="360" w:lineRule="auto"/>
        <w:jc w:val="both"/>
        <w:rPr>
          <w:rFonts w:ascii="Book Antiqua" w:hAnsi="Book Antiqua" w:cs="Book Antiqua"/>
          <w:b/>
          <w:color w:val="000000"/>
          <w:lang w:eastAsia="zh-CN"/>
        </w:rPr>
      </w:pPr>
      <w:r w:rsidRPr="00647F72">
        <w:rPr>
          <w:rFonts w:ascii="Book Antiqua" w:eastAsia="Book Antiqua" w:hAnsi="Book Antiqua" w:cs="Book Antiqua"/>
          <w:b/>
          <w:color w:val="000000"/>
        </w:rPr>
        <w:br w:type="page"/>
        <w:t>Table 1 Principal studies about liver damage in coronavirus disease 2019 patients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91"/>
        <w:gridCol w:w="4950"/>
      </w:tblGrid>
      <w:tr w:rsidR="00B34FC9" w:rsidRPr="00647F72" w:rsidTr="007A7E7F">
        <w:tc>
          <w:tcPr>
            <w:tcW w:w="2235" w:type="dxa"/>
            <w:tcBorders>
              <w:top w:val="single" w:sz="4" w:space="0" w:color="auto"/>
              <w:bottom w:val="single" w:sz="4" w:space="0" w:color="auto"/>
            </w:tcBorders>
          </w:tcPr>
          <w:p w:rsidR="00B34FC9" w:rsidRPr="00647F72" w:rsidRDefault="00B34FC9" w:rsidP="00B34FC9">
            <w:pPr>
              <w:spacing w:line="360" w:lineRule="auto"/>
              <w:jc w:val="both"/>
              <w:rPr>
                <w:rFonts w:ascii="Book Antiqua" w:hAnsi="Book Antiqua"/>
                <w:b/>
                <w:lang w:eastAsia="zh-CN"/>
              </w:rPr>
            </w:pPr>
            <w:r w:rsidRPr="00647F72">
              <w:rPr>
                <w:rFonts w:ascii="Book Antiqua" w:hAnsi="Book Antiqua" w:hint="eastAsia"/>
                <w:b/>
                <w:lang w:eastAsia="zh-CN"/>
              </w:rPr>
              <w:t>Ref.</w:t>
            </w:r>
          </w:p>
        </w:tc>
        <w:tc>
          <w:tcPr>
            <w:tcW w:w="2391" w:type="dxa"/>
            <w:tcBorders>
              <w:top w:val="single" w:sz="4" w:space="0" w:color="auto"/>
              <w:bottom w:val="single" w:sz="4" w:space="0" w:color="auto"/>
            </w:tcBorders>
          </w:tcPr>
          <w:p w:rsidR="00B34FC9" w:rsidRPr="00647F72" w:rsidRDefault="00B34FC9" w:rsidP="00B34FC9">
            <w:pPr>
              <w:spacing w:line="360" w:lineRule="auto"/>
              <w:jc w:val="both"/>
              <w:rPr>
                <w:rFonts w:ascii="Book Antiqua" w:hAnsi="Book Antiqua"/>
                <w:b/>
              </w:rPr>
            </w:pPr>
            <w:r w:rsidRPr="00647F72">
              <w:rPr>
                <w:rFonts w:ascii="Book Antiqua" w:hAnsi="Book Antiqua"/>
                <w:b/>
              </w:rPr>
              <w:t>Study</w:t>
            </w:r>
          </w:p>
        </w:tc>
        <w:tc>
          <w:tcPr>
            <w:tcW w:w="4950" w:type="dxa"/>
            <w:tcBorders>
              <w:top w:val="single" w:sz="4" w:space="0" w:color="auto"/>
              <w:bottom w:val="single" w:sz="4" w:space="0" w:color="auto"/>
            </w:tcBorders>
          </w:tcPr>
          <w:p w:rsidR="00B34FC9" w:rsidRPr="00647F72" w:rsidRDefault="00B34FC9" w:rsidP="00B34FC9">
            <w:pPr>
              <w:spacing w:line="360" w:lineRule="auto"/>
              <w:jc w:val="both"/>
              <w:rPr>
                <w:rFonts w:ascii="Book Antiqua" w:hAnsi="Book Antiqua"/>
                <w:b/>
              </w:rPr>
            </w:pPr>
            <w:r w:rsidRPr="00647F72">
              <w:rPr>
                <w:rFonts w:ascii="Book Antiqua" w:hAnsi="Book Antiqua"/>
                <w:b/>
              </w:rPr>
              <w:t>Findings</w:t>
            </w:r>
          </w:p>
        </w:tc>
      </w:tr>
      <w:tr w:rsidR="00B34FC9" w:rsidRPr="00647F72" w:rsidTr="007A7E7F">
        <w:tc>
          <w:tcPr>
            <w:tcW w:w="2235" w:type="dxa"/>
            <w:tcBorders>
              <w:top w:val="single" w:sz="4" w:space="0" w:color="auto"/>
            </w:tcBorders>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Mao </w:t>
            </w:r>
            <w:r w:rsidRPr="00647F72">
              <w:rPr>
                <w:rFonts w:ascii="Book Antiqua" w:hAnsi="Book Antiqua" w:hint="eastAsia"/>
                <w:i/>
                <w:lang w:eastAsia="zh-CN"/>
              </w:rPr>
              <w:t>et al</w:t>
            </w:r>
            <w:r w:rsidRPr="00647F72">
              <w:rPr>
                <w:rFonts w:ascii="Book Antiqua" w:hAnsi="Book Antiqua"/>
                <w:vertAlign w:val="superscript"/>
              </w:rPr>
              <w:t>[15]</w:t>
            </w:r>
          </w:p>
        </w:tc>
        <w:tc>
          <w:tcPr>
            <w:tcW w:w="2391" w:type="dxa"/>
            <w:tcBorders>
              <w:top w:val="single" w:sz="4" w:space="0" w:color="auto"/>
            </w:tcBorders>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SR (35 studies,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6686)</w:t>
            </w:r>
          </w:p>
        </w:tc>
        <w:tc>
          <w:tcPr>
            <w:tcW w:w="4950" w:type="dxa"/>
            <w:tcBorders>
              <w:top w:val="single" w:sz="4" w:space="0" w:color="auto"/>
            </w:tcBorders>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The prevalence of abnormal liver functions was 19% (CI: 9-32). Patients with severe COVID-19 had higher rates of abnormal liver function including increased ALT (OR: 1.89, CI: 1·30-2·76) and increased AST (OR: 3.08, CI: 2.14-4.42) compared with those with non-severe disease</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Wijarnpreecha </w:t>
            </w:r>
            <w:r w:rsidRPr="00647F72">
              <w:rPr>
                <w:rFonts w:ascii="Book Antiqua" w:hAnsi="Book Antiqua" w:hint="eastAsia"/>
                <w:i/>
                <w:lang w:eastAsia="zh-CN"/>
              </w:rPr>
              <w:t>et al</w:t>
            </w:r>
            <w:r w:rsidRPr="00647F72">
              <w:rPr>
                <w:rFonts w:ascii="Book Antiqua" w:hAnsi="Book Antiqua"/>
                <w:vertAlign w:val="superscript"/>
              </w:rPr>
              <w:t>[16]</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SR (64 studies,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11245)</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 xml:space="preserve">The prevalence of elevated AST, ALT, total bilirubin, GGT, and alkaline phosphatase was 23.2%, 21.2%, 9.7%, 15.0%, and 4.0%, respectively. The prevalence of elevated AST was higher among those with severe cases (45.5%) compared to non-severe cases (15.0%). Co-existing CLD presented </w:t>
            </w:r>
            <w:r w:rsidR="009C150F" w:rsidRPr="00647F72">
              <w:rPr>
                <w:rFonts w:ascii="Book Antiqua" w:hAnsi="Book Antiqua"/>
              </w:rPr>
              <w:t xml:space="preserve">in </w:t>
            </w:r>
            <w:r w:rsidRPr="00647F72">
              <w:rPr>
                <w:rFonts w:ascii="Book Antiqua" w:hAnsi="Book Antiqua"/>
              </w:rPr>
              <w:t>up to 37.6% of patients with COVID-19</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Wang </w:t>
            </w:r>
            <w:r w:rsidRPr="00647F72">
              <w:rPr>
                <w:rFonts w:ascii="Book Antiqua" w:hAnsi="Book Antiqua" w:hint="eastAsia"/>
                <w:i/>
                <w:lang w:eastAsia="zh-CN"/>
              </w:rPr>
              <w:t>et al</w:t>
            </w:r>
            <w:r w:rsidRPr="00647F72">
              <w:rPr>
                <w:rFonts w:ascii="Book Antiqua" w:hAnsi="Book Antiqua"/>
                <w:vertAlign w:val="superscript"/>
              </w:rPr>
              <w:t>[17]</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Single-center retrospective study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105)</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Fifty-six percent of the patients had abnormal ALT, AST, or total bilirubin during the illness (91.4% cases were ≤</w:t>
            </w:r>
            <w:r w:rsidRPr="00647F72">
              <w:rPr>
                <w:rFonts w:ascii="Book Antiqua" w:hAnsi="Book Antiqua" w:hint="eastAsia"/>
                <w:lang w:eastAsia="zh-CN"/>
              </w:rPr>
              <w:t xml:space="preserve"> </w:t>
            </w:r>
            <w:r w:rsidRPr="00647F72">
              <w:rPr>
                <w:rFonts w:ascii="Book Antiqua" w:hAnsi="Book Antiqua"/>
              </w:rPr>
              <w:t xml:space="preserve">3 fold of the ULN). The percentage of patients with elevated both ALT and AST was 12.7% in mild cases </w:t>
            </w:r>
            <w:r w:rsidRPr="00647F72">
              <w:rPr>
                <w:rFonts w:ascii="Book Antiqua" w:hAnsi="Book Antiqua"/>
                <w:i/>
              </w:rPr>
              <w:t>vs</w:t>
            </w:r>
            <w:r w:rsidRPr="00647F72">
              <w:rPr>
                <w:rFonts w:ascii="Book Antiqua" w:hAnsi="Book Antiqua"/>
              </w:rPr>
              <w:t xml:space="preserve"> 46.2% in severe cases. One third of patients with severe disease started to have abnormal ALT after admission, and 73.3% of all patients had normal ALT before discharge</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Lei </w:t>
            </w:r>
            <w:r w:rsidRPr="00647F72">
              <w:rPr>
                <w:rFonts w:ascii="Book Antiqua" w:hAnsi="Book Antiqua" w:hint="eastAsia"/>
                <w:i/>
                <w:lang w:eastAsia="zh-CN"/>
              </w:rPr>
              <w:t>et al</w:t>
            </w:r>
            <w:r w:rsidRPr="00647F72">
              <w:rPr>
                <w:rFonts w:ascii="Book Antiqua" w:hAnsi="Book Antiqua"/>
                <w:vertAlign w:val="superscript"/>
              </w:rPr>
              <w:t>[18]</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Multicenter retrospective cohort study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5771)</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The distributional and temporal patterns of liver injury indicators were following: AST elevated first, followed by ALT, in severe patients. Alkaline phosphatase modestly increased during hospitalization and largely remained in the normal range. The fluctuation in total bilirubin levels was mild in the non-severe and severe groups</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Xie </w:t>
            </w:r>
            <w:r w:rsidRPr="00647F72">
              <w:rPr>
                <w:rFonts w:ascii="Book Antiqua" w:hAnsi="Book Antiqua" w:hint="eastAsia"/>
                <w:i/>
                <w:lang w:eastAsia="zh-CN"/>
              </w:rPr>
              <w:t>et al</w:t>
            </w:r>
            <w:r w:rsidRPr="00647F72">
              <w:rPr>
                <w:rFonts w:ascii="Book Antiqua" w:hAnsi="Book Antiqua"/>
                <w:vertAlign w:val="superscript"/>
              </w:rPr>
              <w:t>[19]</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Retrospective study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79)</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Logistic regression analyses suggested that the extent of pulmonary lesions on CT was a predictor of liver function damage</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Wu </w:t>
            </w:r>
            <w:r w:rsidRPr="00647F72">
              <w:rPr>
                <w:rFonts w:ascii="Book Antiqua" w:hAnsi="Book Antiqua" w:hint="eastAsia"/>
                <w:i/>
                <w:lang w:eastAsia="zh-CN"/>
              </w:rPr>
              <w:t>et al</w:t>
            </w:r>
            <w:r w:rsidRPr="00647F72">
              <w:rPr>
                <w:rFonts w:ascii="Book Antiqua" w:hAnsi="Book Antiqua"/>
                <w:vertAlign w:val="superscript"/>
              </w:rPr>
              <w:t>[20]</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SR (45 studies,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7228)</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The incidence of any abnormal liver biochemical indicator at admission and during hospitalization was 27.2% and 36%, respectively</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Kulkarni </w:t>
            </w:r>
            <w:r w:rsidRPr="00647F72">
              <w:rPr>
                <w:rFonts w:ascii="Book Antiqua" w:hAnsi="Book Antiqua" w:hint="eastAsia"/>
                <w:i/>
                <w:lang w:eastAsia="zh-CN"/>
              </w:rPr>
              <w:t>et al</w:t>
            </w:r>
            <w:r w:rsidRPr="00647F72">
              <w:rPr>
                <w:rFonts w:ascii="Book Antiqua" w:hAnsi="Book Antiqua"/>
                <w:vertAlign w:val="superscript"/>
              </w:rPr>
              <w:t>[21]</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SR (107 studies,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20874)</w:t>
            </w:r>
          </w:p>
        </w:tc>
        <w:tc>
          <w:tcPr>
            <w:tcW w:w="4950" w:type="dxa"/>
          </w:tcPr>
          <w:p w:rsidR="00B34FC9" w:rsidRPr="00647F72" w:rsidRDefault="00B34FC9">
            <w:pPr>
              <w:spacing w:line="360" w:lineRule="auto"/>
              <w:jc w:val="both"/>
              <w:rPr>
                <w:rFonts w:ascii="Book Antiqua" w:hAnsi="Book Antiqua"/>
                <w:lang w:eastAsia="zh-CN"/>
              </w:rPr>
            </w:pPr>
            <w:r w:rsidRPr="00647F72">
              <w:rPr>
                <w:rFonts w:ascii="Book Antiqua" w:hAnsi="Book Antiqua"/>
              </w:rPr>
              <w:t>The prevalence of CLD was 3.6% (CI: 2.5-5.1). The incidence of elevated liver chemistries was 23.1% (CI: 19.3-27.3) at initial presentation and 24.4% (CI: 13.5-40) during the illness. The incidence of DILI was 25.4% (CI: 14.2-41.4). The prevalence of CLD among 1587 severely infected patients was 3.9% (3%-5.2%). CLD was no</w:t>
            </w:r>
            <w:r w:rsidR="00B0534C" w:rsidRPr="00647F72">
              <w:rPr>
                <w:rFonts w:ascii="Book Antiqua" w:hAnsi="Book Antiqua"/>
              </w:rPr>
              <w:t>t</w:t>
            </w:r>
            <w:r w:rsidRPr="00647F72">
              <w:rPr>
                <w:rFonts w:ascii="Book Antiqua" w:hAnsi="Book Antiqua"/>
              </w:rPr>
              <w:t xml:space="preserve"> associated with the developing severe COVID-19 (OR: 0.81, CI: 0.31-2.09) compared to non-CLD patients. COVID-19 patients with elevated liver chemistries had an increased risk of mortality (OR: 3.46 CI: 2.42-4.95) and severe disease (OR: 2.87, CI: 2.29-3.6) compared to patients without</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Mendizabal </w:t>
            </w:r>
            <w:r w:rsidRPr="00647F72">
              <w:rPr>
                <w:rFonts w:ascii="Book Antiqua" w:hAnsi="Book Antiqua" w:hint="eastAsia"/>
                <w:i/>
                <w:lang w:eastAsia="zh-CN"/>
              </w:rPr>
              <w:t>et al</w:t>
            </w:r>
            <w:r w:rsidRPr="00647F72">
              <w:rPr>
                <w:rFonts w:ascii="Book Antiqua" w:hAnsi="Book Antiqua"/>
                <w:vertAlign w:val="superscript"/>
              </w:rPr>
              <w:t>[22]</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Multicenter prospective cohort study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1611)</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Abnormal liver tests on admission were present on 45.2% and were independently associated with death (OR: 1.5, CI: 1.1-2.0), and severe COVID-19 (OR: 2.6, CI: 2.0-3.3). The prevalence of CLD was 8.5%</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Wong </w:t>
            </w:r>
            <w:r w:rsidRPr="00647F72">
              <w:rPr>
                <w:rFonts w:ascii="Book Antiqua" w:hAnsi="Book Antiqua" w:hint="eastAsia"/>
                <w:i/>
                <w:lang w:eastAsia="zh-CN"/>
              </w:rPr>
              <w:t>et al</w:t>
            </w:r>
            <w:r w:rsidRPr="00647F72">
              <w:rPr>
                <w:rFonts w:ascii="Book Antiqua" w:hAnsi="Book Antiqua"/>
                <w:vertAlign w:val="superscript"/>
              </w:rPr>
              <w:t>[23]</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SR (24 studies,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5961)</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In subjects with critical COVID-19</w:t>
            </w:r>
            <w:r w:rsidRPr="00647F72">
              <w:rPr>
                <w:rFonts w:ascii="Book Antiqua" w:hAnsi="Book Antiqua" w:cs="Times New Roman"/>
              </w:rPr>
              <w:t>, the OR of hypoalbuminemia was 7.1 (CI: 2.1-24.1), of AST elevation was 3.4 (CI: 2.3-5.0), of ALT elevation was 2.5 (CI: 1.6-3.7), and of hyperbilirubinemia was 1.7 (CI: 1.2-2.5)</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Zhu </w:t>
            </w:r>
            <w:r w:rsidRPr="00647F72">
              <w:rPr>
                <w:rFonts w:ascii="Book Antiqua" w:hAnsi="Book Antiqua" w:hint="eastAsia"/>
                <w:i/>
                <w:lang w:eastAsia="zh-CN"/>
              </w:rPr>
              <w:t>et al</w:t>
            </w:r>
            <w:r w:rsidRPr="00647F72">
              <w:rPr>
                <w:rFonts w:ascii="Book Antiqua" w:hAnsi="Book Antiqua"/>
                <w:vertAlign w:val="superscript"/>
              </w:rPr>
              <w:t>[24]</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SR (34 studies, </w:t>
            </w:r>
            <w:r w:rsidRPr="00647F72">
              <w:rPr>
                <w:rFonts w:ascii="Book Antiqua" w:hAnsi="Book Antiqua" w:hint="eastAsia"/>
                <w:i/>
                <w:lang w:eastAsia="zh-CN"/>
              </w:rPr>
              <w:t xml:space="preserve">n </w:t>
            </w:r>
            <w:r w:rsidRPr="00647F72">
              <w:rPr>
                <w:rFonts w:ascii="Book Antiqua" w:hAnsi="Book Antiqua"/>
              </w:rPr>
              <w:t>= 6492)</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Patients with severe COVID-19 showed significantly longer PT, and a longer PT was associated with a higher risk to die</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Elshazli </w:t>
            </w:r>
            <w:r w:rsidRPr="00647F72">
              <w:rPr>
                <w:rFonts w:ascii="Book Antiqua" w:hAnsi="Book Antiqua" w:hint="eastAsia"/>
                <w:i/>
                <w:lang w:eastAsia="zh-CN"/>
              </w:rPr>
              <w:t>et al</w:t>
            </w:r>
            <w:r w:rsidRPr="00647F72">
              <w:rPr>
                <w:rFonts w:ascii="Book Antiqua" w:hAnsi="Book Antiqua"/>
                <w:vertAlign w:val="superscript"/>
              </w:rPr>
              <w:t>[25]</w:t>
            </w:r>
          </w:p>
        </w:tc>
        <w:tc>
          <w:tcPr>
            <w:tcW w:w="2391"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SR (52 studies, </w:t>
            </w:r>
            <w:r w:rsidRPr="00647F72">
              <w:rPr>
                <w:rFonts w:ascii="Book Antiqua" w:hAnsi="Book Antiqua" w:hint="eastAsia"/>
                <w:i/>
                <w:lang w:eastAsia="zh-CN"/>
              </w:rPr>
              <w:t xml:space="preserve">n </w:t>
            </w:r>
            <w:r w:rsidRPr="00647F72">
              <w:rPr>
                <w:rFonts w:ascii="Book Antiqua" w:hAnsi="Book Antiqua"/>
              </w:rPr>
              <w:t>=</w:t>
            </w:r>
            <w:r w:rsidRPr="00647F72">
              <w:rPr>
                <w:rFonts w:ascii="Book Antiqua" w:hAnsi="Book Antiqua" w:hint="eastAsia"/>
                <w:lang w:eastAsia="zh-CN"/>
              </w:rPr>
              <w:t xml:space="preserve"> </w:t>
            </w:r>
            <w:r w:rsidRPr="00647F72">
              <w:rPr>
                <w:rFonts w:ascii="Book Antiqua" w:hAnsi="Book Antiqua"/>
              </w:rPr>
              <w:t>6320)</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rPr>
              <w:t>Prolonged PT was associated with a higher risk of progression to severe COVID-19 (OR: 1.82) and ICU admission (OR: 2.18)</w:t>
            </w:r>
          </w:p>
        </w:tc>
      </w:tr>
      <w:tr w:rsidR="00B34FC9" w:rsidRPr="00647F72" w:rsidTr="007A7E7F">
        <w:tc>
          <w:tcPr>
            <w:tcW w:w="2235" w:type="dxa"/>
          </w:tcPr>
          <w:p w:rsidR="00B34FC9" w:rsidRPr="00647F72" w:rsidRDefault="00B34FC9" w:rsidP="00730CEE">
            <w:pPr>
              <w:spacing w:line="360" w:lineRule="auto"/>
              <w:jc w:val="both"/>
              <w:rPr>
                <w:rFonts w:ascii="Book Antiqua" w:hAnsi="Book Antiqua"/>
              </w:rPr>
            </w:pPr>
            <w:r w:rsidRPr="00647F72">
              <w:rPr>
                <w:rFonts w:ascii="Book Antiqua" w:hAnsi="Book Antiqua"/>
              </w:rPr>
              <w:t xml:space="preserve">Wu </w:t>
            </w:r>
            <w:r w:rsidR="00730CEE" w:rsidRPr="00647F72">
              <w:rPr>
                <w:rFonts w:ascii="Book Antiqua" w:hAnsi="Book Antiqua" w:hint="eastAsia"/>
                <w:lang w:eastAsia="zh-CN"/>
              </w:rPr>
              <w:t xml:space="preserve">and </w:t>
            </w:r>
            <w:r w:rsidR="00730CEE" w:rsidRPr="00647F72">
              <w:rPr>
                <w:rFonts w:ascii="Book Antiqua" w:eastAsia="Book Antiqua" w:hAnsi="Book Antiqua" w:cs="Book Antiqua"/>
                <w:color w:val="000000"/>
              </w:rPr>
              <w:t>Yang</w:t>
            </w:r>
            <w:r w:rsidRPr="00647F72">
              <w:rPr>
                <w:rFonts w:ascii="Book Antiqua" w:hAnsi="Book Antiqua"/>
                <w:vertAlign w:val="superscript"/>
              </w:rPr>
              <w:t>[26]</w:t>
            </w:r>
          </w:p>
        </w:tc>
        <w:tc>
          <w:tcPr>
            <w:tcW w:w="2391" w:type="dxa"/>
          </w:tcPr>
          <w:p w:rsidR="00B34FC9" w:rsidRPr="00647F72" w:rsidRDefault="00B34FC9" w:rsidP="00730CEE">
            <w:pPr>
              <w:spacing w:line="360" w:lineRule="auto"/>
              <w:jc w:val="both"/>
              <w:rPr>
                <w:rFonts w:ascii="Book Antiqua" w:hAnsi="Book Antiqua"/>
              </w:rPr>
            </w:pPr>
            <w:r w:rsidRPr="00647F72">
              <w:rPr>
                <w:rFonts w:ascii="Book Antiqua" w:hAnsi="Book Antiqua"/>
              </w:rPr>
              <w:t xml:space="preserve">SR (13 studies, </w:t>
            </w:r>
            <w:r w:rsidR="00730CEE" w:rsidRPr="00647F72">
              <w:rPr>
                <w:rFonts w:ascii="Book Antiqua" w:hAnsi="Book Antiqua" w:hint="eastAsia"/>
                <w:i/>
                <w:lang w:eastAsia="zh-CN"/>
              </w:rPr>
              <w:t xml:space="preserve">n </w:t>
            </w:r>
            <w:r w:rsidRPr="00647F72">
              <w:rPr>
                <w:rFonts w:ascii="Book Antiqua" w:hAnsi="Book Antiqua"/>
              </w:rPr>
              <w:t>=</w:t>
            </w:r>
            <w:r w:rsidR="00730CEE" w:rsidRPr="00647F72">
              <w:rPr>
                <w:rFonts w:ascii="Book Antiqua" w:hAnsi="Book Antiqua" w:hint="eastAsia"/>
                <w:lang w:eastAsia="zh-CN"/>
              </w:rPr>
              <w:t xml:space="preserve"> </w:t>
            </w:r>
            <w:r w:rsidRPr="00647F72">
              <w:rPr>
                <w:rFonts w:ascii="Book Antiqua" w:hAnsi="Book Antiqua"/>
              </w:rPr>
              <w:t>3722)</w:t>
            </w:r>
          </w:p>
        </w:tc>
        <w:tc>
          <w:tcPr>
            <w:tcW w:w="4950" w:type="dxa"/>
          </w:tcPr>
          <w:p w:rsidR="00B34FC9" w:rsidRPr="00647F72" w:rsidRDefault="00B34FC9" w:rsidP="00B34FC9">
            <w:pPr>
              <w:spacing w:line="360" w:lineRule="auto"/>
              <w:jc w:val="both"/>
              <w:rPr>
                <w:rFonts w:ascii="Book Antiqua" w:hAnsi="Book Antiqua"/>
                <w:lang w:eastAsia="zh-CN"/>
              </w:rPr>
            </w:pPr>
            <w:r w:rsidRPr="00647F72">
              <w:rPr>
                <w:rFonts w:ascii="Book Antiqua" w:hAnsi="Book Antiqua" w:cs="Times New Roman"/>
              </w:rPr>
              <w:t>The comparison between survivors and non-survivors with severe COVID-19 patients showed an OR of 1.98 (CI: 1.39-2.82) for liver dysfunction and mortality</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Richardson </w:t>
            </w:r>
            <w:r w:rsidR="00730CEE" w:rsidRPr="00647F72">
              <w:rPr>
                <w:rFonts w:ascii="Book Antiqua" w:hAnsi="Book Antiqua" w:hint="eastAsia"/>
                <w:i/>
                <w:lang w:eastAsia="zh-CN"/>
              </w:rPr>
              <w:t>et al</w:t>
            </w:r>
            <w:r w:rsidRPr="00647F72">
              <w:rPr>
                <w:rFonts w:ascii="Book Antiqua" w:hAnsi="Book Antiqua"/>
                <w:vertAlign w:val="superscript"/>
              </w:rPr>
              <w:t>[29]</w:t>
            </w:r>
          </w:p>
        </w:tc>
        <w:tc>
          <w:tcPr>
            <w:tcW w:w="2391" w:type="dxa"/>
          </w:tcPr>
          <w:p w:rsidR="00B34FC9" w:rsidRPr="00647F72" w:rsidRDefault="00B34FC9" w:rsidP="00730CEE">
            <w:pPr>
              <w:spacing w:line="360" w:lineRule="auto"/>
              <w:jc w:val="both"/>
              <w:rPr>
                <w:rFonts w:ascii="Book Antiqua" w:hAnsi="Book Antiqua"/>
              </w:rPr>
            </w:pPr>
            <w:r w:rsidRPr="00647F72">
              <w:rPr>
                <w:rFonts w:ascii="Book Antiqua" w:hAnsi="Book Antiqua"/>
              </w:rPr>
              <w:t>Multicenter prospective cohort study (</w:t>
            </w:r>
            <w:r w:rsidR="00730CEE" w:rsidRPr="00647F72">
              <w:rPr>
                <w:rFonts w:ascii="Book Antiqua" w:hAnsi="Book Antiqua" w:hint="eastAsia"/>
                <w:i/>
                <w:lang w:eastAsia="zh-CN"/>
              </w:rPr>
              <w:t xml:space="preserve">n </w:t>
            </w:r>
            <w:r w:rsidR="00730CEE" w:rsidRPr="00647F72">
              <w:rPr>
                <w:rFonts w:ascii="Book Antiqua" w:hAnsi="Book Antiqua"/>
              </w:rPr>
              <w:t>=</w:t>
            </w:r>
            <w:r w:rsidR="00730CEE" w:rsidRPr="00647F72">
              <w:rPr>
                <w:rFonts w:ascii="Book Antiqua" w:hAnsi="Book Antiqua" w:hint="eastAsia"/>
                <w:lang w:eastAsia="zh-CN"/>
              </w:rPr>
              <w:t xml:space="preserve"> </w:t>
            </w:r>
            <w:r w:rsidR="00730CEE" w:rsidRPr="00647F72">
              <w:rPr>
                <w:rFonts w:ascii="Book Antiqua" w:hAnsi="Book Antiqua"/>
              </w:rPr>
              <w:t>5</w:t>
            </w:r>
            <w:r w:rsidRPr="00647F72">
              <w:rPr>
                <w:rFonts w:ascii="Book Antiqua" w:hAnsi="Book Antiqua"/>
              </w:rPr>
              <w:t>700)</w:t>
            </w:r>
          </w:p>
        </w:tc>
        <w:tc>
          <w:tcPr>
            <w:tcW w:w="4950" w:type="dxa"/>
          </w:tcPr>
          <w:p w:rsidR="00B34FC9" w:rsidRPr="00647F72" w:rsidRDefault="00B34FC9">
            <w:pPr>
              <w:spacing w:line="360" w:lineRule="auto"/>
              <w:jc w:val="both"/>
              <w:rPr>
                <w:rFonts w:ascii="Book Antiqua" w:hAnsi="Book Antiqua" w:cs="Times New Roman"/>
                <w:lang w:eastAsia="zh-CN"/>
              </w:rPr>
            </w:pPr>
            <w:r w:rsidRPr="00647F72">
              <w:rPr>
                <w:rFonts w:ascii="Book Antiqua" w:hAnsi="Book Antiqua" w:cs="Times New Roman"/>
              </w:rPr>
              <w:t>In hospitalized COVID-19 patients, AST and ALT were both commonly increased (58.4% and 39.0% of patients, respectively). Fifty-six</w:t>
            </w:r>
            <w:r w:rsidR="00B0534C" w:rsidRPr="00647F72">
              <w:rPr>
                <w:rFonts w:ascii="Book Antiqua" w:hAnsi="Book Antiqua" w:cs="Times New Roman"/>
              </w:rPr>
              <w:t xml:space="preserve"> </w:t>
            </w:r>
            <w:r w:rsidRPr="00647F72">
              <w:rPr>
                <w:rFonts w:ascii="Book Antiqua" w:hAnsi="Book Antiqua" w:cs="Times New Roman"/>
              </w:rPr>
              <w:t xml:space="preserve">(2.1%) </w:t>
            </w:r>
            <w:r w:rsidR="00B0534C" w:rsidRPr="00647F72">
              <w:rPr>
                <w:rFonts w:ascii="Book Antiqua" w:hAnsi="Book Antiqua" w:cs="Times New Roman"/>
              </w:rPr>
              <w:t xml:space="preserve">subjects </w:t>
            </w:r>
            <w:r w:rsidRPr="00647F72">
              <w:rPr>
                <w:rFonts w:ascii="Book Antiqua" w:hAnsi="Book Antiqua" w:cs="Times New Roman"/>
              </w:rPr>
              <w:t>developed a severe acute liver</w:t>
            </w:r>
            <w:r w:rsidR="00730CEE" w:rsidRPr="00647F72">
              <w:rPr>
                <w:rFonts w:ascii="Book Antiqua" w:hAnsi="Book Antiqua" w:cs="Times New Roman"/>
              </w:rPr>
              <w:t xml:space="preserve"> injury with a mortality of 95%</w:t>
            </w:r>
          </w:p>
        </w:tc>
      </w:tr>
      <w:tr w:rsidR="00B34FC9" w:rsidRPr="00647F72" w:rsidTr="007A7E7F">
        <w:tc>
          <w:tcPr>
            <w:tcW w:w="2235" w:type="dxa"/>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Shi </w:t>
            </w:r>
            <w:r w:rsidR="00730CEE" w:rsidRPr="00647F72">
              <w:rPr>
                <w:rFonts w:ascii="Book Antiqua" w:hAnsi="Book Antiqua" w:hint="eastAsia"/>
                <w:i/>
                <w:lang w:eastAsia="zh-CN"/>
              </w:rPr>
              <w:t>et al</w:t>
            </w:r>
            <w:r w:rsidRPr="00647F72">
              <w:rPr>
                <w:rFonts w:ascii="Book Antiqua" w:hAnsi="Book Antiqua"/>
                <w:vertAlign w:val="superscript"/>
              </w:rPr>
              <w:t>[30]</w:t>
            </w:r>
          </w:p>
        </w:tc>
        <w:tc>
          <w:tcPr>
            <w:tcW w:w="2391" w:type="dxa"/>
          </w:tcPr>
          <w:p w:rsidR="00B34FC9" w:rsidRPr="00647F72" w:rsidRDefault="00B34FC9" w:rsidP="00730CEE">
            <w:pPr>
              <w:spacing w:line="360" w:lineRule="auto"/>
              <w:jc w:val="both"/>
              <w:rPr>
                <w:rFonts w:ascii="Book Antiqua" w:hAnsi="Book Antiqua"/>
              </w:rPr>
            </w:pPr>
            <w:r w:rsidRPr="00647F72">
              <w:rPr>
                <w:rFonts w:ascii="Book Antiqua" w:hAnsi="Book Antiqua"/>
              </w:rPr>
              <w:t>Two-center retrospective study (</w:t>
            </w:r>
            <w:r w:rsidR="00730CEE" w:rsidRPr="00647F72">
              <w:rPr>
                <w:rFonts w:ascii="Book Antiqua" w:hAnsi="Book Antiqua" w:hint="eastAsia"/>
                <w:i/>
                <w:lang w:eastAsia="zh-CN"/>
              </w:rPr>
              <w:t xml:space="preserve">n </w:t>
            </w:r>
            <w:r w:rsidRPr="00647F72">
              <w:rPr>
                <w:rFonts w:ascii="Book Antiqua" w:hAnsi="Book Antiqua"/>
              </w:rPr>
              <w:t>=</w:t>
            </w:r>
            <w:r w:rsidR="00730CEE" w:rsidRPr="00647F72">
              <w:rPr>
                <w:rFonts w:ascii="Book Antiqua" w:hAnsi="Book Antiqua" w:hint="eastAsia"/>
                <w:lang w:eastAsia="zh-CN"/>
              </w:rPr>
              <w:t xml:space="preserve"> </w:t>
            </w:r>
            <w:r w:rsidRPr="00647F72">
              <w:rPr>
                <w:rFonts w:ascii="Book Antiqua" w:hAnsi="Book Antiqua"/>
              </w:rPr>
              <w:t>81)</w:t>
            </w:r>
          </w:p>
        </w:tc>
        <w:tc>
          <w:tcPr>
            <w:tcW w:w="4950" w:type="dxa"/>
          </w:tcPr>
          <w:p w:rsidR="00B34FC9" w:rsidRPr="00647F72" w:rsidRDefault="00B34FC9" w:rsidP="00B34FC9">
            <w:pPr>
              <w:spacing w:line="360" w:lineRule="auto"/>
              <w:jc w:val="both"/>
              <w:rPr>
                <w:rFonts w:ascii="Book Antiqua" w:hAnsi="Book Antiqua" w:cs="Times New Roman"/>
                <w:lang w:eastAsia="zh-CN"/>
              </w:rPr>
            </w:pPr>
            <w:r w:rsidRPr="00647F72">
              <w:rPr>
                <w:rFonts w:ascii="Book Antiqua" w:hAnsi="Book Antiqua" w:cs="Times New Roman"/>
              </w:rPr>
              <w:t>Abnormal liver function test was found in patients with subclinical disease (elevated AST i</w:t>
            </w:r>
            <w:r w:rsidR="00730CEE" w:rsidRPr="00647F72">
              <w:rPr>
                <w:rFonts w:ascii="Book Antiqua" w:hAnsi="Book Antiqua" w:cs="Times New Roman"/>
              </w:rPr>
              <w:t>n 8.7% and elevated ALT in 8.9%</w:t>
            </w:r>
          </w:p>
        </w:tc>
      </w:tr>
      <w:tr w:rsidR="00B34FC9" w:rsidRPr="00647F72" w:rsidTr="007A7E7F">
        <w:tc>
          <w:tcPr>
            <w:tcW w:w="2235" w:type="dxa"/>
            <w:tcBorders>
              <w:bottom w:val="single" w:sz="4" w:space="0" w:color="auto"/>
            </w:tcBorders>
          </w:tcPr>
          <w:p w:rsidR="00B34FC9" w:rsidRPr="00647F72" w:rsidRDefault="00B34FC9" w:rsidP="00B34FC9">
            <w:pPr>
              <w:spacing w:line="360" w:lineRule="auto"/>
              <w:jc w:val="both"/>
              <w:rPr>
                <w:rFonts w:ascii="Book Antiqua" w:hAnsi="Book Antiqua"/>
              </w:rPr>
            </w:pPr>
            <w:r w:rsidRPr="00647F72">
              <w:rPr>
                <w:rFonts w:ascii="Book Antiqua" w:hAnsi="Book Antiqua"/>
              </w:rPr>
              <w:t xml:space="preserve">Sultan </w:t>
            </w:r>
            <w:r w:rsidR="00730CEE" w:rsidRPr="00647F72">
              <w:rPr>
                <w:rFonts w:ascii="Book Antiqua" w:hAnsi="Book Antiqua" w:hint="eastAsia"/>
                <w:i/>
                <w:lang w:eastAsia="zh-CN"/>
              </w:rPr>
              <w:t>et al</w:t>
            </w:r>
            <w:r w:rsidRPr="00647F72">
              <w:rPr>
                <w:rFonts w:ascii="Book Antiqua" w:hAnsi="Book Antiqua"/>
                <w:vertAlign w:val="superscript"/>
              </w:rPr>
              <w:t>[58]</w:t>
            </w:r>
          </w:p>
        </w:tc>
        <w:tc>
          <w:tcPr>
            <w:tcW w:w="2391" w:type="dxa"/>
            <w:tcBorders>
              <w:bottom w:val="single" w:sz="4" w:space="0" w:color="auto"/>
            </w:tcBorders>
          </w:tcPr>
          <w:p w:rsidR="00B34FC9" w:rsidRPr="00647F72" w:rsidRDefault="00B34FC9" w:rsidP="00730CEE">
            <w:pPr>
              <w:spacing w:line="360" w:lineRule="auto"/>
              <w:jc w:val="both"/>
              <w:rPr>
                <w:rFonts w:ascii="Book Antiqua" w:hAnsi="Book Antiqua"/>
              </w:rPr>
            </w:pPr>
            <w:r w:rsidRPr="00647F72">
              <w:rPr>
                <w:rFonts w:ascii="Book Antiqua" w:hAnsi="Book Antiqua"/>
              </w:rPr>
              <w:t xml:space="preserve">SR (47 studies, </w:t>
            </w:r>
            <w:r w:rsidR="00730CEE" w:rsidRPr="00647F72">
              <w:rPr>
                <w:rFonts w:ascii="Book Antiqua" w:hAnsi="Book Antiqua" w:hint="eastAsia"/>
                <w:i/>
                <w:lang w:eastAsia="zh-CN"/>
              </w:rPr>
              <w:t xml:space="preserve">n </w:t>
            </w:r>
            <w:r w:rsidR="00730CEE" w:rsidRPr="00647F72">
              <w:rPr>
                <w:rFonts w:ascii="Book Antiqua" w:hAnsi="Book Antiqua"/>
              </w:rPr>
              <w:t>=</w:t>
            </w:r>
            <w:r w:rsidR="00730CEE" w:rsidRPr="00647F72">
              <w:rPr>
                <w:rFonts w:ascii="Book Antiqua" w:hAnsi="Book Antiqua" w:hint="eastAsia"/>
                <w:lang w:eastAsia="zh-CN"/>
              </w:rPr>
              <w:t xml:space="preserve"> </w:t>
            </w:r>
            <w:r w:rsidR="00730CEE" w:rsidRPr="00647F72">
              <w:rPr>
                <w:rFonts w:ascii="Book Antiqua" w:hAnsi="Book Antiqua"/>
              </w:rPr>
              <w:t>10</w:t>
            </w:r>
            <w:r w:rsidRPr="00647F72">
              <w:rPr>
                <w:rFonts w:ascii="Book Antiqua" w:hAnsi="Book Antiqua"/>
              </w:rPr>
              <w:t>980)</w:t>
            </w:r>
          </w:p>
        </w:tc>
        <w:tc>
          <w:tcPr>
            <w:tcW w:w="4950" w:type="dxa"/>
            <w:tcBorders>
              <w:bottom w:val="single" w:sz="4" w:space="0" w:color="auto"/>
            </w:tcBorders>
          </w:tcPr>
          <w:p w:rsidR="00B34FC9" w:rsidRPr="00647F72" w:rsidRDefault="00B34FC9" w:rsidP="00730CEE">
            <w:pPr>
              <w:spacing w:line="360" w:lineRule="auto"/>
              <w:jc w:val="both"/>
              <w:rPr>
                <w:rFonts w:ascii="Book Antiqua" w:hAnsi="Book Antiqua" w:cs="Times New Roman"/>
                <w:lang w:eastAsia="zh-CN"/>
              </w:rPr>
            </w:pPr>
            <w:r w:rsidRPr="00647F72">
              <w:rPr>
                <w:rFonts w:ascii="Book Antiqua" w:hAnsi="Book Antiqua" w:cs="Times New Roman"/>
              </w:rPr>
              <w:t>The prevalence estimates of elevated liver abnormalities were as follows: AST 15.0% (CI: 13.6</w:t>
            </w:r>
            <w:r w:rsidR="00730CEE" w:rsidRPr="00647F72">
              <w:rPr>
                <w:rFonts w:ascii="Book Antiqua" w:hAnsi="Book Antiqua" w:cs="Times New Roman" w:hint="eastAsia"/>
                <w:lang w:eastAsia="zh-CN"/>
              </w:rPr>
              <w:t>-</w:t>
            </w:r>
            <w:r w:rsidRPr="00647F72">
              <w:rPr>
                <w:rFonts w:ascii="Book Antiqua" w:hAnsi="Book Antiqua" w:cs="Times New Roman"/>
              </w:rPr>
              <w:t>16.5), ALT 15.0% (CI: 13.6</w:t>
            </w:r>
            <w:r w:rsidR="00730CEE" w:rsidRPr="00647F72">
              <w:rPr>
                <w:rFonts w:ascii="Book Antiqua" w:hAnsi="Book Antiqua" w:cs="Times New Roman" w:hint="eastAsia"/>
                <w:lang w:eastAsia="zh-CN"/>
              </w:rPr>
              <w:t>-</w:t>
            </w:r>
            <w:r w:rsidRPr="00647F72">
              <w:rPr>
                <w:rFonts w:ascii="Book Antiqua" w:hAnsi="Book Antiqua" w:cs="Times New Roman"/>
              </w:rPr>
              <w:t xml:space="preserve">16.4), </w:t>
            </w:r>
            <w:r w:rsidR="00B0534C" w:rsidRPr="00647F72">
              <w:rPr>
                <w:rFonts w:ascii="Book Antiqua" w:hAnsi="Book Antiqua" w:cs="Times New Roman"/>
              </w:rPr>
              <w:t xml:space="preserve">and </w:t>
            </w:r>
            <w:r w:rsidRPr="00647F72">
              <w:rPr>
                <w:rFonts w:ascii="Book Antiqua" w:hAnsi="Book Antiqua" w:cs="Times New Roman"/>
              </w:rPr>
              <w:t>abnormal bilirubin 16.7% (CI: 15.0</w:t>
            </w:r>
            <w:r w:rsidR="00730CEE" w:rsidRPr="00647F72">
              <w:rPr>
                <w:rFonts w:ascii="Book Antiqua" w:hAnsi="Book Antiqua" w:cs="Times New Roman" w:hint="eastAsia"/>
                <w:lang w:eastAsia="zh-CN"/>
              </w:rPr>
              <w:t>-</w:t>
            </w:r>
            <w:r w:rsidRPr="00647F72">
              <w:rPr>
                <w:rFonts w:ascii="Book Antiqua" w:hAnsi="Book Antiqua" w:cs="Times New Roman"/>
              </w:rPr>
              <w:t>18.5)</w:t>
            </w:r>
          </w:p>
        </w:tc>
      </w:tr>
    </w:tbl>
    <w:p w:rsidR="00F419AF" w:rsidRPr="00647F72" w:rsidRDefault="00730CEE">
      <w:pPr>
        <w:spacing w:line="360" w:lineRule="auto"/>
        <w:jc w:val="both"/>
        <w:rPr>
          <w:rFonts w:ascii="Book Antiqua" w:hAnsi="Book Antiqua"/>
        </w:rPr>
      </w:pPr>
      <w:r w:rsidRPr="00647F72">
        <w:rPr>
          <w:rFonts w:ascii="Book Antiqua" w:hAnsi="Book Antiqua"/>
        </w:rPr>
        <w:t>ALT</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A</w:t>
      </w:r>
      <w:r w:rsidRPr="00647F72">
        <w:rPr>
          <w:rFonts w:ascii="Book Antiqua" w:hAnsi="Book Antiqua"/>
        </w:rPr>
        <w:t>lanine aminotransferase; AST</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A</w:t>
      </w:r>
      <w:r w:rsidRPr="00647F72">
        <w:rPr>
          <w:rFonts w:ascii="Book Antiqua" w:hAnsi="Book Antiqua"/>
        </w:rPr>
        <w:t>spartate aminotransferase; CI</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C</w:t>
      </w:r>
      <w:r w:rsidRPr="00647F72">
        <w:rPr>
          <w:rFonts w:ascii="Book Antiqua" w:hAnsi="Book Antiqua"/>
        </w:rPr>
        <w:t>onfidence interval; CLD</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C</w:t>
      </w:r>
      <w:r w:rsidRPr="00647F72">
        <w:rPr>
          <w:rFonts w:ascii="Book Antiqua" w:hAnsi="Book Antiqua"/>
        </w:rPr>
        <w:t>hronic liver disease; COVID-19</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C</w:t>
      </w:r>
      <w:r w:rsidRPr="00647F72">
        <w:rPr>
          <w:rFonts w:ascii="Book Antiqua" w:hAnsi="Book Antiqua"/>
        </w:rPr>
        <w:t>oronavirus disease</w:t>
      </w:r>
      <w:r w:rsidRPr="00647F72">
        <w:rPr>
          <w:rFonts w:ascii="Book Antiqua" w:hAnsi="Book Antiqua" w:hint="eastAsia"/>
          <w:lang w:eastAsia="zh-CN"/>
        </w:rPr>
        <w:t xml:space="preserve"> </w:t>
      </w:r>
      <w:r w:rsidRPr="00647F72">
        <w:rPr>
          <w:rFonts w:ascii="Book Antiqua" w:hAnsi="Book Antiqua"/>
        </w:rPr>
        <w:t>2019; CT</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C</w:t>
      </w:r>
      <w:r w:rsidRPr="00647F72">
        <w:rPr>
          <w:rFonts w:ascii="Book Antiqua" w:hAnsi="Book Antiqua"/>
        </w:rPr>
        <w:t>omputed tomography; DILI</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D</w:t>
      </w:r>
      <w:r w:rsidRPr="00647F72">
        <w:rPr>
          <w:rFonts w:ascii="Book Antiqua" w:hAnsi="Book Antiqua"/>
        </w:rPr>
        <w:t>rug-induced liver injury; GGT</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G</w:t>
      </w:r>
      <w:r w:rsidRPr="00647F72">
        <w:rPr>
          <w:rFonts w:ascii="Book Antiqua" w:hAnsi="Book Antiqua"/>
        </w:rPr>
        <w:t>amma-glutamyltransferase; ICU</w:t>
      </w:r>
      <w:r w:rsidRPr="00647F72">
        <w:rPr>
          <w:rFonts w:ascii="Book Antiqua" w:hAnsi="Book Antiqua" w:hint="eastAsia"/>
          <w:lang w:eastAsia="zh-CN"/>
        </w:rPr>
        <w:t>:</w:t>
      </w:r>
      <w:r w:rsidRPr="00647F72">
        <w:rPr>
          <w:rFonts w:ascii="Book Antiqua" w:hAnsi="Book Antiqua"/>
        </w:rPr>
        <w:t xml:space="preserve"> Intensive care unit; PT</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P</w:t>
      </w:r>
      <w:r w:rsidRPr="00647F72">
        <w:rPr>
          <w:rFonts w:ascii="Book Antiqua" w:hAnsi="Book Antiqua"/>
        </w:rPr>
        <w:t>rothrombin time; OR</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O</w:t>
      </w:r>
      <w:r w:rsidRPr="00647F72">
        <w:rPr>
          <w:rFonts w:ascii="Book Antiqua" w:hAnsi="Book Antiqua"/>
        </w:rPr>
        <w:t>dds ratio; SR</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S</w:t>
      </w:r>
      <w:r w:rsidRPr="00647F72">
        <w:rPr>
          <w:rFonts w:ascii="Book Antiqua" w:hAnsi="Book Antiqua"/>
        </w:rPr>
        <w:t>ystematic review; ULN</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U</w:t>
      </w:r>
      <w:r w:rsidRPr="00647F72">
        <w:rPr>
          <w:rFonts w:ascii="Book Antiqua" w:hAnsi="Book Antiqua"/>
        </w:rPr>
        <w:t>pper limit of normal.</w:t>
      </w:r>
    </w:p>
    <w:p w:rsidR="00B34FC9" w:rsidRPr="00647F72" w:rsidRDefault="00F419AF">
      <w:pPr>
        <w:spacing w:line="360" w:lineRule="auto"/>
        <w:jc w:val="both"/>
        <w:rPr>
          <w:rFonts w:ascii="Book Antiqua" w:hAnsi="Book Antiqua"/>
          <w:b/>
          <w:lang w:eastAsia="zh-CN"/>
        </w:rPr>
      </w:pPr>
      <w:r w:rsidRPr="00647F72">
        <w:rPr>
          <w:rFonts w:ascii="Book Antiqua" w:hAnsi="Book Antiqua"/>
        </w:rPr>
        <w:br w:type="page"/>
      </w:r>
      <w:r w:rsidRPr="00647F72">
        <w:rPr>
          <w:rFonts w:ascii="Book Antiqua" w:hAnsi="Book Antiqua"/>
          <w:b/>
        </w:rPr>
        <w:t xml:space="preserve">Table 2 Therapeutic management of patients with </w:t>
      </w:r>
      <w:r w:rsidRPr="00647F72">
        <w:rPr>
          <w:rFonts w:ascii="Book Antiqua" w:eastAsia="Book Antiqua" w:hAnsi="Book Antiqua" w:cs="Book Antiqua"/>
          <w:b/>
          <w:color w:val="000000"/>
        </w:rPr>
        <w:t>coronavirus disease 2019</w:t>
      </w:r>
      <w:r w:rsidRPr="00647F72">
        <w:rPr>
          <w:rFonts w:ascii="Book Antiqua" w:hAnsi="Book Antiqua"/>
          <w:b/>
        </w:rPr>
        <w:t xml:space="preserve"> and hepatotoxicity</w:t>
      </w:r>
    </w:p>
    <w:tbl>
      <w:tblPr>
        <w:tblStyle w:val="a7"/>
        <w:tblW w:w="52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gridCol w:w="3319"/>
        <w:gridCol w:w="2451"/>
        <w:gridCol w:w="2784"/>
      </w:tblGrid>
      <w:tr w:rsidR="00F419AF" w:rsidRPr="00647F72" w:rsidTr="00DE4A0F">
        <w:tc>
          <w:tcPr>
            <w:tcW w:w="1477" w:type="dxa"/>
            <w:tcBorders>
              <w:top w:val="single" w:sz="4" w:space="0" w:color="auto"/>
              <w:bottom w:val="single" w:sz="4" w:space="0" w:color="auto"/>
            </w:tcBorders>
          </w:tcPr>
          <w:p w:rsidR="00F419AF" w:rsidRPr="00647F72" w:rsidRDefault="00F419AF" w:rsidP="00F419AF">
            <w:pPr>
              <w:snapToGrid w:val="0"/>
              <w:spacing w:line="360" w:lineRule="auto"/>
              <w:jc w:val="both"/>
              <w:rPr>
                <w:rFonts w:ascii="Book Antiqua" w:hAnsi="Book Antiqua" w:cstheme="minorHAnsi"/>
                <w:b/>
              </w:rPr>
            </w:pPr>
            <w:r w:rsidRPr="00647F72">
              <w:rPr>
                <w:rFonts w:ascii="Book Antiqua" w:hAnsi="Book Antiqua" w:cstheme="minorHAnsi"/>
                <w:b/>
              </w:rPr>
              <w:t>Medication</w:t>
            </w:r>
          </w:p>
        </w:tc>
        <w:tc>
          <w:tcPr>
            <w:tcW w:w="3319" w:type="dxa"/>
            <w:tcBorders>
              <w:top w:val="single" w:sz="4" w:space="0" w:color="auto"/>
              <w:bottom w:val="single" w:sz="4" w:space="0" w:color="auto"/>
            </w:tcBorders>
          </w:tcPr>
          <w:p w:rsidR="00F419AF" w:rsidRPr="00647F72" w:rsidRDefault="00F419AF" w:rsidP="00F419AF">
            <w:pPr>
              <w:snapToGrid w:val="0"/>
              <w:spacing w:line="360" w:lineRule="auto"/>
              <w:jc w:val="both"/>
              <w:rPr>
                <w:rFonts w:ascii="Book Antiqua" w:hAnsi="Book Antiqua" w:cstheme="minorHAnsi"/>
                <w:b/>
              </w:rPr>
            </w:pPr>
            <w:r w:rsidRPr="00647F72">
              <w:rPr>
                <w:rFonts w:ascii="Book Antiqua" w:hAnsi="Book Antiqua" w:cstheme="minorHAnsi"/>
                <w:b/>
              </w:rPr>
              <w:t>Hepatotoxicity</w:t>
            </w:r>
          </w:p>
        </w:tc>
        <w:tc>
          <w:tcPr>
            <w:tcW w:w="2451" w:type="dxa"/>
            <w:tcBorders>
              <w:top w:val="single" w:sz="4" w:space="0" w:color="auto"/>
              <w:bottom w:val="single" w:sz="4" w:space="0" w:color="auto"/>
            </w:tcBorders>
          </w:tcPr>
          <w:p w:rsidR="00F419AF" w:rsidRPr="00647F72" w:rsidRDefault="00F419AF" w:rsidP="00F419AF">
            <w:pPr>
              <w:snapToGrid w:val="0"/>
              <w:spacing w:line="360" w:lineRule="auto"/>
              <w:jc w:val="both"/>
              <w:rPr>
                <w:rFonts w:ascii="Book Antiqua" w:hAnsi="Book Antiqua" w:cstheme="minorHAnsi"/>
                <w:b/>
              </w:rPr>
            </w:pPr>
            <w:r w:rsidRPr="00647F72">
              <w:rPr>
                <w:rFonts w:ascii="Book Antiqua" w:hAnsi="Book Antiqua" w:cstheme="minorHAnsi"/>
                <w:b/>
              </w:rPr>
              <w:t>Action mechanism</w:t>
            </w:r>
          </w:p>
        </w:tc>
        <w:tc>
          <w:tcPr>
            <w:tcW w:w="2784" w:type="dxa"/>
            <w:tcBorders>
              <w:top w:val="single" w:sz="4" w:space="0" w:color="auto"/>
              <w:bottom w:val="single" w:sz="4" w:space="0" w:color="auto"/>
            </w:tcBorders>
          </w:tcPr>
          <w:p w:rsidR="00F419AF" w:rsidRPr="00647F72" w:rsidRDefault="00F419AF" w:rsidP="00F419AF">
            <w:pPr>
              <w:snapToGrid w:val="0"/>
              <w:spacing w:line="360" w:lineRule="auto"/>
              <w:jc w:val="both"/>
              <w:rPr>
                <w:rFonts w:ascii="Book Antiqua" w:hAnsi="Book Antiqua" w:cstheme="minorHAnsi"/>
                <w:b/>
              </w:rPr>
            </w:pPr>
            <w:r w:rsidRPr="00647F72">
              <w:rPr>
                <w:rFonts w:ascii="Book Antiqua" w:hAnsi="Book Antiqua" w:cstheme="minorHAnsi"/>
                <w:b/>
              </w:rPr>
              <w:t>Current</w:t>
            </w:r>
            <w:r w:rsidR="00B0534C" w:rsidRPr="00647F72">
              <w:rPr>
                <w:rFonts w:ascii="Book Antiqua" w:hAnsi="Book Antiqua" w:cstheme="minorHAnsi"/>
                <w:b/>
              </w:rPr>
              <w:t>ly</w:t>
            </w:r>
            <w:r w:rsidRPr="00647F72">
              <w:rPr>
                <w:rFonts w:ascii="Book Antiqua" w:hAnsi="Book Antiqua" w:cstheme="minorHAnsi"/>
                <w:b/>
              </w:rPr>
              <w:t xml:space="preserve"> recommended use for COVID-19</w:t>
            </w:r>
          </w:p>
        </w:tc>
      </w:tr>
      <w:tr w:rsidR="00F419AF" w:rsidRPr="00647F72" w:rsidTr="00DE4A0F">
        <w:tc>
          <w:tcPr>
            <w:tcW w:w="1477" w:type="dxa"/>
            <w:tcBorders>
              <w:top w:val="single" w:sz="4" w:space="0" w:color="auto"/>
            </w:tcBorders>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Hydroxychloroquine</w:t>
            </w:r>
          </w:p>
        </w:tc>
        <w:tc>
          <w:tcPr>
            <w:tcW w:w="3319" w:type="dxa"/>
            <w:tcBorders>
              <w:top w:val="single" w:sz="4" w:space="0" w:color="auto"/>
            </w:tcBorders>
          </w:tcPr>
          <w:p w:rsidR="00F419AF" w:rsidRPr="00647F72" w:rsidRDefault="00F419AF" w:rsidP="00F419AF">
            <w:pPr>
              <w:autoSpaceDE w:val="0"/>
              <w:autoSpaceDN w:val="0"/>
              <w:adjustRightInd w:val="0"/>
              <w:snapToGrid w:val="0"/>
              <w:spacing w:line="360" w:lineRule="auto"/>
              <w:jc w:val="both"/>
              <w:rPr>
                <w:rFonts w:ascii="Book Antiqua" w:hAnsi="Book Antiqua" w:cstheme="minorHAnsi"/>
              </w:rPr>
            </w:pPr>
            <w:r w:rsidRPr="00647F72">
              <w:rPr>
                <w:rFonts w:ascii="Book Antiqua" w:hAnsi="Book Antiqua" w:cstheme="minorHAnsi"/>
                <w:shd w:val="clear" w:color="auto" w:fill="FFFFFF"/>
              </w:rPr>
              <w:t>Likelihood score: D (</w:t>
            </w:r>
            <w:r w:rsidRPr="00647F72">
              <w:rPr>
                <w:rFonts w:ascii="Book Antiqua" w:hAnsi="Book Antiqua"/>
                <w:color w:val="000000"/>
                <w:shd w:val="clear" w:color="auto" w:fill="FFFFFF"/>
              </w:rPr>
              <w:t>possible)</w:t>
            </w:r>
            <w:r w:rsidRPr="00647F72">
              <w:rPr>
                <w:rFonts w:ascii="Book Antiqua" w:hAnsi="Book Antiqua" w:hint="eastAsia"/>
                <w:color w:val="000000"/>
                <w:shd w:val="clear" w:color="auto" w:fill="FFFFFF"/>
                <w:lang w:eastAsia="zh-CN"/>
              </w:rPr>
              <w:t>.</w:t>
            </w:r>
            <w:r w:rsidRPr="00647F72">
              <w:rPr>
                <w:rFonts w:ascii="Book Antiqua" w:hAnsi="Book Antiqua" w:cstheme="minorHAnsi"/>
              </w:rPr>
              <w:t xml:space="preserve"> Rare cause of </w:t>
            </w:r>
            <w:r w:rsidRPr="00647F72">
              <w:rPr>
                <w:rFonts w:ascii="Book Antiqua" w:hAnsi="Book Antiqua" w:cstheme="minorHAnsi"/>
                <w:shd w:val="clear" w:color="auto" w:fill="FFFFFF"/>
              </w:rPr>
              <w:t>clinically-apparent liver injury</w:t>
            </w:r>
          </w:p>
        </w:tc>
        <w:tc>
          <w:tcPr>
            <w:tcW w:w="2451" w:type="dxa"/>
            <w:tcBorders>
              <w:top w:val="single" w:sz="4" w:space="0" w:color="auto"/>
            </w:tcBorders>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shd w:val="clear" w:color="auto" w:fill="FFFFFF"/>
              </w:rPr>
              <w:t>Altered metabolism of other medications</w:t>
            </w:r>
          </w:p>
        </w:tc>
        <w:tc>
          <w:tcPr>
            <w:tcW w:w="2784" w:type="dxa"/>
            <w:tcBorders>
              <w:top w:val="single" w:sz="4" w:space="0" w:color="auto"/>
            </w:tcBorders>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Not recommended</w:t>
            </w:r>
          </w:p>
        </w:tc>
      </w:tr>
      <w:tr w:rsidR="00F419AF" w:rsidRPr="00647F72" w:rsidTr="00DE4A0F">
        <w:tc>
          <w:tcPr>
            <w:tcW w:w="1477"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olor w:val="000000"/>
                <w:shd w:val="clear" w:color="auto" w:fill="FFFFFF"/>
              </w:rPr>
              <w:t>Azithromycin</w:t>
            </w:r>
          </w:p>
        </w:tc>
        <w:tc>
          <w:tcPr>
            <w:tcW w:w="3319" w:type="dxa"/>
          </w:tcPr>
          <w:p w:rsidR="00F419AF" w:rsidRPr="00647F72" w:rsidRDefault="00F419AF" w:rsidP="00F419AF">
            <w:pPr>
              <w:autoSpaceDE w:val="0"/>
              <w:autoSpaceDN w:val="0"/>
              <w:adjustRightInd w:val="0"/>
              <w:snapToGrid w:val="0"/>
              <w:spacing w:line="360" w:lineRule="auto"/>
              <w:jc w:val="both"/>
              <w:rPr>
                <w:rFonts w:ascii="Book Antiqua" w:hAnsi="Book Antiqua"/>
                <w:color w:val="000000"/>
                <w:shd w:val="clear" w:color="auto" w:fill="FFFFFF"/>
                <w:lang w:eastAsia="zh-CN"/>
              </w:rPr>
            </w:pPr>
            <w:r w:rsidRPr="00647F72">
              <w:rPr>
                <w:rFonts w:ascii="Book Antiqua" w:hAnsi="Book Antiqua"/>
                <w:color w:val="000000"/>
                <w:shd w:val="clear" w:color="auto" w:fill="FFFFFF"/>
              </w:rPr>
              <w:t>Likelihood score: A (well-known)</w:t>
            </w:r>
            <w:r w:rsidRPr="00647F72">
              <w:rPr>
                <w:rFonts w:ascii="Book Antiqua" w:hAnsi="Book Antiqua" w:hint="eastAsia"/>
                <w:color w:val="000000"/>
                <w:shd w:val="clear" w:color="auto" w:fill="FFFFFF"/>
                <w:lang w:eastAsia="zh-CN"/>
              </w:rPr>
              <w:t>.</w:t>
            </w:r>
            <w:r w:rsidRPr="00647F72">
              <w:rPr>
                <w:rFonts w:ascii="Book Antiqua" w:hAnsi="Book Antiqua"/>
                <w:color w:val="000000"/>
                <w:shd w:val="clear" w:color="auto" w:fill="FFFFFF"/>
              </w:rPr>
              <w:t xml:space="preserve"> Transient and asymptomatic elevation in serum aminotransferases</w:t>
            </w:r>
            <w:r w:rsidRPr="00647F72">
              <w:rPr>
                <w:rFonts w:ascii="Book Antiqua" w:hAnsi="Book Antiqua" w:hint="eastAsia"/>
                <w:color w:val="000000"/>
                <w:shd w:val="clear" w:color="auto" w:fill="FFFFFF"/>
                <w:lang w:eastAsia="zh-CN"/>
              </w:rPr>
              <w:t>;</w:t>
            </w:r>
            <w:r w:rsidRPr="00647F72">
              <w:rPr>
                <w:rFonts w:ascii="Book Antiqua" w:hAnsi="Book Antiqua"/>
                <w:color w:val="000000"/>
                <w:shd w:val="clear" w:color="auto" w:fill="FFFFFF"/>
              </w:rPr>
              <w:t xml:space="preserve"> Typical cholestatic hepatitis</w:t>
            </w:r>
          </w:p>
        </w:tc>
        <w:tc>
          <w:tcPr>
            <w:tcW w:w="2451" w:type="dxa"/>
          </w:tcPr>
          <w:p w:rsidR="00F419AF" w:rsidRPr="00647F72" w:rsidRDefault="00F419AF" w:rsidP="00F419AF">
            <w:pPr>
              <w:snapToGrid w:val="0"/>
              <w:spacing w:line="360" w:lineRule="auto"/>
              <w:jc w:val="both"/>
              <w:rPr>
                <w:rFonts w:ascii="Book Antiqua" w:hAnsi="Book Antiqua" w:cstheme="minorHAnsi"/>
                <w:shd w:val="clear" w:color="auto" w:fill="FFFFFF"/>
                <w:lang w:eastAsia="zh-CN"/>
              </w:rPr>
            </w:pPr>
            <w:r w:rsidRPr="00647F72">
              <w:rPr>
                <w:rFonts w:ascii="Book Antiqua" w:hAnsi="Book Antiqua" w:cstheme="minorHAnsi"/>
                <w:shd w:val="clear" w:color="auto" w:fill="FFFFFF"/>
              </w:rPr>
              <w:t>Unknown</w:t>
            </w:r>
          </w:p>
        </w:tc>
        <w:tc>
          <w:tcPr>
            <w:tcW w:w="2784"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Not recommended</w:t>
            </w:r>
          </w:p>
        </w:tc>
      </w:tr>
      <w:tr w:rsidR="00F419AF" w:rsidRPr="00647F72" w:rsidTr="00DE4A0F">
        <w:tc>
          <w:tcPr>
            <w:tcW w:w="1477"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Ivermectin</w:t>
            </w:r>
          </w:p>
        </w:tc>
        <w:tc>
          <w:tcPr>
            <w:tcW w:w="3319" w:type="dxa"/>
          </w:tcPr>
          <w:p w:rsidR="00F419AF" w:rsidRPr="00647F72" w:rsidRDefault="00F419AF" w:rsidP="00F419AF">
            <w:pPr>
              <w:snapToGrid w:val="0"/>
              <w:spacing w:line="360" w:lineRule="auto"/>
              <w:jc w:val="both"/>
              <w:rPr>
                <w:rFonts w:ascii="Book Antiqua" w:hAnsi="Book Antiqua" w:cstheme="minorHAnsi"/>
                <w:shd w:val="clear" w:color="auto" w:fill="FFFFFF"/>
              </w:rPr>
            </w:pPr>
            <w:r w:rsidRPr="00647F72">
              <w:rPr>
                <w:rFonts w:ascii="Book Antiqua" w:hAnsi="Book Antiqua" w:cstheme="minorHAnsi"/>
                <w:shd w:val="clear" w:color="auto" w:fill="FFFFFF"/>
              </w:rPr>
              <w:t>Likelihood score: D (</w:t>
            </w:r>
            <w:r w:rsidRPr="00647F72">
              <w:rPr>
                <w:rFonts w:ascii="Book Antiqua" w:hAnsi="Book Antiqua"/>
                <w:color w:val="000000"/>
                <w:shd w:val="clear" w:color="auto" w:fill="FFFFFF"/>
              </w:rPr>
              <w:t>possible)</w:t>
            </w:r>
            <w:r w:rsidRPr="00647F72">
              <w:rPr>
                <w:rFonts w:ascii="Book Antiqua" w:hAnsi="Book Antiqua" w:hint="eastAsia"/>
                <w:color w:val="000000"/>
                <w:shd w:val="clear" w:color="auto" w:fill="FFFFFF"/>
                <w:lang w:eastAsia="zh-CN"/>
              </w:rPr>
              <w:t>.</w:t>
            </w:r>
            <w:r w:rsidRPr="00647F72">
              <w:rPr>
                <w:rFonts w:ascii="Book Antiqua" w:hAnsi="Book Antiqua" w:cstheme="minorHAnsi"/>
                <w:shd w:val="clear" w:color="auto" w:fill="FFFFFF"/>
              </w:rPr>
              <w:t xml:space="preserve"> Mild elevation of serum aminotransferases</w:t>
            </w:r>
            <w:r w:rsidRPr="00647F72">
              <w:rPr>
                <w:rFonts w:ascii="Book Antiqua" w:hAnsi="Book Antiqua" w:cstheme="minorHAnsi" w:hint="eastAsia"/>
                <w:shd w:val="clear" w:color="auto" w:fill="FFFFFF"/>
                <w:lang w:eastAsia="zh-CN"/>
              </w:rPr>
              <w:t>;</w:t>
            </w:r>
            <w:r w:rsidRPr="00647F72">
              <w:rPr>
                <w:rFonts w:ascii="Book Antiqua" w:hAnsi="Book Antiqua" w:cstheme="minorHAnsi"/>
                <w:shd w:val="clear" w:color="auto" w:fill="FFFFFF"/>
              </w:rPr>
              <w:t xml:space="preserve"> Reports of acute liver failure</w:t>
            </w:r>
          </w:p>
        </w:tc>
        <w:tc>
          <w:tcPr>
            <w:tcW w:w="2451" w:type="dxa"/>
          </w:tcPr>
          <w:p w:rsidR="00F419AF" w:rsidRPr="00647F72" w:rsidRDefault="00F419AF" w:rsidP="00F419AF">
            <w:pPr>
              <w:snapToGrid w:val="0"/>
              <w:spacing w:line="360" w:lineRule="auto"/>
              <w:jc w:val="both"/>
              <w:rPr>
                <w:rFonts w:ascii="Book Antiqua" w:hAnsi="Book Antiqua" w:cstheme="minorHAnsi"/>
                <w:shd w:val="clear" w:color="auto" w:fill="FFFFFF"/>
              </w:rPr>
            </w:pPr>
            <w:r w:rsidRPr="00647F72">
              <w:rPr>
                <w:rFonts w:ascii="Book Antiqua" w:hAnsi="Book Antiqua" w:cstheme="minorHAnsi"/>
                <w:shd w:val="clear" w:color="auto" w:fill="FFFFFF"/>
              </w:rPr>
              <w:t>Unknown</w:t>
            </w:r>
          </w:p>
        </w:tc>
        <w:tc>
          <w:tcPr>
            <w:tcW w:w="2784"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Not recommended</w:t>
            </w:r>
          </w:p>
        </w:tc>
      </w:tr>
      <w:tr w:rsidR="00F419AF" w:rsidRPr="00647F72" w:rsidTr="00DE4A0F">
        <w:tc>
          <w:tcPr>
            <w:tcW w:w="1477" w:type="dxa"/>
          </w:tcPr>
          <w:p w:rsidR="00F419AF" w:rsidRPr="00647F72" w:rsidRDefault="00F419AF" w:rsidP="00F419AF">
            <w:pPr>
              <w:snapToGrid w:val="0"/>
              <w:spacing w:line="360" w:lineRule="auto"/>
              <w:jc w:val="both"/>
              <w:rPr>
                <w:rFonts w:ascii="Book Antiqua" w:hAnsi="Book Antiqua"/>
                <w:color w:val="000000"/>
                <w:shd w:val="clear" w:color="auto" w:fill="FFFFFF"/>
                <w:lang w:eastAsia="zh-CN"/>
              </w:rPr>
            </w:pPr>
            <w:r w:rsidRPr="00647F72">
              <w:rPr>
                <w:rFonts w:ascii="Book Antiqua" w:hAnsi="Book Antiqua"/>
                <w:color w:val="000000"/>
                <w:shd w:val="clear" w:color="auto" w:fill="FFFFFF"/>
              </w:rPr>
              <w:t>Dexamethasone</w:t>
            </w:r>
          </w:p>
        </w:tc>
        <w:tc>
          <w:tcPr>
            <w:tcW w:w="3319" w:type="dxa"/>
          </w:tcPr>
          <w:p w:rsidR="00F419AF" w:rsidRPr="00647F72" w:rsidRDefault="00F419AF" w:rsidP="00F419AF">
            <w:pPr>
              <w:autoSpaceDE w:val="0"/>
              <w:autoSpaceDN w:val="0"/>
              <w:adjustRightInd w:val="0"/>
              <w:snapToGrid w:val="0"/>
              <w:spacing w:line="360" w:lineRule="auto"/>
              <w:jc w:val="both"/>
              <w:rPr>
                <w:rFonts w:ascii="Book Antiqua" w:hAnsi="Book Antiqua" w:cstheme="minorHAnsi"/>
                <w:shd w:val="clear" w:color="auto" w:fill="FFFFFF"/>
                <w:lang w:eastAsia="zh-CN"/>
              </w:rPr>
            </w:pPr>
            <w:r w:rsidRPr="00647F72">
              <w:rPr>
                <w:rFonts w:ascii="Book Antiqua" w:hAnsi="Book Antiqua" w:cstheme="minorHAnsi"/>
                <w:color w:val="000000"/>
                <w:shd w:val="clear" w:color="auto" w:fill="FFFFFF"/>
              </w:rPr>
              <w:t xml:space="preserve">Likelihood score: A </w:t>
            </w:r>
            <w:r w:rsidRPr="00647F72">
              <w:rPr>
                <w:rFonts w:ascii="Book Antiqua" w:hAnsi="Book Antiqua"/>
                <w:color w:val="000000"/>
                <w:shd w:val="clear" w:color="auto" w:fill="FFFFFF"/>
              </w:rPr>
              <w:t>(well-known)</w:t>
            </w:r>
            <w:r w:rsidRPr="00647F72">
              <w:rPr>
                <w:rFonts w:ascii="Book Antiqua" w:hAnsi="Book Antiqua" w:hint="eastAsia"/>
                <w:color w:val="000000"/>
                <w:shd w:val="clear" w:color="auto" w:fill="FFFFFF"/>
                <w:lang w:eastAsia="zh-CN"/>
              </w:rPr>
              <w:t>.</w:t>
            </w:r>
            <w:r w:rsidRPr="00647F72">
              <w:rPr>
                <w:rFonts w:ascii="Book Antiqua" w:hAnsi="Book Antiqua" w:cstheme="minorHAnsi"/>
                <w:shd w:val="clear" w:color="auto" w:fill="FFFFFF"/>
              </w:rPr>
              <w:t xml:space="preserve"> </w:t>
            </w:r>
            <w:r w:rsidRPr="00647F72">
              <w:rPr>
                <w:rFonts w:ascii="Book Antiqua" w:hAnsi="Book Antiqua" w:cstheme="minorHAnsi"/>
                <w:iCs/>
                <w:shd w:val="clear" w:color="auto" w:fill="FFFFFF"/>
              </w:rPr>
              <w:t>Long-term use effects</w:t>
            </w:r>
            <w:r w:rsidRPr="00647F72">
              <w:rPr>
                <w:rFonts w:ascii="Book Antiqua" w:hAnsi="Book Antiqua" w:cstheme="minorHAnsi" w:hint="eastAsia"/>
                <w:iCs/>
                <w:shd w:val="clear" w:color="auto" w:fill="FFFFFF"/>
                <w:lang w:eastAsia="zh-CN"/>
              </w:rPr>
              <w:t>;</w:t>
            </w:r>
            <w:r w:rsidRPr="00647F72">
              <w:rPr>
                <w:rFonts w:ascii="Book Antiqua" w:hAnsi="Book Antiqua" w:cstheme="minorHAnsi"/>
                <w:iCs/>
                <w:shd w:val="clear" w:color="auto" w:fill="FFFFFF"/>
              </w:rPr>
              <w:t xml:space="preserve"> Symptoms usually represent the worsening or triggering of an underlying liver disease</w:t>
            </w:r>
          </w:p>
        </w:tc>
        <w:tc>
          <w:tcPr>
            <w:tcW w:w="2451" w:type="dxa"/>
          </w:tcPr>
          <w:p w:rsidR="00F419AF" w:rsidRPr="00647F72" w:rsidRDefault="00F419AF" w:rsidP="00F419AF">
            <w:pPr>
              <w:snapToGrid w:val="0"/>
              <w:spacing w:line="360" w:lineRule="auto"/>
              <w:jc w:val="both"/>
              <w:rPr>
                <w:rFonts w:ascii="Book Antiqua" w:hAnsi="Book Antiqua" w:cstheme="minorHAnsi"/>
                <w:shd w:val="clear" w:color="auto" w:fill="FFFFFF"/>
              </w:rPr>
            </w:pPr>
            <w:r w:rsidRPr="00647F72">
              <w:rPr>
                <w:rFonts w:ascii="Book Antiqua" w:hAnsi="Book Antiqua"/>
              </w:rPr>
              <w:t>Drug-associated fatty liver disease</w:t>
            </w:r>
          </w:p>
        </w:tc>
        <w:tc>
          <w:tcPr>
            <w:tcW w:w="2784"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Recommended as emergency use</w:t>
            </w:r>
          </w:p>
        </w:tc>
      </w:tr>
      <w:tr w:rsidR="00F419AF" w:rsidRPr="00647F72" w:rsidTr="00DE4A0F">
        <w:tc>
          <w:tcPr>
            <w:tcW w:w="1477"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Remdesivir</w:t>
            </w:r>
          </w:p>
        </w:tc>
        <w:tc>
          <w:tcPr>
            <w:tcW w:w="3319"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shd w:val="clear" w:color="auto" w:fill="FFFFFF"/>
              </w:rPr>
              <w:t>Likelihood score: D (</w:t>
            </w:r>
            <w:r w:rsidRPr="00647F72">
              <w:rPr>
                <w:rFonts w:ascii="Book Antiqua" w:hAnsi="Book Antiqua"/>
                <w:color w:val="000000"/>
                <w:shd w:val="clear" w:color="auto" w:fill="FFFFFF"/>
              </w:rPr>
              <w:t>possible)</w:t>
            </w:r>
            <w:r w:rsidRPr="00647F72">
              <w:rPr>
                <w:rFonts w:ascii="Book Antiqua" w:hAnsi="Book Antiqua" w:hint="eastAsia"/>
                <w:color w:val="000000"/>
                <w:shd w:val="clear" w:color="auto" w:fill="FFFFFF"/>
                <w:lang w:eastAsia="zh-CN"/>
              </w:rPr>
              <w:t>.</w:t>
            </w:r>
            <w:r w:rsidRPr="00647F72">
              <w:rPr>
                <w:rFonts w:ascii="Book Antiqua" w:hAnsi="Book Antiqua" w:cstheme="minorHAnsi"/>
                <w:shd w:val="clear" w:color="auto" w:fill="FFFFFF"/>
              </w:rPr>
              <w:t xml:space="preserve"> Mild to moderate transient elevation of serum aminotransferases</w:t>
            </w:r>
          </w:p>
        </w:tc>
        <w:tc>
          <w:tcPr>
            <w:tcW w:w="2451"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shd w:val="clear" w:color="auto" w:fill="FFFFFF"/>
              </w:rPr>
              <w:t>Inhibition of mitochondrial RNA polymerase or idiosyncratic injury</w:t>
            </w:r>
          </w:p>
        </w:tc>
        <w:tc>
          <w:tcPr>
            <w:tcW w:w="2784"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Recommended as emergency use</w:t>
            </w:r>
          </w:p>
        </w:tc>
      </w:tr>
      <w:tr w:rsidR="00F419AF" w:rsidRPr="00647F72" w:rsidTr="00DE4A0F">
        <w:tc>
          <w:tcPr>
            <w:tcW w:w="1477"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Lopinavir/ritonavir</w:t>
            </w:r>
          </w:p>
        </w:tc>
        <w:tc>
          <w:tcPr>
            <w:tcW w:w="3319" w:type="dxa"/>
          </w:tcPr>
          <w:p w:rsidR="00F419AF" w:rsidRPr="00647F72" w:rsidRDefault="00F419AF" w:rsidP="00F419AF">
            <w:pPr>
              <w:snapToGrid w:val="0"/>
              <w:spacing w:line="360" w:lineRule="auto"/>
              <w:jc w:val="both"/>
              <w:rPr>
                <w:rFonts w:ascii="Book Antiqua" w:hAnsi="Book Antiqua" w:cstheme="minorHAnsi"/>
                <w:shd w:val="clear" w:color="auto" w:fill="FFFFFF"/>
              </w:rPr>
            </w:pPr>
            <w:r w:rsidRPr="00647F72">
              <w:rPr>
                <w:rFonts w:ascii="Book Antiqua" w:hAnsi="Book Antiqua" w:cstheme="minorHAnsi"/>
                <w:shd w:val="clear" w:color="auto" w:fill="FFFFFF"/>
              </w:rPr>
              <w:t>Likelihood score: D (</w:t>
            </w:r>
            <w:r w:rsidRPr="00647F72">
              <w:rPr>
                <w:rFonts w:ascii="Book Antiqua" w:hAnsi="Book Antiqua"/>
                <w:color w:val="000000"/>
                <w:shd w:val="clear" w:color="auto" w:fill="FFFFFF"/>
              </w:rPr>
              <w:t>possible)</w:t>
            </w:r>
            <w:r w:rsidRPr="00647F72">
              <w:rPr>
                <w:rFonts w:ascii="Book Antiqua" w:hAnsi="Book Antiqua" w:hint="eastAsia"/>
                <w:color w:val="000000"/>
                <w:shd w:val="clear" w:color="auto" w:fill="FFFFFF"/>
                <w:lang w:eastAsia="zh-CN"/>
              </w:rPr>
              <w:t>.</w:t>
            </w:r>
            <w:r w:rsidRPr="00647F72">
              <w:rPr>
                <w:rFonts w:ascii="Book Antiqua" w:hAnsi="Book Antiqua" w:cstheme="minorHAnsi"/>
                <w:shd w:val="clear" w:color="auto" w:fill="FFFFFF"/>
              </w:rPr>
              <w:t xml:space="preserve"> Moderate to severe elevation of serum aminotransferases (pattern hepatocellular to cholestatic or mixed)</w:t>
            </w:r>
            <w:r w:rsidRPr="00647F72">
              <w:rPr>
                <w:rFonts w:ascii="Book Antiqua" w:hAnsi="Book Antiqua" w:cstheme="minorHAnsi" w:hint="eastAsia"/>
                <w:shd w:val="clear" w:color="auto" w:fill="FFFFFF"/>
                <w:lang w:eastAsia="zh-CN"/>
              </w:rPr>
              <w:t>;</w:t>
            </w:r>
            <w:r w:rsidRPr="00647F72">
              <w:rPr>
                <w:rFonts w:ascii="Book Antiqua" w:hAnsi="Book Antiqua" w:cstheme="minorHAnsi"/>
                <w:shd w:val="clear" w:color="auto" w:fill="FFFFFF"/>
              </w:rPr>
              <w:t xml:space="preserve"> Duration 1-2 mo</w:t>
            </w:r>
            <w:r w:rsidRPr="00647F72">
              <w:rPr>
                <w:rFonts w:ascii="Book Antiqua" w:hAnsi="Book Antiqua" w:cstheme="minorHAnsi" w:hint="eastAsia"/>
                <w:shd w:val="clear" w:color="auto" w:fill="FFFFFF"/>
                <w:lang w:eastAsia="zh-CN"/>
              </w:rPr>
              <w:t>;</w:t>
            </w:r>
            <w:r w:rsidRPr="00647F72">
              <w:rPr>
                <w:rFonts w:ascii="Book Antiqua" w:hAnsi="Book Antiqua" w:cstheme="minorHAnsi"/>
                <w:shd w:val="clear" w:color="auto" w:fill="FFFFFF"/>
              </w:rPr>
              <w:t xml:space="preserve"> Reports of acute liver failure</w:t>
            </w:r>
            <w:r w:rsidRPr="00647F72">
              <w:rPr>
                <w:rFonts w:ascii="Book Antiqua" w:hAnsi="Book Antiqua" w:cstheme="minorHAnsi" w:hint="eastAsia"/>
                <w:shd w:val="clear" w:color="auto" w:fill="FFFFFF"/>
                <w:lang w:eastAsia="zh-CN"/>
              </w:rPr>
              <w:t>;</w:t>
            </w:r>
            <w:r w:rsidRPr="00647F72">
              <w:rPr>
                <w:rFonts w:ascii="Book Antiqua" w:hAnsi="Book Antiqua" w:cstheme="minorHAnsi"/>
                <w:shd w:val="clear" w:color="auto" w:fill="FFFFFF"/>
              </w:rPr>
              <w:t xml:space="preserve"> Caution in patients with co-infection by hepatitis B virus-hepatitis C virus-human immunodeficiency virus</w:t>
            </w:r>
          </w:p>
        </w:tc>
        <w:tc>
          <w:tcPr>
            <w:tcW w:w="2451"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shd w:val="clear" w:color="auto" w:fill="FFFFFF"/>
              </w:rPr>
              <w:t>Inhibits both of the isoforms of CYP3A del P450, which may result in production of a toxic intermediate</w:t>
            </w:r>
          </w:p>
        </w:tc>
        <w:tc>
          <w:tcPr>
            <w:tcW w:w="2784"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Not recommended</w:t>
            </w:r>
          </w:p>
        </w:tc>
      </w:tr>
      <w:tr w:rsidR="00F419AF" w:rsidRPr="00647F72" w:rsidTr="00DE4A0F">
        <w:trPr>
          <w:trHeight w:val="1381"/>
        </w:trPr>
        <w:tc>
          <w:tcPr>
            <w:tcW w:w="1477"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shd w:val="clear" w:color="auto" w:fill="FFFFFF"/>
              </w:rPr>
              <w:t>Baricitinib</w:t>
            </w:r>
          </w:p>
        </w:tc>
        <w:tc>
          <w:tcPr>
            <w:tcW w:w="3319"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shd w:val="clear" w:color="auto" w:fill="FFFFFF"/>
              </w:rPr>
              <w:t>Likelihood score: E (unlikely)</w:t>
            </w:r>
            <w:r w:rsidRPr="00647F72">
              <w:rPr>
                <w:rFonts w:ascii="Book Antiqua" w:hAnsi="Book Antiqua" w:cstheme="minorHAnsi" w:hint="eastAsia"/>
                <w:shd w:val="clear" w:color="auto" w:fill="FFFFFF"/>
                <w:lang w:eastAsia="zh-CN"/>
              </w:rPr>
              <w:t>.</w:t>
            </w:r>
            <w:r w:rsidRPr="00647F72">
              <w:rPr>
                <w:rFonts w:ascii="Book Antiqua" w:hAnsi="Book Antiqua" w:cstheme="minorHAnsi"/>
                <w:shd w:val="clear" w:color="auto" w:fill="FFFFFF"/>
              </w:rPr>
              <w:t xml:space="preserve"> Moderate transient elevation of serum aminotransferases (17% of patients)</w:t>
            </w:r>
            <w:r w:rsidRPr="00647F72">
              <w:rPr>
                <w:rFonts w:ascii="Book Antiqua" w:hAnsi="Book Antiqua" w:cstheme="minorHAnsi" w:hint="eastAsia"/>
                <w:shd w:val="clear" w:color="auto" w:fill="FFFFFF"/>
                <w:lang w:eastAsia="zh-CN"/>
              </w:rPr>
              <w:t>;</w:t>
            </w:r>
            <w:r w:rsidRPr="00647F72">
              <w:rPr>
                <w:rFonts w:ascii="Book Antiqua" w:hAnsi="Book Antiqua" w:cstheme="minorHAnsi"/>
                <w:shd w:val="clear" w:color="auto" w:fill="FFFFFF"/>
              </w:rPr>
              <w:t xml:space="preserve"> Hepatitis B reactivation</w:t>
            </w:r>
          </w:p>
        </w:tc>
        <w:tc>
          <w:tcPr>
            <w:tcW w:w="2451"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shd w:val="clear" w:color="auto" w:fill="FFFFFF"/>
              </w:rPr>
              <w:t>Unknown</w:t>
            </w:r>
          </w:p>
        </w:tc>
        <w:tc>
          <w:tcPr>
            <w:tcW w:w="2784" w:type="dxa"/>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Recommended as emergency use</w:t>
            </w:r>
          </w:p>
        </w:tc>
      </w:tr>
      <w:tr w:rsidR="00F419AF" w:rsidRPr="00647F72" w:rsidTr="00DE4A0F">
        <w:tc>
          <w:tcPr>
            <w:tcW w:w="1477" w:type="dxa"/>
            <w:tcBorders>
              <w:bottom w:val="single" w:sz="4" w:space="0" w:color="auto"/>
            </w:tcBorders>
          </w:tcPr>
          <w:p w:rsidR="00F419AF" w:rsidRPr="00647F72" w:rsidRDefault="00F419AF" w:rsidP="00F419AF">
            <w:pPr>
              <w:snapToGrid w:val="0"/>
              <w:spacing w:line="360" w:lineRule="auto"/>
              <w:jc w:val="both"/>
              <w:rPr>
                <w:rFonts w:ascii="Book Antiqua" w:hAnsi="Book Antiqua" w:cstheme="minorHAnsi"/>
                <w:shd w:val="clear" w:color="auto" w:fill="FFFFFF"/>
              </w:rPr>
            </w:pPr>
            <w:r w:rsidRPr="00647F72">
              <w:rPr>
                <w:rFonts w:ascii="Book Antiqua" w:hAnsi="Book Antiqua"/>
                <w:color w:val="000000"/>
                <w:shd w:val="clear" w:color="auto" w:fill="FFFFFF"/>
              </w:rPr>
              <w:t>Tocilizumab</w:t>
            </w:r>
          </w:p>
        </w:tc>
        <w:tc>
          <w:tcPr>
            <w:tcW w:w="3319" w:type="dxa"/>
            <w:tcBorders>
              <w:bottom w:val="single" w:sz="4" w:space="0" w:color="auto"/>
            </w:tcBorders>
          </w:tcPr>
          <w:p w:rsidR="00F419AF" w:rsidRPr="00647F72" w:rsidRDefault="00F419AF" w:rsidP="00F419AF">
            <w:pPr>
              <w:snapToGrid w:val="0"/>
              <w:spacing w:line="360" w:lineRule="auto"/>
              <w:jc w:val="both"/>
              <w:rPr>
                <w:rFonts w:ascii="Book Antiqua" w:hAnsi="Book Antiqua" w:cstheme="minorHAnsi"/>
                <w:shd w:val="clear" w:color="auto" w:fill="FFFFFF"/>
              </w:rPr>
            </w:pPr>
            <w:r w:rsidRPr="00647F72">
              <w:rPr>
                <w:rFonts w:ascii="Book Antiqua" w:hAnsi="Book Antiqua" w:cstheme="minorHAnsi"/>
                <w:shd w:val="clear" w:color="auto" w:fill="FFFFFF"/>
              </w:rPr>
              <w:t>Likelihood score: C (</w:t>
            </w:r>
            <w:r w:rsidRPr="00647F72">
              <w:rPr>
                <w:rFonts w:ascii="Book Antiqua" w:hAnsi="Book Antiqua"/>
                <w:color w:val="000000"/>
                <w:shd w:val="clear" w:color="auto" w:fill="FFFFFF"/>
              </w:rPr>
              <w:t>probably)</w:t>
            </w:r>
            <w:r w:rsidRPr="00647F72">
              <w:rPr>
                <w:rFonts w:ascii="Book Antiqua" w:hAnsi="Book Antiqua" w:hint="eastAsia"/>
                <w:color w:val="000000"/>
                <w:shd w:val="clear" w:color="auto" w:fill="FFFFFF"/>
                <w:lang w:eastAsia="zh-CN"/>
              </w:rPr>
              <w:t>.</w:t>
            </w:r>
            <w:r w:rsidRPr="00647F72">
              <w:rPr>
                <w:rFonts w:ascii="Book Antiqua" w:hAnsi="Book Antiqua" w:cstheme="minorHAnsi"/>
                <w:shd w:val="clear" w:color="auto" w:fill="FFFFFF"/>
              </w:rPr>
              <w:t xml:space="preserve"> Mild to moderate transient elevation of serum aminotransferases</w:t>
            </w:r>
            <w:r w:rsidRPr="00647F72">
              <w:rPr>
                <w:rFonts w:ascii="Book Antiqua" w:hAnsi="Book Antiqua" w:cstheme="minorHAnsi" w:hint="eastAsia"/>
                <w:shd w:val="clear" w:color="auto" w:fill="FFFFFF"/>
                <w:lang w:eastAsia="zh-CN"/>
              </w:rPr>
              <w:t>;</w:t>
            </w:r>
            <w:r w:rsidRPr="00647F72">
              <w:rPr>
                <w:rFonts w:ascii="Book Antiqua" w:hAnsi="Book Antiqua" w:cstheme="minorHAnsi"/>
                <w:shd w:val="clear" w:color="auto" w:fill="FFFFFF"/>
              </w:rPr>
              <w:t xml:space="preserve"> Duration </w:t>
            </w:r>
            <w:r w:rsidRPr="00647F72">
              <w:rPr>
                <w:rFonts w:ascii="Book Antiqua" w:hAnsi="Book Antiqua"/>
                <w:color w:val="000000"/>
                <w:shd w:val="clear" w:color="auto" w:fill="FFFFFF"/>
              </w:rPr>
              <w:t>8 wk</w:t>
            </w:r>
          </w:p>
        </w:tc>
        <w:tc>
          <w:tcPr>
            <w:tcW w:w="2451" w:type="dxa"/>
            <w:tcBorders>
              <w:bottom w:val="single" w:sz="4" w:space="0" w:color="auto"/>
            </w:tcBorders>
          </w:tcPr>
          <w:p w:rsidR="00F419AF" w:rsidRPr="00647F72" w:rsidRDefault="00F419AF" w:rsidP="00F419AF">
            <w:pPr>
              <w:snapToGrid w:val="0"/>
              <w:spacing w:line="360" w:lineRule="auto"/>
              <w:jc w:val="both"/>
              <w:rPr>
                <w:rFonts w:ascii="Book Antiqua" w:hAnsi="Book Antiqua" w:cstheme="minorHAnsi"/>
                <w:shd w:val="clear" w:color="auto" w:fill="FFFFFF"/>
              </w:rPr>
            </w:pPr>
            <w:r w:rsidRPr="00647F72">
              <w:rPr>
                <w:rFonts w:ascii="Book Antiqua" w:hAnsi="Book Antiqua" w:cstheme="minorHAnsi"/>
                <w:shd w:val="clear" w:color="auto" w:fill="FFFFFF"/>
              </w:rPr>
              <w:t>Unknown</w:t>
            </w:r>
          </w:p>
        </w:tc>
        <w:tc>
          <w:tcPr>
            <w:tcW w:w="2784" w:type="dxa"/>
            <w:tcBorders>
              <w:bottom w:val="single" w:sz="4" w:space="0" w:color="auto"/>
            </w:tcBorders>
          </w:tcPr>
          <w:p w:rsidR="00F419AF" w:rsidRPr="00647F72" w:rsidRDefault="00F419AF" w:rsidP="00F419AF">
            <w:pPr>
              <w:snapToGrid w:val="0"/>
              <w:spacing w:line="360" w:lineRule="auto"/>
              <w:jc w:val="both"/>
              <w:rPr>
                <w:rFonts w:ascii="Book Antiqua" w:hAnsi="Book Antiqua" w:cstheme="minorHAnsi"/>
              </w:rPr>
            </w:pPr>
            <w:r w:rsidRPr="00647F72">
              <w:rPr>
                <w:rFonts w:ascii="Book Antiqua" w:hAnsi="Book Antiqua" w:cstheme="minorHAnsi"/>
              </w:rPr>
              <w:t>Recommended as emergency use</w:t>
            </w:r>
          </w:p>
        </w:tc>
      </w:tr>
    </w:tbl>
    <w:p w:rsidR="00730CEE" w:rsidRDefault="00F419AF">
      <w:pPr>
        <w:spacing w:line="360" w:lineRule="auto"/>
        <w:jc w:val="both"/>
        <w:rPr>
          <w:rFonts w:ascii="Book Antiqua" w:hAnsi="Book Antiqua" w:hint="eastAsia"/>
          <w:lang w:eastAsia="zh-CN"/>
        </w:rPr>
      </w:pPr>
      <w:r w:rsidRPr="00647F72">
        <w:rPr>
          <w:rFonts w:ascii="Book Antiqua" w:hAnsi="Book Antiqua"/>
        </w:rPr>
        <w:t>COVID-19</w:t>
      </w:r>
      <w:r w:rsidRPr="00647F72">
        <w:rPr>
          <w:rFonts w:ascii="Book Antiqua" w:hAnsi="Book Antiqua" w:hint="eastAsia"/>
          <w:lang w:eastAsia="zh-CN"/>
        </w:rPr>
        <w:t>:</w:t>
      </w:r>
      <w:r w:rsidRPr="00647F72">
        <w:rPr>
          <w:rFonts w:ascii="Book Antiqua" w:hAnsi="Book Antiqua"/>
        </w:rPr>
        <w:t xml:space="preserve"> </w:t>
      </w:r>
      <w:r w:rsidRPr="00647F72">
        <w:rPr>
          <w:rFonts w:ascii="Book Antiqua" w:hAnsi="Book Antiqua" w:hint="eastAsia"/>
          <w:lang w:eastAsia="zh-CN"/>
        </w:rPr>
        <w:t>C</w:t>
      </w:r>
      <w:r w:rsidRPr="00647F72">
        <w:rPr>
          <w:rFonts w:ascii="Book Antiqua" w:hAnsi="Book Antiqua"/>
        </w:rPr>
        <w:t>oronavirus disease</w:t>
      </w:r>
      <w:r w:rsidRPr="00647F72">
        <w:rPr>
          <w:rFonts w:ascii="Book Antiqua" w:hAnsi="Book Antiqua" w:hint="eastAsia"/>
          <w:lang w:eastAsia="zh-CN"/>
        </w:rPr>
        <w:t xml:space="preserve"> </w:t>
      </w:r>
      <w:r w:rsidRPr="00647F72">
        <w:rPr>
          <w:rFonts w:ascii="Book Antiqua" w:hAnsi="Book Antiqua"/>
        </w:rPr>
        <w:t>2019</w:t>
      </w:r>
      <w:r w:rsidRPr="00647F72">
        <w:rPr>
          <w:rFonts w:ascii="Book Antiqua" w:hAnsi="Book Antiqua" w:hint="eastAsia"/>
          <w:lang w:eastAsia="zh-CN"/>
        </w:rPr>
        <w:t>.</w:t>
      </w:r>
    </w:p>
    <w:p w:rsidR="00647F72" w:rsidRDefault="00647F72">
      <w:pPr>
        <w:rPr>
          <w:rFonts w:ascii="Book Antiqua" w:hAnsi="Book Antiqua"/>
          <w:lang w:eastAsia="zh-CN"/>
        </w:rPr>
      </w:pPr>
      <w:r>
        <w:rPr>
          <w:rFonts w:ascii="Book Antiqua" w:hAnsi="Book Antiqua"/>
          <w:lang w:eastAsia="zh-CN"/>
        </w:rPr>
        <w:br w:type="page"/>
      </w:r>
    </w:p>
    <w:p w:rsidR="00647F72" w:rsidRDefault="00647F72" w:rsidP="00647F72">
      <w:pPr>
        <w:jc w:val="center"/>
        <w:rPr>
          <w:rFonts w:ascii="Book Antiqua" w:hAnsi="Book Antiqua"/>
          <w:lang w:eastAsia="zh-CN"/>
        </w:rPr>
      </w:pPr>
      <w:bookmarkStart w:id="1" w:name="OLE_LINK1"/>
      <w:bookmarkStart w:id="2" w:name="OLE_LINK2"/>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r>
        <w:rPr>
          <w:rFonts w:ascii="Book Antiqua" w:hAnsi="Book Antiqua"/>
          <w:noProof/>
          <w:lang w:eastAsia="zh-CN"/>
        </w:rPr>
        <w:drawing>
          <wp:inline distT="0" distB="0" distL="0" distR="0" wp14:anchorId="367BAD6A" wp14:editId="41B87F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47F72" w:rsidRDefault="00647F72" w:rsidP="00647F72">
      <w:pPr>
        <w:jc w:val="center"/>
        <w:rPr>
          <w:rFonts w:ascii="Book Antiqua" w:hAnsi="Book Antiqua"/>
          <w:lang w:eastAsia="zh-CN"/>
        </w:rPr>
      </w:pPr>
    </w:p>
    <w:p w:rsidR="00647F72" w:rsidRPr="00763D22" w:rsidRDefault="00647F72" w:rsidP="00647F7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647F72" w:rsidRPr="00763D22" w:rsidRDefault="00647F72" w:rsidP="00647F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647F72" w:rsidRPr="00763D22" w:rsidRDefault="00647F72" w:rsidP="00647F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647F72" w:rsidRPr="00763D22" w:rsidRDefault="00647F72" w:rsidP="00647F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647F72" w:rsidRPr="00763D22" w:rsidRDefault="00647F72" w:rsidP="00647F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647F72" w:rsidRPr="00763D22" w:rsidRDefault="00647F72" w:rsidP="00647F7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r>
        <w:rPr>
          <w:rFonts w:ascii="Book Antiqua" w:hAnsi="Book Antiqua"/>
          <w:noProof/>
          <w:lang w:eastAsia="zh-CN"/>
        </w:rPr>
        <w:drawing>
          <wp:inline distT="0" distB="0" distL="0" distR="0" wp14:anchorId="5DFC0EE5" wp14:editId="29D452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Default="00647F72" w:rsidP="00647F72">
      <w:pPr>
        <w:jc w:val="center"/>
        <w:rPr>
          <w:rFonts w:ascii="Book Antiqua" w:hAnsi="Book Antiqua"/>
          <w:lang w:eastAsia="zh-CN"/>
        </w:rPr>
      </w:pPr>
    </w:p>
    <w:p w:rsidR="00647F72" w:rsidRPr="00763D22" w:rsidRDefault="00647F72" w:rsidP="00647F72">
      <w:pPr>
        <w:jc w:val="right"/>
        <w:rPr>
          <w:rFonts w:ascii="Book Antiqua" w:hAnsi="Book Antiqua"/>
          <w:color w:val="000000" w:themeColor="text1"/>
          <w:lang w:eastAsia="zh-CN"/>
        </w:rPr>
      </w:pPr>
    </w:p>
    <w:p w:rsidR="00647F72" w:rsidRPr="00763D22" w:rsidRDefault="00647F72" w:rsidP="00647F7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rsidR="00647F72" w:rsidRPr="00647F72" w:rsidRDefault="00647F72">
      <w:pPr>
        <w:spacing w:line="360" w:lineRule="auto"/>
        <w:jc w:val="both"/>
        <w:rPr>
          <w:lang w:eastAsia="zh-CN"/>
        </w:rPr>
      </w:pPr>
      <w:bookmarkStart w:id="3" w:name="_GoBack"/>
      <w:bookmarkEnd w:id="3"/>
    </w:p>
    <w:sectPr w:rsidR="00647F72" w:rsidRPr="00647F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braham Edgar Gracia Ramos" w:date="2021-07-05T11:28:00Z" w:initials="AEGR">
    <w:p w:rsidR="00891C93" w:rsidRDefault="00891C93">
      <w:pPr>
        <w:pStyle w:val="a4"/>
      </w:pPr>
      <w:r>
        <w:rPr>
          <w:rStyle w:val="a3"/>
        </w:rPr>
        <w:annotationRef/>
      </w:r>
      <w:r>
        <w:t>In the manuscript information on the F6Publishing website, the Country/Territory of origin is Mexico. P</w:t>
      </w:r>
      <w:r w:rsidR="00432039">
        <w:t>lease, change this data</w:t>
      </w:r>
      <w:r>
        <w:t xml:space="preserve"> on the manuscript.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A6" w:rsidRDefault="007825A6" w:rsidP="004560B1">
      <w:r>
        <w:separator/>
      </w:r>
    </w:p>
  </w:endnote>
  <w:endnote w:type="continuationSeparator" w:id="0">
    <w:p w:rsidR="007825A6" w:rsidRDefault="007825A6" w:rsidP="004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094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4D3028" w:rsidRPr="004560B1" w:rsidRDefault="004D3028" w:rsidP="004560B1">
            <w:pPr>
              <w:pStyle w:val="a9"/>
              <w:jc w:val="right"/>
              <w:rPr>
                <w:rFonts w:ascii="Book Antiqua" w:hAnsi="Book Antiqua"/>
                <w:sz w:val="24"/>
                <w:szCs w:val="24"/>
              </w:rPr>
            </w:pPr>
            <w:r w:rsidRPr="004560B1">
              <w:rPr>
                <w:rFonts w:ascii="Book Antiqua" w:hAnsi="Book Antiqua"/>
                <w:sz w:val="24"/>
                <w:szCs w:val="24"/>
                <w:lang w:val="zh-CN" w:eastAsia="zh-CN"/>
              </w:rPr>
              <w:t xml:space="preserve"> </w:t>
            </w:r>
            <w:r w:rsidRPr="004560B1">
              <w:rPr>
                <w:rFonts w:ascii="Book Antiqua" w:hAnsi="Book Antiqua"/>
                <w:bCs/>
                <w:sz w:val="24"/>
                <w:szCs w:val="24"/>
              </w:rPr>
              <w:fldChar w:fldCharType="begin"/>
            </w:r>
            <w:r w:rsidRPr="004560B1">
              <w:rPr>
                <w:rFonts w:ascii="Book Antiqua" w:hAnsi="Book Antiqua"/>
                <w:bCs/>
                <w:sz w:val="24"/>
                <w:szCs w:val="24"/>
              </w:rPr>
              <w:instrText>PAGE</w:instrText>
            </w:r>
            <w:r w:rsidRPr="004560B1">
              <w:rPr>
                <w:rFonts w:ascii="Book Antiqua" w:hAnsi="Book Antiqua"/>
                <w:bCs/>
                <w:sz w:val="24"/>
                <w:szCs w:val="24"/>
              </w:rPr>
              <w:fldChar w:fldCharType="separate"/>
            </w:r>
            <w:r w:rsidR="007825A6">
              <w:rPr>
                <w:rFonts w:ascii="Book Antiqua" w:hAnsi="Book Antiqua"/>
                <w:bCs/>
                <w:noProof/>
                <w:sz w:val="24"/>
                <w:szCs w:val="24"/>
              </w:rPr>
              <w:t>1</w:t>
            </w:r>
            <w:r w:rsidRPr="004560B1">
              <w:rPr>
                <w:rFonts w:ascii="Book Antiqua" w:hAnsi="Book Antiqua"/>
                <w:bCs/>
                <w:sz w:val="24"/>
                <w:szCs w:val="24"/>
              </w:rPr>
              <w:fldChar w:fldCharType="end"/>
            </w:r>
            <w:r w:rsidRPr="004560B1">
              <w:rPr>
                <w:rFonts w:ascii="Book Antiqua" w:hAnsi="Book Antiqua"/>
                <w:sz w:val="24"/>
                <w:szCs w:val="24"/>
                <w:lang w:val="zh-CN" w:eastAsia="zh-CN"/>
              </w:rPr>
              <w:t xml:space="preserve"> / </w:t>
            </w:r>
            <w:r w:rsidRPr="004560B1">
              <w:rPr>
                <w:rFonts w:ascii="Book Antiqua" w:hAnsi="Book Antiqua"/>
                <w:bCs/>
                <w:sz w:val="24"/>
                <w:szCs w:val="24"/>
              </w:rPr>
              <w:fldChar w:fldCharType="begin"/>
            </w:r>
            <w:r w:rsidRPr="004560B1">
              <w:rPr>
                <w:rFonts w:ascii="Book Antiqua" w:hAnsi="Book Antiqua"/>
                <w:bCs/>
                <w:sz w:val="24"/>
                <w:szCs w:val="24"/>
              </w:rPr>
              <w:instrText>NUMPAGES</w:instrText>
            </w:r>
            <w:r w:rsidRPr="004560B1">
              <w:rPr>
                <w:rFonts w:ascii="Book Antiqua" w:hAnsi="Book Antiqua"/>
                <w:bCs/>
                <w:sz w:val="24"/>
                <w:szCs w:val="24"/>
              </w:rPr>
              <w:fldChar w:fldCharType="separate"/>
            </w:r>
            <w:r w:rsidR="007825A6">
              <w:rPr>
                <w:rFonts w:ascii="Book Antiqua" w:hAnsi="Book Antiqua"/>
                <w:bCs/>
                <w:noProof/>
                <w:sz w:val="24"/>
                <w:szCs w:val="24"/>
              </w:rPr>
              <w:t>1</w:t>
            </w:r>
            <w:r w:rsidRPr="004560B1">
              <w:rPr>
                <w:rFonts w:ascii="Book Antiqua" w:hAnsi="Book Antiqua"/>
                <w:bCs/>
                <w:sz w:val="24"/>
                <w:szCs w:val="24"/>
              </w:rPr>
              <w:fldChar w:fldCharType="end"/>
            </w:r>
          </w:p>
        </w:sdtContent>
      </w:sdt>
    </w:sdtContent>
  </w:sdt>
  <w:p w:rsidR="004D3028" w:rsidRPr="004560B1" w:rsidRDefault="004D3028" w:rsidP="004560B1">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A6" w:rsidRDefault="007825A6" w:rsidP="004560B1">
      <w:r>
        <w:separator/>
      </w:r>
    </w:p>
  </w:footnote>
  <w:footnote w:type="continuationSeparator" w:id="0">
    <w:p w:rsidR="007825A6" w:rsidRDefault="007825A6" w:rsidP="00456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84"/>
    <w:rsid w:val="0002737D"/>
    <w:rsid w:val="00051554"/>
    <w:rsid w:val="000758D3"/>
    <w:rsid w:val="00134E7C"/>
    <w:rsid w:val="00137593"/>
    <w:rsid w:val="00151B5F"/>
    <w:rsid w:val="00183983"/>
    <w:rsid w:val="001A3AF1"/>
    <w:rsid w:val="001C5712"/>
    <w:rsid w:val="00201CF5"/>
    <w:rsid w:val="002528D4"/>
    <w:rsid w:val="002A5CE7"/>
    <w:rsid w:val="002C74D9"/>
    <w:rsid w:val="00300D0B"/>
    <w:rsid w:val="00352DEA"/>
    <w:rsid w:val="00366B7F"/>
    <w:rsid w:val="00376BD4"/>
    <w:rsid w:val="00383B68"/>
    <w:rsid w:val="00385908"/>
    <w:rsid w:val="003D3761"/>
    <w:rsid w:val="00432039"/>
    <w:rsid w:val="004560B1"/>
    <w:rsid w:val="00481FB0"/>
    <w:rsid w:val="004B68D8"/>
    <w:rsid w:val="004D3028"/>
    <w:rsid w:val="00502BDE"/>
    <w:rsid w:val="005413CF"/>
    <w:rsid w:val="00647F72"/>
    <w:rsid w:val="0066067F"/>
    <w:rsid w:val="0069352C"/>
    <w:rsid w:val="006C0D2D"/>
    <w:rsid w:val="006C49BB"/>
    <w:rsid w:val="00716F2A"/>
    <w:rsid w:val="00730CEE"/>
    <w:rsid w:val="007825A6"/>
    <w:rsid w:val="007A62E8"/>
    <w:rsid w:val="007A7E7F"/>
    <w:rsid w:val="008264E5"/>
    <w:rsid w:val="00830E7B"/>
    <w:rsid w:val="00891C93"/>
    <w:rsid w:val="009027E0"/>
    <w:rsid w:val="009C150F"/>
    <w:rsid w:val="009E79A4"/>
    <w:rsid w:val="009F5436"/>
    <w:rsid w:val="00A135A7"/>
    <w:rsid w:val="00A27F84"/>
    <w:rsid w:val="00A50C72"/>
    <w:rsid w:val="00A77B3E"/>
    <w:rsid w:val="00AF5F0F"/>
    <w:rsid w:val="00B0534C"/>
    <w:rsid w:val="00B34FC9"/>
    <w:rsid w:val="00B54963"/>
    <w:rsid w:val="00BA7185"/>
    <w:rsid w:val="00BD789D"/>
    <w:rsid w:val="00C115F7"/>
    <w:rsid w:val="00C2180D"/>
    <w:rsid w:val="00C35D22"/>
    <w:rsid w:val="00C52685"/>
    <w:rsid w:val="00C83A48"/>
    <w:rsid w:val="00C86655"/>
    <w:rsid w:val="00CA2A55"/>
    <w:rsid w:val="00D30787"/>
    <w:rsid w:val="00DB46F7"/>
    <w:rsid w:val="00DC7714"/>
    <w:rsid w:val="00DE1C04"/>
    <w:rsid w:val="00DE4A0F"/>
    <w:rsid w:val="00E0511A"/>
    <w:rsid w:val="00E81521"/>
    <w:rsid w:val="00E955FA"/>
    <w:rsid w:val="00E96334"/>
    <w:rsid w:val="00F419AF"/>
    <w:rsid w:val="00F712EC"/>
    <w:rsid w:val="00F8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85908"/>
    <w:rPr>
      <w:sz w:val="21"/>
      <w:szCs w:val="21"/>
    </w:rPr>
  </w:style>
  <w:style w:type="paragraph" w:styleId="a4">
    <w:name w:val="annotation text"/>
    <w:basedOn w:val="a"/>
    <w:link w:val="Char"/>
    <w:rsid w:val="00385908"/>
  </w:style>
  <w:style w:type="character" w:customStyle="1" w:styleId="Char">
    <w:name w:val="批注文字 Char"/>
    <w:basedOn w:val="a0"/>
    <w:link w:val="a4"/>
    <w:rsid w:val="00385908"/>
    <w:rPr>
      <w:sz w:val="24"/>
      <w:szCs w:val="24"/>
    </w:rPr>
  </w:style>
  <w:style w:type="paragraph" w:styleId="a5">
    <w:name w:val="annotation subject"/>
    <w:basedOn w:val="a4"/>
    <w:next w:val="a4"/>
    <w:link w:val="Char0"/>
    <w:rsid w:val="00385908"/>
    <w:rPr>
      <w:b/>
      <w:bCs/>
    </w:rPr>
  </w:style>
  <w:style w:type="character" w:customStyle="1" w:styleId="Char0">
    <w:name w:val="批注主题 Char"/>
    <w:basedOn w:val="Char"/>
    <w:link w:val="a5"/>
    <w:rsid w:val="00385908"/>
    <w:rPr>
      <w:b/>
      <w:bCs/>
      <w:sz w:val="24"/>
      <w:szCs w:val="24"/>
    </w:rPr>
  </w:style>
  <w:style w:type="paragraph" w:styleId="a6">
    <w:name w:val="Balloon Text"/>
    <w:basedOn w:val="a"/>
    <w:link w:val="Char1"/>
    <w:rsid w:val="00385908"/>
    <w:rPr>
      <w:sz w:val="18"/>
      <w:szCs w:val="18"/>
    </w:rPr>
  </w:style>
  <w:style w:type="character" w:customStyle="1" w:styleId="Char1">
    <w:name w:val="批注框文本 Char"/>
    <w:basedOn w:val="a0"/>
    <w:link w:val="a6"/>
    <w:rsid w:val="00385908"/>
    <w:rPr>
      <w:sz w:val="18"/>
      <w:szCs w:val="18"/>
    </w:rPr>
  </w:style>
  <w:style w:type="table" w:styleId="a7">
    <w:name w:val="Table Grid"/>
    <w:basedOn w:val="a1"/>
    <w:uiPriority w:val="59"/>
    <w:rsid w:val="00B34F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4560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560B1"/>
    <w:rPr>
      <w:sz w:val="18"/>
      <w:szCs w:val="18"/>
    </w:rPr>
  </w:style>
  <w:style w:type="paragraph" w:styleId="a9">
    <w:name w:val="footer"/>
    <w:basedOn w:val="a"/>
    <w:link w:val="Char3"/>
    <w:uiPriority w:val="99"/>
    <w:rsid w:val="004560B1"/>
    <w:pPr>
      <w:tabs>
        <w:tab w:val="center" w:pos="4153"/>
        <w:tab w:val="right" w:pos="8306"/>
      </w:tabs>
      <w:snapToGrid w:val="0"/>
    </w:pPr>
    <w:rPr>
      <w:sz w:val="18"/>
      <w:szCs w:val="18"/>
    </w:rPr>
  </w:style>
  <w:style w:type="character" w:customStyle="1" w:styleId="Char3">
    <w:name w:val="页脚 Char"/>
    <w:basedOn w:val="a0"/>
    <w:link w:val="a9"/>
    <w:uiPriority w:val="99"/>
    <w:rsid w:val="004560B1"/>
    <w:rPr>
      <w:sz w:val="18"/>
      <w:szCs w:val="18"/>
    </w:rPr>
  </w:style>
  <w:style w:type="character" w:styleId="aa">
    <w:name w:val="Hyperlink"/>
    <w:basedOn w:val="a0"/>
    <w:unhideWhenUsed/>
    <w:rsid w:val="00E81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85908"/>
    <w:rPr>
      <w:sz w:val="21"/>
      <w:szCs w:val="21"/>
    </w:rPr>
  </w:style>
  <w:style w:type="paragraph" w:styleId="a4">
    <w:name w:val="annotation text"/>
    <w:basedOn w:val="a"/>
    <w:link w:val="Char"/>
    <w:rsid w:val="00385908"/>
  </w:style>
  <w:style w:type="character" w:customStyle="1" w:styleId="Char">
    <w:name w:val="批注文字 Char"/>
    <w:basedOn w:val="a0"/>
    <w:link w:val="a4"/>
    <w:rsid w:val="00385908"/>
    <w:rPr>
      <w:sz w:val="24"/>
      <w:szCs w:val="24"/>
    </w:rPr>
  </w:style>
  <w:style w:type="paragraph" w:styleId="a5">
    <w:name w:val="annotation subject"/>
    <w:basedOn w:val="a4"/>
    <w:next w:val="a4"/>
    <w:link w:val="Char0"/>
    <w:rsid w:val="00385908"/>
    <w:rPr>
      <w:b/>
      <w:bCs/>
    </w:rPr>
  </w:style>
  <w:style w:type="character" w:customStyle="1" w:styleId="Char0">
    <w:name w:val="批注主题 Char"/>
    <w:basedOn w:val="Char"/>
    <w:link w:val="a5"/>
    <w:rsid w:val="00385908"/>
    <w:rPr>
      <w:b/>
      <w:bCs/>
      <w:sz w:val="24"/>
      <w:szCs w:val="24"/>
    </w:rPr>
  </w:style>
  <w:style w:type="paragraph" w:styleId="a6">
    <w:name w:val="Balloon Text"/>
    <w:basedOn w:val="a"/>
    <w:link w:val="Char1"/>
    <w:rsid w:val="00385908"/>
    <w:rPr>
      <w:sz w:val="18"/>
      <w:szCs w:val="18"/>
    </w:rPr>
  </w:style>
  <w:style w:type="character" w:customStyle="1" w:styleId="Char1">
    <w:name w:val="批注框文本 Char"/>
    <w:basedOn w:val="a0"/>
    <w:link w:val="a6"/>
    <w:rsid w:val="00385908"/>
    <w:rPr>
      <w:sz w:val="18"/>
      <w:szCs w:val="18"/>
    </w:rPr>
  </w:style>
  <w:style w:type="table" w:styleId="a7">
    <w:name w:val="Table Grid"/>
    <w:basedOn w:val="a1"/>
    <w:uiPriority w:val="59"/>
    <w:rsid w:val="00B34F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4560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560B1"/>
    <w:rPr>
      <w:sz w:val="18"/>
      <w:szCs w:val="18"/>
    </w:rPr>
  </w:style>
  <w:style w:type="paragraph" w:styleId="a9">
    <w:name w:val="footer"/>
    <w:basedOn w:val="a"/>
    <w:link w:val="Char3"/>
    <w:uiPriority w:val="99"/>
    <w:rsid w:val="004560B1"/>
    <w:pPr>
      <w:tabs>
        <w:tab w:val="center" w:pos="4153"/>
        <w:tab w:val="right" w:pos="8306"/>
      </w:tabs>
      <w:snapToGrid w:val="0"/>
    </w:pPr>
    <w:rPr>
      <w:sz w:val="18"/>
      <w:szCs w:val="18"/>
    </w:rPr>
  </w:style>
  <w:style w:type="character" w:customStyle="1" w:styleId="Char3">
    <w:name w:val="页脚 Char"/>
    <w:basedOn w:val="a0"/>
    <w:link w:val="a9"/>
    <w:uiPriority w:val="99"/>
    <w:rsid w:val="004560B1"/>
    <w:rPr>
      <w:sz w:val="18"/>
      <w:szCs w:val="18"/>
    </w:rPr>
  </w:style>
  <w:style w:type="character" w:styleId="aa">
    <w:name w:val="Hyperlink"/>
    <w:basedOn w:val="a0"/>
    <w:unhideWhenUsed/>
    <w:rsid w:val="00E81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livertox.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451BE5B-4338-48BE-A18A-E1B8801F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14746</Words>
  <Characters>84056</Characters>
  <Application>Microsoft Office Word</Application>
  <DocSecurity>0</DocSecurity>
  <Lines>700</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19</cp:revision>
  <dcterms:created xsi:type="dcterms:W3CDTF">2021-06-26T02:34:00Z</dcterms:created>
  <dcterms:modified xsi:type="dcterms:W3CDTF">2021-07-07T09:55:00Z</dcterms:modified>
</cp:coreProperties>
</file>