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3448B" w14:textId="3DA0D71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Name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of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Journal: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World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Journal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of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Clinical</w:t>
      </w:r>
      <w:r w:rsidR="002E283E" w:rsidRPr="003A005F">
        <w:rPr>
          <w:rFonts w:ascii="Book Antiqua" w:eastAsia="Book Antiqua" w:hAnsi="Book Antiqua" w:cs="Book Antiqua"/>
          <w:i/>
        </w:rPr>
        <w:t xml:space="preserve"> </w:t>
      </w:r>
      <w:r w:rsidRPr="003A005F">
        <w:rPr>
          <w:rFonts w:ascii="Book Antiqua" w:eastAsia="Book Antiqua" w:hAnsi="Book Antiqua" w:cs="Book Antiqua"/>
          <w:i/>
        </w:rPr>
        <w:t>Cases</w:t>
      </w:r>
    </w:p>
    <w:p w14:paraId="0A69498A" w14:textId="7002BE4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Manuscript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NO: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65884</w:t>
      </w:r>
    </w:p>
    <w:p w14:paraId="0436D9BA" w14:textId="767023A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Manuscript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Type: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</w:p>
    <w:p w14:paraId="474B569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45A42A" w14:textId="3E703CA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Chronic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active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Epstein-Barr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virus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infection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treated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with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PEG-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aspargase</w:t>
      </w:r>
      <w:proofErr w:type="spellEnd"/>
      <w:r w:rsidRPr="003A005F">
        <w:rPr>
          <w:rFonts w:ascii="Book Antiqua" w:eastAsia="Book Antiqua" w:hAnsi="Book Antiqua" w:cs="Book Antiqua"/>
          <w:b/>
          <w:bCs/>
        </w:rPr>
        <w:t>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case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report</w:t>
      </w:r>
    </w:p>
    <w:p w14:paraId="7AB7B9C5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5EA496" w14:textId="00FED89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</w:p>
    <w:p w14:paraId="4ADD0F9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AC12DD" w14:textId="51F33D4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De-Li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Song,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Jing-Shi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Lei-Lei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Zhao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</w:p>
    <w:p w14:paraId="6D5C5730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89C167" w14:textId="339A476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De-Li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Song,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Jing-Shi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Lei-Lei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Chen,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Zhao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Department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Hematology,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Friendship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University,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100050,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China</w:t>
      </w:r>
    </w:p>
    <w:p w14:paraId="61CD54B9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3821EA" w14:textId="777C54D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Author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contributions: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took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</w:t>
      </w:r>
      <w:r w:rsidR="0016535A" w:rsidRPr="003A005F">
        <w:rPr>
          <w:rFonts w:ascii="Book Antiqua" w:eastAsia="Book Antiqua" w:hAnsi="Book Antiqua" w:cs="Book Antiqua"/>
        </w:rPr>
        <w:t>t</w:t>
      </w:r>
      <w:r w:rsidRPr="003A005F">
        <w:rPr>
          <w:rFonts w:ascii="Book Antiqua" w:eastAsia="Book Antiqua" w:hAnsi="Book Antiqua" w:cs="Book Antiqua"/>
        </w:rPr>
        <w:t>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wrote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guided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writing;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9F0DB1">
        <w:rPr>
          <w:rFonts w:ascii="Book Antiqua" w:eastAsia="Book Antiqua" w:hAnsi="Book Antiqua" w:cs="Book Antiqua"/>
        </w:rPr>
        <w:t>a</w:t>
      </w:r>
      <w:r w:rsidRPr="003A005F">
        <w:rPr>
          <w:rFonts w:ascii="Book Antiqua" w:eastAsia="Book Antiqua" w:hAnsi="Book Antiqua" w:cs="Book Antiqua"/>
        </w:rPr>
        <w:t>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authors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</w:t>
      </w:r>
      <w:r w:rsidR="0016535A" w:rsidRPr="003A005F">
        <w:rPr>
          <w:rFonts w:ascii="Book Antiqua" w:eastAsia="Book Antiqua" w:hAnsi="Book Antiqua" w:cs="Book Antiqua"/>
        </w:rPr>
        <w:t>r</w:t>
      </w:r>
      <w:r w:rsidRPr="003A005F">
        <w:rPr>
          <w:rFonts w:ascii="Book Antiqua" w:eastAsia="Book Antiqua" w:hAnsi="Book Antiqua" w:cs="Book Antiqua"/>
        </w:rPr>
        <w:t>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version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submission.</w:t>
      </w:r>
    </w:p>
    <w:p w14:paraId="0D79C64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B87B72" w14:textId="4273837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Supported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by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National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Science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81871633;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Science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Foundation,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7181003;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Municipal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Administration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Hospitals’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Ascent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Plan,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DFL20180101.</w:t>
      </w:r>
    </w:p>
    <w:p w14:paraId="27647C3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FEF000" w14:textId="374D3B5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Corresponding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author: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Zhao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MD,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Professor,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Department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Hematology,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Friendship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University,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95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An</w:t>
      </w:r>
      <w:proofErr w:type="gram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Road,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Xicheng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District,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Beijing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100050,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wangzhao@ccmu.edu.cn</w:t>
      </w:r>
    </w:p>
    <w:p w14:paraId="534A008C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03DED0" w14:textId="386248B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Received: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March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0487B73F" w14:textId="5DCAEC6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Revised: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658D8BA8" w14:textId="00E0A53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Accepted: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9F0DB1">
        <w:rPr>
          <w:rFonts w:ascii="Book Antiqua" w:eastAsia="宋体" w:hAnsi="Book Antiqua" w:hint="eastAsia"/>
          <w:color w:val="000000" w:themeColor="text1"/>
        </w:rPr>
        <w:t>Au</w:t>
      </w:r>
      <w:r w:rsidR="009F0DB1">
        <w:rPr>
          <w:rFonts w:ascii="Book Antiqua" w:eastAsia="宋体" w:hAnsi="Book Antiqua"/>
          <w:color w:val="000000" w:themeColor="text1"/>
        </w:rPr>
        <w:t>gust</w:t>
      </w:r>
      <w:r w:rsidR="009F0DB1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F0DB1">
        <w:rPr>
          <w:rFonts w:ascii="Book Antiqua" w:eastAsia="宋体" w:hAnsi="Book Antiqua"/>
          <w:color w:val="000000" w:themeColor="text1"/>
        </w:rPr>
        <w:t>13</w:t>
      </w:r>
      <w:r w:rsidR="009F0DB1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2338679" w14:textId="798A033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Published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online: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</w:p>
    <w:p w14:paraId="0DBA8CA7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005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B29B17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lastRenderedPageBreak/>
        <w:t>Abstract</w:t>
      </w:r>
    </w:p>
    <w:p w14:paraId="06F4A996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BACKGROUND</w:t>
      </w:r>
    </w:p>
    <w:p w14:paraId="731A8601" w14:textId="59BCA77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systemic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illness.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currently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(CAEBV),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hematopoietic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stem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transplantation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EBV-DNA.</w:t>
      </w:r>
    </w:p>
    <w:p w14:paraId="5B93BC23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A57A95" w14:textId="44911CE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SUMMARY</w:t>
      </w:r>
    </w:p>
    <w:p w14:paraId="605C873C" w14:textId="4C6F4E5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33-year-old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female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Chinese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approximately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number.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administered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U/m</w:t>
      </w:r>
      <w:r w:rsidRPr="003A005F">
        <w:rPr>
          <w:rFonts w:ascii="Book Antiqua" w:eastAsia="Book Antiqua" w:hAnsi="Book Antiqua" w:cs="Book Antiqua"/>
          <w:vertAlign w:val="superscript"/>
        </w:rPr>
        <w:t>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14-d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interval,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resulting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eradication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excellent.</w:t>
      </w:r>
    </w:p>
    <w:p w14:paraId="58BCF23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A53DFC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CONCLUSION</w:t>
      </w:r>
    </w:p>
    <w:p w14:paraId="5547DF1C" w14:textId="0124AEA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considered.</w:t>
      </w:r>
    </w:p>
    <w:p w14:paraId="41472AF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47E785" w14:textId="06CF2C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Key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Words: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</w:p>
    <w:p w14:paraId="7B89D671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F4BA4A" w14:textId="037219D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Song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World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Clin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press</w:t>
      </w:r>
    </w:p>
    <w:p w14:paraId="549B91DB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376AD4" w14:textId="1285D87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Core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Tip: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including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disorders,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lymphohistiocytosis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(CAEBV)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requires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investigation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drug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EBV-DNA.</w:t>
      </w:r>
    </w:p>
    <w:p w14:paraId="3C0A32EA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50040F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0EB8B77A" w14:textId="09FA6E39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(EBV)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systemic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illness.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currently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(CAEBV),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hematopoietic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stem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transplantation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(HSCT</w:t>
      </w:r>
      <w:proofErr w:type="gramStart"/>
      <w:r w:rsidRPr="003A005F">
        <w:rPr>
          <w:rFonts w:ascii="Book Antiqua" w:eastAsia="Book Antiqua" w:hAnsi="Book Antiqua" w:cs="Book Antiqua"/>
        </w:rPr>
        <w:t>)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eradication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following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completion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provide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</w:p>
    <w:p w14:paraId="5F6378E4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21BE2A" w14:textId="6570CE4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CASE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578903FC" w14:textId="6A3FC58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Chief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complaints</w:t>
      </w:r>
    </w:p>
    <w:p w14:paraId="3E6AB343" w14:textId="2869405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33-year-old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female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Chinese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intermittent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weakness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mo.</w:t>
      </w:r>
    </w:p>
    <w:p w14:paraId="1E6BED94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86113F" w14:textId="0BB70A1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History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of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present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illness</w:t>
      </w:r>
    </w:p>
    <w:p w14:paraId="0B50667F" w14:textId="6CBF6E9D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About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appetite.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laboratory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leukopenia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function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damage.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6.09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IU/mL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September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improved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cephalosporin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ganciclovir.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Interferon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given;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slightly,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persisted.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lasted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admitted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</w:p>
    <w:p w14:paraId="2678C9F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E9BD10" w14:textId="1A31790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History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of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past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illness</w:t>
      </w:r>
    </w:p>
    <w:p w14:paraId="5C06D398" w14:textId="2641E54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history.</w:t>
      </w:r>
    </w:p>
    <w:p w14:paraId="0CF064B0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535EB8" w14:textId="3EA4308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Personal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and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family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history</w:t>
      </w:r>
    </w:p>
    <w:p w14:paraId="0265AE30" w14:textId="50A13DB9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lastRenderedPageBreak/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family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history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similar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illnesses.</w:t>
      </w:r>
    </w:p>
    <w:p w14:paraId="11D805F0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6878E5" w14:textId="5DF02F8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Physical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examination</w:t>
      </w:r>
    </w:p>
    <w:p w14:paraId="6DF2B637" w14:textId="0A646AAF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Physical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revealed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enlargement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multiple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superficial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nodes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splenomegaly.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Abdominal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ultrasonography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spleen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15.7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diatmeter</w:t>
      </w:r>
      <w:proofErr w:type="spellEnd"/>
      <w:r w:rsidRPr="003A005F">
        <w:rPr>
          <w:rFonts w:ascii="Book Antiqua" w:eastAsia="Book Antiqua" w:hAnsi="Book Antiqua" w:cs="Book Antiqua"/>
        </w:rPr>
        <w:t>.</w:t>
      </w:r>
    </w:p>
    <w:p w14:paraId="134551B2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5BDAED" w14:textId="2234C37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i/>
        </w:rPr>
        <w:t>Laboratory</w:t>
      </w:r>
      <w:r w:rsidR="002E283E" w:rsidRPr="003A005F">
        <w:rPr>
          <w:rFonts w:ascii="Book Antiqua" w:eastAsia="Book Antiqua" w:hAnsi="Book Antiqua" w:cs="Book Antiqua"/>
          <w:b/>
          <w:i/>
        </w:rPr>
        <w:t xml:space="preserve"> </w:t>
      </w:r>
      <w:r w:rsidRPr="003A005F">
        <w:rPr>
          <w:rFonts w:ascii="Book Antiqua" w:eastAsia="Book Antiqua" w:hAnsi="Book Antiqua" w:cs="Book Antiqua"/>
          <w:b/>
          <w:i/>
        </w:rPr>
        <w:t>examinations</w:t>
      </w:r>
    </w:p>
    <w:p w14:paraId="0FEA97F5" w14:textId="5FFC17D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Complete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revealed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bicytopenia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1.39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9</w:t>
      </w:r>
      <w:r w:rsidRPr="003A005F">
        <w:rPr>
          <w:rFonts w:ascii="Book Antiqua" w:eastAsia="Book Antiqua" w:hAnsi="Book Antiqua" w:cs="Book Antiqua"/>
        </w:rPr>
        <w:t>/L,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hemoglobin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14.2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gm/dL,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platelet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9</w:t>
      </w:r>
      <w:r w:rsidRPr="003A005F">
        <w:rPr>
          <w:rFonts w:ascii="Book Antiqua" w:eastAsia="Book Antiqua" w:hAnsi="Book Antiqua" w:cs="Book Antiqua"/>
        </w:rPr>
        <w:t>/L.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elevated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95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173.2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respectively.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(whole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5.1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(plasma)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5.60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×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4</w:t>
      </w:r>
      <w:r w:rsidR="002E283E" w:rsidRPr="003A005F">
        <w:rPr>
          <w:rFonts w:ascii="Book Antiqua" w:eastAsia="Book Antiqua" w:hAnsi="Book Antiqua" w:cs="Book Antiqua"/>
          <w:vertAlign w:val="superscript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16535A"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mainly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involved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subsets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despite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accumulation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subsets.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Flow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cytometry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revealed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about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2.26%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phenotype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(NK)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CD56bri,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CD2,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CD7,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CD94bri,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CD161,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CD159a.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Biopsy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swollen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left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inguinal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EBV-encoded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small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(EBER)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situ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hybridization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two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biopsies.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tests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hepatitis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human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immunodeficiency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antinuclear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antibody,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rheumatoid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antibody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negative.</w:t>
      </w:r>
    </w:p>
    <w:p w14:paraId="39F7661E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156D2E" w14:textId="75FF671C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FINAL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480A6736" w14:textId="18BDE71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According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criteria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finally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</w:p>
    <w:p w14:paraId="522652D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45D6BB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TREATMENT</w:t>
      </w:r>
    </w:p>
    <w:p w14:paraId="494B93BB" w14:textId="7C0B05D2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started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(1500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U/m</w:t>
      </w:r>
      <w:r w:rsidRPr="003A005F">
        <w:rPr>
          <w:rFonts w:ascii="Book Antiqua" w:eastAsia="Book Antiqua" w:hAnsi="Book Antiqua" w:cs="Book Antiqua"/>
          <w:vertAlign w:val="superscript"/>
        </w:rPr>
        <w:t>2</w:t>
      </w:r>
      <w:r w:rsidRPr="003A005F">
        <w:rPr>
          <w:rFonts w:ascii="Book Antiqua" w:eastAsia="Book Antiqua" w:hAnsi="Book Antiqua" w:cs="Book Antiqua"/>
        </w:rPr>
        <w:t>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every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December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informed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obtained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approved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institutional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ethics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committee.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736F57EE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8D2DFD" w14:textId="55CA541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lastRenderedPageBreak/>
        <w:t>OUTCOME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AND</w:t>
      </w:r>
      <w:r w:rsidR="002E283E" w:rsidRPr="003A005F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3A005F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702A055E" w14:textId="115B638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patient's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temperature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gradually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dropped,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improved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during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first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course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</w:t>
      </w:r>
      <w:r w:rsidRPr="003A005F">
        <w:rPr>
          <w:rFonts w:ascii="Book Antiqua" w:eastAsia="Book Antiqua" w:hAnsi="Book Antiqua" w:cs="Book Antiqua"/>
          <w:vertAlign w:val="superscript"/>
        </w:rPr>
        <w:t>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patient's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enzymes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retured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spleen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shrank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size.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(whole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760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(plasma)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&lt;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January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maintained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(Figure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February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Re-examination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abnormal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disappeared.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Hypofibrinogenemia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recorded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during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bleeding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thromboembolism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occur.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allergy,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pancreatitis,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hepatotoxicity,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rejected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allogeneic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reasons.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Unfortunately,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eventually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occurrence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hemophagocytic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lymphohistiocytosis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(HLH)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severe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dysfunction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longer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receive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therapy.</w:t>
      </w:r>
    </w:p>
    <w:p w14:paraId="171CEBC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8DD1E3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1AB9CBD5" w14:textId="7A1EFCE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persistent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mononucleosis-like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symptoms,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lymphadenopathy,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hepatosplenomegaly.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develop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including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multi-organ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failure,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EBV-associated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disorder,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HLH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64CD601A" w14:textId="0F799F02" w:rsidR="00A77B3E" w:rsidRPr="003A005F" w:rsidRDefault="00E74AAC" w:rsidP="003A005F">
      <w:pPr>
        <w:adjustRightInd w:val="0"/>
        <w:snapToGrid w:val="0"/>
        <w:spacing w:line="360" w:lineRule="auto"/>
        <w:ind w:firstLine="36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criteria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follows: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(1)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Sustained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recurrent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mononucleosis-like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symptoms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persistent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&gt;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</w:t>
      </w:r>
      <w:proofErr w:type="spellEnd"/>
      <w:r w:rsidRPr="003A005F">
        <w:rPr>
          <w:rFonts w:ascii="Book Antiqua" w:eastAsia="Book Antiqua" w:hAnsi="Book Antiqua" w:cs="Book Antiqua"/>
        </w:rPr>
        <w:t>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(2)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amounts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Southern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hybridization,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tissues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peripheral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≥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Pr="003A005F">
        <w:rPr>
          <w:rFonts w:ascii="Book Antiqua" w:eastAsia="Book Antiqua" w:hAnsi="Book Antiqua" w:cs="Book Antiqua"/>
          <w:vertAlign w:val="superscript"/>
        </w:rPr>
        <w:t>2.5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copies/µg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peripheral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mononuclear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(PBMCs);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(3)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evidence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previous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immunological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abnormalities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might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explain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existing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condition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2]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above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three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criteria,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Cohen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3]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infiltration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tissues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ensure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organ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damage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attributed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EBV-infected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lymphocytes.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EBER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situ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</w:rPr>
        <w:t>hybridization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biopsy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samples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left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inguinal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Kawamoto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4]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median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high-power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field,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86.3%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(44/51)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≥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high-power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field.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Hence,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tissues,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PBMCs.</w:t>
      </w:r>
    </w:p>
    <w:p w14:paraId="35ECA85A" w14:textId="5BC8A889" w:rsidR="00A77B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currently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Sawada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5]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sequential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strategy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consisting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prednisolone,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cyclosporine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etoposide,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so-called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cooling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ﬁrst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step,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chemotherapies,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(cyclophosphamide,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doxorubicin,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vincristine,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prednisone)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conventional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unsatisfactory,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resolution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rates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very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low,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approximately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proofErr w:type="gramStart"/>
      <w:r w:rsidRPr="003A005F">
        <w:rPr>
          <w:rFonts w:ascii="Book Antiqua" w:eastAsia="Book Antiqua" w:hAnsi="Book Antiqua" w:cs="Book Antiqua"/>
        </w:rPr>
        <w:t>%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before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high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risk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recurrence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HSCT.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improve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outcome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patients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5303558B" w14:textId="0DBDE60C" w:rsidR="00A77B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pegylated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prolonged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circulation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diminished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immunogenicity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</w:t>
      </w:r>
      <w:proofErr w:type="gramStart"/>
      <w:r w:rsidRPr="003A005F">
        <w:rPr>
          <w:rFonts w:ascii="Book Antiqua" w:eastAsia="Book Antiqua" w:hAnsi="Book Antiqua" w:cs="Book Antiqua"/>
        </w:rPr>
        <w:t>asparaginase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6]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requires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less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frequent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administration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better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efficacy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Multiple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studies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significantly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longer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survival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7,8]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refractory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EBV-HLH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L-DEP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controlling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HLH-induced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fever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organ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dysfunction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9]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speculated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“eliminating”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eradicated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remained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156F8838" w14:textId="77777777" w:rsidR="002E28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possible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mechanisms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underlying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include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following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aspects.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First,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accelerates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apoptosis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confirmed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vitro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experiments.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10]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specific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antitumor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against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tumors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vitro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Jinta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11]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confirmed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number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living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lines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dose-dependent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manner,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PBMCs.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“apoptosis”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induced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EBV-infected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decompose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essential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amino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synthesis,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Second,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cause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chemoresistance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EBV-positivity-related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malignant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Yamaguchi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12]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Extranodal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NK-LPD,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also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examined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ENKL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immunohistochemistry.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="002E283E" w:rsidRPr="003A005F">
        <w:rPr>
          <w:rFonts w:ascii="Book Antiqua" w:eastAsia="Book Antiqua" w:hAnsi="Book Antiqua" w:cs="Book Antiqua"/>
        </w:rPr>
        <w:t>Yoshimori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="002E283E"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E283E" w:rsidRPr="003A005F">
        <w:rPr>
          <w:rFonts w:ascii="Book Antiqua" w:eastAsia="Book Antiqua" w:hAnsi="Book Antiqua" w:cs="Book Antiqua"/>
          <w:vertAlign w:val="superscript"/>
        </w:rPr>
        <w:t>13]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EBV-infected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EBV-T-LPDs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functional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influenced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chemotherapeutic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drugs,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substrate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</w:p>
    <w:p w14:paraId="047A4891" w14:textId="712E39E2" w:rsidR="00A77B3E" w:rsidRPr="003A005F" w:rsidRDefault="00E74AAC" w:rsidP="003A005F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Whether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suitable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remains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unclear.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10]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found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level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synthetase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tumors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sensitivity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clinical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ENKL.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Jinta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et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  <w:i/>
          <w:iCs/>
        </w:rPr>
        <w:t>al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11]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suggested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level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synthetase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sufficiently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determine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EBV-T/NK-LPDs.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indicators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reflect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should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explored.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addition,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mechanism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depletion.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However,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optimum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target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optimal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depletion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still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needs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gramStart"/>
      <w:r w:rsidRPr="003A005F">
        <w:rPr>
          <w:rFonts w:ascii="Book Antiqua" w:eastAsia="Book Antiqua" w:hAnsi="Book Antiqua" w:cs="Book Antiqua"/>
        </w:rPr>
        <w:t>elucidated</w:t>
      </w:r>
      <w:r w:rsidRPr="003A005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A005F">
        <w:rPr>
          <w:rFonts w:ascii="Book Antiqua" w:eastAsia="Book Antiqua" w:hAnsi="Book Antiqua" w:cs="Book Antiqua"/>
          <w:vertAlign w:val="superscript"/>
        </w:rPr>
        <w:t>14]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Therefore,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clinical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required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confirm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whether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respond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achieve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maximum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therapeutic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benefit.</w:t>
      </w:r>
    </w:p>
    <w:p w14:paraId="623E83F1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58A745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4B15B910" w14:textId="35A3D911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lastRenderedPageBreak/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reducing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load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containing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CAEBV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warrant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further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study.</w:t>
      </w:r>
    </w:p>
    <w:p w14:paraId="1B698118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98A26DF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REFERENCES</w:t>
      </w:r>
    </w:p>
    <w:p w14:paraId="040218D9" w14:textId="2B27CA69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3" w:name="OLE_LINK1"/>
      <w:r w:rsidRPr="003A005F">
        <w:rPr>
          <w:rFonts w:ascii="Book Antiqua" w:eastAsia="Book Antiqua" w:hAnsi="Book Antiqua" w:cs="Book Antiqua"/>
        </w:rPr>
        <w:t>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Arai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</w:t>
      </w:r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Advances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Clinical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Features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Under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Classification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Mechanisms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Development.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Front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2019;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30805320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10.3389/fped.2019.00014]</w:t>
      </w:r>
    </w:p>
    <w:p w14:paraId="5F7FFC85" w14:textId="21CC26E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Kimura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H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Kawabe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Gotoh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Takahashi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Kojima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Naoe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Esaki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Kikuta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Sawada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Ohshima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Nakamura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EBV-associated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nonimmunocompromised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hosts: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prospective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analysis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cases.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2012;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119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673-686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22096243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10.1182/blood-2011-10-381921]</w:t>
      </w:r>
    </w:p>
    <w:p w14:paraId="4C07634A" w14:textId="71CB7BB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Cohen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JI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Jaffe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Dale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Pittaluga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Heslop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Rooney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Gottschalk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Bollard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Rao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Marques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Burbelo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Turk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SP,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Fulton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Wayne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Little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RF,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Cairo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El-</w:t>
      </w:r>
      <w:proofErr w:type="spellStart"/>
      <w:r w:rsidRPr="003A005F">
        <w:rPr>
          <w:rFonts w:ascii="Book Antiqua" w:eastAsia="Book Antiqua" w:hAnsi="Book Antiqua" w:cs="Book Antiqua"/>
        </w:rPr>
        <w:t>Mallawany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Fowler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Sportes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Bishop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Wilson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Straus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Characterization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28-year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experience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United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States.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Blood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2011;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117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5835-5849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21454450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10.1182/blood-2010-11-316745]</w:t>
      </w:r>
    </w:p>
    <w:p w14:paraId="5278FA14" w14:textId="617C94D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Kawamoto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K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Miyoshi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Suzuki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Kozai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Miyahara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Yujiri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Choi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Fujimaki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Muta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Kume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Moriguchi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Tamura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Tagawa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Makiyama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Kanisawa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Sasaki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Kurita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Yamada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Shimono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Sone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Takizawa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Seto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Kimura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Ohshima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distinct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subtype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disorder: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adult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infection-like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features.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Haematologica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103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1018-1028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29242302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10.3324/haematol.2017.174177]</w:t>
      </w:r>
    </w:p>
    <w:p w14:paraId="061EB633" w14:textId="7DD1A9A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Sawada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Inoue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chronic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infection.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Int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2017;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105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406-418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28210942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10.1007/s12185-017-2192-6]</w:t>
      </w:r>
    </w:p>
    <w:p w14:paraId="63406957" w14:textId="4AAAA84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van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der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Sluis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IM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Vrooman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Pieters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Baruchel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Escherich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Goulden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Mondelaers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Sanchez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Toledo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Rizzari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Silverman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LB,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Whitlock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Consensus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expert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recommendations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identification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management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hypersensitivity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silent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inactivation.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Haematologica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101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279-285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26928249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10.3324/haematol.2015.137380]</w:t>
      </w:r>
    </w:p>
    <w:p w14:paraId="39160BE4" w14:textId="223BC8D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7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JH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CC,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Xia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Huang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HQ,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Jiang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WQ,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Efficacy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gemcitabine,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oxaliplatin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pegaspargase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(P-</w:t>
      </w:r>
      <w:proofErr w:type="spellStart"/>
      <w:r w:rsidRPr="003A005F">
        <w:rPr>
          <w:rFonts w:ascii="Book Antiqua" w:eastAsia="Book Antiqua" w:hAnsi="Book Antiqua" w:cs="Book Antiqua"/>
        </w:rPr>
        <w:t>gemox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newly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advanced-stage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relapsed/refractory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extranodal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29092-29101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27093153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10.18632/oncotarget.8647]</w:t>
      </w:r>
    </w:p>
    <w:p w14:paraId="1DD30924" w14:textId="34E8596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Liu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Xiao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Q,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X,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Pegaspargase</w:t>
      </w:r>
      <w:proofErr w:type="spellEnd"/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gemcitabine,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dexamethasone,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cisplatin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(P-GDP)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effective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newly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diagnosed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extranodal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NK/T-cell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retrospective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Cancer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Manag</w:t>
      </w:r>
      <w:proofErr w:type="spellEnd"/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Res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2018;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10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5061-5069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30464606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10.2147/CMAR.S179567]</w:t>
      </w:r>
    </w:p>
    <w:p w14:paraId="44125F5A" w14:textId="19E2C49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Wang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J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Zhang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Z.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DEP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regimen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combination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refractory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virus-associated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hemophagocytic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lymphohistiocytosis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Oncol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2016;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9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27613189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10.1186/s13045-016-0317-7]</w:t>
      </w:r>
    </w:p>
    <w:p w14:paraId="0FE0DF28" w14:textId="73D178B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Ando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Sugimoto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Kitoh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Sasaki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Mukai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J,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Egashira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Schuster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Oshimi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Selective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apoptosis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natural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killer-cell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tumours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Br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i/>
          <w:iCs/>
        </w:rPr>
        <w:t>Haematol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2005;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130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860-868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16156856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10.1111/j.1365-2141.</w:t>
      </w:r>
      <w:proofErr w:type="gramStart"/>
      <w:r w:rsidRPr="003A005F">
        <w:rPr>
          <w:rFonts w:ascii="Book Antiqua" w:eastAsia="Book Antiqua" w:hAnsi="Book Antiqua" w:cs="Book Antiqua"/>
        </w:rPr>
        <w:t>2005.05694.x</w:t>
      </w:r>
      <w:proofErr w:type="gramEnd"/>
      <w:r w:rsidRPr="003A005F">
        <w:rPr>
          <w:rFonts w:ascii="Book Antiqua" w:eastAsia="Book Antiqua" w:hAnsi="Book Antiqua" w:cs="Book Antiqua"/>
        </w:rPr>
        <w:t>]</w:t>
      </w:r>
    </w:p>
    <w:p w14:paraId="40DDC4BE" w14:textId="6F46CC3F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Jinta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Imadome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Komatsu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Yoshimori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Kurata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Fujiwara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L-Asparaginase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monotherapy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T/NK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pilot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Study.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J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Med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Dent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Sci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62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1-9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26111530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10.11480/620101]</w:t>
      </w:r>
    </w:p>
    <w:p w14:paraId="16D1843E" w14:textId="5487C274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Yamaguchi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Kita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Nishii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Oka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Ohno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Shirakawa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Fukumoto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Frequent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P-glycoprotein/MDR1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nasal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cells.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Cancer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1995;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76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2351-2356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8635042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10.1002/1097-0142(19951201)76:11&lt;</w:t>
      </w:r>
      <w:proofErr w:type="gramStart"/>
      <w:r w:rsidRPr="003A005F">
        <w:rPr>
          <w:rFonts w:ascii="Book Antiqua" w:eastAsia="Book Antiqua" w:hAnsi="Book Antiqua" w:cs="Book Antiqua"/>
        </w:rPr>
        <w:t>2351::</w:t>
      </w:r>
      <w:proofErr w:type="gramEnd"/>
      <w:r w:rsidRPr="003A005F">
        <w:rPr>
          <w:rFonts w:ascii="Book Antiqua" w:eastAsia="Book Antiqua" w:hAnsi="Book Antiqua" w:cs="Book Antiqua"/>
        </w:rPr>
        <w:t>aid-cncr2820761125&gt;3.0.co;2-1]</w:t>
      </w:r>
    </w:p>
    <w:p w14:paraId="7ECB027B" w14:textId="5AEC7AD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13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bookmarkStart w:id="4" w:name="_Hlk79740551"/>
      <w:proofErr w:type="spellStart"/>
      <w:r w:rsidRPr="003A005F">
        <w:rPr>
          <w:rFonts w:ascii="Book Antiqua" w:eastAsia="Book Antiqua" w:hAnsi="Book Antiqua" w:cs="Book Antiqua"/>
          <w:b/>
          <w:bCs/>
        </w:rPr>
        <w:t>Yoshimori</w:t>
      </w:r>
      <w:bookmarkEnd w:id="4"/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M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Takada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Imadome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Kurata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Yamamoto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Koyama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Shimizu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Fujiwara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Miura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Arai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P-glycoprotein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expressed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causes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resistance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lastRenderedPageBreak/>
        <w:t>chemotherapy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EBV-positive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T-cell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lymphoproliferative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diseases.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Cancer</w:t>
      </w:r>
      <w:r w:rsidR="002E283E" w:rsidRPr="003A005F">
        <w:rPr>
          <w:rFonts w:ascii="Book Antiqua" w:eastAsia="Book Antiqua" w:hAnsi="Book Antiqua" w:cs="Book Antiqua"/>
          <w:i/>
          <w:iCs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2015;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4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1494-1504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26153782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10.1002/cam4.494]</w:t>
      </w:r>
    </w:p>
    <w:p w14:paraId="4D2B1F38" w14:textId="62B5F26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14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Heo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YA</w:t>
      </w:r>
      <w:r w:rsidRPr="003A005F">
        <w:rPr>
          <w:rFonts w:ascii="Book Antiqua" w:eastAsia="Book Antiqua" w:hAnsi="Book Antiqua" w:cs="Book Antiqua"/>
        </w:rPr>
        <w:t>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Syed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YY,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Keam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SJ.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Pegaspargase</w:t>
      </w:r>
      <w:proofErr w:type="spellEnd"/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Review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Acute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Lymphoblastic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Leukaemia</w:t>
      </w:r>
      <w:proofErr w:type="spellEnd"/>
      <w:r w:rsidRPr="003A005F">
        <w:rPr>
          <w:rFonts w:ascii="Book Antiqua" w:eastAsia="Book Antiqua" w:hAnsi="Book Antiqua" w:cs="Book Antiqua"/>
        </w:rPr>
        <w:t>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i/>
          <w:iCs/>
        </w:rPr>
        <w:t>Drugs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2019;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79</w:t>
      </w:r>
      <w:r w:rsidRPr="003A005F">
        <w:rPr>
          <w:rFonts w:ascii="Book Antiqua" w:eastAsia="Book Antiqua" w:hAnsi="Book Antiqua" w:cs="Book Antiqua"/>
        </w:rPr>
        <w:t>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767-777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[PMID: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31030380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DOI: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10.1007/s40265-019-01120-1]</w:t>
      </w:r>
    </w:p>
    <w:bookmarkEnd w:id="3"/>
    <w:p w14:paraId="0A598EF9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00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CEA1F4" w14:textId="77777777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lastRenderedPageBreak/>
        <w:t>Footnotes</w:t>
      </w:r>
    </w:p>
    <w:p w14:paraId="1A27C9A9" w14:textId="12CD3C0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Informed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consent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statement: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Informed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written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consent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obtained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from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publication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report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accompanying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images.</w:t>
      </w:r>
    </w:p>
    <w:p w14:paraId="03701ED5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5B7AF6" w14:textId="128513BD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Conflict-of-interest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statement: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authors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declare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conflict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interest.</w:t>
      </w:r>
    </w:p>
    <w:p w14:paraId="7389284C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DBF267" w14:textId="2563A14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CARE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Checklist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(2016)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statement: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authors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have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read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Checklist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(2016),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manuscript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prepared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revised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according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CARE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Checklist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(2016).</w:t>
      </w:r>
    </w:p>
    <w:p w14:paraId="63EF50ED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008982" w14:textId="7C199278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Open-Access: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open-access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article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that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was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selected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in-house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editor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fully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peer-reviewed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external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reviewers.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distributed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accordance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with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Creative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Commons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Attribution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proofErr w:type="spellStart"/>
      <w:r w:rsidRPr="003A005F">
        <w:rPr>
          <w:rFonts w:ascii="Book Antiqua" w:eastAsia="Book Antiqua" w:hAnsi="Book Antiqua" w:cs="Book Antiqua"/>
        </w:rPr>
        <w:t>NonCommercial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(CC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BY-NC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4.0)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license,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which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permits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others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distribute,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remix,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adapt,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build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upon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work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non-commercially,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license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their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derivative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works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on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different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terms,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provided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original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work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properly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cited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and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use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non-commercial.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See: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http://creativecommons.org/Licenses/by-nc/4.0/</w:t>
      </w:r>
    </w:p>
    <w:p w14:paraId="02A8324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9D463B" w14:textId="184287CD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Manuscript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source: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Unsolicited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manuscript</w:t>
      </w:r>
    </w:p>
    <w:p w14:paraId="719BEBA6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AC2234" w14:textId="02DC108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Peer-review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started: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March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29,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37A8E69B" w14:textId="410003B5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First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decision: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April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28,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2021</w:t>
      </w:r>
    </w:p>
    <w:p w14:paraId="65A3873F" w14:textId="2B0E2A3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Article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in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press: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</w:p>
    <w:p w14:paraId="4D886BE7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A06BF7" w14:textId="58C5D47B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Specialty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type: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Hematology</w:t>
      </w:r>
    </w:p>
    <w:p w14:paraId="765A9D8C" w14:textId="5E3BF99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Country/Territory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of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origin: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China</w:t>
      </w:r>
    </w:p>
    <w:p w14:paraId="0D5AF441" w14:textId="5BADFEC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</w:rPr>
        <w:t>Peer-review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report’s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scientific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quality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classification</w:t>
      </w:r>
    </w:p>
    <w:p w14:paraId="755926C5" w14:textId="4A4BF7D6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(Excellent):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78314681" w14:textId="7197FDB3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B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(Very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good):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156AB548" w14:textId="59F0E854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(Good):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</w:t>
      </w:r>
    </w:p>
    <w:p w14:paraId="39B94CB8" w14:textId="48FD405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(Fair):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14C10637" w14:textId="54BA33AA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</w:rPr>
        <w:lastRenderedPageBreak/>
        <w:t>Grade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(Poor):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0</w:t>
      </w:r>
    </w:p>
    <w:p w14:paraId="4C181783" w14:textId="77777777" w:rsidR="00A77B3E" w:rsidRPr="003A005F" w:rsidRDefault="00A77B3E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4AEAE2" w14:textId="6C5B7FC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A00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A005F">
        <w:rPr>
          <w:rFonts w:ascii="Book Antiqua" w:eastAsia="Book Antiqua" w:hAnsi="Book Antiqua" w:cs="Book Antiqua"/>
          <w:b/>
        </w:rPr>
        <w:t>P-Reviewer: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Renzo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ND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S-Editor: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</w:rPr>
        <w:t>Liu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M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L-Editor: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P-Editor: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</w:p>
    <w:p w14:paraId="7C21C853" w14:textId="6E0A354E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3A005F">
        <w:rPr>
          <w:rFonts w:ascii="Book Antiqua" w:eastAsia="Book Antiqua" w:hAnsi="Book Antiqua" w:cs="Book Antiqua"/>
          <w:b/>
        </w:rPr>
        <w:lastRenderedPageBreak/>
        <w:t>Figure</w:t>
      </w:r>
      <w:r w:rsidR="002E283E" w:rsidRPr="003A005F">
        <w:rPr>
          <w:rFonts w:ascii="Book Antiqua" w:eastAsia="Book Antiqua" w:hAnsi="Book Antiqua" w:cs="Book Antiqua"/>
          <w:b/>
        </w:rPr>
        <w:t xml:space="preserve"> </w:t>
      </w:r>
      <w:r w:rsidRPr="003A005F">
        <w:rPr>
          <w:rFonts w:ascii="Book Antiqua" w:eastAsia="Book Antiqua" w:hAnsi="Book Antiqua" w:cs="Book Antiqua"/>
          <w:b/>
        </w:rPr>
        <w:t>Legends</w:t>
      </w:r>
    </w:p>
    <w:p w14:paraId="254A0FE4" w14:textId="65037D2D" w:rsidR="00E74AAC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hAnsi="Book Antiqua"/>
          <w:noProof/>
        </w:rPr>
        <w:drawing>
          <wp:inline distT="0" distB="0" distL="0" distR="0" wp14:anchorId="274A6D79" wp14:editId="7E8F34DA">
            <wp:extent cx="5906302" cy="33381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07" cy="3341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0F0B65" w14:textId="73260730" w:rsidR="00A77B3E" w:rsidRPr="003A005F" w:rsidRDefault="00E74AAC" w:rsidP="003A005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A005F">
        <w:rPr>
          <w:rFonts w:ascii="Book Antiqua" w:eastAsia="Book Antiqua" w:hAnsi="Book Antiqua" w:cs="Book Antiqua"/>
          <w:b/>
          <w:bCs/>
        </w:rPr>
        <w:t>Figure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1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Graph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of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the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Epstein-Barr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virus-DNA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change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trend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of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the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patient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after</w:t>
      </w:r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PEG-</w:t>
      </w:r>
      <w:proofErr w:type="spellStart"/>
      <w:r w:rsidRPr="003A005F">
        <w:rPr>
          <w:rFonts w:ascii="Book Antiqua" w:eastAsia="Book Antiqua" w:hAnsi="Book Antiqua" w:cs="Book Antiqua"/>
          <w:b/>
          <w:bCs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  <w:b/>
          <w:bCs/>
        </w:rPr>
        <w:t xml:space="preserve"> </w:t>
      </w:r>
      <w:r w:rsidRPr="003A005F">
        <w:rPr>
          <w:rFonts w:ascii="Book Antiqua" w:eastAsia="Book Antiqua" w:hAnsi="Book Antiqua" w:cs="Book Antiqua"/>
          <w:b/>
          <w:bCs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There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significant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decrease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first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After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third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course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patient's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="009F0DB1">
        <w:rPr>
          <w:rFonts w:ascii="Book Antiqua" w:eastAsia="Book Antiqua" w:hAnsi="Book Antiqua" w:cs="Book Antiqua"/>
        </w:rPr>
        <w:t>(</w:t>
      </w:r>
      <w:r w:rsidR="009F0DB1" w:rsidRPr="003A005F">
        <w:rPr>
          <w:rFonts w:ascii="Book Antiqua" w:eastAsia="Book Antiqua" w:hAnsi="Book Antiqua" w:cs="Book Antiqua"/>
        </w:rPr>
        <w:t>EBV-DNA</w:t>
      </w:r>
      <w:r w:rsidR="009F0DB1">
        <w:rPr>
          <w:rFonts w:ascii="Book Antiqua" w:eastAsia="Book Antiqua" w:hAnsi="Book Antiqua" w:cs="Book Antiqua"/>
        </w:rPr>
        <w:t xml:space="preserve">) </w:t>
      </w:r>
      <w:r w:rsidRPr="003A005F">
        <w:rPr>
          <w:rFonts w:ascii="Book Antiqua" w:eastAsia="Book Antiqua" w:hAnsi="Book Antiqua" w:cs="Book Antiqua"/>
        </w:rPr>
        <w:t>turned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(according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to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our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hospital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test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standard,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EBV-DNA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&lt;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500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copies/mL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negative).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arrow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indicates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the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time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of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for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PEG-</w:t>
      </w:r>
      <w:proofErr w:type="spellStart"/>
      <w:r w:rsidRPr="003A005F">
        <w:rPr>
          <w:rFonts w:ascii="Book Antiqua" w:eastAsia="Book Antiqua" w:hAnsi="Book Antiqua" w:cs="Book Antiqua"/>
        </w:rPr>
        <w:t>aspargase</w:t>
      </w:r>
      <w:proofErr w:type="spellEnd"/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treatment.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EBV: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Epstein-Barr</w:t>
      </w:r>
      <w:r w:rsidR="002E283E" w:rsidRPr="003A005F">
        <w:rPr>
          <w:rFonts w:ascii="Book Antiqua" w:eastAsia="Book Antiqua" w:hAnsi="Book Antiqua" w:cs="Book Antiqua"/>
        </w:rPr>
        <w:t xml:space="preserve"> </w:t>
      </w:r>
      <w:r w:rsidRPr="003A005F">
        <w:rPr>
          <w:rFonts w:ascii="Book Antiqua" w:eastAsia="Book Antiqua" w:hAnsi="Book Antiqua" w:cs="Book Antiqua"/>
        </w:rPr>
        <w:t>virus.</w:t>
      </w:r>
    </w:p>
    <w:sectPr w:rsidR="00A77B3E" w:rsidRPr="003A0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6EE" w14:textId="77777777" w:rsidR="003036BE" w:rsidRDefault="003036BE" w:rsidP="00E74AAC">
      <w:r>
        <w:separator/>
      </w:r>
    </w:p>
  </w:endnote>
  <w:endnote w:type="continuationSeparator" w:id="0">
    <w:p w14:paraId="2CB1AAA7" w14:textId="77777777" w:rsidR="003036BE" w:rsidRDefault="003036BE" w:rsidP="00E7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5334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C90C2F" w14:textId="5B2D10EC" w:rsidR="002E283E" w:rsidRDefault="002E283E" w:rsidP="002E283E">
            <w:pPr>
              <w:pStyle w:val="a5"/>
              <w:jc w:val="right"/>
            </w:pPr>
            <w:r w:rsidRPr="002E28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2E283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2E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192DC4" w14:textId="77777777" w:rsidR="002E283E" w:rsidRDefault="002E28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7E1C" w14:textId="77777777" w:rsidR="003036BE" w:rsidRDefault="003036BE" w:rsidP="00E74AAC">
      <w:r>
        <w:separator/>
      </w:r>
    </w:p>
  </w:footnote>
  <w:footnote w:type="continuationSeparator" w:id="0">
    <w:p w14:paraId="680B8776" w14:textId="77777777" w:rsidR="003036BE" w:rsidRDefault="003036BE" w:rsidP="00E74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535A"/>
    <w:rsid w:val="001E2173"/>
    <w:rsid w:val="002E283E"/>
    <w:rsid w:val="003036BE"/>
    <w:rsid w:val="003A005F"/>
    <w:rsid w:val="00737661"/>
    <w:rsid w:val="009F0DB1"/>
    <w:rsid w:val="00A77B3E"/>
    <w:rsid w:val="00CA2A55"/>
    <w:rsid w:val="00E12BD2"/>
    <w:rsid w:val="00E74AAC"/>
    <w:rsid w:val="00E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4A2A89"/>
  <w15:docId w15:val="{7FFF85B8-C44F-4902-BEDA-877FAC6D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4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A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AAC"/>
    <w:rPr>
      <w:sz w:val="18"/>
      <w:szCs w:val="18"/>
    </w:rPr>
  </w:style>
  <w:style w:type="character" w:styleId="a7">
    <w:name w:val="annotation reference"/>
    <w:basedOn w:val="a0"/>
    <w:semiHidden/>
    <w:unhideWhenUsed/>
    <w:rsid w:val="00E74AAC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E74AAC"/>
  </w:style>
  <w:style w:type="character" w:customStyle="1" w:styleId="a9">
    <w:name w:val="批注文字 字符"/>
    <w:basedOn w:val="a0"/>
    <w:link w:val="a8"/>
    <w:semiHidden/>
    <w:rsid w:val="00E74AA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E74AAC"/>
    <w:rPr>
      <w:b/>
      <w:bCs/>
    </w:rPr>
  </w:style>
  <w:style w:type="character" w:customStyle="1" w:styleId="ab">
    <w:name w:val="批注主题 字符"/>
    <w:basedOn w:val="a9"/>
    <w:link w:val="aa"/>
    <w:semiHidden/>
    <w:rsid w:val="00E74A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9FD4-4E58-432F-9027-3E929136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songsmile92314</dc:creator>
  <cp:lastModifiedBy>jiaping yan</cp:lastModifiedBy>
  <cp:revision>5</cp:revision>
  <dcterms:created xsi:type="dcterms:W3CDTF">2021-08-12T08:47:00Z</dcterms:created>
  <dcterms:modified xsi:type="dcterms:W3CDTF">2021-08-13T03:13:00Z</dcterms:modified>
</cp:coreProperties>
</file>