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448B" w14:textId="3DA0D71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Name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of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Journal: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World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Journal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of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Clinical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Cases</w:t>
      </w:r>
    </w:p>
    <w:p w14:paraId="0A69498A" w14:textId="7002BE4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NO: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65884</w:t>
      </w:r>
    </w:p>
    <w:p w14:paraId="0436D9BA" w14:textId="767023A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Type: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</w:p>
    <w:p w14:paraId="474B569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5A42A" w14:textId="3E703CA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Chronic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active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Epstein-Barr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virus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infection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treated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with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PEG-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aspargase</w:t>
      </w:r>
      <w:proofErr w:type="spellEnd"/>
      <w:r w:rsidRPr="003A005F">
        <w:rPr>
          <w:rFonts w:ascii="Book Antiqua" w:eastAsia="Book Antiqua" w:hAnsi="Book Antiqua" w:cs="Book Antiqua"/>
          <w:b/>
          <w:bCs/>
        </w:rPr>
        <w:t>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case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report</w:t>
      </w:r>
    </w:p>
    <w:p w14:paraId="7AB7B9C5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5EA496" w14:textId="00FED89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</w:p>
    <w:p w14:paraId="4ADD0F9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AC12DD" w14:textId="51F33D4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De-Li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Jing-Shi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Lei-Lei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</w:p>
    <w:p w14:paraId="6D5C573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89C167" w14:textId="339A476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De-Li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Song,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Jing-Shi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Lei-Lei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Chen,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Zhao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Department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Hematology,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Friendship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University,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100050,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</w:t>
      </w:r>
    </w:p>
    <w:p w14:paraId="61CD54B9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3821EA" w14:textId="777C54D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Author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contributions: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took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</w:t>
      </w:r>
      <w:r w:rsidR="0016535A" w:rsidRPr="003A005F">
        <w:rPr>
          <w:rFonts w:ascii="Book Antiqua" w:eastAsia="Book Antiqua" w:hAnsi="Book Antiqua" w:cs="Book Antiqua"/>
        </w:rPr>
        <w:t>t</w:t>
      </w:r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wrote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guided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writing;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9F0DB1">
        <w:rPr>
          <w:rFonts w:ascii="Book Antiqua" w:eastAsia="Book Antiqua" w:hAnsi="Book Antiqua" w:cs="Book Antiqua"/>
        </w:rPr>
        <w:t>a</w:t>
      </w:r>
      <w:r w:rsidRPr="003A005F">
        <w:rPr>
          <w:rFonts w:ascii="Book Antiqua" w:eastAsia="Book Antiqua" w:hAnsi="Book Antiqua" w:cs="Book Antiqua"/>
        </w:rPr>
        <w:t>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</w:t>
      </w:r>
      <w:r w:rsidR="0016535A" w:rsidRPr="003A005F">
        <w:rPr>
          <w:rFonts w:ascii="Book Antiqua" w:eastAsia="Book Antiqua" w:hAnsi="Book Antiqua" w:cs="Book Antiqua"/>
        </w:rPr>
        <w:t>r</w:t>
      </w:r>
      <w:r w:rsidRPr="003A005F">
        <w:rPr>
          <w:rFonts w:ascii="Book Antiqua" w:eastAsia="Book Antiqua" w:hAnsi="Book Antiqua" w:cs="Book Antiqua"/>
        </w:rPr>
        <w:t>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version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submission.</w:t>
      </w:r>
    </w:p>
    <w:p w14:paraId="0D79C64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B87B72" w14:textId="4273837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Supported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by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National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81871633;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Foundation,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7181003;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Municipal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Hospitals’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Ascent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Plan,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DFL20180101.</w:t>
      </w:r>
    </w:p>
    <w:p w14:paraId="27647C3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FEF000" w14:textId="374D3B5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Corresponding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author: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Zhao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MD,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Professor,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Department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Hematology,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Friendship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University,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95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Road,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Xicheng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District,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100050,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wangzhao@ccmu.edu.cn</w:t>
      </w:r>
    </w:p>
    <w:p w14:paraId="534A008C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03DED0" w14:textId="386248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Received: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March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0487B73F" w14:textId="5DCAEC6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Revised: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658D8BA8" w14:textId="00E0A53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Accepted: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9F0DB1">
        <w:rPr>
          <w:rFonts w:ascii="Book Antiqua" w:eastAsia="宋体" w:hAnsi="Book Antiqua" w:hint="eastAsia"/>
          <w:color w:val="000000" w:themeColor="text1"/>
        </w:rPr>
        <w:t>Au</w:t>
      </w:r>
      <w:r w:rsidR="009F0DB1">
        <w:rPr>
          <w:rFonts w:ascii="Book Antiqua" w:eastAsia="宋体" w:hAnsi="Book Antiqua"/>
          <w:color w:val="000000" w:themeColor="text1"/>
        </w:rPr>
        <w:t>gust</w:t>
      </w:r>
      <w:r w:rsidR="009F0DB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F0DB1">
        <w:rPr>
          <w:rFonts w:ascii="Book Antiqua" w:eastAsia="宋体" w:hAnsi="Book Antiqua"/>
          <w:color w:val="000000" w:themeColor="text1"/>
        </w:rPr>
        <w:t>13</w:t>
      </w:r>
      <w:r w:rsidR="009F0DB1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2338679" w14:textId="7872C68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Published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online:</w:t>
      </w:r>
      <w:r w:rsidR="00CC7C81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CC7C81" w:rsidRPr="00D05E3B">
        <w:rPr>
          <w:rFonts w:ascii="Book Antiqua" w:eastAsia="Book Antiqua" w:hAnsi="Book Antiqua" w:cs="Book Antiqua"/>
          <w:bCs/>
          <w:color w:val="000000"/>
        </w:rPr>
        <w:t>September</w:t>
      </w:r>
      <w:r w:rsidR="00CC7C8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7C81">
        <w:rPr>
          <w:rFonts w:ascii="Book Antiqua" w:hAnsi="Book Antiqua" w:cs="Book Antiqua" w:hint="eastAsia"/>
          <w:bCs/>
          <w:color w:val="000000"/>
          <w:lang w:eastAsia="zh-CN"/>
        </w:rPr>
        <w:t>1</w:t>
      </w:r>
      <w:r w:rsidR="00CC7C81" w:rsidRPr="003D41D4">
        <w:rPr>
          <w:rFonts w:ascii="Book Antiqua" w:eastAsia="Book Antiqua" w:hAnsi="Book Antiqua" w:cs="Book Antiqua"/>
          <w:bCs/>
          <w:color w:val="000000"/>
        </w:rPr>
        <w:t>6</w:t>
      </w:r>
      <w:r w:rsidR="00CC7C81" w:rsidRPr="003D41D4">
        <w:rPr>
          <w:rFonts w:ascii="Book Antiqua" w:hAnsi="Book Antiqua" w:cs="Book Antiqua" w:hint="eastAsia"/>
          <w:bCs/>
          <w:color w:val="000000"/>
          <w:lang w:eastAsia="zh-CN"/>
        </w:rPr>
        <w:t xml:space="preserve">, </w:t>
      </w:r>
      <w:r w:rsidR="00CC7C81" w:rsidRPr="003D41D4">
        <w:rPr>
          <w:rFonts w:ascii="Book Antiqua" w:eastAsia="Book Antiqua" w:hAnsi="Book Antiqua" w:cs="Book Antiqua"/>
          <w:bCs/>
          <w:color w:val="000000"/>
        </w:rPr>
        <w:t>2021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</w:p>
    <w:p w14:paraId="0DBA8CA7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29B17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Abstract</w:t>
      </w:r>
    </w:p>
    <w:p w14:paraId="06F4A996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BACKGROUND</w:t>
      </w:r>
    </w:p>
    <w:p w14:paraId="731A8601" w14:textId="59BCA77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systemic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hematopoietic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transplantation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</w:p>
    <w:p w14:paraId="5B93BC23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57A95" w14:textId="44911CE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SUMMARY</w:t>
      </w:r>
    </w:p>
    <w:p w14:paraId="605C873C" w14:textId="4C6F4E5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33-year-old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female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Chinese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approximately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number.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administered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U/m</w:t>
      </w:r>
      <w:r w:rsidRPr="003A005F">
        <w:rPr>
          <w:rFonts w:ascii="Book Antiqua" w:eastAsia="Book Antiqua" w:hAnsi="Book Antiqua" w:cs="Book Antiqua"/>
          <w:vertAlign w:val="superscript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14-d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interval,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resulting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excellent.</w:t>
      </w:r>
    </w:p>
    <w:p w14:paraId="58BCF23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A53DFC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CONCLUSION</w:t>
      </w:r>
    </w:p>
    <w:p w14:paraId="5547DF1C" w14:textId="0124AEA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considered.</w:t>
      </w:r>
    </w:p>
    <w:p w14:paraId="41472AF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47E785" w14:textId="06CF2C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Key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Words: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</w:p>
    <w:p w14:paraId="31F0BE9B" w14:textId="77777777" w:rsidR="00FD61AB" w:rsidRDefault="00FD61AB" w:rsidP="00FD61AB">
      <w:pPr>
        <w:spacing w:line="360" w:lineRule="auto"/>
        <w:jc w:val="both"/>
        <w:rPr>
          <w:lang w:eastAsia="zh-CN"/>
        </w:rPr>
      </w:pPr>
    </w:p>
    <w:p w14:paraId="7BCD0816" w14:textId="77777777" w:rsidR="00FD61AB" w:rsidRPr="00026CB8" w:rsidRDefault="00FD61AB" w:rsidP="00FD61A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03BC34A6" w14:textId="77777777" w:rsidR="00FD61AB" w:rsidRPr="009C101B" w:rsidRDefault="00FD61AB" w:rsidP="00FD61AB">
      <w:pPr>
        <w:spacing w:line="360" w:lineRule="auto"/>
        <w:jc w:val="both"/>
        <w:rPr>
          <w:lang w:eastAsia="zh-CN"/>
        </w:rPr>
      </w:pPr>
    </w:p>
    <w:p w14:paraId="4220655B" w14:textId="663C7322" w:rsidR="002B3DEB" w:rsidRDefault="00FD61AB" w:rsidP="00FD61AB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DL,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JS,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Chen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LL,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Z.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PEG-</w:t>
      </w:r>
      <w:proofErr w:type="spellStart"/>
      <w:r w:rsidR="00E74AAC" w:rsidRPr="003A005F">
        <w:rPr>
          <w:rFonts w:ascii="Book Antiqua" w:eastAsia="Book Antiqua" w:hAnsi="Book Antiqua" w:cs="Book Antiqua"/>
        </w:rPr>
        <w:t>aspargase</w:t>
      </w:r>
      <w:proofErr w:type="spellEnd"/>
      <w:r w:rsidR="00E74AAC"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</w:rPr>
        <w:t>report.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E74AAC" w:rsidRPr="003A005F">
        <w:rPr>
          <w:rFonts w:ascii="Book Antiqua" w:eastAsia="Book Antiqua" w:hAnsi="Book Antiqua" w:cs="Book Antiqua"/>
          <w:i/>
          <w:iCs/>
        </w:rPr>
        <w:t>World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="00E74AAC"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="00E74AAC" w:rsidRPr="003A005F">
        <w:rPr>
          <w:rFonts w:ascii="Book Antiqua" w:eastAsia="Book Antiqua" w:hAnsi="Book Antiqua" w:cs="Book Antiqua"/>
          <w:i/>
          <w:iCs/>
        </w:rPr>
        <w:t>Clin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="00E74AAC" w:rsidRPr="003A005F">
        <w:rPr>
          <w:rFonts w:ascii="Book Antiqua" w:eastAsia="Book Antiqua" w:hAnsi="Book Antiqua" w:cs="Book Antiqua"/>
          <w:i/>
          <w:iCs/>
        </w:rPr>
        <w:t>Cases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CC7C81" w:rsidRPr="00651643">
        <w:rPr>
          <w:rFonts w:ascii="Book Antiqua" w:hAnsi="Book Antiqua"/>
          <w:iCs/>
        </w:rPr>
        <w:t>202</w:t>
      </w:r>
      <w:r w:rsidR="00CC7C81">
        <w:rPr>
          <w:rFonts w:ascii="Book Antiqua" w:hAnsi="Book Antiqua" w:hint="eastAsia"/>
          <w:iCs/>
          <w:lang w:eastAsia="zh-CN"/>
        </w:rPr>
        <w:t>1</w:t>
      </w:r>
      <w:r w:rsidR="00CC7C81" w:rsidRPr="00651643">
        <w:rPr>
          <w:rFonts w:ascii="Book Antiqua" w:hAnsi="Book Antiqua"/>
          <w:iCs/>
        </w:rPr>
        <w:t>;</w:t>
      </w:r>
      <w:r w:rsidR="00CC7C81">
        <w:rPr>
          <w:rFonts w:ascii="Book Antiqua" w:hAnsi="Book Antiqua"/>
          <w:iCs/>
        </w:rPr>
        <w:t xml:space="preserve"> </w:t>
      </w:r>
      <w:r w:rsidR="00CC7C81">
        <w:rPr>
          <w:rFonts w:ascii="Book Antiqua" w:hAnsi="Book Antiqua" w:hint="eastAsia"/>
          <w:iCs/>
          <w:lang w:eastAsia="zh-CN"/>
        </w:rPr>
        <w:t>9</w:t>
      </w:r>
      <w:r w:rsidR="00CC7C81" w:rsidRPr="00651643">
        <w:rPr>
          <w:rFonts w:ascii="Book Antiqua" w:hAnsi="Book Antiqua"/>
          <w:iCs/>
        </w:rPr>
        <w:t>(</w:t>
      </w:r>
      <w:r w:rsidR="00CC7C81">
        <w:rPr>
          <w:rFonts w:ascii="Book Antiqua" w:hAnsi="Book Antiqua" w:hint="eastAsia"/>
          <w:iCs/>
          <w:lang w:eastAsia="zh-CN"/>
        </w:rPr>
        <w:t>26</w:t>
      </w:r>
      <w:r w:rsidR="00CC7C81" w:rsidRPr="00651643">
        <w:rPr>
          <w:rFonts w:ascii="Book Antiqua" w:hAnsi="Book Antiqua"/>
          <w:iCs/>
        </w:rPr>
        <w:t>):</w:t>
      </w:r>
      <w:r w:rsidR="00CC7C81">
        <w:rPr>
          <w:rFonts w:ascii="Book Antiqua" w:hAnsi="Book Antiqua"/>
          <w:iCs/>
        </w:rPr>
        <w:t xml:space="preserve"> </w:t>
      </w:r>
      <w:r w:rsidR="002B3DEB" w:rsidRPr="002B3DEB">
        <w:rPr>
          <w:rFonts w:ascii="Book Antiqua" w:hAnsi="Book Antiqua"/>
          <w:iCs/>
        </w:rPr>
        <w:t>7845-7849</w:t>
      </w:r>
      <w:r w:rsidR="00CC7C81">
        <w:rPr>
          <w:rFonts w:ascii="Book Antiqua" w:hAnsi="Book Antiqua" w:hint="eastAsia"/>
          <w:iCs/>
        </w:rPr>
        <w:t xml:space="preserve"> </w:t>
      </w:r>
    </w:p>
    <w:p w14:paraId="4D4C4399" w14:textId="32862A42" w:rsidR="002B3DEB" w:rsidRDefault="00CC7C81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  <w:r w:rsidRPr="00651643">
        <w:rPr>
          <w:rFonts w:ascii="Book Antiqua" w:hAnsi="Book Antiqua"/>
          <w:iCs/>
        </w:rPr>
        <w:t>URL:</w:t>
      </w:r>
      <w:r>
        <w:rPr>
          <w:rFonts w:ascii="Book Antiqua" w:hAnsi="Book Antiqua"/>
          <w:iCs/>
        </w:rPr>
        <w:t xml:space="preserve"> </w:t>
      </w:r>
      <w:r w:rsidRPr="00651643">
        <w:rPr>
          <w:rFonts w:ascii="Book Antiqua" w:hAnsi="Book Antiqua"/>
          <w:iCs/>
        </w:rPr>
        <w:t>https://www.wjgnet.com/2307-8960/full/v</w:t>
      </w:r>
      <w:r>
        <w:rPr>
          <w:rFonts w:ascii="Book Antiqua" w:hAnsi="Book Antiqua" w:hint="eastAsia"/>
          <w:iCs/>
          <w:lang w:eastAsia="zh-CN"/>
        </w:rPr>
        <w:t>9</w:t>
      </w:r>
      <w:r w:rsidRPr="00651643">
        <w:rPr>
          <w:rFonts w:ascii="Book Antiqua" w:hAnsi="Book Antiqua"/>
          <w:iCs/>
        </w:rPr>
        <w:t>/i</w:t>
      </w:r>
      <w:r>
        <w:rPr>
          <w:rFonts w:ascii="Book Antiqua" w:hAnsi="Book Antiqua" w:hint="eastAsia"/>
          <w:iCs/>
          <w:lang w:eastAsia="zh-CN"/>
        </w:rPr>
        <w:t>26</w:t>
      </w:r>
      <w:r w:rsidRPr="00651643">
        <w:rPr>
          <w:rFonts w:ascii="Book Antiqua" w:hAnsi="Book Antiqua"/>
          <w:iCs/>
        </w:rPr>
        <w:t>/</w:t>
      </w:r>
      <w:r w:rsidR="002B3DEB" w:rsidRPr="002B3DEB">
        <w:rPr>
          <w:rFonts w:ascii="Book Antiqua" w:hAnsi="Book Antiqua"/>
          <w:iCs/>
        </w:rPr>
        <w:t>7845</w:t>
      </w:r>
      <w:r>
        <w:rPr>
          <w:rFonts w:ascii="Book Antiqua" w:hAnsi="Book Antiqua"/>
          <w:iCs/>
        </w:rPr>
        <w:t>.htm</w:t>
      </w:r>
      <w:r>
        <w:rPr>
          <w:rFonts w:ascii="Book Antiqua" w:hAnsi="Book Antiqua" w:hint="eastAsia"/>
          <w:iCs/>
        </w:rPr>
        <w:t xml:space="preserve"> </w:t>
      </w:r>
    </w:p>
    <w:p w14:paraId="71F4BA4A" w14:textId="19303F63" w:rsidR="00A77B3E" w:rsidRPr="003A005F" w:rsidRDefault="00CC7C81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51643">
        <w:rPr>
          <w:rFonts w:ascii="Book Antiqua" w:hAnsi="Book Antiqua"/>
          <w:iCs/>
        </w:rPr>
        <w:lastRenderedPageBreak/>
        <w:t>DOI:</w:t>
      </w:r>
      <w:r>
        <w:rPr>
          <w:rFonts w:ascii="Book Antiqua" w:hAnsi="Book Antiqua"/>
          <w:iCs/>
        </w:rPr>
        <w:t xml:space="preserve"> </w:t>
      </w:r>
      <w:r w:rsidRPr="00651643">
        <w:rPr>
          <w:rFonts w:ascii="Book Antiqua" w:hAnsi="Book Antiqua"/>
          <w:iCs/>
        </w:rPr>
        <w:t>https://dx.doi.org/10.12998/wjcc.v</w:t>
      </w:r>
      <w:r>
        <w:rPr>
          <w:rFonts w:ascii="Book Antiqua" w:hAnsi="Book Antiqua" w:hint="eastAsia"/>
          <w:iCs/>
          <w:lang w:eastAsia="zh-CN"/>
        </w:rPr>
        <w:t>9</w:t>
      </w:r>
      <w:r w:rsidRPr="00651643">
        <w:rPr>
          <w:rFonts w:ascii="Book Antiqua" w:hAnsi="Book Antiqua"/>
          <w:iCs/>
        </w:rPr>
        <w:t>.i</w:t>
      </w:r>
      <w:r>
        <w:rPr>
          <w:rFonts w:ascii="Book Antiqua" w:hAnsi="Book Antiqua" w:hint="eastAsia"/>
          <w:iCs/>
          <w:lang w:eastAsia="zh-CN"/>
        </w:rPr>
        <w:t>26</w:t>
      </w:r>
      <w:r w:rsidRPr="00651643">
        <w:rPr>
          <w:rFonts w:ascii="Book Antiqua" w:hAnsi="Book Antiqua"/>
          <w:iCs/>
        </w:rPr>
        <w:t>.</w:t>
      </w:r>
      <w:r w:rsidR="002B3DEB" w:rsidRPr="002B3DEB">
        <w:rPr>
          <w:rFonts w:ascii="Book Antiqua" w:hAnsi="Book Antiqua"/>
          <w:iCs/>
        </w:rPr>
        <w:t>7845</w:t>
      </w:r>
    </w:p>
    <w:p w14:paraId="549B91DB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376AD4" w14:textId="1285D87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Tip: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investigation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drug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</w:p>
    <w:p w14:paraId="3C0A32EA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0040F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EB8B77A" w14:textId="09FA6E3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systemic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hematopoietic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transplantation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(HSCT)</w:t>
      </w:r>
      <w:r w:rsidRPr="003A005F">
        <w:rPr>
          <w:rFonts w:ascii="Book Antiqua" w:eastAsia="Book Antiqua" w:hAnsi="Book Antiqua" w:cs="Book Antiqua"/>
          <w:vertAlign w:val="superscript"/>
        </w:rPr>
        <w:t>[1]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completion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provide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</w:p>
    <w:p w14:paraId="5F6378E4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1BE2A" w14:textId="6570CE4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CASE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578903FC" w14:textId="6A3FC58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Chief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complaints</w:t>
      </w:r>
    </w:p>
    <w:p w14:paraId="3E6AB343" w14:textId="2869405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33-year-old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female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Chinese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intermittent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weakness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</w:p>
    <w:p w14:paraId="1E6BED94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86113F" w14:textId="0BB70A1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History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of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present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illness</w:t>
      </w:r>
    </w:p>
    <w:p w14:paraId="0B50667F" w14:textId="6CBF6E9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About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appetite.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laboratory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leukopenia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function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damage.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6.09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IU/mL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September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cephalosporin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ganciclovir.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Interferon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given;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slightly,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</w:p>
    <w:p w14:paraId="2678C9F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E9BD10" w14:textId="1A31790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History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of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past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illness</w:t>
      </w:r>
    </w:p>
    <w:p w14:paraId="5C06D398" w14:textId="2641E54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history.</w:t>
      </w:r>
    </w:p>
    <w:p w14:paraId="0CF064B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535EB8" w14:textId="3EA4308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Personal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and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family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history</w:t>
      </w:r>
    </w:p>
    <w:p w14:paraId="0265AE30" w14:textId="50A13DB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family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history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similar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illnesses.</w:t>
      </w:r>
    </w:p>
    <w:p w14:paraId="11D805F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6878E5" w14:textId="5DF02F8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Physical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examination</w:t>
      </w:r>
    </w:p>
    <w:p w14:paraId="6DF2B637" w14:textId="0A646AAF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Physical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enlargement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multiple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superficial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splenomegaly.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Abdominal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ultrasonography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15.7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diatmeter</w:t>
      </w:r>
      <w:proofErr w:type="spellEnd"/>
      <w:r w:rsidRPr="003A005F">
        <w:rPr>
          <w:rFonts w:ascii="Book Antiqua" w:eastAsia="Book Antiqua" w:hAnsi="Book Antiqua" w:cs="Book Antiqua"/>
        </w:rPr>
        <w:t>.</w:t>
      </w:r>
    </w:p>
    <w:p w14:paraId="134551B2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5BDAED" w14:textId="2234C37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Laboratory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examinations</w:t>
      </w:r>
    </w:p>
    <w:p w14:paraId="0FEA97F5" w14:textId="5FFC17D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Complete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bicytopenia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1.39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9</w:t>
      </w:r>
      <w:r w:rsidRPr="003A005F">
        <w:rPr>
          <w:rFonts w:ascii="Book Antiqua" w:eastAsia="Book Antiqua" w:hAnsi="Book Antiqua" w:cs="Book Antiqua"/>
        </w:rPr>
        <w:t>/L,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hemoglobin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14.2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gm/dL,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platelet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9</w:t>
      </w:r>
      <w:r w:rsidRPr="003A005F">
        <w:rPr>
          <w:rFonts w:ascii="Book Antiqua" w:eastAsia="Book Antiqua" w:hAnsi="Book Antiqua" w:cs="Book Antiqua"/>
        </w:rPr>
        <w:t>/L.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elevated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95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173.2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respectively.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(whole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5.1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(plasma)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5.60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4</w:t>
      </w:r>
      <w:r w:rsidR="002E283E" w:rsidRPr="003A005F">
        <w:rPr>
          <w:rFonts w:ascii="Book Antiqua" w:eastAsia="Book Antiqua" w:hAnsi="Book Antiqua" w:cs="Book Antiqua"/>
          <w:vertAlign w:val="superscript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16535A"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mainly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involved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subsets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despite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accumulation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subsets.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Flow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cytometry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about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2.26%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phenotype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(NK)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CD56bri,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CD2,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CD7,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CD94bri,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CD161,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CD159a.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swollen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left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inguinal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EBV-encoded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small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(EBER)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situ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two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biopsies.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tests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hepatitis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human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immunodeficiency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antinuclear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antibody,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rheumatoid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antibody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negative.</w:t>
      </w:r>
    </w:p>
    <w:p w14:paraId="39F7661E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56D2E" w14:textId="75FF671C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FINAL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480A6736" w14:textId="18BDE71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finally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</w:p>
    <w:p w14:paraId="522652D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45D6BB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494B93BB" w14:textId="7C0B05D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(1500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U/m</w:t>
      </w:r>
      <w:r w:rsidRPr="003A005F">
        <w:rPr>
          <w:rFonts w:ascii="Book Antiqua" w:eastAsia="Book Antiqua" w:hAnsi="Book Antiqua" w:cs="Book Antiqua"/>
          <w:vertAlign w:val="superscript"/>
        </w:rPr>
        <w:t>2</w:t>
      </w:r>
      <w:r w:rsidRPr="003A005F">
        <w:rPr>
          <w:rFonts w:ascii="Book Antiqua" w:eastAsia="Book Antiqua" w:hAnsi="Book Antiqua" w:cs="Book Antiqua"/>
        </w:rPr>
        <w:t>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informed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obtained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institutional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ethics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committee.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736F57EE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8D2DFD" w14:textId="55CA541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AND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702A055E" w14:textId="115B638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temperature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gradually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dropped,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during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course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Pr="003A005F">
        <w:rPr>
          <w:rFonts w:ascii="Book Antiqua" w:eastAsia="Book Antiqua" w:hAnsi="Book Antiqua" w:cs="Book Antiqua"/>
          <w:vertAlign w:val="superscript"/>
        </w:rPr>
        <w:t>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enzymes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retured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shrank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size.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(whole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760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(plasma)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&lt;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January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maintained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(Figure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February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Re-examination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disappeared.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Hypofibrinogenemia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recorded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during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bleeding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thromboembolism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occur.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allergy,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pancreatitis,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hepatotoxicity,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rejected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allogeneic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reasons.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Unfortunately,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eventually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occurrence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hemophagocytic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(HLH)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severe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dysfunction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longer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receive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therapy.</w:t>
      </w:r>
    </w:p>
    <w:p w14:paraId="171CEBC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DD1E3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AB9CBD5" w14:textId="7A1EFCE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mononucleosis-like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symptoms,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lymphadenopathy,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hepatosplenomegaly.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develop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multi-organ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failure,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HLH</w:t>
      </w:r>
      <w:r w:rsidRPr="003A005F">
        <w:rPr>
          <w:rFonts w:ascii="Book Antiqua" w:eastAsia="Book Antiqua" w:hAnsi="Book Antiqua" w:cs="Book Antiqua"/>
          <w:vertAlign w:val="superscript"/>
        </w:rPr>
        <w:t>[1]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64CD601A" w14:textId="0F799F02" w:rsidR="00A77B3E" w:rsidRPr="003A005F" w:rsidRDefault="00E74AAC" w:rsidP="003A005F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Sustained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recurrent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mononucleosis-like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symptoms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&gt;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amounts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Southern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peripheral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≥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2.5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copies/µg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peripheral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(PBMCs);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(3)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evidence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immunological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abnormalities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might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explain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existing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condition</w:t>
      </w:r>
      <w:r w:rsidRPr="003A005F">
        <w:rPr>
          <w:rFonts w:ascii="Book Antiqua" w:eastAsia="Book Antiqua" w:hAnsi="Book Antiqua" w:cs="Book Antiqua"/>
          <w:vertAlign w:val="superscript"/>
        </w:rPr>
        <w:t>[2]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above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three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[3]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infiltration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ensure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damage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attributed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situ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samples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left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inguinal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[4]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high-power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field,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86.3%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(44/51)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≥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high-power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field.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Hence,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PBMCs.</w:t>
      </w:r>
    </w:p>
    <w:p w14:paraId="35ECA85A" w14:textId="5BC8A889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Sawada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[5]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sequential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strategy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consisting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prednisolone,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cyclosporine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etoposide,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so-called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cooling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ﬁrst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step,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chemotherapies,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(cyclophosphamide,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doxorubicin,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vincristine,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prednisone)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conventional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unsatisfactory,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resolution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approximately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10%</w:t>
      </w:r>
      <w:r w:rsidRPr="003A005F">
        <w:rPr>
          <w:rFonts w:ascii="Book Antiqua" w:eastAsia="Book Antiqua" w:hAnsi="Book Antiqua" w:cs="Book Antiqua"/>
          <w:vertAlign w:val="superscript"/>
        </w:rPr>
        <w:t>[1]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before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risk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recurrence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outcome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Pr="003A005F">
        <w:rPr>
          <w:rFonts w:ascii="Book Antiqua" w:eastAsia="Book Antiqua" w:hAnsi="Book Antiqua" w:cs="Book Antiqua"/>
          <w:vertAlign w:val="superscript"/>
        </w:rPr>
        <w:t>[1]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5303558B" w14:textId="0DBDE60C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pegylated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prolonged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circulation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diminished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immunogenicity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Pr="003A005F">
        <w:rPr>
          <w:rFonts w:ascii="Book Antiqua" w:eastAsia="Book Antiqua" w:hAnsi="Book Antiqua" w:cs="Book Antiqua"/>
          <w:vertAlign w:val="superscript"/>
        </w:rPr>
        <w:t>[6]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frequent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better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efficacy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Multiple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studies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significantly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longer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survival</w:t>
      </w:r>
      <w:r w:rsidRPr="003A005F">
        <w:rPr>
          <w:rFonts w:ascii="Book Antiqua" w:eastAsia="Book Antiqua" w:hAnsi="Book Antiqua" w:cs="Book Antiqua"/>
          <w:vertAlign w:val="superscript"/>
        </w:rPr>
        <w:t>[7,8]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EBV-HLH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controlling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HLH-induced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dysfunction</w:t>
      </w:r>
      <w:r w:rsidRPr="003A005F">
        <w:rPr>
          <w:rFonts w:ascii="Book Antiqua" w:eastAsia="Book Antiqua" w:hAnsi="Book Antiqua" w:cs="Book Antiqua"/>
          <w:vertAlign w:val="superscript"/>
        </w:rPr>
        <w:t>[9]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speculated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“eliminating”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156F8838" w14:textId="77777777" w:rsidR="002E28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possible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underlying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aspects.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accelerates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apoptosis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confirmed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vitro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experiments.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[10]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specific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against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tumors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vitro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[11]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confirmed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number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lines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dose-dependent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manner,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PBMCs.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“apoptosis”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decompose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essential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amino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synthesis,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Second,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chemoresistance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EBV-positivity-related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malignant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Yamaguchi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[12]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NK-LPD,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also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ENKL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immunohistochemistry.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="002E283E" w:rsidRPr="003A005F">
        <w:rPr>
          <w:rFonts w:ascii="Book Antiqua" w:eastAsia="Book Antiqua" w:hAnsi="Book Antiqua" w:cs="Book Antiqua"/>
        </w:rPr>
        <w:t>Yoshimori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="002E283E" w:rsidRPr="003A005F">
        <w:rPr>
          <w:rFonts w:ascii="Book Antiqua" w:eastAsia="Book Antiqua" w:hAnsi="Book Antiqua" w:cs="Book Antiqua"/>
          <w:vertAlign w:val="superscript"/>
        </w:rPr>
        <w:t>[13]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EBV-T-LPDs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functional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influenced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chemotherapeutic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drugs,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substrate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047A4891" w14:textId="712E39E2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Whether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suitable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remains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unclear.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[10]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level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synthetase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sensitivity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ENKL.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[11]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level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synthetase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sufficiently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determine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EBV-T/NK-LPDs.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indicators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reflect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explored.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addition,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depletion.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optimum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target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optimal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depletion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still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needs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elucidated</w:t>
      </w:r>
      <w:r w:rsidRPr="003A005F">
        <w:rPr>
          <w:rFonts w:ascii="Book Antiqua" w:eastAsia="Book Antiqua" w:hAnsi="Book Antiqua" w:cs="Book Antiqua"/>
          <w:vertAlign w:val="superscript"/>
        </w:rPr>
        <w:t>[14]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confirm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whether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maximum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therapeutic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benefit.</w:t>
      </w:r>
    </w:p>
    <w:p w14:paraId="623E83F1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58A745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B15B910" w14:textId="35A3D911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warrant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</w:p>
    <w:p w14:paraId="1B69811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8A26DF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REFERENCES</w:t>
      </w:r>
    </w:p>
    <w:p w14:paraId="040218D9" w14:textId="2B27CA6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"/>
      <w:r w:rsidRPr="003A005F">
        <w:rPr>
          <w:rFonts w:ascii="Book Antiqua" w:eastAsia="Book Antiqua" w:hAnsi="Book Antiqua" w:cs="Book Antiqua"/>
        </w:rPr>
        <w:t>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Arai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Advances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Features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Under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Classification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Development.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Front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2019;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30805320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10.3389/fped.2019.00014]</w:t>
      </w:r>
    </w:p>
    <w:p w14:paraId="5F7FFC85" w14:textId="21CC26E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Kimura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H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Kawabe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Gotoh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Takahashi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Kojima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Naoe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Kikuta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Sawada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Ohshima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Nakamura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nonimmunocompromised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hosts: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prospective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analysis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2012;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119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673-686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22096243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10.1182/blood-2011-10-381921]</w:t>
      </w:r>
    </w:p>
    <w:p w14:paraId="4C07634A" w14:textId="71CB7BB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Cohen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JI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Jaffe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Pittaluga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Heslop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Rooney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Gottschalk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Bollard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Marques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Burbelo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Fulton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Wayne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Little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RF,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Cairo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El-</w:t>
      </w:r>
      <w:proofErr w:type="spellStart"/>
      <w:r w:rsidRPr="003A005F">
        <w:rPr>
          <w:rFonts w:ascii="Book Antiqua" w:eastAsia="Book Antiqua" w:hAnsi="Book Antiqua" w:cs="Book Antiqua"/>
        </w:rPr>
        <w:t>Mallawany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Fowler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Sportes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Bishop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Wilson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Straus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Characterization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28-year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experience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States.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2011;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117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5835-5849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21454450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10.1182/blood-2010-11-316745]</w:t>
      </w:r>
    </w:p>
    <w:p w14:paraId="5278FA14" w14:textId="617C94D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Kawamoto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Miyoshi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Suzuki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Kozai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Miyahara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Yujiri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Choi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Fujimaki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Muta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Moriguchi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Tagawa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Makiyama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Kanisawa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Kurita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Shimono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Takizawa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Seto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Ohshima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distinct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subtype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adult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infection-like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features.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103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1018-1028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29242302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10.3324/haematol.2017.174177]</w:t>
      </w:r>
    </w:p>
    <w:p w14:paraId="061EB633" w14:textId="7DD1A9A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Sawada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Inoue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105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406-418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28210942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10.1007/s12185-017-2192-6]</w:t>
      </w:r>
    </w:p>
    <w:p w14:paraId="63406957" w14:textId="4AAAA84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van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der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Sluis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IM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Vrooman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Pieters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Baruchel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Escherich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Goulden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Mondelaers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Sanchez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Toledo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Rizzari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Silverman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LB,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Whitlock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Consensus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expert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recommendations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identification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management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hypersensitivity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silent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inactivation.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101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279-285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26928249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10.3324/haematol.2015.137380]</w:t>
      </w:r>
    </w:p>
    <w:p w14:paraId="39160BE4" w14:textId="223BC8D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JH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Huang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Jiang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Efficacy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gemcitabine,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oxaliplatin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(P-</w:t>
      </w:r>
      <w:proofErr w:type="spellStart"/>
      <w:r w:rsidRPr="003A005F">
        <w:rPr>
          <w:rFonts w:ascii="Book Antiqua" w:eastAsia="Book Antiqua" w:hAnsi="Book Antiqua" w:cs="Book Antiqua"/>
        </w:rPr>
        <w:t>gemox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advanced-stage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relapsed/refractory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29092-29101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27093153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10.18632/oncotarget.8647]</w:t>
      </w:r>
    </w:p>
    <w:p w14:paraId="1DD30924" w14:textId="34E8596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Liu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gemcitabine,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dexamethasone,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cisplatin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(P-GDP)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retrospective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Manag</w:t>
      </w:r>
      <w:proofErr w:type="spellEnd"/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5061-5069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30464606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10.2147/CMAR.S179567]</w:t>
      </w:r>
    </w:p>
    <w:p w14:paraId="44125F5A" w14:textId="19E2C49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hemophagocytic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Oncol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27613189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10.1186/s13045-016-0317-7]</w:t>
      </w:r>
    </w:p>
    <w:p w14:paraId="0FE0DF28" w14:textId="73D178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Ando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Sugimoto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Kitoh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Mukai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Egashira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Schuster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Oshimi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Selective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apoptosis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tumours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2005;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130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860-868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16156856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10.1111/j.1365-2141.2005.05694.x]</w:t>
      </w:r>
    </w:p>
    <w:p w14:paraId="40DDC4BE" w14:textId="6F46CC3F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Imadome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Komatsu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Yoshimori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Kurata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Fujiwara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pilot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Med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Dent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Sci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62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1-9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26111530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10.11480/620101]</w:t>
      </w:r>
    </w:p>
    <w:p w14:paraId="16D1843E" w14:textId="5487C274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12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Yamaguchi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Kita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Nishii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Oka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Shirakawa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Fukumoto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Frequent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P-glycoprotein/MDR1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nasal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1995;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76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2351-2356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8635042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10.1002/1097-0142(19951201)76:11&lt;2351::aid-cncr2820761125&gt;3.0.co;2-1]</w:t>
      </w:r>
    </w:p>
    <w:p w14:paraId="7ECB027B" w14:textId="5AEC7AD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bookmarkStart w:id="4" w:name="_Hlk79740551"/>
      <w:proofErr w:type="spellStart"/>
      <w:r w:rsidRPr="003A005F">
        <w:rPr>
          <w:rFonts w:ascii="Book Antiqua" w:eastAsia="Book Antiqua" w:hAnsi="Book Antiqua" w:cs="Book Antiqua"/>
          <w:b/>
          <w:bCs/>
        </w:rPr>
        <w:t>Yoshimori</w:t>
      </w:r>
      <w:bookmarkEnd w:id="4"/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Imadome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Kurata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Koyama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Shimizu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Fujiwara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causes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resistance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4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1494-1504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26153782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10.1002/cam4.494]</w:t>
      </w:r>
    </w:p>
    <w:p w14:paraId="4D2B1F38" w14:textId="62B5F26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Heo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YA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Keam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SJ.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Review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Acute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Lymphoblastic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Leukaemia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Drugs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2019;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767-777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31030380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10.1007/s40265-019-01120-1]</w:t>
      </w:r>
    </w:p>
    <w:bookmarkEnd w:id="3"/>
    <w:p w14:paraId="0A598EF9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EA1F4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Footnotes</w:t>
      </w:r>
    </w:p>
    <w:p w14:paraId="1A27C9A9" w14:textId="12CD3C0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Informed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consent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Informed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written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obtained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publication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accompanying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images.</w:t>
      </w:r>
    </w:p>
    <w:p w14:paraId="03701ED5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5B7AF6" w14:textId="128513B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Conflict-of-interest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declare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conflict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interest.</w:t>
      </w:r>
    </w:p>
    <w:p w14:paraId="7389284C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DBF267" w14:textId="2563A14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CARE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Checklist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(2016)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Checklist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(2016),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manuscript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Checklist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(2016).</w:t>
      </w:r>
    </w:p>
    <w:p w14:paraId="63EF50E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008982" w14:textId="7C19927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Open-Access: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open-access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selected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in-house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editor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peer-reviewed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external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reviewers.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distributed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accordance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Creative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Commons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Attribution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NonCommercial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BY-NC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4.0)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license,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permits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distribute,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remix,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adapt,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build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upon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non-commercially,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license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their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derivative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different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terms,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provided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original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properly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non-commercial.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See: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http://creativecommons.org/Licenses/by-nc/4.0/</w:t>
      </w:r>
    </w:p>
    <w:p w14:paraId="02A8324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9D463B" w14:textId="184287C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source: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Unsolicited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manuscript</w:t>
      </w:r>
    </w:p>
    <w:p w14:paraId="719BEBA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C2234" w14:textId="02DC108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Peer-review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started: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March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37A8E69B" w14:textId="410003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First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decision: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April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65A3873F" w14:textId="003B6E9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Article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in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press:</w:t>
      </w:r>
      <w:r w:rsidR="00CC7C81">
        <w:rPr>
          <w:rFonts w:ascii="Book Antiqua" w:hAnsi="Book Antiqua" w:cs="Book Antiqua" w:hint="eastAsia"/>
          <w:b/>
          <w:lang w:eastAsia="zh-CN"/>
        </w:rPr>
        <w:t xml:space="preserve"> </w:t>
      </w:r>
      <w:r w:rsidR="00CC7C81">
        <w:rPr>
          <w:rFonts w:ascii="Book Antiqua" w:eastAsia="宋体" w:hAnsi="Book Antiqua" w:hint="eastAsia"/>
          <w:color w:val="000000" w:themeColor="text1"/>
        </w:rPr>
        <w:t>Au</w:t>
      </w:r>
      <w:r w:rsidR="00CC7C81">
        <w:rPr>
          <w:rFonts w:ascii="Book Antiqua" w:eastAsia="宋体" w:hAnsi="Book Antiqua"/>
          <w:color w:val="000000" w:themeColor="text1"/>
        </w:rPr>
        <w:t>gust</w:t>
      </w:r>
      <w:r w:rsidR="00CC7C8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C7C81">
        <w:rPr>
          <w:rFonts w:ascii="Book Antiqua" w:eastAsia="宋体" w:hAnsi="Book Antiqua"/>
          <w:color w:val="000000" w:themeColor="text1"/>
        </w:rPr>
        <w:t>13</w:t>
      </w:r>
      <w:r w:rsidR="00CC7C81" w:rsidRPr="00F06907">
        <w:rPr>
          <w:rFonts w:ascii="Book Antiqua" w:eastAsia="宋体" w:hAnsi="Book Antiqua"/>
          <w:color w:val="000000" w:themeColor="text1"/>
        </w:rPr>
        <w:t>, 2021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</w:p>
    <w:p w14:paraId="4D886BE7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06BF7" w14:textId="58C5D47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Specialty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type: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Hematology</w:t>
      </w:r>
    </w:p>
    <w:p w14:paraId="765A9D8C" w14:textId="5E3BF99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Country/Territory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of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origin: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China</w:t>
      </w:r>
    </w:p>
    <w:p w14:paraId="0D5AF441" w14:textId="5BADFEC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Peer-review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report’s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scientific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quality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classification</w:t>
      </w:r>
    </w:p>
    <w:p w14:paraId="755926C5" w14:textId="4A4BF7D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(Excellent):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78314681" w14:textId="7197FDB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good):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156AB548" w14:textId="59F0E854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(Good):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</w:t>
      </w:r>
    </w:p>
    <w:p w14:paraId="39B94CB8" w14:textId="48FD405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(Fair):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14C10637" w14:textId="54BA33A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(Poor):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4C181783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4AEAE2" w14:textId="2361BEE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005F">
        <w:rPr>
          <w:rFonts w:ascii="Book Antiqua" w:eastAsia="Book Antiqua" w:hAnsi="Book Antiqua" w:cs="Book Antiqua"/>
          <w:b/>
        </w:rPr>
        <w:t>P-Reviewer: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Renzo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ND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S-Editor: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L-Editor:</w:t>
      </w:r>
      <w:r w:rsidR="00CC7C81">
        <w:rPr>
          <w:rFonts w:ascii="Book Antiqua" w:hAnsi="Book Antiqua" w:cs="Book Antiqua" w:hint="eastAsia"/>
          <w:b/>
          <w:lang w:eastAsia="zh-CN"/>
        </w:rPr>
        <w:t xml:space="preserve"> A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P-Editor:</w:t>
      </w:r>
      <w:r w:rsidR="00CC7C81">
        <w:rPr>
          <w:rFonts w:ascii="Book Antiqua" w:hAnsi="Book Antiqua" w:cs="Book Antiqua" w:hint="eastAsia"/>
          <w:b/>
          <w:lang w:eastAsia="zh-CN"/>
        </w:rPr>
        <w:t xml:space="preserve"> </w:t>
      </w:r>
      <w:r w:rsidR="00CC7C81" w:rsidRPr="00E60F36">
        <w:rPr>
          <w:rFonts w:ascii="Book Antiqua" w:hAnsi="Book Antiqua"/>
          <w:bCs/>
        </w:rPr>
        <w:t>Zhang</w:t>
      </w:r>
      <w:r w:rsidR="00CC7C81">
        <w:rPr>
          <w:rFonts w:ascii="Book Antiqua" w:hAnsi="Book Antiqua"/>
          <w:bCs/>
        </w:rPr>
        <w:t xml:space="preserve"> </w:t>
      </w:r>
      <w:r w:rsidR="00CC7C81" w:rsidRPr="00E60F36">
        <w:rPr>
          <w:rFonts w:ascii="Book Antiqua" w:hAnsi="Book Antiqua"/>
          <w:bCs/>
        </w:rPr>
        <w:t>YL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</w:p>
    <w:p w14:paraId="7C21C853" w14:textId="6E0A354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Figure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Legends</w:t>
      </w:r>
    </w:p>
    <w:p w14:paraId="254A0FE4" w14:textId="65037D2D" w:rsidR="00E74AAC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hAnsi="Book Antiqua"/>
          <w:noProof/>
          <w:lang w:eastAsia="zh-CN"/>
        </w:rPr>
        <w:drawing>
          <wp:inline distT="0" distB="0" distL="0" distR="0" wp14:anchorId="274A6D79" wp14:editId="7E8F34DA">
            <wp:extent cx="5906302" cy="3338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07" cy="334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F0B65" w14:textId="0A87B5CF" w:rsidR="00387DC9" w:rsidRDefault="00E74AAC" w:rsidP="003A005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A005F">
        <w:rPr>
          <w:rFonts w:ascii="Book Antiqua" w:eastAsia="Book Antiqua" w:hAnsi="Book Antiqua" w:cs="Book Antiqua"/>
          <w:b/>
          <w:bCs/>
        </w:rPr>
        <w:t>Figure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Graph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of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the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Epstein-Barr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virus-DNA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change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trend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of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the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patient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after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PEG-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significant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course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9F0DB1">
        <w:rPr>
          <w:rFonts w:ascii="Book Antiqua" w:eastAsia="Book Antiqua" w:hAnsi="Book Antiqua" w:cs="Book Antiqua"/>
        </w:rPr>
        <w:t>(</w:t>
      </w:r>
      <w:r w:rsidR="009F0DB1" w:rsidRPr="003A005F">
        <w:rPr>
          <w:rFonts w:ascii="Book Antiqua" w:eastAsia="Book Antiqua" w:hAnsi="Book Antiqua" w:cs="Book Antiqua"/>
        </w:rPr>
        <w:t>EBV-DNA</w:t>
      </w:r>
      <w:r w:rsidR="009F0DB1">
        <w:rPr>
          <w:rFonts w:ascii="Book Antiqua" w:eastAsia="Book Antiqua" w:hAnsi="Book Antiqua" w:cs="Book Antiqua"/>
        </w:rPr>
        <w:t xml:space="preserve">) </w:t>
      </w:r>
      <w:r w:rsidRPr="003A005F">
        <w:rPr>
          <w:rFonts w:ascii="Book Antiqua" w:eastAsia="Book Antiqua" w:hAnsi="Book Antiqua" w:cs="Book Antiqua"/>
        </w:rPr>
        <w:t>turned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&lt;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negative).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indicates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virus.</w:t>
      </w:r>
    </w:p>
    <w:p w14:paraId="13567003" w14:textId="77777777" w:rsidR="00387DC9" w:rsidRDefault="00387DC9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7613E433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742672CF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020F59D4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21F5B96A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6AD6CF1B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4DD4271C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E4EF177" wp14:editId="259233E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3104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4C7E4A1B" w14:textId="77777777" w:rsidR="00387DC9" w:rsidRPr="00763D22" w:rsidRDefault="00387DC9" w:rsidP="00387DC9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3EDDDFA" w14:textId="77777777" w:rsidR="00387DC9" w:rsidRPr="00763D22" w:rsidRDefault="00387DC9" w:rsidP="00387D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769966F" w14:textId="77777777" w:rsidR="00387DC9" w:rsidRPr="00763D22" w:rsidRDefault="00387DC9" w:rsidP="00387D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8BD1FA1" w14:textId="77777777" w:rsidR="00387DC9" w:rsidRPr="00763D22" w:rsidRDefault="00387DC9" w:rsidP="00387D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A732E57" w14:textId="77777777" w:rsidR="00387DC9" w:rsidRPr="00763D22" w:rsidRDefault="00387DC9" w:rsidP="00387DC9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C5AB0E" w14:textId="77777777" w:rsidR="00387DC9" w:rsidRPr="00763D22" w:rsidRDefault="00387DC9" w:rsidP="00387DC9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3FFDD8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2AFA256E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597ABE42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54E1C6E3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4DDFE4E" wp14:editId="0371EAE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D54B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7FDE8E7C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180D2F26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4CD68145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5C2A244F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57BFC849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73736D56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2E366DC3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791D8C81" w14:textId="77777777" w:rsidR="00387DC9" w:rsidRDefault="00387DC9" w:rsidP="00387DC9">
      <w:pPr>
        <w:jc w:val="center"/>
        <w:rPr>
          <w:rFonts w:ascii="Book Antiqua" w:hAnsi="Book Antiqua"/>
          <w:lang w:eastAsia="zh-CN"/>
        </w:rPr>
      </w:pPr>
    </w:p>
    <w:p w14:paraId="7DA439AE" w14:textId="77777777" w:rsidR="00387DC9" w:rsidRPr="00763D22" w:rsidRDefault="00387DC9" w:rsidP="00387DC9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045BC21" w14:textId="77777777" w:rsidR="00387DC9" w:rsidRPr="00763D22" w:rsidRDefault="00387DC9" w:rsidP="00387DC9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A48EBB7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3A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9DAD" w14:textId="77777777" w:rsidR="0010352A" w:rsidRDefault="0010352A" w:rsidP="00E74AAC">
      <w:r>
        <w:separator/>
      </w:r>
    </w:p>
  </w:endnote>
  <w:endnote w:type="continuationSeparator" w:id="0">
    <w:p w14:paraId="4F4CB57A" w14:textId="77777777" w:rsidR="0010352A" w:rsidRDefault="0010352A" w:rsidP="00E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83" w:usb1="00000000" w:usb2="00000000" w:usb3="00000000" w:csb0="00000009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5334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C90C2F" w14:textId="5B2D10EC" w:rsidR="002E283E" w:rsidRDefault="002E283E" w:rsidP="002E283E">
            <w:pPr>
              <w:pStyle w:val="a5"/>
              <w:jc w:val="right"/>
            </w:pPr>
            <w:r w:rsidRPr="002E28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C7C8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E28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C7C8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13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92DC4" w14:textId="77777777" w:rsidR="002E283E" w:rsidRDefault="002E2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0BDB" w14:textId="77777777" w:rsidR="0010352A" w:rsidRDefault="0010352A" w:rsidP="00E74AAC">
      <w:r>
        <w:separator/>
      </w:r>
    </w:p>
  </w:footnote>
  <w:footnote w:type="continuationSeparator" w:id="0">
    <w:p w14:paraId="77064995" w14:textId="77777777" w:rsidR="0010352A" w:rsidRDefault="0010352A" w:rsidP="00E7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10352A"/>
    <w:rsid w:val="00157AE6"/>
    <w:rsid w:val="0016535A"/>
    <w:rsid w:val="00181902"/>
    <w:rsid w:val="001E2173"/>
    <w:rsid w:val="002B3DEB"/>
    <w:rsid w:val="002E283E"/>
    <w:rsid w:val="003036BE"/>
    <w:rsid w:val="00387DC9"/>
    <w:rsid w:val="003A005F"/>
    <w:rsid w:val="00473C27"/>
    <w:rsid w:val="00737661"/>
    <w:rsid w:val="009F0DB1"/>
    <w:rsid w:val="00A77B3E"/>
    <w:rsid w:val="00CA2A55"/>
    <w:rsid w:val="00CC7C81"/>
    <w:rsid w:val="00E12BD2"/>
    <w:rsid w:val="00E74AAC"/>
    <w:rsid w:val="00EA37C3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A2A89"/>
  <w15:docId w15:val="{2C266FB0-1A91-411F-8995-887132F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4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AAC"/>
    <w:rPr>
      <w:sz w:val="18"/>
      <w:szCs w:val="18"/>
    </w:rPr>
  </w:style>
  <w:style w:type="character" w:styleId="a7">
    <w:name w:val="annotation reference"/>
    <w:basedOn w:val="a0"/>
    <w:semiHidden/>
    <w:unhideWhenUsed/>
    <w:rsid w:val="00E74AAC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74AAC"/>
  </w:style>
  <w:style w:type="character" w:customStyle="1" w:styleId="a9">
    <w:name w:val="批注文字 字符"/>
    <w:basedOn w:val="a0"/>
    <w:link w:val="a8"/>
    <w:semiHidden/>
    <w:rsid w:val="00E74AA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74AAC"/>
    <w:rPr>
      <w:b/>
      <w:bCs/>
    </w:rPr>
  </w:style>
  <w:style w:type="character" w:customStyle="1" w:styleId="ab">
    <w:name w:val="批注主题 字符"/>
    <w:basedOn w:val="a9"/>
    <w:link w:val="aa"/>
    <w:semiHidden/>
    <w:rsid w:val="00E74AAC"/>
    <w:rPr>
      <w:b/>
      <w:bCs/>
      <w:sz w:val="24"/>
      <w:szCs w:val="24"/>
    </w:rPr>
  </w:style>
  <w:style w:type="paragraph" w:styleId="ac">
    <w:name w:val="Balloon Text"/>
    <w:basedOn w:val="a"/>
    <w:link w:val="ad"/>
    <w:rsid w:val="00CC7C81"/>
    <w:rPr>
      <w:sz w:val="18"/>
      <w:szCs w:val="18"/>
    </w:rPr>
  </w:style>
  <w:style w:type="character" w:customStyle="1" w:styleId="ad">
    <w:name w:val="批注框文本 字符"/>
    <w:basedOn w:val="a0"/>
    <w:link w:val="ac"/>
    <w:rsid w:val="00CC7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69AD-D9C9-4F89-B99B-533BE35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songsmile92314</dc:creator>
  <cp:lastModifiedBy>Li Jia-Hui</cp:lastModifiedBy>
  <cp:revision>10</cp:revision>
  <dcterms:created xsi:type="dcterms:W3CDTF">2021-08-12T08:47:00Z</dcterms:created>
  <dcterms:modified xsi:type="dcterms:W3CDTF">2021-09-07T02:56:00Z</dcterms:modified>
</cp:coreProperties>
</file>