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525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Name of Journal: </w:t>
      </w:r>
      <w:r w:rsidRPr="003945C7">
        <w:rPr>
          <w:rFonts w:ascii="Book Antiqua" w:eastAsia="Book Antiqua" w:hAnsi="Book Antiqua" w:cs="Book Antiqua"/>
          <w:i/>
          <w:color w:val="000000"/>
        </w:rPr>
        <w:t>World Journal of Clinical Cases</w:t>
      </w:r>
    </w:p>
    <w:p w14:paraId="38E6AA58"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Manuscript NO: </w:t>
      </w:r>
      <w:r w:rsidRPr="003945C7">
        <w:rPr>
          <w:rFonts w:ascii="Book Antiqua" w:eastAsia="Book Antiqua" w:hAnsi="Book Antiqua" w:cs="Book Antiqua"/>
          <w:color w:val="000000"/>
        </w:rPr>
        <w:t>65984</w:t>
      </w:r>
    </w:p>
    <w:p w14:paraId="0421BF4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Manuscript Type: </w:t>
      </w:r>
      <w:r w:rsidRPr="003945C7">
        <w:rPr>
          <w:rFonts w:ascii="Book Antiqua" w:eastAsia="Book Antiqua" w:hAnsi="Book Antiqua" w:cs="Book Antiqua"/>
          <w:color w:val="000000"/>
        </w:rPr>
        <w:t>ORIGINAL ARTICLE</w:t>
      </w:r>
    </w:p>
    <w:p w14:paraId="1DB48B79" w14:textId="77777777" w:rsidR="00A77B3E" w:rsidRPr="003945C7" w:rsidRDefault="00A77B3E" w:rsidP="001765D0">
      <w:pPr>
        <w:adjustRightInd w:val="0"/>
        <w:snapToGrid w:val="0"/>
        <w:spacing w:line="360" w:lineRule="auto"/>
        <w:jc w:val="both"/>
      </w:pPr>
    </w:p>
    <w:p w14:paraId="325751A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Case Control Study</w:t>
      </w:r>
    </w:p>
    <w:p w14:paraId="5AE49CC8" w14:textId="77777777" w:rsidR="00A77B3E" w:rsidRPr="003945C7" w:rsidRDefault="00B1068A" w:rsidP="001765D0">
      <w:pPr>
        <w:adjustRightInd w:val="0"/>
        <w:snapToGrid w:val="0"/>
        <w:spacing w:line="360" w:lineRule="auto"/>
        <w:jc w:val="both"/>
      </w:pPr>
      <w:bookmarkStart w:id="0" w:name="OLE_LINK514"/>
      <w:bookmarkStart w:id="1" w:name="OLE_LINK515"/>
      <w:r w:rsidRPr="003945C7">
        <w:rPr>
          <w:rFonts w:ascii="Book Antiqua" w:eastAsia="Book Antiqua" w:hAnsi="Book Antiqua" w:cs="Book Antiqua"/>
          <w:b/>
          <w:bCs/>
          <w:color w:val="000000"/>
        </w:rPr>
        <w:t xml:space="preserve">Innate immunity – the hallmark of </w:t>
      </w:r>
      <w:r w:rsidRPr="003945C7">
        <w:rPr>
          <w:rFonts w:ascii="Book Antiqua" w:eastAsia="Book Antiqua" w:hAnsi="Book Antiqua" w:cs="Book Antiqua"/>
          <w:b/>
          <w:bCs/>
          <w:i/>
          <w:iCs/>
          <w:color w:val="000000"/>
        </w:rPr>
        <w:t>Helicobacter pylori</w:t>
      </w:r>
      <w:r w:rsidRPr="003945C7">
        <w:rPr>
          <w:rFonts w:ascii="Book Antiqua" w:eastAsia="Book Antiqua" w:hAnsi="Book Antiqua" w:cs="Book Antiqua"/>
          <w:b/>
          <w:bCs/>
          <w:color w:val="000000"/>
        </w:rPr>
        <w:t xml:space="preserve"> infection in pediatric chronic gastritis</w:t>
      </w:r>
    </w:p>
    <w:bookmarkEnd w:id="0"/>
    <w:bookmarkEnd w:id="1"/>
    <w:p w14:paraId="0F5F7D13" w14:textId="77777777" w:rsidR="00A77B3E" w:rsidRPr="003945C7" w:rsidRDefault="00A77B3E" w:rsidP="001765D0">
      <w:pPr>
        <w:adjustRightInd w:val="0"/>
        <w:snapToGrid w:val="0"/>
        <w:spacing w:line="360" w:lineRule="auto"/>
        <w:jc w:val="both"/>
      </w:pPr>
    </w:p>
    <w:p w14:paraId="5D4E0244" w14:textId="77777777" w:rsidR="00A77B3E" w:rsidRPr="003945C7" w:rsidRDefault="00A664EE" w:rsidP="001765D0">
      <w:pPr>
        <w:adjustRightInd w:val="0"/>
        <w:snapToGrid w:val="0"/>
        <w:spacing w:line="360" w:lineRule="auto"/>
        <w:jc w:val="both"/>
      </w:pPr>
      <w:proofErr w:type="spellStart"/>
      <w:r w:rsidRPr="003945C7">
        <w:rPr>
          <w:rFonts w:ascii="Book Antiqua" w:eastAsia="Book Antiqua" w:hAnsi="Book Antiqua" w:cs="Book Antiqua"/>
          <w:color w:val="000000"/>
        </w:rPr>
        <w:t>Meli</w:t>
      </w:r>
      <w:r w:rsidRPr="003945C7">
        <w:rPr>
          <w:rFonts w:eastAsia="Book Antiqua"/>
          <w:color w:val="000000"/>
        </w:rPr>
        <w:t>ț</w:t>
      </w:r>
      <w:proofErr w:type="spellEnd"/>
      <w:r w:rsidRPr="003945C7">
        <w:rPr>
          <w:rFonts w:ascii="Book Antiqua" w:eastAsia="Book Antiqua" w:hAnsi="Book Antiqua" w:cs="Book Antiqua"/>
          <w:color w:val="000000"/>
        </w:rPr>
        <w:t xml:space="preserve"> LE</w:t>
      </w:r>
      <w:r w:rsidR="00AF44F3" w:rsidRPr="003945C7">
        <w:rPr>
          <w:rFonts w:ascii="Book Antiqua" w:hAnsi="Book Antiqua" w:cs="Book Antiqua" w:hint="eastAsia"/>
          <w:color w:val="000000"/>
          <w:lang w:eastAsia="zh-CN"/>
        </w:rPr>
        <w:t xml:space="preserve"> </w:t>
      </w:r>
      <w:r w:rsidR="00AF44F3" w:rsidRPr="003945C7">
        <w:rPr>
          <w:rFonts w:ascii="Book Antiqua" w:hAnsi="Book Antiqua" w:cs="Book Antiqua" w:hint="eastAsia"/>
          <w:i/>
          <w:color w:val="000000"/>
          <w:lang w:eastAsia="zh-CN"/>
        </w:rPr>
        <w:t>et al</w:t>
      </w:r>
      <w:r w:rsidR="00AF44F3" w:rsidRPr="003945C7">
        <w:rPr>
          <w:rFonts w:ascii="Book Antiqua" w:hAnsi="Book Antiqua" w:cs="Book Antiqua" w:hint="eastAsia"/>
          <w:color w:val="000000"/>
          <w:lang w:eastAsia="zh-CN"/>
        </w:rPr>
        <w:t xml:space="preserve">. </w:t>
      </w:r>
      <w:r w:rsidR="00B1068A" w:rsidRPr="003945C7">
        <w:rPr>
          <w:rFonts w:ascii="Book Antiqua" w:eastAsia="Book Antiqua" w:hAnsi="Book Antiqua" w:cs="Book Antiqua"/>
          <w:color w:val="000000"/>
        </w:rPr>
        <w:t xml:space="preserve">Innate immunity and </w:t>
      </w:r>
      <w:r w:rsidR="00B1068A" w:rsidRPr="003945C7">
        <w:rPr>
          <w:rFonts w:ascii="Book Antiqua" w:eastAsia="Book Antiqua" w:hAnsi="Book Antiqua" w:cs="Book Antiqua"/>
          <w:i/>
          <w:iCs/>
          <w:color w:val="000000"/>
        </w:rPr>
        <w:t xml:space="preserve">H. pylori </w:t>
      </w:r>
      <w:r w:rsidR="00B1068A" w:rsidRPr="003945C7">
        <w:rPr>
          <w:rFonts w:ascii="Book Antiqua" w:eastAsia="Book Antiqua" w:hAnsi="Book Antiqua" w:cs="Book Antiqua"/>
          <w:color w:val="000000"/>
        </w:rPr>
        <w:t>in children</w:t>
      </w:r>
    </w:p>
    <w:p w14:paraId="14B9C5AB" w14:textId="77777777" w:rsidR="00A77B3E" w:rsidRPr="003945C7" w:rsidRDefault="00A77B3E" w:rsidP="001765D0">
      <w:pPr>
        <w:adjustRightInd w:val="0"/>
        <w:snapToGrid w:val="0"/>
        <w:spacing w:line="360" w:lineRule="auto"/>
        <w:jc w:val="both"/>
      </w:pPr>
    </w:p>
    <w:p w14:paraId="35E0F83B" w14:textId="77777777" w:rsidR="00A77B3E" w:rsidRPr="003945C7" w:rsidRDefault="00A93BA8" w:rsidP="001765D0">
      <w:pPr>
        <w:adjustRightInd w:val="0"/>
        <w:snapToGrid w:val="0"/>
        <w:spacing w:line="360" w:lineRule="auto"/>
        <w:jc w:val="both"/>
      </w:pPr>
      <w:r w:rsidRPr="003945C7">
        <w:rPr>
          <w:rFonts w:ascii="Book Antiqua" w:eastAsia="Book Antiqua" w:hAnsi="Book Antiqua" w:cs="Book Antiqua"/>
          <w:color w:val="000000"/>
        </w:rPr>
        <w:t xml:space="preserve">Lorena Elena </w:t>
      </w:r>
      <w:proofErr w:type="spellStart"/>
      <w:r w:rsidR="00B1068A" w:rsidRPr="003945C7">
        <w:rPr>
          <w:rFonts w:ascii="Book Antiqua" w:eastAsia="Book Antiqua" w:hAnsi="Book Antiqua" w:cs="Book Antiqua"/>
          <w:color w:val="000000"/>
        </w:rPr>
        <w:t>Meli</w:t>
      </w:r>
      <w:r w:rsidRPr="003945C7">
        <w:rPr>
          <w:rFonts w:ascii="Cambria" w:eastAsia="Book Antiqua" w:hAnsi="Cambria" w:cs="Book Antiqua"/>
          <w:color w:val="000000"/>
        </w:rPr>
        <w:t>ț</w:t>
      </w:r>
      <w:proofErr w:type="spellEnd"/>
      <w:r w:rsidR="00B1068A" w:rsidRPr="003945C7">
        <w:rPr>
          <w:rFonts w:ascii="Book Antiqua" w:eastAsia="Book Antiqua" w:hAnsi="Book Antiqua" w:cs="Book Antiqua"/>
          <w:color w:val="000000"/>
        </w:rPr>
        <w:t xml:space="preserve">, Cristina </w:t>
      </w:r>
      <w:proofErr w:type="spellStart"/>
      <w:r w:rsidR="00B1068A" w:rsidRPr="003945C7">
        <w:rPr>
          <w:rFonts w:ascii="Book Antiqua" w:eastAsia="Book Antiqua" w:hAnsi="Book Antiqua" w:cs="Book Antiqua"/>
          <w:color w:val="000000"/>
        </w:rPr>
        <w:t>Oana</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Mărginean</w:t>
      </w:r>
      <w:proofErr w:type="spellEnd"/>
      <w:r w:rsidR="00B1068A" w:rsidRPr="003945C7">
        <w:rPr>
          <w:rFonts w:ascii="Book Antiqua" w:eastAsia="Book Antiqua" w:hAnsi="Book Antiqua" w:cs="Book Antiqua"/>
          <w:color w:val="000000"/>
        </w:rPr>
        <w:t xml:space="preserve">, </w:t>
      </w:r>
      <w:bookmarkStart w:id="2" w:name="OLE_LINK508"/>
      <w:bookmarkStart w:id="3" w:name="OLE_LINK509"/>
      <w:r w:rsidR="00B1068A" w:rsidRPr="003945C7">
        <w:rPr>
          <w:rFonts w:ascii="Book Antiqua" w:eastAsia="Book Antiqua" w:hAnsi="Book Antiqua" w:cs="Book Antiqua"/>
          <w:color w:val="000000"/>
        </w:rPr>
        <w:t xml:space="preserve">Maria </w:t>
      </w:r>
      <w:proofErr w:type="spellStart"/>
      <w:r w:rsidR="00B1068A" w:rsidRPr="003945C7">
        <w:rPr>
          <w:rFonts w:ascii="Book Antiqua" w:eastAsia="Book Antiqua" w:hAnsi="Book Antiqua" w:cs="Book Antiqua"/>
          <w:color w:val="000000"/>
        </w:rPr>
        <w:t>Oana</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Săsăran</w:t>
      </w:r>
      <w:bookmarkEnd w:id="2"/>
      <w:bookmarkEnd w:id="3"/>
      <w:proofErr w:type="spellEnd"/>
      <w:r w:rsidR="00B1068A" w:rsidRPr="003945C7">
        <w:rPr>
          <w:rFonts w:ascii="Book Antiqua" w:eastAsia="Book Antiqua" w:hAnsi="Book Antiqua" w:cs="Book Antiqua"/>
          <w:color w:val="000000"/>
        </w:rPr>
        <w:t xml:space="preserve">, </w:t>
      </w:r>
      <w:bookmarkStart w:id="4" w:name="OLE_LINK510"/>
      <w:bookmarkStart w:id="5" w:name="OLE_LINK511"/>
      <w:r w:rsidR="00B1068A" w:rsidRPr="003945C7">
        <w:rPr>
          <w:rFonts w:ascii="Book Antiqua" w:eastAsia="Book Antiqua" w:hAnsi="Book Antiqua" w:cs="Book Antiqua"/>
          <w:color w:val="000000"/>
        </w:rPr>
        <w:t xml:space="preserve">Simona </w:t>
      </w:r>
      <w:proofErr w:type="spellStart"/>
      <w:r w:rsidR="00B1068A" w:rsidRPr="003945C7">
        <w:rPr>
          <w:rFonts w:ascii="Book Antiqua" w:eastAsia="Book Antiqua" w:hAnsi="Book Antiqua" w:cs="Book Antiqua"/>
          <w:color w:val="000000"/>
        </w:rPr>
        <w:t>Mocan</w:t>
      </w:r>
      <w:bookmarkEnd w:id="4"/>
      <w:bookmarkEnd w:id="5"/>
      <w:proofErr w:type="spellEnd"/>
      <w:r w:rsidR="00B1068A" w:rsidRPr="003945C7">
        <w:rPr>
          <w:rFonts w:ascii="Book Antiqua" w:eastAsia="Book Antiqua" w:hAnsi="Book Antiqua" w:cs="Book Antiqua"/>
          <w:color w:val="000000"/>
        </w:rPr>
        <w:t xml:space="preserve">, Dana Valentina </w:t>
      </w:r>
      <w:proofErr w:type="spellStart"/>
      <w:r w:rsidR="00B1068A" w:rsidRPr="003945C7">
        <w:rPr>
          <w:rFonts w:ascii="Book Antiqua" w:eastAsia="Book Antiqua" w:hAnsi="Book Antiqua" w:cs="Book Antiqua"/>
          <w:color w:val="000000"/>
        </w:rPr>
        <w:t>Ghiga</w:t>
      </w:r>
      <w:proofErr w:type="spellEnd"/>
      <w:r w:rsidR="00B1068A" w:rsidRPr="003945C7">
        <w:rPr>
          <w:rFonts w:ascii="Book Antiqua" w:eastAsia="Book Antiqua" w:hAnsi="Book Antiqua" w:cs="Book Antiqua"/>
          <w:color w:val="000000"/>
        </w:rPr>
        <w:t xml:space="preserve">, Alina </w:t>
      </w:r>
      <w:proofErr w:type="spellStart"/>
      <w:r w:rsidR="00B1068A" w:rsidRPr="003945C7">
        <w:rPr>
          <w:rFonts w:ascii="Book Antiqua" w:eastAsia="Book Antiqua" w:hAnsi="Book Antiqua" w:cs="Book Antiqua"/>
          <w:color w:val="000000"/>
        </w:rPr>
        <w:t>Bogliş</w:t>
      </w:r>
      <w:proofErr w:type="spellEnd"/>
      <w:r w:rsidR="00B1068A" w:rsidRPr="003945C7">
        <w:rPr>
          <w:rFonts w:ascii="Book Antiqua" w:eastAsia="Book Antiqua" w:hAnsi="Book Antiqua" w:cs="Book Antiqua"/>
          <w:color w:val="000000"/>
        </w:rPr>
        <w:t xml:space="preserve">, Carmen </w:t>
      </w:r>
      <w:proofErr w:type="spellStart"/>
      <w:r w:rsidR="00B1068A" w:rsidRPr="003945C7">
        <w:rPr>
          <w:rFonts w:ascii="Book Antiqua" w:eastAsia="Book Antiqua" w:hAnsi="Book Antiqua" w:cs="Book Antiqua"/>
          <w:color w:val="000000"/>
        </w:rPr>
        <w:t>Duicu</w:t>
      </w:r>
      <w:proofErr w:type="spellEnd"/>
    </w:p>
    <w:p w14:paraId="129FB160" w14:textId="77777777" w:rsidR="00A77B3E" w:rsidRPr="003945C7" w:rsidRDefault="00A77B3E" w:rsidP="001765D0">
      <w:pPr>
        <w:adjustRightInd w:val="0"/>
        <w:snapToGrid w:val="0"/>
        <w:spacing w:line="360" w:lineRule="auto"/>
        <w:jc w:val="both"/>
      </w:pPr>
    </w:p>
    <w:p w14:paraId="13645D5C" w14:textId="745EDC99" w:rsidR="00A77B3E" w:rsidRPr="003945C7" w:rsidRDefault="00A93BA8" w:rsidP="001765D0">
      <w:pPr>
        <w:adjustRightInd w:val="0"/>
        <w:snapToGrid w:val="0"/>
        <w:spacing w:line="360" w:lineRule="auto"/>
        <w:jc w:val="both"/>
      </w:pPr>
      <w:r w:rsidRPr="003945C7">
        <w:rPr>
          <w:rFonts w:ascii="Book Antiqua" w:eastAsia="Book Antiqua" w:hAnsi="Book Antiqua" w:cs="Book Antiqua"/>
          <w:b/>
          <w:bCs/>
          <w:color w:val="000000"/>
        </w:rPr>
        <w:t xml:space="preserve">Lorena Elena </w:t>
      </w:r>
      <w:proofErr w:type="spellStart"/>
      <w:r w:rsidR="00B1068A" w:rsidRPr="003945C7">
        <w:rPr>
          <w:rFonts w:ascii="Book Antiqua" w:eastAsia="Book Antiqua" w:hAnsi="Book Antiqua" w:cs="Book Antiqua"/>
          <w:b/>
          <w:bCs/>
          <w:color w:val="000000"/>
        </w:rPr>
        <w:t>Meli</w:t>
      </w:r>
      <w:r w:rsidRPr="003945C7">
        <w:rPr>
          <w:rFonts w:ascii="Cambria" w:eastAsia="Book Antiqua" w:hAnsi="Cambria" w:cs="Book Antiqua"/>
          <w:b/>
          <w:bCs/>
          <w:color w:val="000000"/>
        </w:rPr>
        <w:t>ț</w:t>
      </w:r>
      <w:proofErr w:type="spellEnd"/>
      <w:r w:rsidR="00B1068A" w:rsidRPr="003945C7">
        <w:rPr>
          <w:rFonts w:ascii="Book Antiqua" w:eastAsia="Book Antiqua" w:hAnsi="Book Antiqua" w:cs="Book Antiqua"/>
          <w:b/>
          <w:bCs/>
          <w:color w:val="000000"/>
        </w:rPr>
        <w:t xml:space="preserve">, </w:t>
      </w:r>
      <w:r w:rsidR="00B1068A" w:rsidRPr="003945C7">
        <w:rPr>
          <w:rFonts w:ascii="Book Antiqua" w:eastAsia="Book Antiqua" w:hAnsi="Book Antiqua" w:cs="Book Antiqua"/>
          <w:color w:val="000000"/>
        </w:rPr>
        <w:t>Department of Pediatrics</w:t>
      </w:r>
      <w:r w:rsidR="009117A1" w:rsidRPr="003945C7">
        <w:rPr>
          <w:rFonts w:ascii="Book Antiqua" w:eastAsia="Book Antiqua" w:hAnsi="Book Antiqua" w:cs="Book Antiqua"/>
          <w:color w:val="000000"/>
        </w:rPr>
        <w:t xml:space="preserve"> I</w:t>
      </w:r>
      <w:r w:rsidR="00B1068A" w:rsidRPr="003945C7">
        <w:rPr>
          <w:rFonts w:ascii="Book Antiqua" w:eastAsia="Book Antiqua" w:hAnsi="Book Antiqua" w:cs="Book Antiqua"/>
          <w:color w:val="000000"/>
        </w:rPr>
        <w:t xml:space="preserve">, “George Emil Palade” University of Medicine, Pharmacy, Sciences and Technology </w:t>
      </w:r>
      <w:proofErr w:type="spellStart"/>
      <w:r w:rsidR="00B1068A" w:rsidRPr="003945C7">
        <w:rPr>
          <w:rFonts w:ascii="Book Antiqua" w:eastAsia="Book Antiqua" w:hAnsi="Book Antiqua" w:cs="Book Antiqua"/>
          <w:color w:val="000000"/>
        </w:rPr>
        <w:t>Târgu</w:t>
      </w:r>
      <w:proofErr w:type="spellEnd"/>
      <w:r w:rsidR="00B1068A" w:rsidRPr="003945C7">
        <w:rPr>
          <w:rFonts w:ascii="Book Antiqua" w:eastAsia="Book Antiqua" w:hAnsi="Book Antiqua" w:cs="Book Antiqua"/>
          <w:color w:val="000000"/>
        </w:rPr>
        <w:t xml:space="preserve"> Mureș, Targu Mures 540136, Romania</w:t>
      </w:r>
    </w:p>
    <w:p w14:paraId="0C5E4FB7" w14:textId="77777777" w:rsidR="00A77B3E" w:rsidRPr="003945C7" w:rsidRDefault="00A77B3E" w:rsidP="001765D0">
      <w:pPr>
        <w:adjustRightInd w:val="0"/>
        <w:snapToGrid w:val="0"/>
        <w:spacing w:line="360" w:lineRule="auto"/>
        <w:jc w:val="both"/>
      </w:pPr>
    </w:p>
    <w:p w14:paraId="1924E94A" w14:textId="5E63034D" w:rsidR="00A77B3E" w:rsidRPr="003945C7" w:rsidRDefault="00A93BA8" w:rsidP="001765D0">
      <w:pPr>
        <w:adjustRightInd w:val="0"/>
        <w:snapToGrid w:val="0"/>
        <w:spacing w:line="360" w:lineRule="auto"/>
        <w:jc w:val="both"/>
      </w:pPr>
      <w:r w:rsidRPr="003945C7">
        <w:rPr>
          <w:rFonts w:ascii="Book Antiqua" w:eastAsia="Book Antiqua" w:hAnsi="Book Antiqua" w:cs="Book Antiqua"/>
          <w:b/>
          <w:bCs/>
          <w:color w:val="000000"/>
        </w:rPr>
        <w:t xml:space="preserve">Cristina </w:t>
      </w:r>
      <w:proofErr w:type="spellStart"/>
      <w:r w:rsidRPr="003945C7">
        <w:rPr>
          <w:rFonts w:ascii="Book Antiqua" w:eastAsia="Book Antiqua" w:hAnsi="Book Antiqua" w:cs="Book Antiqua"/>
          <w:b/>
          <w:bCs/>
          <w:color w:val="000000"/>
        </w:rPr>
        <w:t>Oana</w:t>
      </w:r>
      <w:proofErr w:type="spellEnd"/>
      <w:r w:rsidRPr="003945C7">
        <w:rPr>
          <w:rFonts w:ascii="Book Antiqua" w:eastAsia="Book Antiqua" w:hAnsi="Book Antiqua" w:cs="Book Antiqua"/>
          <w:b/>
          <w:bCs/>
          <w:color w:val="000000"/>
        </w:rPr>
        <w:t xml:space="preserve"> </w:t>
      </w:r>
      <w:proofErr w:type="spellStart"/>
      <w:r w:rsidR="00B1068A" w:rsidRPr="003945C7">
        <w:rPr>
          <w:rFonts w:ascii="Book Antiqua" w:eastAsia="Book Antiqua" w:hAnsi="Book Antiqua" w:cs="Book Antiqua"/>
          <w:b/>
          <w:bCs/>
          <w:color w:val="000000"/>
        </w:rPr>
        <w:t>M</w:t>
      </w:r>
      <w:r w:rsidR="00517828" w:rsidRPr="003945C7">
        <w:rPr>
          <w:rFonts w:ascii="Book Antiqua" w:eastAsia="Book Antiqua" w:hAnsi="Book Antiqua" w:cs="Book Antiqua"/>
          <w:b/>
          <w:bCs/>
          <w:color w:val="000000"/>
        </w:rPr>
        <w:t>ă</w:t>
      </w:r>
      <w:r w:rsidR="00B1068A" w:rsidRPr="003945C7">
        <w:rPr>
          <w:rFonts w:ascii="Book Antiqua" w:eastAsia="Book Antiqua" w:hAnsi="Book Antiqua" w:cs="Book Antiqua"/>
          <w:b/>
          <w:bCs/>
          <w:color w:val="000000"/>
        </w:rPr>
        <w:t>rginean</w:t>
      </w:r>
      <w:proofErr w:type="spellEnd"/>
      <w:r w:rsidR="00B1068A" w:rsidRPr="003945C7">
        <w:rPr>
          <w:rFonts w:ascii="Book Antiqua" w:eastAsia="Book Antiqua" w:hAnsi="Book Antiqua" w:cs="Book Antiqua"/>
          <w:b/>
          <w:bCs/>
          <w:color w:val="000000"/>
        </w:rPr>
        <w:t xml:space="preserve">, Carmen </w:t>
      </w:r>
      <w:proofErr w:type="spellStart"/>
      <w:r w:rsidR="00B1068A" w:rsidRPr="003945C7">
        <w:rPr>
          <w:rFonts w:ascii="Book Antiqua" w:eastAsia="Book Antiqua" w:hAnsi="Book Antiqua" w:cs="Book Antiqua"/>
          <w:b/>
          <w:bCs/>
          <w:color w:val="000000"/>
        </w:rPr>
        <w:t>Duicu</w:t>
      </w:r>
      <w:proofErr w:type="spellEnd"/>
      <w:r w:rsidR="00B1068A" w:rsidRPr="003945C7">
        <w:rPr>
          <w:rFonts w:ascii="Book Antiqua" w:eastAsia="Book Antiqua" w:hAnsi="Book Antiqua" w:cs="Book Antiqua"/>
          <w:b/>
          <w:bCs/>
          <w:color w:val="000000"/>
        </w:rPr>
        <w:t xml:space="preserve">, </w:t>
      </w:r>
      <w:r w:rsidR="00B1068A" w:rsidRPr="003945C7">
        <w:rPr>
          <w:rFonts w:ascii="Book Antiqua" w:eastAsia="Book Antiqua" w:hAnsi="Book Antiqua" w:cs="Book Antiqua"/>
          <w:color w:val="000000"/>
        </w:rPr>
        <w:t xml:space="preserve">Department of Pediatrics I, “George Emil Palade” University of Medicine, Pharmacy, Sciences and Technology </w:t>
      </w:r>
      <w:proofErr w:type="spellStart"/>
      <w:r w:rsidR="00B1068A" w:rsidRPr="003945C7">
        <w:rPr>
          <w:rFonts w:ascii="Book Antiqua" w:eastAsia="Book Antiqua" w:hAnsi="Book Antiqua" w:cs="Book Antiqua"/>
          <w:color w:val="000000"/>
        </w:rPr>
        <w:t>Târgu</w:t>
      </w:r>
      <w:proofErr w:type="spellEnd"/>
      <w:r w:rsidR="00B1068A" w:rsidRPr="003945C7">
        <w:rPr>
          <w:rFonts w:ascii="Book Antiqua" w:eastAsia="Book Antiqua" w:hAnsi="Book Antiqua" w:cs="Book Antiqua"/>
          <w:color w:val="000000"/>
        </w:rPr>
        <w:t xml:space="preserve"> Mureș, Targu Mures 540136, Romania</w:t>
      </w:r>
    </w:p>
    <w:p w14:paraId="38166C23" w14:textId="77777777" w:rsidR="00A77B3E" w:rsidRPr="003945C7" w:rsidRDefault="00A77B3E" w:rsidP="001765D0">
      <w:pPr>
        <w:adjustRightInd w:val="0"/>
        <w:snapToGrid w:val="0"/>
        <w:spacing w:line="360" w:lineRule="auto"/>
        <w:jc w:val="both"/>
      </w:pPr>
    </w:p>
    <w:p w14:paraId="4F3F53A7" w14:textId="3DE86A6B" w:rsidR="00A77B3E" w:rsidRPr="003945C7" w:rsidRDefault="00A93BA8" w:rsidP="001765D0">
      <w:pPr>
        <w:adjustRightInd w:val="0"/>
        <w:snapToGrid w:val="0"/>
        <w:spacing w:line="360" w:lineRule="auto"/>
        <w:jc w:val="both"/>
      </w:pPr>
      <w:r w:rsidRPr="003945C7">
        <w:rPr>
          <w:rFonts w:ascii="Book Antiqua" w:eastAsia="Book Antiqua" w:hAnsi="Book Antiqua" w:cs="Book Antiqua"/>
          <w:b/>
          <w:bCs/>
          <w:color w:val="000000"/>
        </w:rPr>
        <w:t xml:space="preserve">Maria </w:t>
      </w:r>
      <w:proofErr w:type="spellStart"/>
      <w:r w:rsidRPr="003945C7">
        <w:rPr>
          <w:rFonts w:ascii="Book Antiqua" w:eastAsia="Book Antiqua" w:hAnsi="Book Antiqua" w:cs="Book Antiqua"/>
          <w:b/>
          <w:bCs/>
          <w:color w:val="000000"/>
        </w:rPr>
        <w:t>Oana</w:t>
      </w:r>
      <w:proofErr w:type="spellEnd"/>
      <w:r w:rsidRPr="003945C7">
        <w:rPr>
          <w:rFonts w:ascii="Book Antiqua" w:eastAsia="Book Antiqua" w:hAnsi="Book Antiqua" w:cs="Book Antiqua"/>
          <w:b/>
          <w:bCs/>
          <w:color w:val="000000"/>
        </w:rPr>
        <w:t xml:space="preserve"> </w:t>
      </w:r>
      <w:proofErr w:type="spellStart"/>
      <w:r w:rsidR="00B1068A" w:rsidRPr="003945C7">
        <w:rPr>
          <w:rFonts w:ascii="Book Antiqua" w:eastAsia="Book Antiqua" w:hAnsi="Book Antiqua" w:cs="Book Antiqua"/>
          <w:b/>
          <w:bCs/>
          <w:color w:val="000000"/>
        </w:rPr>
        <w:t>S</w:t>
      </w:r>
      <w:r w:rsidR="00517828" w:rsidRPr="003945C7">
        <w:rPr>
          <w:rFonts w:ascii="Book Antiqua" w:eastAsia="Book Antiqua" w:hAnsi="Book Antiqua" w:cs="Book Antiqua"/>
          <w:b/>
          <w:bCs/>
          <w:color w:val="000000"/>
        </w:rPr>
        <w:t>ă</w:t>
      </w:r>
      <w:r w:rsidR="00B1068A" w:rsidRPr="003945C7">
        <w:rPr>
          <w:rFonts w:ascii="Book Antiqua" w:eastAsia="Book Antiqua" w:hAnsi="Book Antiqua" w:cs="Book Antiqua"/>
          <w:b/>
          <w:bCs/>
          <w:color w:val="000000"/>
        </w:rPr>
        <w:t>s</w:t>
      </w:r>
      <w:r w:rsidR="00517828" w:rsidRPr="003945C7">
        <w:rPr>
          <w:rFonts w:ascii="Book Antiqua" w:eastAsia="Book Antiqua" w:hAnsi="Book Antiqua" w:cs="Book Antiqua"/>
          <w:b/>
          <w:bCs/>
          <w:color w:val="000000"/>
        </w:rPr>
        <w:t>ă</w:t>
      </w:r>
      <w:r w:rsidR="00B1068A" w:rsidRPr="003945C7">
        <w:rPr>
          <w:rFonts w:ascii="Book Antiqua" w:eastAsia="Book Antiqua" w:hAnsi="Book Antiqua" w:cs="Book Antiqua"/>
          <w:b/>
          <w:bCs/>
          <w:color w:val="000000"/>
        </w:rPr>
        <w:t>ran</w:t>
      </w:r>
      <w:proofErr w:type="spellEnd"/>
      <w:r w:rsidR="00B1068A" w:rsidRPr="003945C7">
        <w:rPr>
          <w:rFonts w:ascii="Book Antiqua" w:eastAsia="Book Antiqua" w:hAnsi="Book Antiqua" w:cs="Book Antiqua"/>
          <w:b/>
          <w:bCs/>
          <w:color w:val="000000"/>
        </w:rPr>
        <w:t xml:space="preserve">, </w:t>
      </w:r>
      <w:r w:rsidR="00B1068A" w:rsidRPr="003945C7">
        <w:rPr>
          <w:rFonts w:ascii="Book Antiqua" w:eastAsia="Book Antiqua" w:hAnsi="Book Antiqua" w:cs="Book Antiqua"/>
          <w:color w:val="000000"/>
        </w:rPr>
        <w:t xml:space="preserve">Department of Pediatrics III, “George Emil Palade” University of Medicine, Pharmacy, Sciences and Technology </w:t>
      </w:r>
      <w:proofErr w:type="spellStart"/>
      <w:r w:rsidR="00B1068A" w:rsidRPr="003945C7">
        <w:rPr>
          <w:rFonts w:ascii="Book Antiqua" w:eastAsia="Book Antiqua" w:hAnsi="Book Antiqua" w:cs="Book Antiqua"/>
          <w:color w:val="000000"/>
        </w:rPr>
        <w:t>Târgu</w:t>
      </w:r>
      <w:proofErr w:type="spellEnd"/>
      <w:r w:rsidR="00B1068A" w:rsidRPr="003945C7">
        <w:rPr>
          <w:rFonts w:ascii="Book Antiqua" w:eastAsia="Book Antiqua" w:hAnsi="Book Antiqua" w:cs="Book Antiqua"/>
          <w:color w:val="000000"/>
        </w:rPr>
        <w:t xml:space="preserve"> Mureș, Targu Mures 540136, Romania</w:t>
      </w:r>
    </w:p>
    <w:p w14:paraId="4B791ECF" w14:textId="77777777" w:rsidR="00A77B3E" w:rsidRPr="003945C7" w:rsidRDefault="00A77B3E" w:rsidP="001765D0">
      <w:pPr>
        <w:adjustRightInd w:val="0"/>
        <w:snapToGrid w:val="0"/>
        <w:spacing w:line="360" w:lineRule="auto"/>
        <w:jc w:val="both"/>
      </w:pPr>
    </w:p>
    <w:p w14:paraId="009FCFA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Simona </w:t>
      </w:r>
      <w:proofErr w:type="spellStart"/>
      <w:r w:rsidRPr="003945C7">
        <w:rPr>
          <w:rFonts w:ascii="Book Antiqua" w:eastAsia="Book Antiqua" w:hAnsi="Book Antiqua" w:cs="Book Antiqua"/>
          <w:b/>
          <w:bCs/>
          <w:color w:val="000000"/>
        </w:rPr>
        <w:t>Mocan</w:t>
      </w:r>
      <w:proofErr w:type="spellEnd"/>
      <w:r w:rsidRPr="003945C7">
        <w:rPr>
          <w:rFonts w:ascii="Book Antiqua" w:eastAsia="Book Antiqua" w:hAnsi="Book Antiqua" w:cs="Book Antiqua"/>
          <w:b/>
          <w:bCs/>
          <w:color w:val="000000"/>
        </w:rPr>
        <w:t xml:space="preserve">, </w:t>
      </w:r>
      <w:r w:rsidRPr="003945C7">
        <w:rPr>
          <w:rFonts w:ascii="Book Antiqua" w:eastAsia="Book Antiqua" w:hAnsi="Book Antiqua" w:cs="Book Antiqua"/>
          <w:color w:val="000000"/>
        </w:rPr>
        <w:t>Department of Pathology, Emergency County Hospital Targu Mures, Targu Mures 540139, Romania</w:t>
      </w:r>
    </w:p>
    <w:p w14:paraId="0DEF0FF2" w14:textId="77777777" w:rsidR="00A77B3E" w:rsidRPr="003945C7" w:rsidRDefault="00A77B3E" w:rsidP="001765D0">
      <w:pPr>
        <w:adjustRightInd w:val="0"/>
        <w:snapToGrid w:val="0"/>
        <w:spacing w:line="360" w:lineRule="auto"/>
        <w:jc w:val="both"/>
      </w:pPr>
    </w:p>
    <w:p w14:paraId="2743603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lastRenderedPageBreak/>
        <w:t xml:space="preserve">Dana Valentina </w:t>
      </w:r>
      <w:proofErr w:type="spellStart"/>
      <w:r w:rsidRPr="003945C7">
        <w:rPr>
          <w:rFonts w:ascii="Book Antiqua" w:eastAsia="Book Antiqua" w:hAnsi="Book Antiqua" w:cs="Book Antiqua"/>
          <w:b/>
          <w:bCs/>
          <w:color w:val="000000"/>
        </w:rPr>
        <w:t>Ghiga</w:t>
      </w:r>
      <w:proofErr w:type="spellEnd"/>
      <w:r w:rsidRPr="003945C7">
        <w:rPr>
          <w:rFonts w:ascii="Book Antiqua" w:eastAsia="Book Antiqua" w:hAnsi="Book Antiqua" w:cs="Book Antiqua"/>
          <w:b/>
          <w:bCs/>
          <w:color w:val="000000"/>
        </w:rPr>
        <w:t xml:space="preserve">, </w:t>
      </w:r>
      <w:r w:rsidRPr="003945C7">
        <w:rPr>
          <w:rFonts w:ascii="Book Antiqua" w:eastAsia="Book Antiqua" w:hAnsi="Book Antiqua" w:cs="Book Antiqua"/>
          <w:color w:val="000000"/>
        </w:rPr>
        <w:t xml:space="preserve">Scientific Medical Research Methodology, “George Emil Palade” University of Medicine, Pharmacy, Sciences and Technology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Mureș, Targu Mures 540136, Romania</w:t>
      </w:r>
    </w:p>
    <w:p w14:paraId="5ECE6D17" w14:textId="77777777" w:rsidR="00A77B3E" w:rsidRPr="003945C7" w:rsidRDefault="00A77B3E" w:rsidP="001765D0">
      <w:pPr>
        <w:adjustRightInd w:val="0"/>
        <w:snapToGrid w:val="0"/>
        <w:spacing w:line="360" w:lineRule="auto"/>
        <w:jc w:val="both"/>
      </w:pPr>
    </w:p>
    <w:p w14:paraId="303BE46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Alina </w:t>
      </w:r>
      <w:proofErr w:type="spellStart"/>
      <w:r w:rsidRPr="003945C7">
        <w:rPr>
          <w:rFonts w:ascii="Book Antiqua" w:eastAsia="Book Antiqua" w:hAnsi="Book Antiqua" w:cs="Book Antiqua"/>
          <w:b/>
          <w:bCs/>
          <w:color w:val="000000"/>
        </w:rPr>
        <w:t>Bogliş</w:t>
      </w:r>
      <w:proofErr w:type="spellEnd"/>
      <w:r w:rsidRPr="003945C7">
        <w:rPr>
          <w:rFonts w:ascii="Book Antiqua" w:eastAsia="Book Antiqua" w:hAnsi="Book Antiqua" w:cs="Book Antiqua"/>
          <w:b/>
          <w:bCs/>
          <w:color w:val="000000"/>
        </w:rPr>
        <w:t xml:space="preserve">, </w:t>
      </w:r>
      <w:r w:rsidRPr="003945C7">
        <w:rPr>
          <w:rFonts w:ascii="Book Antiqua" w:eastAsia="Book Antiqua" w:hAnsi="Book Antiqua" w:cs="Book Antiqua"/>
          <w:color w:val="000000"/>
        </w:rPr>
        <w:t xml:space="preserve">Department of Genetics, Center for Advanced Medical and Pharmaceutical Research, “George Emil Palade” University of Medicine, Pharmacy, Sciences and Technology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Mureș, Targu Mures 540136, Romania</w:t>
      </w:r>
    </w:p>
    <w:p w14:paraId="04B6523C" w14:textId="77777777" w:rsidR="00A77B3E" w:rsidRPr="003945C7" w:rsidRDefault="00A77B3E" w:rsidP="001765D0">
      <w:pPr>
        <w:adjustRightInd w:val="0"/>
        <w:snapToGrid w:val="0"/>
        <w:spacing w:line="360" w:lineRule="auto"/>
        <w:jc w:val="both"/>
      </w:pPr>
    </w:p>
    <w:p w14:paraId="617D8337" w14:textId="318C6F59"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Author contributions: </w:t>
      </w:r>
      <w:proofErr w:type="spellStart"/>
      <w:r w:rsidRPr="003945C7">
        <w:rPr>
          <w:rFonts w:ascii="Book Antiqua" w:eastAsia="Book Antiqua" w:hAnsi="Book Antiqua" w:cs="Book Antiqua"/>
          <w:color w:val="000000"/>
        </w:rPr>
        <w:t>M</w:t>
      </w:r>
      <w:r w:rsidR="00A93BA8" w:rsidRPr="003945C7">
        <w:rPr>
          <w:rFonts w:ascii="Book Antiqua" w:eastAsia="Book Antiqua" w:hAnsi="Book Antiqua" w:cs="Book Antiqua"/>
          <w:color w:val="000000"/>
        </w:rPr>
        <w:t>eli</w:t>
      </w:r>
      <w:r w:rsidR="00A93BA8" w:rsidRPr="003945C7">
        <w:rPr>
          <w:rFonts w:ascii="Cambria" w:eastAsia="Book Antiqua" w:hAnsi="Cambria" w:cs="Book Antiqua"/>
          <w:color w:val="000000"/>
        </w:rPr>
        <w:t>ț</w:t>
      </w:r>
      <w:proofErr w:type="spellEnd"/>
      <w:r w:rsidR="00A93BA8" w:rsidRPr="003945C7">
        <w:rPr>
          <w:rFonts w:ascii="Cambria" w:eastAsia="Book Antiqua" w:hAnsi="Cambria" w:cs="Book Antiqua"/>
          <w:color w:val="000000"/>
        </w:rPr>
        <w:t xml:space="preserve"> </w:t>
      </w:r>
      <w:r w:rsidRPr="003945C7">
        <w:rPr>
          <w:rFonts w:ascii="Book Antiqua" w:eastAsia="Book Antiqua" w:hAnsi="Book Antiqua" w:cs="Book Antiqua"/>
          <w:color w:val="000000"/>
        </w:rPr>
        <w:t>L</w:t>
      </w:r>
      <w:r w:rsidR="00A93BA8" w:rsidRPr="003945C7">
        <w:rPr>
          <w:rFonts w:ascii="Book Antiqua" w:eastAsia="Book Antiqua" w:hAnsi="Book Antiqua" w:cs="Book Antiqua"/>
          <w:color w:val="000000"/>
        </w:rPr>
        <w:t>E</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D</w:t>
      </w:r>
      <w:r w:rsidR="00A93BA8" w:rsidRPr="003945C7">
        <w:rPr>
          <w:rFonts w:ascii="Book Antiqua" w:eastAsia="Book Antiqua" w:hAnsi="Book Antiqua" w:cs="Book Antiqua"/>
          <w:color w:val="000000"/>
        </w:rPr>
        <w:t>uicu</w:t>
      </w:r>
      <w:proofErr w:type="spellEnd"/>
      <w:r w:rsidR="00A93BA8" w:rsidRPr="003945C7">
        <w:rPr>
          <w:rFonts w:ascii="Book Antiqua" w:eastAsia="Book Antiqua" w:hAnsi="Book Antiqua" w:cs="Book Antiqua"/>
          <w:color w:val="000000"/>
        </w:rPr>
        <w:t xml:space="preserve"> C</w:t>
      </w:r>
      <w:r w:rsidRPr="003945C7">
        <w:rPr>
          <w:rFonts w:ascii="Book Antiqua" w:eastAsia="Book Antiqua" w:hAnsi="Book Antiqua" w:cs="Book Antiqua"/>
          <w:color w:val="000000"/>
        </w:rPr>
        <w:t xml:space="preserve">, </w:t>
      </w:r>
      <w:proofErr w:type="spellStart"/>
      <w:r w:rsidR="00A93BA8" w:rsidRPr="003945C7">
        <w:rPr>
          <w:rFonts w:ascii="Book Antiqua" w:eastAsia="Book Antiqua" w:hAnsi="Book Antiqua" w:cs="Book Antiqua"/>
          <w:color w:val="000000"/>
        </w:rPr>
        <w:t>Mărginean</w:t>
      </w:r>
      <w:proofErr w:type="spellEnd"/>
      <w:r w:rsidR="00A93BA8" w:rsidRPr="003945C7">
        <w:rPr>
          <w:rFonts w:ascii="Book Antiqua" w:eastAsia="Book Antiqua" w:hAnsi="Book Antiqua" w:cs="Book Antiqua"/>
          <w:color w:val="000000"/>
        </w:rPr>
        <w:t xml:space="preserve"> CO</w:t>
      </w:r>
      <w:r w:rsidR="00722A89"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w:t>
      </w:r>
      <w:proofErr w:type="spellStart"/>
      <w:r w:rsidR="00A93BA8" w:rsidRPr="003945C7">
        <w:rPr>
          <w:rFonts w:ascii="Book Antiqua" w:eastAsia="Book Antiqua" w:hAnsi="Book Antiqua" w:cs="Book Antiqua"/>
          <w:color w:val="000000"/>
        </w:rPr>
        <w:t>Săsăran</w:t>
      </w:r>
      <w:proofErr w:type="spellEnd"/>
      <w:r w:rsidR="00A93BA8" w:rsidRPr="003945C7">
        <w:rPr>
          <w:rFonts w:ascii="Book Antiqua" w:eastAsia="Book Antiqua" w:hAnsi="Book Antiqua" w:cs="Book Antiqua"/>
          <w:color w:val="000000"/>
        </w:rPr>
        <w:t xml:space="preserve"> MO</w:t>
      </w:r>
      <w:r w:rsidRPr="003945C7">
        <w:rPr>
          <w:rFonts w:ascii="Book Antiqua" w:eastAsia="Book Antiqua" w:hAnsi="Book Antiqua" w:cs="Book Antiqua"/>
          <w:color w:val="000000"/>
        </w:rPr>
        <w:t xml:space="preserve"> conceptualized and designed the study, drafted the initial manuscript, and reviewed and revised the manuscript; </w:t>
      </w:r>
      <w:proofErr w:type="spellStart"/>
      <w:r w:rsidRPr="003945C7">
        <w:rPr>
          <w:rFonts w:ascii="Book Antiqua" w:eastAsia="Book Antiqua" w:hAnsi="Book Antiqua" w:cs="Book Antiqua"/>
          <w:color w:val="000000"/>
        </w:rPr>
        <w:t>Boglis</w:t>
      </w:r>
      <w:proofErr w:type="spellEnd"/>
      <w:r w:rsidRPr="003945C7">
        <w:rPr>
          <w:rFonts w:ascii="Book Antiqua" w:eastAsia="Book Antiqua" w:hAnsi="Book Antiqua" w:cs="Book Antiqua"/>
          <w:color w:val="000000"/>
        </w:rPr>
        <w:t xml:space="preserve"> A performed the genetic analys</w:t>
      </w:r>
      <w:r w:rsidR="00722A89" w:rsidRPr="003945C7">
        <w:rPr>
          <w:rFonts w:ascii="Book Antiqua" w:eastAsia="Book Antiqua" w:hAnsi="Book Antiqua" w:cs="Book Antiqua"/>
          <w:color w:val="000000"/>
        </w:rPr>
        <w:t>e</w:t>
      </w:r>
      <w:r w:rsidRPr="003945C7">
        <w:rPr>
          <w:rFonts w:ascii="Book Antiqua" w:eastAsia="Book Antiqua" w:hAnsi="Book Antiqua" w:cs="Book Antiqua"/>
          <w:color w:val="000000"/>
        </w:rPr>
        <w:t xml:space="preserve">s; </w:t>
      </w:r>
      <w:proofErr w:type="spellStart"/>
      <w:r w:rsidRPr="003945C7">
        <w:rPr>
          <w:rFonts w:ascii="Book Antiqua" w:eastAsia="Book Antiqua" w:hAnsi="Book Antiqua" w:cs="Book Antiqua"/>
          <w:color w:val="000000"/>
        </w:rPr>
        <w:t>Mocanu</w:t>
      </w:r>
      <w:proofErr w:type="spellEnd"/>
      <w:r w:rsidRPr="003945C7">
        <w:rPr>
          <w:rFonts w:ascii="Book Antiqua" w:eastAsia="Book Antiqua" w:hAnsi="Book Antiqua" w:cs="Book Antiqua"/>
          <w:color w:val="000000"/>
        </w:rPr>
        <w:t xml:space="preserve"> S performed the histopathological exam; </w:t>
      </w:r>
      <w:proofErr w:type="spellStart"/>
      <w:r w:rsidRPr="003945C7">
        <w:rPr>
          <w:rFonts w:ascii="Book Antiqua" w:eastAsia="Book Antiqua" w:hAnsi="Book Antiqua" w:cs="Book Antiqua"/>
          <w:color w:val="000000"/>
        </w:rPr>
        <w:t>Ghiga</w:t>
      </w:r>
      <w:proofErr w:type="spellEnd"/>
      <w:r w:rsidRPr="003945C7">
        <w:rPr>
          <w:rFonts w:ascii="Book Antiqua" w:eastAsia="Book Antiqua" w:hAnsi="Book Antiqua" w:cs="Book Antiqua"/>
          <w:color w:val="000000"/>
        </w:rPr>
        <w:t xml:space="preserve"> DV performed the statistical analys</w:t>
      </w:r>
      <w:r w:rsidR="00722A89" w:rsidRPr="003945C7">
        <w:rPr>
          <w:rFonts w:ascii="Book Antiqua" w:eastAsia="Book Antiqua" w:hAnsi="Book Antiqua" w:cs="Book Antiqua"/>
          <w:color w:val="000000"/>
        </w:rPr>
        <w:t>e</w:t>
      </w:r>
      <w:r w:rsidRPr="003945C7">
        <w:rPr>
          <w:rFonts w:ascii="Book Antiqua" w:eastAsia="Book Antiqua" w:hAnsi="Book Antiqua" w:cs="Book Antiqua"/>
          <w:color w:val="000000"/>
        </w:rPr>
        <w:t>s; All authors approved the final manuscript as submitted and agree to be accountable for all aspects of the work.</w:t>
      </w:r>
    </w:p>
    <w:p w14:paraId="271FB065" w14:textId="77777777" w:rsidR="00A77B3E" w:rsidRPr="003945C7" w:rsidRDefault="00A77B3E" w:rsidP="001765D0">
      <w:pPr>
        <w:adjustRightInd w:val="0"/>
        <w:snapToGrid w:val="0"/>
        <w:spacing w:line="360" w:lineRule="auto"/>
        <w:jc w:val="both"/>
        <w:rPr>
          <w:b/>
          <w:lang w:eastAsia="zh-CN"/>
        </w:rPr>
      </w:pPr>
    </w:p>
    <w:p w14:paraId="05BEDD40" w14:textId="77777777" w:rsidR="00AF44F3" w:rsidRPr="003945C7" w:rsidRDefault="00AF44F3" w:rsidP="001765D0">
      <w:pPr>
        <w:adjustRightInd w:val="0"/>
        <w:snapToGrid w:val="0"/>
        <w:spacing w:line="360" w:lineRule="auto"/>
        <w:jc w:val="both"/>
        <w:rPr>
          <w:rFonts w:ascii="Book Antiqua" w:eastAsia="Book Antiqua" w:hAnsi="Book Antiqua" w:cs="Book Antiqua"/>
          <w:color w:val="000000"/>
        </w:rPr>
      </w:pPr>
      <w:r w:rsidRPr="003945C7">
        <w:rPr>
          <w:rFonts w:ascii="Book Antiqua" w:eastAsia="Book Antiqua" w:hAnsi="Book Antiqua" w:cs="Book Antiqua" w:hint="eastAsia"/>
          <w:b/>
          <w:color w:val="000000"/>
        </w:rPr>
        <w:t>Supported by</w:t>
      </w:r>
      <w:r w:rsidRPr="003945C7">
        <w:rPr>
          <w:rFonts w:ascii="Book Antiqua" w:eastAsia="Book Antiqua" w:hAnsi="Book Antiqua" w:cs="Book Antiqua" w:hint="eastAsia"/>
          <w:color w:val="000000"/>
        </w:rPr>
        <w:t xml:space="preserve"> </w:t>
      </w:r>
      <w:r w:rsidRPr="003945C7">
        <w:rPr>
          <w:rFonts w:ascii="Book Antiqua" w:eastAsia="Book Antiqua" w:hAnsi="Book Antiqua" w:cs="Book Antiqua"/>
          <w:color w:val="000000"/>
        </w:rPr>
        <w:t xml:space="preserve">University of Medicine, Pharmacy, Sciences and Technology </w:t>
      </w:r>
      <w:r w:rsidRPr="003945C7">
        <w:rPr>
          <w:rFonts w:ascii="Book Antiqua" w:hAnsi="Book Antiqua" w:cs="Book Antiqua"/>
          <w:color w:val="000000"/>
          <w:lang w:eastAsia="zh-CN"/>
        </w:rPr>
        <w:t>“</w:t>
      </w:r>
      <w:r w:rsidRPr="003945C7">
        <w:rPr>
          <w:rFonts w:ascii="Book Antiqua" w:eastAsia="Book Antiqua" w:hAnsi="Book Antiqua" w:cs="Book Antiqua"/>
          <w:color w:val="000000"/>
        </w:rPr>
        <w:t>George Emil Palade</w:t>
      </w:r>
      <w:r w:rsidRPr="003945C7">
        <w:rPr>
          <w:rFonts w:ascii="Book Antiqua" w:hAnsi="Book Antiqua" w:cs="Book Antiqua"/>
          <w:color w:val="000000"/>
          <w:lang w:eastAsia="zh-CN"/>
        </w:rPr>
        <w:t>”</w:t>
      </w:r>
      <w:r w:rsidRPr="003945C7">
        <w:rPr>
          <w:rFonts w:ascii="Book Antiqua" w:eastAsia="Book Antiqua" w:hAnsi="Book Antiqua" w:cs="Book Antiqua"/>
          <w:color w:val="000000"/>
        </w:rPr>
        <w:t xml:space="preserve"> of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Mure</w:t>
      </w:r>
      <w:r w:rsidRPr="003945C7">
        <w:rPr>
          <w:rFonts w:eastAsia="Book Antiqua"/>
          <w:color w:val="000000"/>
        </w:rPr>
        <w:t>ș</w:t>
      </w:r>
      <w:r w:rsidRPr="003945C7">
        <w:rPr>
          <w:rFonts w:ascii="Book Antiqua" w:eastAsia="Book Antiqua" w:hAnsi="Book Antiqua" w:cs="Book Antiqua"/>
          <w:color w:val="000000"/>
        </w:rPr>
        <w:t xml:space="preserve">, Romania, </w:t>
      </w:r>
      <w:r w:rsidRPr="003945C7">
        <w:rPr>
          <w:rFonts w:ascii="Book Antiqua" w:eastAsia="Book Antiqua" w:hAnsi="Book Antiqua" w:cs="Book Antiqua"/>
          <w:caps/>
          <w:color w:val="000000"/>
        </w:rPr>
        <w:t>n</w:t>
      </w:r>
      <w:r w:rsidRPr="003945C7">
        <w:rPr>
          <w:rFonts w:ascii="Book Antiqua" w:eastAsia="Book Antiqua" w:hAnsi="Book Antiqua" w:cs="Book Antiqua"/>
          <w:color w:val="000000"/>
        </w:rPr>
        <w:t>o. 293/6/14.01.2020.</w:t>
      </w:r>
    </w:p>
    <w:p w14:paraId="063A8977" w14:textId="77777777" w:rsidR="00AF44F3" w:rsidRPr="003945C7" w:rsidRDefault="00AF44F3" w:rsidP="001765D0">
      <w:pPr>
        <w:adjustRightInd w:val="0"/>
        <w:snapToGrid w:val="0"/>
        <w:spacing w:line="360" w:lineRule="auto"/>
        <w:jc w:val="both"/>
        <w:rPr>
          <w:lang w:eastAsia="zh-CN"/>
        </w:rPr>
      </w:pPr>
    </w:p>
    <w:p w14:paraId="0EB849F7"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Corresponding author: </w:t>
      </w:r>
      <w:r w:rsidR="00A93BA8" w:rsidRPr="003945C7">
        <w:rPr>
          <w:rFonts w:ascii="Book Antiqua" w:eastAsia="Book Antiqua" w:hAnsi="Book Antiqua" w:cs="Book Antiqua"/>
          <w:b/>
          <w:bCs/>
          <w:color w:val="000000"/>
        </w:rPr>
        <w:t xml:space="preserve">Cristina </w:t>
      </w:r>
      <w:proofErr w:type="spellStart"/>
      <w:r w:rsidR="00A93BA8" w:rsidRPr="003945C7">
        <w:rPr>
          <w:rFonts w:ascii="Book Antiqua" w:eastAsia="Book Antiqua" w:hAnsi="Book Antiqua" w:cs="Book Antiqua"/>
          <w:b/>
          <w:bCs/>
          <w:color w:val="000000"/>
        </w:rPr>
        <w:t>Oana</w:t>
      </w:r>
      <w:proofErr w:type="spellEnd"/>
      <w:r w:rsidR="00A93BA8" w:rsidRPr="003945C7">
        <w:rPr>
          <w:rFonts w:ascii="Book Antiqua" w:eastAsia="Book Antiqua" w:hAnsi="Book Antiqua" w:cs="Book Antiqua"/>
          <w:b/>
          <w:bCs/>
          <w:color w:val="000000"/>
        </w:rPr>
        <w:t xml:space="preserve"> </w:t>
      </w:r>
      <w:proofErr w:type="spellStart"/>
      <w:r w:rsidRPr="003945C7">
        <w:rPr>
          <w:rFonts w:ascii="Book Antiqua" w:eastAsia="Book Antiqua" w:hAnsi="Book Antiqua" w:cs="Book Antiqua"/>
          <w:b/>
          <w:bCs/>
          <w:color w:val="000000"/>
        </w:rPr>
        <w:t>M</w:t>
      </w:r>
      <w:r w:rsidR="00A93BA8" w:rsidRPr="003945C7">
        <w:rPr>
          <w:rFonts w:ascii="Book Antiqua" w:eastAsia="Book Antiqua" w:hAnsi="Book Antiqua" w:cs="Book Antiqua"/>
          <w:b/>
          <w:bCs/>
          <w:color w:val="000000"/>
        </w:rPr>
        <w:t>ă</w:t>
      </w:r>
      <w:r w:rsidRPr="003945C7">
        <w:rPr>
          <w:rFonts w:ascii="Book Antiqua" w:eastAsia="Book Antiqua" w:hAnsi="Book Antiqua" w:cs="Book Antiqua"/>
          <w:b/>
          <w:bCs/>
          <w:color w:val="000000"/>
        </w:rPr>
        <w:t>rginean</w:t>
      </w:r>
      <w:proofErr w:type="spellEnd"/>
      <w:r w:rsidRPr="003945C7">
        <w:rPr>
          <w:rFonts w:ascii="Book Antiqua" w:eastAsia="Book Antiqua" w:hAnsi="Book Antiqua" w:cs="Book Antiqua"/>
          <w:b/>
          <w:bCs/>
          <w:color w:val="000000"/>
        </w:rPr>
        <w:t xml:space="preserve">, MD, PhD, Professor, </w:t>
      </w:r>
      <w:r w:rsidRPr="003945C7">
        <w:rPr>
          <w:rFonts w:ascii="Book Antiqua" w:eastAsia="Book Antiqua" w:hAnsi="Book Antiqua" w:cs="Book Antiqua"/>
          <w:color w:val="000000"/>
        </w:rPr>
        <w:t>Department of Pediatrics I, “George Emil Palade” University of Medicine, Pharmacy, Sci</w:t>
      </w:r>
      <w:r w:rsidR="00333C7A" w:rsidRPr="003945C7">
        <w:rPr>
          <w:rFonts w:ascii="Book Antiqua" w:eastAsia="Book Antiqua" w:hAnsi="Book Antiqua" w:cs="Book Antiqua"/>
          <w:color w:val="000000"/>
        </w:rPr>
        <w:t xml:space="preserve">ences and Technology </w:t>
      </w:r>
      <w:proofErr w:type="spellStart"/>
      <w:r w:rsidR="00333C7A" w:rsidRPr="003945C7">
        <w:rPr>
          <w:rFonts w:ascii="Book Antiqua" w:eastAsia="Book Antiqua" w:hAnsi="Book Antiqua" w:cs="Book Antiqua"/>
          <w:color w:val="000000"/>
        </w:rPr>
        <w:t>Târgu</w:t>
      </w:r>
      <w:proofErr w:type="spellEnd"/>
      <w:r w:rsidR="00333C7A" w:rsidRPr="003945C7">
        <w:rPr>
          <w:rFonts w:ascii="Book Antiqua" w:eastAsia="Book Antiqua" w:hAnsi="Book Antiqua" w:cs="Book Antiqua"/>
          <w:color w:val="000000"/>
        </w:rPr>
        <w:t xml:space="preserve"> </w:t>
      </w:r>
      <w:proofErr w:type="spellStart"/>
      <w:r w:rsidR="00333C7A" w:rsidRPr="003945C7">
        <w:rPr>
          <w:rFonts w:ascii="Book Antiqua" w:eastAsia="Book Antiqua" w:hAnsi="Book Antiqua" w:cs="Book Antiqua"/>
          <w:color w:val="000000"/>
        </w:rPr>
        <w:t>Mure</w:t>
      </w:r>
      <w:proofErr w:type="spellEnd"/>
      <w:r w:rsidRPr="003945C7">
        <w:rPr>
          <w:rFonts w:ascii="Book Antiqua" w:eastAsia="Book Antiqua" w:hAnsi="Book Antiqua" w:cs="Book Antiqua"/>
          <w:color w:val="000000"/>
        </w:rPr>
        <w:t>, Gheorghe Marinescu Street No. 38, Targu Mures 540136, Romania. marginean.oana@gmail.com</w:t>
      </w:r>
    </w:p>
    <w:p w14:paraId="4EFA30E4" w14:textId="77777777" w:rsidR="00A77B3E" w:rsidRPr="003945C7" w:rsidRDefault="00A77B3E" w:rsidP="001765D0">
      <w:pPr>
        <w:adjustRightInd w:val="0"/>
        <w:snapToGrid w:val="0"/>
        <w:spacing w:line="360" w:lineRule="auto"/>
        <w:jc w:val="both"/>
      </w:pPr>
    </w:p>
    <w:p w14:paraId="6F32827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Received: </w:t>
      </w:r>
      <w:r w:rsidRPr="003945C7">
        <w:rPr>
          <w:rFonts w:ascii="Book Antiqua" w:eastAsia="Book Antiqua" w:hAnsi="Book Antiqua" w:cs="Book Antiqua"/>
          <w:color w:val="000000"/>
        </w:rPr>
        <w:t>March 18, 2021</w:t>
      </w:r>
    </w:p>
    <w:p w14:paraId="7FC37DFE"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Revised: </w:t>
      </w:r>
      <w:r w:rsidRPr="003945C7">
        <w:rPr>
          <w:rFonts w:ascii="Book Antiqua" w:eastAsia="Book Antiqua" w:hAnsi="Book Antiqua" w:cs="Book Antiqua"/>
          <w:color w:val="000000"/>
        </w:rPr>
        <w:t>June 14, 2021</w:t>
      </w:r>
    </w:p>
    <w:p w14:paraId="09C5822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Accepted: </w:t>
      </w:r>
      <w:r w:rsidR="00F9177A" w:rsidRPr="003945C7">
        <w:rPr>
          <w:rFonts w:ascii="Book Antiqua" w:eastAsia="Book Antiqua" w:hAnsi="Book Antiqua" w:cs="Book Antiqua"/>
          <w:bCs/>
          <w:color w:val="000000"/>
        </w:rPr>
        <w:t>July 5, 2021</w:t>
      </w:r>
    </w:p>
    <w:p w14:paraId="791F8010" w14:textId="453C791A"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Published online: </w:t>
      </w:r>
      <w:r w:rsidR="00C36BCC" w:rsidRPr="003945C7">
        <w:rPr>
          <w:rFonts w:ascii="Book Antiqua" w:eastAsia="Book Antiqua" w:hAnsi="Book Antiqua" w:cs="Book Antiqua"/>
          <w:color w:val="000000"/>
        </w:rPr>
        <w:t>August 16, 2021</w:t>
      </w:r>
    </w:p>
    <w:p w14:paraId="4880DADA" w14:textId="77777777" w:rsidR="00A77B3E" w:rsidRPr="003945C7" w:rsidRDefault="00A77B3E" w:rsidP="001765D0">
      <w:pPr>
        <w:adjustRightInd w:val="0"/>
        <w:snapToGrid w:val="0"/>
        <w:spacing w:line="360" w:lineRule="auto"/>
        <w:jc w:val="both"/>
        <w:sectPr w:rsidR="00A77B3E" w:rsidRPr="003945C7">
          <w:footerReference w:type="default" r:id="rId6"/>
          <w:pgSz w:w="12240" w:h="15840"/>
          <w:pgMar w:top="1440" w:right="1440" w:bottom="1440" w:left="1440" w:header="720" w:footer="720" w:gutter="0"/>
          <w:cols w:space="720"/>
          <w:docGrid w:linePitch="360"/>
        </w:sectPr>
      </w:pPr>
    </w:p>
    <w:p w14:paraId="1258AC8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lastRenderedPageBreak/>
        <w:t>Abstract</w:t>
      </w:r>
    </w:p>
    <w:p w14:paraId="6EE0380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BACKGROUND</w:t>
      </w:r>
    </w:p>
    <w:p w14:paraId="2AD2FF40" w14:textId="2935C9A3"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Innate immunity was found to be associated </w:t>
      </w:r>
      <w:r w:rsidR="00722A89" w:rsidRPr="003945C7">
        <w:rPr>
          <w:rFonts w:ascii="Book Antiqua" w:eastAsia="Book Antiqua" w:hAnsi="Book Antiqua" w:cs="Book Antiqua"/>
          <w:color w:val="000000"/>
        </w:rPr>
        <w:t xml:space="preserve">with </w:t>
      </w:r>
      <w:r w:rsidRPr="003945C7">
        <w:rPr>
          <w:rFonts w:ascii="Book Antiqua" w:eastAsia="Book Antiqua" w:hAnsi="Book Antiqua" w:cs="Book Antiqua"/>
          <w:color w:val="000000"/>
        </w:rPr>
        <w:t xml:space="preserve">both persistence of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infection and increased risk </w:t>
      </w:r>
      <w:r w:rsidR="00722A89" w:rsidRPr="003945C7">
        <w:rPr>
          <w:rFonts w:ascii="Book Antiqua" w:eastAsia="Book Antiqua" w:hAnsi="Book Antiqua" w:cs="Book Antiqua"/>
          <w:color w:val="000000"/>
        </w:rPr>
        <w:t xml:space="preserve">of </w:t>
      </w:r>
      <w:r w:rsidRPr="003945C7">
        <w:rPr>
          <w:rFonts w:ascii="Book Antiqua" w:eastAsia="Book Antiqua" w:hAnsi="Book Antiqua" w:cs="Book Antiqua"/>
          <w:color w:val="000000"/>
        </w:rPr>
        <w:t>gastric cancer.</w:t>
      </w:r>
    </w:p>
    <w:p w14:paraId="7B96FA76" w14:textId="77777777" w:rsidR="00A77B3E" w:rsidRPr="003945C7" w:rsidRDefault="00A77B3E" w:rsidP="001765D0">
      <w:pPr>
        <w:adjustRightInd w:val="0"/>
        <w:snapToGrid w:val="0"/>
        <w:spacing w:line="360" w:lineRule="auto"/>
        <w:jc w:val="both"/>
      </w:pPr>
    </w:p>
    <w:p w14:paraId="6A137441"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AIM</w:t>
      </w:r>
    </w:p>
    <w:p w14:paraId="075FD754" w14:textId="0F853EDF"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To identify the risk factors associated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and to establish the role of TLR9 rs352140 in suppressing or promoting inflammation related to this infection in children.</w:t>
      </w:r>
    </w:p>
    <w:p w14:paraId="02D472B5" w14:textId="77777777" w:rsidR="00A77B3E" w:rsidRPr="003945C7" w:rsidRDefault="00A77B3E" w:rsidP="001765D0">
      <w:pPr>
        <w:adjustRightInd w:val="0"/>
        <w:snapToGrid w:val="0"/>
        <w:spacing w:line="360" w:lineRule="auto"/>
        <w:jc w:val="both"/>
      </w:pPr>
    </w:p>
    <w:p w14:paraId="2B413E48"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METHODS</w:t>
      </w:r>
    </w:p>
    <w:p w14:paraId="00FF104D" w14:textId="0AA4BA6F"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We performed a study </w:t>
      </w:r>
      <w:r w:rsidR="00722A89" w:rsidRPr="003945C7">
        <w:rPr>
          <w:rFonts w:ascii="Book Antiqua" w:eastAsia="Book Antiqua" w:hAnsi="Book Antiqua" w:cs="Book Antiqua"/>
          <w:color w:val="000000"/>
        </w:rPr>
        <w:t>of</w:t>
      </w:r>
      <w:r w:rsidRPr="003945C7">
        <w:rPr>
          <w:rFonts w:ascii="Book Antiqua" w:eastAsia="Book Antiqua" w:hAnsi="Book Antiqua" w:cs="Book Antiqua"/>
          <w:color w:val="000000"/>
        </w:rPr>
        <w:t xml:space="preserve"> 155 children with digestive symptoms, who were divided into </w:t>
      </w:r>
      <w:r w:rsidR="00722A89" w:rsidRPr="003945C7">
        <w:rPr>
          <w:rFonts w:ascii="Book Antiqua" w:eastAsia="Book Antiqua" w:hAnsi="Book Antiqua" w:cs="Book Antiqua"/>
          <w:color w:val="000000"/>
        </w:rPr>
        <w:t xml:space="preserve">two </w:t>
      </w:r>
      <w:r w:rsidRPr="003945C7">
        <w:rPr>
          <w:rFonts w:ascii="Book Antiqua" w:eastAsia="Book Antiqua" w:hAnsi="Book Antiqua" w:cs="Book Antiqua"/>
          <w:color w:val="000000"/>
        </w:rPr>
        <w:t xml:space="preserve">groups according to the histopathological exam: </w:t>
      </w:r>
      <w:r w:rsidR="00722A89" w:rsidRPr="003945C7">
        <w:rPr>
          <w:rFonts w:ascii="Book Antiqua" w:eastAsia="Book Antiqua" w:hAnsi="Book Antiqua" w:cs="Book Antiqua"/>
          <w:color w:val="000000"/>
        </w:rPr>
        <w:t>G</w:t>
      </w:r>
      <w:r w:rsidRPr="003945C7">
        <w:rPr>
          <w:rFonts w:ascii="Book Antiqua" w:eastAsia="Book Antiqua" w:hAnsi="Book Antiqua" w:cs="Book Antiqua"/>
          <w:color w:val="000000"/>
        </w:rPr>
        <w:t>roup 1</w:t>
      </w:r>
      <w:r w:rsidR="00722A89"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w:t>
      </w:r>
      <w:r w:rsidR="00722A89"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48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-induced chronic gastritis, and </w:t>
      </w:r>
      <w:r w:rsidR="00722A89" w:rsidRPr="003945C7">
        <w:rPr>
          <w:rFonts w:ascii="Book Antiqua" w:eastAsia="Book Antiqua" w:hAnsi="Book Antiqua" w:cs="Book Antiqua"/>
          <w:color w:val="000000"/>
        </w:rPr>
        <w:t>G</w:t>
      </w:r>
      <w:r w:rsidRPr="003945C7">
        <w:rPr>
          <w:rFonts w:ascii="Book Antiqua" w:eastAsia="Book Antiqua" w:hAnsi="Book Antiqua" w:cs="Book Antiqua"/>
          <w:color w:val="000000"/>
        </w:rPr>
        <w:t>roup 2 – control group.</w:t>
      </w:r>
    </w:p>
    <w:p w14:paraId="542110AB" w14:textId="77777777" w:rsidR="00A77B3E" w:rsidRPr="003945C7" w:rsidRDefault="00A77B3E" w:rsidP="001765D0">
      <w:pPr>
        <w:adjustRightInd w:val="0"/>
        <w:snapToGrid w:val="0"/>
        <w:spacing w:line="360" w:lineRule="auto"/>
        <w:jc w:val="both"/>
      </w:pPr>
    </w:p>
    <w:p w14:paraId="138960E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RESULTS</w:t>
      </w:r>
    </w:p>
    <w:p w14:paraId="1856D7EF" w14:textId="2D5A33EA"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Rural area and poor living conditions were significantly associated </w:t>
      </w:r>
      <w:r w:rsidR="00722A89" w:rsidRPr="003945C7">
        <w:rPr>
          <w:rFonts w:ascii="Book Antiqua" w:eastAsia="Book Antiqua" w:hAnsi="Book Antiqua" w:cs="Book Antiqua"/>
          <w:color w:val="000000"/>
        </w:rPr>
        <w:t>with</w:t>
      </w:r>
      <w:r w:rsidRPr="003945C7">
        <w:rPr>
          <w:rFonts w:ascii="Book Antiqua" w:eastAsia="Book Antiqua" w:hAnsi="Book Antiqua" w:cs="Book Antiqua"/>
          <w:color w:val="000000"/>
        </w:rPr>
        <w:t xml:space="preserve">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0.0042/</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&lt; 0.0001). Both positive immunoglobulin A anti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and </w:t>
      </w:r>
      <w:r w:rsidR="00722A89"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rapid urease test were significantly associated </w:t>
      </w:r>
      <w:r w:rsidR="00722A89" w:rsidRPr="003945C7">
        <w:rPr>
          <w:rFonts w:ascii="Book Antiqua" w:eastAsia="Book Antiqua" w:hAnsi="Book Antiqua" w:cs="Book Antiqua"/>
          <w:color w:val="000000"/>
        </w:rPr>
        <w:t xml:space="preserve">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&lt; 0.0001). Significantly higher values of leukocytes and neutrophils within the peripheral blood were found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0.111/</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 0.284). We found a significant positive correlation </w:t>
      </w:r>
      <w:r w:rsidR="00722A89" w:rsidRPr="003945C7">
        <w:rPr>
          <w:rFonts w:ascii="Book Antiqua" w:eastAsia="Book Antiqua" w:hAnsi="Book Antiqua" w:cs="Book Antiqua"/>
          <w:color w:val="000000"/>
        </w:rPr>
        <w:t xml:space="preserve">between the </w:t>
      </w:r>
      <w:r w:rsidRPr="003945C7">
        <w:rPr>
          <w:rFonts w:ascii="Book Antiqua" w:eastAsia="Book Antiqua" w:hAnsi="Book Antiqua" w:cs="Book Antiqua"/>
          <w:color w:val="000000"/>
        </w:rPr>
        <w:t>variant TT</w:t>
      </w:r>
      <w:r w:rsidRPr="003945C7">
        <w:rPr>
          <w:rFonts w:ascii="Book Antiqua" w:eastAsia="Book Antiqua" w:hAnsi="Book Antiqua" w:cs="Book Antiqua"/>
          <w:i/>
          <w:iCs/>
          <w:color w:val="000000"/>
        </w:rPr>
        <w:t xml:space="preserve"> </w:t>
      </w:r>
      <w:r w:rsidRPr="003945C7">
        <w:rPr>
          <w:rFonts w:ascii="Book Antiqua" w:eastAsia="Book Antiqua" w:hAnsi="Book Antiqua" w:cs="Book Antiqua"/>
          <w:color w:val="000000"/>
        </w:rPr>
        <w:t>genotype of TLR9 rs352140 polymorphism and both leucocytes and neutrophils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0.0225/</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 0.0292).</w:t>
      </w:r>
    </w:p>
    <w:p w14:paraId="56A69BC7" w14:textId="77777777" w:rsidR="00A77B3E" w:rsidRPr="003945C7" w:rsidRDefault="00A77B3E" w:rsidP="001765D0">
      <w:pPr>
        <w:adjustRightInd w:val="0"/>
        <w:snapToGrid w:val="0"/>
        <w:spacing w:line="360" w:lineRule="auto"/>
        <w:jc w:val="both"/>
      </w:pPr>
    </w:p>
    <w:p w14:paraId="50B304B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CONCLUSION</w:t>
      </w:r>
    </w:p>
    <w:p w14:paraId="7EC90877" w14:textId="59517D6D" w:rsidR="00A77B3E" w:rsidRPr="003945C7" w:rsidRDefault="00722A89" w:rsidP="001765D0">
      <w:pPr>
        <w:adjustRightInd w:val="0"/>
        <w:snapToGrid w:val="0"/>
        <w:spacing w:line="360" w:lineRule="auto"/>
        <w:jc w:val="both"/>
      </w:pPr>
      <w:r w:rsidRPr="003945C7">
        <w:rPr>
          <w:rFonts w:ascii="Book Antiqua" w:eastAsia="Book Antiqua" w:hAnsi="Book Antiqua" w:cs="Book Antiqua"/>
          <w:color w:val="000000"/>
        </w:rPr>
        <w:t>V</w:t>
      </w:r>
      <w:r w:rsidR="00B1068A" w:rsidRPr="003945C7">
        <w:rPr>
          <w:rFonts w:ascii="Book Antiqua" w:eastAsia="Book Antiqua" w:hAnsi="Book Antiqua" w:cs="Book Antiqua"/>
          <w:color w:val="000000"/>
        </w:rPr>
        <w:t>ariant TT genotype carriers of the TLR9 rs</w:t>
      </w:r>
      <w:r w:rsidR="00A93BA8" w:rsidRPr="003945C7">
        <w:rPr>
          <w:rFonts w:ascii="Book Antiqua" w:eastAsia="Book Antiqua" w:hAnsi="Book Antiqua" w:cs="Book Antiqua"/>
          <w:color w:val="000000"/>
        </w:rPr>
        <w:t>3</w:t>
      </w:r>
      <w:r w:rsidR="00B1068A" w:rsidRPr="003945C7">
        <w:rPr>
          <w:rFonts w:ascii="Book Antiqua" w:eastAsia="Book Antiqua" w:hAnsi="Book Antiqua" w:cs="Book Antiqua"/>
          <w:color w:val="000000"/>
        </w:rPr>
        <w:t xml:space="preserve">52140 gene polymorphism might </w:t>
      </w:r>
      <w:r w:rsidRPr="003945C7">
        <w:rPr>
          <w:rFonts w:ascii="Book Antiqua" w:eastAsia="Book Antiqua" w:hAnsi="Book Antiqua" w:cs="Book Antiqua"/>
          <w:color w:val="000000"/>
        </w:rPr>
        <w:t xml:space="preserve">have </w:t>
      </w:r>
      <w:r w:rsidR="00B1068A" w:rsidRPr="003945C7">
        <w:rPr>
          <w:rFonts w:ascii="Book Antiqua" w:eastAsia="Book Antiqua" w:hAnsi="Book Antiqua" w:cs="Book Antiqua"/>
          <w:color w:val="000000"/>
        </w:rPr>
        <w:t xml:space="preserve">a more severe degree of inflammation. </w:t>
      </w:r>
    </w:p>
    <w:p w14:paraId="0156C694" w14:textId="77777777" w:rsidR="00A77B3E" w:rsidRPr="003945C7" w:rsidRDefault="00A77B3E" w:rsidP="001765D0">
      <w:pPr>
        <w:adjustRightInd w:val="0"/>
        <w:snapToGrid w:val="0"/>
        <w:spacing w:line="360" w:lineRule="auto"/>
        <w:jc w:val="both"/>
      </w:pPr>
    </w:p>
    <w:p w14:paraId="790CCD4A"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lastRenderedPageBreak/>
        <w:t xml:space="preserve">Key Words: </w:t>
      </w:r>
      <w:bookmarkStart w:id="6" w:name="OLE_LINK512"/>
      <w:bookmarkStart w:id="7" w:name="OLE_LINK513"/>
      <w:r w:rsidRPr="003945C7">
        <w:rPr>
          <w:rFonts w:ascii="Book Antiqua" w:eastAsia="Book Antiqua" w:hAnsi="Book Antiqua" w:cs="Book Antiqua"/>
          <w:color w:val="000000"/>
        </w:rPr>
        <w:t xml:space="preserve">Innate immunity; </w:t>
      </w:r>
      <w:r w:rsidRPr="003945C7">
        <w:rPr>
          <w:rFonts w:ascii="Book Antiqua" w:eastAsia="Book Antiqua" w:hAnsi="Book Antiqua" w:cs="Book Antiqua"/>
          <w:i/>
          <w:iCs/>
          <w:color w:val="000000"/>
        </w:rPr>
        <w:t xml:space="preserve">Helicobacter pylori </w:t>
      </w:r>
      <w:r w:rsidRPr="003945C7">
        <w:rPr>
          <w:rFonts w:ascii="Book Antiqua" w:eastAsia="Book Antiqua" w:hAnsi="Book Antiqua" w:cs="Book Antiqua"/>
          <w:color w:val="000000"/>
        </w:rPr>
        <w:t>infection; Children; Chronic gastritis; TLR9; Systemic inflammation</w:t>
      </w:r>
      <w:bookmarkEnd w:id="6"/>
      <w:bookmarkEnd w:id="7"/>
      <w:r w:rsidRPr="003945C7">
        <w:rPr>
          <w:rFonts w:ascii="Book Antiqua" w:eastAsia="Book Antiqua" w:hAnsi="Book Antiqua" w:cs="Book Antiqua"/>
          <w:color w:val="000000"/>
        </w:rPr>
        <w:t xml:space="preserve"> </w:t>
      </w:r>
    </w:p>
    <w:p w14:paraId="115432EE" w14:textId="77777777" w:rsidR="006B639F" w:rsidRPr="003945C7" w:rsidRDefault="006B639F" w:rsidP="006B639F">
      <w:pPr>
        <w:spacing w:line="360" w:lineRule="auto"/>
        <w:jc w:val="both"/>
        <w:rPr>
          <w:lang w:eastAsia="zh-CN"/>
        </w:rPr>
      </w:pPr>
    </w:p>
    <w:p w14:paraId="66328324" w14:textId="77777777" w:rsidR="006B639F" w:rsidRPr="003945C7" w:rsidRDefault="006B639F" w:rsidP="006B639F">
      <w:pPr>
        <w:spacing w:line="360" w:lineRule="auto"/>
        <w:jc w:val="both"/>
        <w:rPr>
          <w:rFonts w:ascii="Book Antiqua" w:eastAsia="Book Antiqua" w:hAnsi="Book Antiqua" w:cs="Book Antiqua"/>
          <w:color w:val="000000"/>
        </w:rPr>
      </w:pPr>
      <w:r w:rsidRPr="003945C7">
        <w:rPr>
          <w:rFonts w:ascii="Book Antiqua" w:eastAsia="Book Antiqua" w:hAnsi="Book Antiqua" w:cs="Book Antiqua"/>
          <w:b/>
          <w:color w:val="000000"/>
        </w:rPr>
        <w:t>©The</w:t>
      </w:r>
      <w:r w:rsidRPr="003945C7">
        <w:rPr>
          <w:rFonts w:ascii="Book Antiqua" w:eastAsia="Book Antiqua" w:hAnsi="Book Antiqua" w:cs="Book Antiqua"/>
          <w:color w:val="000000"/>
        </w:rPr>
        <w:t xml:space="preserve"> </w:t>
      </w:r>
      <w:r w:rsidRPr="003945C7">
        <w:rPr>
          <w:rFonts w:ascii="Book Antiqua" w:eastAsia="Book Antiqua" w:hAnsi="Book Antiqua" w:cs="Book Antiqua"/>
          <w:b/>
          <w:color w:val="000000"/>
        </w:rPr>
        <w:t xml:space="preserve">Author(s) 2021. </w:t>
      </w:r>
      <w:r w:rsidRPr="003945C7">
        <w:rPr>
          <w:rFonts w:ascii="Book Antiqua" w:eastAsia="Book Antiqua" w:hAnsi="Book Antiqua" w:cs="Book Antiqua"/>
          <w:color w:val="000000"/>
        </w:rPr>
        <w:t xml:space="preserve">Published by </w:t>
      </w:r>
      <w:proofErr w:type="spellStart"/>
      <w:r w:rsidRPr="003945C7">
        <w:rPr>
          <w:rFonts w:ascii="Book Antiqua" w:eastAsia="Book Antiqua" w:hAnsi="Book Antiqua" w:cs="Book Antiqua"/>
          <w:color w:val="000000"/>
        </w:rPr>
        <w:t>Baishideng</w:t>
      </w:r>
      <w:proofErr w:type="spellEnd"/>
      <w:r w:rsidRPr="003945C7">
        <w:rPr>
          <w:rFonts w:ascii="Book Antiqua" w:eastAsia="Book Antiqua" w:hAnsi="Book Antiqua" w:cs="Book Antiqua"/>
          <w:color w:val="000000"/>
        </w:rPr>
        <w:t xml:space="preserve"> Publishing Group Inc. All rights reserved. </w:t>
      </w:r>
    </w:p>
    <w:p w14:paraId="3ADDDC23" w14:textId="77777777" w:rsidR="006B639F" w:rsidRPr="003945C7" w:rsidRDefault="006B639F" w:rsidP="006B639F">
      <w:pPr>
        <w:spacing w:line="360" w:lineRule="auto"/>
        <w:jc w:val="both"/>
        <w:rPr>
          <w:lang w:eastAsia="zh-CN"/>
        </w:rPr>
      </w:pPr>
    </w:p>
    <w:p w14:paraId="70E396A9" w14:textId="0488199D" w:rsidR="008563F9" w:rsidRPr="003945C7" w:rsidRDefault="006B639F" w:rsidP="006B639F">
      <w:pPr>
        <w:adjustRightInd w:val="0"/>
        <w:snapToGrid w:val="0"/>
        <w:spacing w:line="360" w:lineRule="auto"/>
        <w:jc w:val="both"/>
        <w:rPr>
          <w:rFonts w:ascii="Book Antiqua" w:eastAsia="Book Antiqua" w:hAnsi="Book Antiqua" w:cs="Book Antiqua"/>
          <w:color w:val="000000"/>
        </w:rPr>
      </w:pPr>
      <w:r w:rsidRPr="003945C7">
        <w:rPr>
          <w:rFonts w:ascii="Book Antiqua" w:hAnsi="Book Antiqua" w:cs="Book Antiqua"/>
          <w:b/>
          <w:color w:val="000000"/>
          <w:lang w:eastAsia="zh-CN"/>
        </w:rPr>
        <w:t>Citation:</w:t>
      </w:r>
      <w:r w:rsidRPr="003945C7">
        <w:rPr>
          <w:rFonts w:ascii="Book Antiqua" w:hAnsi="Book Antiqua" w:cs="Book Antiqua"/>
          <w:color w:val="000000"/>
          <w:lang w:eastAsia="zh-CN"/>
        </w:rPr>
        <w:t xml:space="preserve"> </w:t>
      </w:r>
      <w:proofErr w:type="spellStart"/>
      <w:r w:rsidR="00A93BA8" w:rsidRPr="003945C7">
        <w:rPr>
          <w:rFonts w:ascii="Book Antiqua" w:eastAsia="Book Antiqua" w:hAnsi="Book Antiqua" w:cs="Book Antiqua"/>
          <w:color w:val="000000"/>
        </w:rPr>
        <w:t>Meli</w:t>
      </w:r>
      <w:r w:rsidR="00A93BA8" w:rsidRPr="003945C7">
        <w:rPr>
          <w:rFonts w:ascii="Cambria" w:eastAsia="Book Antiqua" w:hAnsi="Cambria" w:cs="Book Antiqua"/>
          <w:color w:val="000000"/>
        </w:rPr>
        <w:t>ț</w:t>
      </w:r>
      <w:proofErr w:type="spellEnd"/>
      <w:r w:rsidR="00A93BA8" w:rsidRPr="003945C7">
        <w:rPr>
          <w:rFonts w:ascii="Book Antiqua" w:eastAsia="Book Antiqua" w:hAnsi="Book Antiqua" w:cs="Book Antiqua"/>
          <w:color w:val="000000"/>
        </w:rPr>
        <w:t xml:space="preserve"> LE</w:t>
      </w:r>
      <w:r w:rsidR="00B1068A" w:rsidRPr="003945C7">
        <w:rPr>
          <w:rFonts w:ascii="Book Antiqua" w:eastAsia="Book Antiqua" w:hAnsi="Book Antiqua" w:cs="Book Antiqua"/>
          <w:color w:val="000000"/>
        </w:rPr>
        <w:t xml:space="preserve">, </w:t>
      </w:r>
      <w:proofErr w:type="spellStart"/>
      <w:r w:rsidR="00B1068A" w:rsidRPr="003945C7">
        <w:rPr>
          <w:rFonts w:ascii="Book Antiqua" w:eastAsia="Book Antiqua" w:hAnsi="Book Antiqua" w:cs="Book Antiqua"/>
          <w:color w:val="000000"/>
        </w:rPr>
        <w:t>M</w:t>
      </w:r>
      <w:r w:rsidR="00A93BA8" w:rsidRPr="003945C7">
        <w:rPr>
          <w:rFonts w:ascii="Book Antiqua" w:eastAsia="Book Antiqua" w:hAnsi="Book Antiqua" w:cs="Book Antiqua"/>
          <w:color w:val="000000"/>
        </w:rPr>
        <w:t>ărginean</w:t>
      </w:r>
      <w:proofErr w:type="spellEnd"/>
      <w:r w:rsidR="00A93BA8" w:rsidRPr="003945C7">
        <w:rPr>
          <w:rFonts w:ascii="Book Antiqua" w:eastAsia="Book Antiqua" w:hAnsi="Book Antiqua" w:cs="Book Antiqua"/>
          <w:color w:val="000000"/>
        </w:rPr>
        <w:t xml:space="preserve"> CO</w:t>
      </w:r>
      <w:r w:rsidR="00B1068A" w:rsidRPr="003945C7">
        <w:rPr>
          <w:rFonts w:ascii="Book Antiqua" w:eastAsia="Book Antiqua" w:hAnsi="Book Antiqua" w:cs="Book Antiqua"/>
          <w:color w:val="000000"/>
        </w:rPr>
        <w:t xml:space="preserve">, </w:t>
      </w:r>
      <w:proofErr w:type="spellStart"/>
      <w:r w:rsidR="00A93BA8" w:rsidRPr="003945C7">
        <w:rPr>
          <w:rFonts w:ascii="Book Antiqua" w:eastAsia="Book Antiqua" w:hAnsi="Book Antiqua" w:cs="Book Antiqua"/>
          <w:color w:val="000000"/>
        </w:rPr>
        <w:t>Săsăran</w:t>
      </w:r>
      <w:proofErr w:type="spellEnd"/>
      <w:r w:rsidR="00B1068A" w:rsidRPr="003945C7">
        <w:rPr>
          <w:rFonts w:ascii="Book Antiqua" w:eastAsia="Book Antiqua" w:hAnsi="Book Antiqua" w:cs="Book Antiqua"/>
          <w:color w:val="000000"/>
        </w:rPr>
        <w:t xml:space="preserve"> </w:t>
      </w:r>
      <w:r w:rsidR="00A93BA8" w:rsidRPr="003945C7">
        <w:rPr>
          <w:rFonts w:ascii="Book Antiqua" w:eastAsia="Book Antiqua" w:hAnsi="Book Antiqua" w:cs="Book Antiqua"/>
          <w:color w:val="000000"/>
        </w:rPr>
        <w:t>MO</w:t>
      </w:r>
      <w:r w:rsidR="00B1068A" w:rsidRPr="003945C7">
        <w:rPr>
          <w:rFonts w:ascii="Book Antiqua" w:eastAsia="Book Antiqua" w:hAnsi="Book Antiqua" w:cs="Book Antiqua"/>
          <w:color w:val="000000"/>
        </w:rPr>
        <w:t xml:space="preserve">, </w:t>
      </w:r>
      <w:proofErr w:type="spellStart"/>
      <w:r w:rsidR="00B1068A" w:rsidRPr="003945C7">
        <w:rPr>
          <w:rFonts w:ascii="Book Antiqua" w:eastAsia="Book Antiqua" w:hAnsi="Book Antiqua" w:cs="Book Antiqua"/>
          <w:color w:val="000000"/>
        </w:rPr>
        <w:t>Mocan</w:t>
      </w:r>
      <w:proofErr w:type="spellEnd"/>
      <w:r w:rsidR="00B1068A" w:rsidRPr="003945C7">
        <w:rPr>
          <w:rFonts w:ascii="Book Antiqua" w:eastAsia="Book Antiqua" w:hAnsi="Book Antiqua" w:cs="Book Antiqua"/>
          <w:color w:val="000000"/>
        </w:rPr>
        <w:t xml:space="preserve"> S, </w:t>
      </w:r>
      <w:proofErr w:type="spellStart"/>
      <w:r w:rsidR="00B1068A" w:rsidRPr="003945C7">
        <w:rPr>
          <w:rFonts w:ascii="Book Antiqua" w:eastAsia="Book Antiqua" w:hAnsi="Book Antiqua" w:cs="Book Antiqua"/>
          <w:color w:val="000000"/>
        </w:rPr>
        <w:t>Ghiga</w:t>
      </w:r>
      <w:proofErr w:type="spellEnd"/>
      <w:r w:rsidR="00B1068A" w:rsidRPr="003945C7">
        <w:rPr>
          <w:rFonts w:ascii="Book Antiqua" w:eastAsia="Book Antiqua" w:hAnsi="Book Antiqua" w:cs="Book Antiqua"/>
          <w:color w:val="000000"/>
        </w:rPr>
        <w:t xml:space="preserve"> DV, </w:t>
      </w:r>
      <w:proofErr w:type="spellStart"/>
      <w:r w:rsidR="00B1068A" w:rsidRPr="003945C7">
        <w:rPr>
          <w:rFonts w:ascii="Book Antiqua" w:eastAsia="Book Antiqua" w:hAnsi="Book Antiqua" w:cs="Book Antiqua"/>
          <w:color w:val="000000"/>
        </w:rPr>
        <w:t>Bogliş</w:t>
      </w:r>
      <w:proofErr w:type="spellEnd"/>
      <w:r w:rsidR="00B1068A" w:rsidRPr="003945C7">
        <w:rPr>
          <w:rFonts w:ascii="Book Antiqua" w:eastAsia="Book Antiqua" w:hAnsi="Book Antiqua" w:cs="Book Antiqua"/>
          <w:color w:val="000000"/>
        </w:rPr>
        <w:t xml:space="preserve"> A, </w:t>
      </w:r>
      <w:proofErr w:type="spellStart"/>
      <w:r w:rsidR="00B1068A" w:rsidRPr="003945C7">
        <w:rPr>
          <w:rFonts w:ascii="Book Antiqua" w:eastAsia="Book Antiqua" w:hAnsi="Book Antiqua" w:cs="Book Antiqua"/>
          <w:color w:val="000000"/>
        </w:rPr>
        <w:t>Duicu</w:t>
      </w:r>
      <w:proofErr w:type="spellEnd"/>
      <w:r w:rsidR="00B1068A" w:rsidRPr="003945C7">
        <w:rPr>
          <w:rFonts w:ascii="Book Antiqua" w:eastAsia="Book Antiqua" w:hAnsi="Book Antiqua" w:cs="Book Antiqua"/>
          <w:color w:val="000000"/>
        </w:rPr>
        <w:t xml:space="preserve"> C. Innate immunity – the hallmark of </w:t>
      </w:r>
      <w:r w:rsidR="00B1068A" w:rsidRPr="003945C7">
        <w:rPr>
          <w:rFonts w:ascii="Book Antiqua" w:eastAsia="Book Antiqua" w:hAnsi="Book Antiqua" w:cs="Book Antiqua"/>
          <w:i/>
          <w:color w:val="000000"/>
        </w:rPr>
        <w:t>Helicobacter pylori</w:t>
      </w:r>
      <w:r w:rsidR="00B1068A" w:rsidRPr="003945C7">
        <w:rPr>
          <w:rFonts w:ascii="Book Antiqua" w:eastAsia="Book Antiqua" w:hAnsi="Book Antiqua" w:cs="Book Antiqua"/>
          <w:color w:val="000000"/>
        </w:rPr>
        <w:t xml:space="preserve"> infection</w:t>
      </w:r>
      <w:r w:rsidR="00827049" w:rsidRPr="003945C7">
        <w:rPr>
          <w:rFonts w:ascii="Book Antiqua" w:eastAsia="Book Antiqua" w:hAnsi="Book Antiqua" w:cs="Book Antiqua"/>
          <w:color w:val="000000"/>
        </w:rPr>
        <w:t xml:space="preserve"> in pediatric chronic gastritis</w:t>
      </w:r>
      <w:r w:rsidR="00B1068A" w:rsidRPr="003945C7">
        <w:rPr>
          <w:rFonts w:ascii="Book Antiqua" w:eastAsia="Book Antiqua" w:hAnsi="Book Antiqua" w:cs="Book Antiqua"/>
          <w:color w:val="000000"/>
        </w:rPr>
        <w:t xml:space="preserve">. </w:t>
      </w:r>
      <w:r w:rsidR="00B1068A" w:rsidRPr="003945C7">
        <w:rPr>
          <w:rFonts w:ascii="Book Antiqua" w:eastAsia="Book Antiqua" w:hAnsi="Book Antiqua" w:cs="Book Antiqua"/>
          <w:i/>
          <w:iCs/>
          <w:color w:val="000000"/>
        </w:rPr>
        <w:t>World J Clin Cases</w:t>
      </w:r>
      <w:r w:rsidR="00B1068A" w:rsidRPr="003945C7">
        <w:rPr>
          <w:rFonts w:ascii="Book Antiqua" w:eastAsia="Book Antiqua" w:hAnsi="Book Antiqua" w:cs="Book Antiqua"/>
          <w:color w:val="000000"/>
        </w:rPr>
        <w:t xml:space="preserve"> 2021; </w:t>
      </w:r>
      <w:r w:rsidR="00DF0518" w:rsidRPr="003945C7">
        <w:rPr>
          <w:rFonts w:ascii="Book Antiqua" w:eastAsia="Book Antiqua" w:hAnsi="Book Antiqua" w:cs="Book Antiqua"/>
          <w:color w:val="000000"/>
        </w:rPr>
        <w:t xml:space="preserve">9(23): </w:t>
      </w:r>
      <w:r w:rsidR="008563F9" w:rsidRPr="003945C7">
        <w:rPr>
          <w:rFonts w:ascii="Book Antiqua" w:eastAsia="Book Antiqua" w:hAnsi="Book Antiqua" w:cs="Book Antiqua"/>
          <w:color w:val="000000"/>
        </w:rPr>
        <w:t>6686-6697</w:t>
      </w:r>
      <w:r w:rsidR="00DF0518" w:rsidRPr="003945C7">
        <w:rPr>
          <w:rFonts w:ascii="Book Antiqua" w:eastAsia="Book Antiqua" w:hAnsi="Book Antiqua" w:cs="Book Antiqua"/>
          <w:color w:val="000000"/>
        </w:rPr>
        <w:t xml:space="preserve">  </w:t>
      </w:r>
    </w:p>
    <w:p w14:paraId="3B29C865" w14:textId="16298EC5" w:rsidR="008563F9" w:rsidRPr="003945C7" w:rsidRDefault="00DF0518" w:rsidP="006B639F">
      <w:pPr>
        <w:adjustRightInd w:val="0"/>
        <w:snapToGrid w:val="0"/>
        <w:spacing w:line="360" w:lineRule="auto"/>
        <w:jc w:val="both"/>
        <w:rPr>
          <w:rFonts w:ascii="Book Antiqua" w:eastAsia="Book Antiqua" w:hAnsi="Book Antiqua" w:cs="Book Antiqua"/>
          <w:color w:val="000000"/>
        </w:rPr>
      </w:pPr>
      <w:r w:rsidRPr="003945C7">
        <w:rPr>
          <w:rFonts w:ascii="Book Antiqua" w:eastAsia="Book Antiqua" w:hAnsi="Book Antiqua" w:cs="Book Antiqua"/>
          <w:color w:val="000000"/>
        </w:rPr>
        <w:t>URL: https://www.wjgnet.com/2307-8960/full/v9/i23/</w:t>
      </w:r>
      <w:r w:rsidR="008563F9" w:rsidRPr="003945C7">
        <w:rPr>
          <w:rFonts w:ascii="Book Antiqua" w:eastAsia="Book Antiqua" w:hAnsi="Book Antiqua" w:cs="Book Antiqua"/>
          <w:color w:val="000000"/>
        </w:rPr>
        <w:t>6686</w:t>
      </w:r>
      <w:r w:rsidRPr="003945C7">
        <w:rPr>
          <w:rFonts w:ascii="Book Antiqua" w:eastAsia="Book Antiqua" w:hAnsi="Book Antiqua" w:cs="Book Antiqua"/>
          <w:color w:val="000000"/>
        </w:rPr>
        <w:t xml:space="preserve">.htm  </w:t>
      </w:r>
    </w:p>
    <w:p w14:paraId="77FF54EF" w14:textId="61DCDC79" w:rsidR="00A77B3E" w:rsidRPr="003945C7" w:rsidRDefault="00DF0518" w:rsidP="006B639F">
      <w:pPr>
        <w:adjustRightInd w:val="0"/>
        <w:snapToGrid w:val="0"/>
        <w:spacing w:line="360" w:lineRule="auto"/>
        <w:jc w:val="both"/>
      </w:pPr>
      <w:r w:rsidRPr="003945C7">
        <w:rPr>
          <w:rFonts w:ascii="Book Antiqua" w:eastAsia="Book Antiqua" w:hAnsi="Book Antiqua" w:cs="Book Antiqua"/>
          <w:color w:val="000000"/>
        </w:rPr>
        <w:t>DOI: https://dx.doi.org/10.12998/wjcc.v9.i23.</w:t>
      </w:r>
      <w:r w:rsidR="008563F9" w:rsidRPr="003945C7">
        <w:rPr>
          <w:rFonts w:ascii="Book Antiqua" w:eastAsia="Book Antiqua" w:hAnsi="Book Antiqua" w:cs="Book Antiqua"/>
          <w:color w:val="000000"/>
        </w:rPr>
        <w:t>6686</w:t>
      </w:r>
    </w:p>
    <w:p w14:paraId="196A3EB3" w14:textId="77777777" w:rsidR="00A77B3E" w:rsidRPr="003945C7" w:rsidRDefault="00A77B3E" w:rsidP="001765D0">
      <w:pPr>
        <w:adjustRightInd w:val="0"/>
        <w:snapToGrid w:val="0"/>
        <w:spacing w:line="360" w:lineRule="auto"/>
        <w:jc w:val="both"/>
      </w:pPr>
    </w:p>
    <w:p w14:paraId="1BF425D5" w14:textId="77E07D92"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Core Tip: </w:t>
      </w:r>
      <w:r w:rsidRPr="003945C7">
        <w:rPr>
          <w:rFonts w:ascii="Book Antiqua" w:eastAsia="Book Antiqua" w:hAnsi="Book Antiqua" w:cs="Book Antiqua"/>
          <w:color w:val="000000"/>
        </w:rPr>
        <w:t xml:space="preserve">Environmental factors such as poor living conditions and rural area might result in an increased risk </w:t>
      </w:r>
      <w:r w:rsidR="00722A89" w:rsidRPr="003945C7">
        <w:rPr>
          <w:rFonts w:ascii="Book Antiqua" w:eastAsia="Book Antiqua" w:hAnsi="Book Antiqua" w:cs="Book Antiqua"/>
          <w:color w:val="000000"/>
        </w:rPr>
        <w:t xml:space="preserve">of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chronic gastritis in children. Serological and rapid urease tests could be used as reliable tests for the detection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innate immunity, our findings emphasized that variant TT genotype carriers of the TLR9 rs</w:t>
      </w:r>
      <w:r w:rsidR="00326574" w:rsidRPr="003945C7">
        <w:rPr>
          <w:rFonts w:ascii="Book Antiqua" w:eastAsia="Book Antiqua" w:hAnsi="Book Antiqua" w:cs="Book Antiqua"/>
          <w:color w:val="000000"/>
        </w:rPr>
        <w:t>3</w:t>
      </w:r>
      <w:r w:rsidRPr="003945C7">
        <w:rPr>
          <w:rFonts w:ascii="Book Antiqua" w:eastAsia="Book Antiqua" w:hAnsi="Book Antiqua" w:cs="Book Antiqua"/>
          <w:color w:val="000000"/>
        </w:rPr>
        <w:t xml:space="preserve">52140 gene polymorphism might </w:t>
      </w:r>
      <w:r w:rsidR="00722A89" w:rsidRPr="003945C7">
        <w:rPr>
          <w:rFonts w:ascii="Book Antiqua" w:eastAsia="Book Antiqua" w:hAnsi="Book Antiqua" w:cs="Book Antiqua"/>
          <w:color w:val="000000"/>
        </w:rPr>
        <w:t xml:space="preserve">have </w:t>
      </w:r>
      <w:r w:rsidRPr="003945C7">
        <w:rPr>
          <w:rFonts w:ascii="Book Antiqua" w:eastAsia="Book Antiqua" w:hAnsi="Book Antiqua" w:cs="Book Antiqua"/>
          <w:color w:val="000000"/>
        </w:rPr>
        <w:t>a more severe degree of inflammation.</w:t>
      </w:r>
    </w:p>
    <w:p w14:paraId="005C16D4" w14:textId="77777777" w:rsidR="00A77B3E" w:rsidRPr="003945C7" w:rsidRDefault="00A77B3E" w:rsidP="001765D0">
      <w:pPr>
        <w:adjustRightInd w:val="0"/>
        <w:snapToGrid w:val="0"/>
        <w:spacing w:line="360" w:lineRule="auto"/>
        <w:jc w:val="both"/>
      </w:pPr>
    </w:p>
    <w:p w14:paraId="67E46A3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INTRODUCTION</w:t>
      </w:r>
    </w:p>
    <w:p w14:paraId="40CB26A8" w14:textId="4F54994D" w:rsidR="00A77B3E" w:rsidRPr="003945C7" w:rsidRDefault="00B1068A" w:rsidP="001765D0">
      <w:pPr>
        <w:adjustRightInd w:val="0"/>
        <w:snapToGrid w:val="0"/>
        <w:spacing w:line="360" w:lineRule="auto"/>
        <w:jc w:val="both"/>
        <w:rPr>
          <w:rFonts w:ascii="Book Antiqua" w:eastAsia="Book Antiqua" w:hAnsi="Book Antiqua" w:cs="Book Antiqua"/>
          <w:color w:val="000000"/>
        </w:rPr>
      </w:pPr>
      <w:r w:rsidRPr="003945C7">
        <w:rPr>
          <w:rFonts w:ascii="Book Antiqua" w:eastAsia="Book Antiqua" w:hAnsi="Book Antiqua" w:cs="Book Antiqua"/>
          <w:color w:val="000000"/>
        </w:rPr>
        <w:t xml:space="preserve">It is a well-documented fact that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infection is </w:t>
      </w:r>
      <w:proofErr w:type="gramStart"/>
      <w:r w:rsidRPr="003945C7">
        <w:rPr>
          <w:rFonts w:ascii="Book Antiqua" w:eastAsia="Book Antiqua" w:hAnsi="Book Antiqua" w:cs="Book Antiqua"/>
          <w:color w:val="000000"/>
        </w:rPr>
        <w:t>most commonly acquired</w:t>
      </w:r>
      <w:proofErr w:type="gramEnd"/>
      <w:r w:rsidRPr="003945C7">
        <w:rPr>
          <w:rFonts w:ascii="Book Antiqua" w:eastAsia="Book Antiqua" w:hAnsi="Book Antiqua" w:cs="Book Antiqua"/>
          <w:color w:val="000000"/>
        </w:rPr>
        <w:t xml:space="preserve"> during early childhood and that age-related peculiarities are important for delineating </w:t>
      </w:r>
      <w:r w:rsidR="00722A89"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specific features of this infection in children, which are completely different t</w:t>
      </w:r>
      <w:r w:rsidR="00722A89" w:rsidRPr="003945C7">
        <w:rPr>
          <w:rFonts w:ascii="Book Antiqua" w:eastAsia="Book Antiqua" w:hAnsi="Book Antiqua" w:cs="Book Antiqua"/>
          <w:color w:val="000000"/>
        </w:rPr>
        <w:t>han</w:t>
      </w:r>
      <w:r w:rsidRPr="003945C7">
        <w:rPr>
          <w:rFonts w:ascii="Book Antiqua" w:eastAsia="Book Antiqua" w:hAnsi="Book Antiqua" w:cs="Book Antiqua"/>
          <w:color w:val="000000"/>
        </w:rPr>
        <w:t xml:space="preserve"> those encountered in adults. Recent epidemiological studies </w:t>
      </w:r>
      <w:r w:rsidR="00722A89" w:rsidRPr="003945C7">
        <w:rPr>
          <w:rFonts w:ascii="Book Antiqua" w:eastAsia="Book Antiqua" w:hAnsi="Book Antiqua" w:cs="Book Antiqua"/>
          <w:color w:val="000000"/>
        </w:rPr>
        <w:t xml:space="preserve">have </w:t>
      </w:r>
      <w:r w:rsidRPr="003945C7">
        <w:rPr>
          <w:rFonts w:ascii="Book Antiqua" w:eastAsia="Book Antiqua" w:hAnsi="Book Antiqua" w:cs="Book Antiqua"/>
          <w:color w:val="000000"/>
        </w:rPr>
        <w:t xml:space="preserve">proved that the trends are rapidly changing in terms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prevalence</w:t>
      </w:r>
      <w:r w:rsidR="00722A89"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indicating a decreasing pattern among children as reported in a study performed </w:t>
      </w:r>
      <w:r w:rsidR="00722A89" w:rsidRPr="003945C7">
        <w:rPr>
          <w:rFonts w:ascii="Book Antiqua" w:eastAsia="Book Antiqua" w:hAnsi="Book Antiqua" w:cs="Book Antiqua"/>
          <w:color w:val="000000"/>
        </w:rPr>
        <w:t>i</w:t>
      </w:r>
      <w:r w:rsidRPr="003945C7">
        <w:rPr>
          <w:rFonts w:ascii="Book Antiqua" w:eastAsia="Book Antiqua" w:hAnsi="Book Antiqua" w:cs="Book Antiqua"/>
          <w:color w:val="000000"/>
        </w:rPr>
        <w:t>n Chinese symptomatic children, which identified a decrease from 25.6% in 2005 to 12.8% in 2017</w:t>
      </w:r>
      <w:r w:rsidRPr="003945C7">
        <w:rPr>
          <w:rFonts w:ascii="Book Antiqua" w:eastAsia="Book Antiqua" w:hAnsi="Book Antiqua" w:cs="Book Antiqua"/>
          <w:color w:val="000000"/>
          <w:szCs w:val="20"/>
          <w:vertAlign w:val="superscript"/>
        </w:rPr>
        <w:t>[1]</w:t>
      </w:r>
      <w:r w:rsidRPr="003945C7">
        <w:rPr>
          <w:rFonts w:ascii="Book Antiqua" w:eastAsia="Book Antiqua" w:hAnsi="Book Antiqua" w:cs="Book Antiqua"/>
          <w:color w:val="000000"/>
        </w:rPr>
        <w:t xml:space="preserve">. Although abdominal pain, nausea, vomiting, anorexia, weight loss, or heartburn are commonly encountered </w:t>
      </w:r>
      <w:r w:rsidRPr="003945C7">
        <w:rPr>
          <w:rFonts w:ascii="Book Antiqua" w:eastAsia="Book Antiqua" w:hAnsi="Book Antiqua" w:cs="Book Antiqua"/>
          <w:color w:val="000000"/>
        </w:rPr>
        <w:lastRenderedPageBreak/>
        <w:t xml:space="preserve">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the clinical picture remains </w:t>
      </w:r>
      <w:proofErr w:type="gramStart"/>
      <w:r w:rsidRPr="003945C7">
        <w:rPr>
          <w:rFonts w:ascii="Book Antiqua" w:eastAsia="Book Antiqua" w:hAnsi="Book Antiqua" w:cs="Book Antiqua"/>
          <w:color w:val="000000"/>
        </w:rPr>
        <w:t>unspecific</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w:t>
      </w:r>
      <w:r w:rsidRPr="003945C7">
        <w:rPr>
          <w:rFonts w:ascii="Book Antiqua" w:eastAsia="Book Antiqua" w:hAnsi="Book Antiqua" w:cs="Book Antiqua"/>
          <w:color w:val="000000"/>
        </w:rPr>
        <w:t xml:space="preserve">. Recent studies </w:t>
      </w:r>
      <w:r w:rsidR="000C420A" w:rsidRPr="003945C7">
        <w:rPr>
          <w:rFonts w:ascii="Book Antiqua" w:eastAsia="Book Antiqua" w:hAnsi="Book Antiqua" w:cs="Book Antiqua"/>
          <w:color w:val="000000"/>
        </w:rPr>
        <w:t>have also noted</w:t>
      </w:r>
      <w:r w:rsidRPr="003945C7">
        <w:rPr>
          <w:rFonts w:ascii="Book Antiqua" w:eastAsia="Book Antiqua" w:hAnsi="Book Antiqua" w:cs="Book Antiqua"/>
          <w:color w:val="000000"/>
        </w:rPr>
        <w:t xml:space="preserve"> several extra-digestive manifestations such as thrombocytopenia, anemia, eosinophilic esophagitis, or otitis media that might be related to the presence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 </w:t>
      </w:r>
      <w:proofErr w:type="gramStart"/>
      <w:r w:rsidRPr="003945C7">
        <w:rPr>
          <w:rFonts w:ascii="Book Antiqua" w:eastAsia="Book Antiqua" w:hAnsi="Book Antiqua" w:cs="Book Antiqua"/>
          <w:color w:val="000000"/>
        </w:rPr>
        <w:t>children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3–5]</w:t>
      </w:r>
      <w:r w:rsidRPr="003945C7">
        <w:rPr>
          <w:rFonts w:ascii="Book Antiqua" w:eastAsia="Book Antiqua" w:hAnsi="Book Antiqua" w:cs="Book Antiqua"/>
          <w:color w:val="000000"/>
        </w:rPr>
        <w:t xml:space="preserve">. Nevertheless, </w:t>
      </w:r>
      <w:proofErr w:type="gramStart"/>
      <w:r w:rsidRPr="003945C7">
        <w:rPr>
          <w:rFonts w:ascii="Book Antiqua" w:eastAsia="Book Antiqua" w:hAnsi="Book Antiqua" w:cs="Book Antiqua"/>
          <w:color w:val="000000"/>
        </w:rPr>
        <w:t>taking into account</w:t>
      </w:r>
      <w:proofErr w:type="gramEnd"/>
      <w:r w:rsidRPr="003945C7">
        <w:rPr>
          <w:rFonts w:ascii="Book Antiqua" w:eastAsia="Book Antiqua" w:hAnsi="Book Antiqua" w:cs="Book Antiqua"/>
          <w:color w:val="000000"/>
        </w:rPr>
        <w:t xml:space="preserve"> the difficulties related to performing endoscopic studies in children and therefore the scarcity of information in this age group, a precise cause-effect relationship between these manifestations and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r w:rsidR="000C420A" w:rsidRPr="003945C7">
        <w:rPr>
          <w:rFonts w:ascii="Book Antiqua" w:eastAsia="Book Antiqua" w:hAnsi="Book Antiqua" w:cs="Book Antiqua"/>
          <w:color w:val="000000"/>
        </w:rPr>
        <w:t>has been difficult to establish</w:t>
      </w:r>
      <w:r w:rsidRPr="003945C7">
        <w:rPr>
          <w:rFonts w:ascii="Book Antiqua" w:eastAsia="Book Antiqua" w:hAnsi="Book Antiqua" w:cs="Book Antiqua"/>
          <w:color w:val="000000"/>
        </w:rPr>
        <w:t xml:space="preserve">. Multiple invasive and non-invasive diagnostic tests are currently available for detecting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children, but the gold</w:t>
      </w:r>
      <w:r w:rsidR="00513975"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standard remains tissue culture or concordant-positive histopatholog</w:t>
      </w:r>
      <w:r w:rsidR="00513975" w:rsidRPr="003945C7">
        <w:rPr>
          <w:rFonts w:ascii="Book Antiqua" w:eastAsia="Book Antiqua" w:hAnsi="Book Antiqua" w:cs="Book Antiqua"/>
          <w:color w:val="000000"/>
        </w:rPr>
        <w:t>y test results</w:t>
      </w:r>
      <w:r w:rsidRPr="003945C7">
        <w:rPr>
          <w:rFonts w:ascii="Book Antiqua" w:eastAsia="Book Antiqua" w:hAnsi="Book Antiqua" w:cs="Book Antiqua"/>
          <w:color w:val="000000"/>
        </w:rPr>
        <w:t xml:space="preserve"> and the rapid urease </w:t>
      </w:r>
      <w:proofErr w:type="gramStart"/>
      <w:r w:rsidRPr="003945C7">
        <w:rPr>
          <w:rFonts w:ascii="Book Antiqua" w:eastAsia="Book Antiqua" w:hAnsi="Book Antiqua" w:cs="Book Antiqua"/>
          <w:color w:val="000000"/>
        </w:rPr>
        <w:t>test</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6]</w:t>
      </w:r>
      <w:r w:rsidRPr="003945C7">
        <w:rPr>
          <w:rFonts w:ascii="Book Antiqua" w:eastAsia="Book Antiqua" w:hAnsi="Book Antiqua" w:cs="Book Antiqua"/>
          <w:color w:val="000000"/>
        </w:rPr>
        <w:t xml:space="preserve">. </w:t>
      </w:r>
      <w:r w:rsidR="00323F2C" w:rsidRPr="003945C7">
        <w:rPr>
          <w:rFonts w:ascii="Book Antiqua" w:eastAsia="Book Antiqua" w:hAnsi="Book Antiqua" w:cs="Book Antiqua"/>
          <w:color w:val="000000"/>
        </w:rPr>
        <w:t xml:space="preserve">Although </w:t>
      </w:r>
      <w:r w:rsidRPr="003945C7">
        <w:rPr>
          <w:rFonts w:ascii="Book Antiqua" w:eastAsia="Book Antiqua" w:hAnsi="Book Antiqua" w:cs="Book Antiqua"/>
          <w:color w:val="000000"/>
        </w:rPr>
        <w:t xml:space="preserve">new and improved non-invasive tests such as stool antigen </w:t>
      </w:r>
      <w:r w:rsidR="00323F2C" w:rsidRPr="003945C7">
        <w:rPr>
          <w:rFonts w:ascii="Book Antiqua" w:eastAsia="Book Antiqua" w:hAnsi="Book Antiqua" w:cs="Book Antiqua"/>
          <w:color w:val="000000"/>
        </w:rPr>
        <w:t xml:space="preserve">have </w:t>
      </w:r>
      <w:r w:rsidRPr="003945C7">
        <w:rPr>
          <w:rFonts w:ascii="Book Antiqua" w:eastAsia="Book Antiqua" w:hAnsi="Book Antiqua" w:cs="Book Antiqua"/>
          <w:color w:val="000000"/>
        </w:rPr>
        <w:t xml:space="preserve">relatively good sensitivity and specificity in detecting this infection in children, current recommendations do not sustain the use of these tests for the diagnosis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pediatric </w:t>
      </w:r>
      <w:proofErr w:type="gramStart"/>
      <w:r w:rsidRPr="003945C7">
        <w:rPr>
          <w:rFonts w:ascii="Book Antiqua" w:eastAsia="Book Antiqua" w:hAnsi="Book Antiqua" w:cs="Book Antiqua"/>
          <w:color w:val="000000"/>
        </w:rPr>
        <w:t>patients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7]</w:t>
      </w:r>
      <w:r w:rsidRPr="003945C7">
        <w:rPr>
          <w:rFonts w:ascii="Book Antiqua" w:eastAsia="Book Antiqua" w:hAnsi="Book Antiqua" w:cs="Book Antiqua"/>
          <w:color w:val="000000"/>
        </w:rPr>
        <w:t xml:space="preserve">. </w:t>
      </w:r>
      <w:r w:rsidR="007B6388" w:rsidRPr="003945C7">
        <w:rPr>
          <w:rFonts w:ascii="Book Antiqua" w:eastAsia="Book Antiqua" w:hAnsi="Book Antiqua" w:cs="Book Antiqua"/>
          <w:color w:val="000000"/>
        </w:rPr>
        <w:t>European Society for Pediatric Gastroenterology Hepatology and Nutrition</w:t>
      </w:r>
      <w:r w:rsidRPr="003945C7">
        <w:rPr>
          <w:rFonts w:ascii="Book Antiqua" w:eastAsia="Book Antiqua" w:hAnsi="Book Antiqua" w:cs="Book Antiqua"/>
          <w:color w:val="000000"/>
        </w:rPr>
        <w:t>/</w:t>
      </w:r>
      <w:r w:rsidR="007B6388" w:rsidRPr="003945C7">
        <w:rPr>
          <w:rFonts w:ascii="Book Antiqua" w:eastAsia="Book Antiqua" w:hAnsi="Book Antiqua" w:cs="Book Antiqua"/>
          <w:color w:val="000000"/>
        </w:rPr>
        <w:t xml:space="preserve">North American Society For Pediatric Gastroenterology, Hepatology &amp; Nutrition </w:t>
      </w:r>
      <w:r w:rsidRPr="003945C7">
        <w:rPr>
          <w:rFonts w:ascii="Book Antiqua" w:eastAsia="Book Antiqua" w:hAnsi="Book Antiqua" w:cs="Book Antiqua"/>
          <w:color w:val="000000"/>
        </w:rPr>
        <w:t xml:space="preserve">guidelines recommend a 2 </w:t>
      </w:r>
      <w:proofErr w:type="spellStart"/>
      <w:r w:rsidRPr="003945C7">
        <w:rPr>
          <w:rFonts w:ascii="Book Antiqua" w:eastAsia="Book Antiqua" w:hAnsi="Book Antiqua" w:cs="Book Antiqua"/>
          <w:color w:val="000000"/>
        </w:rPr>
        <w:t>wk</w:t>
      </w:r>
      <w:proofErr w:type="spellEnd"/>
      <w:r w:rsidRPr="003945C7">
        <w:rPr>
          <w:rFonts w:ascii="Book Antiqua" w:eastAsia="Book Antiqua" w:hAnsi="Book Antiqua" w:cs="Book Antiqua"/>
          <w:color w:val="000000"/>
        </w:rPr>
        <w:t xml:space="preserve"> regimen consisting of an association between a proton pump inhibitor and two antibiotics at high doses for the proper eradication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w:t>
      </w:r>
      <w:proofErr w:type="gramStart"/>
      <w:r w:rsidRPr="003945C7">
        <w:rPr>
          <w:rFonts w:ascii="Book Antiqua" w:eastAsia="Book Antiqua" w:hAnsi="Book Antiqua" w:cs="Book Antiqua"/>
          <w:color w:val="000000"/>
        </w:rPr>
        <w:t>children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7]</w:t>
      </w:r>
      <w:r w:rsidRPr="003945C7">
        <w:rPr>
          <w:rFonts w:ascii="Book Antiqua" w:eastAsia="Book Antiqua" w:hAnsi="Book Antiqua" w:cs="Book Antiqua"/>
          <w:color w:val="000000"/>
        </w:rPr>
        <w:t xml:space="preserve">. Antimicrobial resistance is the main factor that influences the treatment success, which varies depending on the geographic area, but inadequate dose/duration, poor compliance, bacterial virulence factors, improper penetration of antibiotics at the level of gastric mucosa, antibiotic inactivation due to low gastric pH or fast metabolization of certain proton pump inhibitors might also be responsible for therapeutic </w:t>
      </w:r>
      <w:proofErr w:type="gramStart"/>
      <w:r w:rsidRPr="003945C7">
        <w:rPr>
          <w:rFonts w:ascii="Book Antiqua" w:eastAsia="Book Antiqua" w:hAnsi="Book Antiqua" w:cs="Book Antiqua"/>
          <w:color w:val="000000"/>
        </w:rPr>
        <w:t>failure</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8]</w:t>
      </w:r>
      <w:r w:rsidRPr="003945C7">
        <w:rPr>
          <w:rFonts w:ascii="Book Antiqua" w:eastAsia="Book Antiqua" w:hAnsi="Book Antiqua" w:cs="Book Antiqua"/>
          <w:color w:val="000000"/>
        </w:rPr>
        <w:t>.</w:t>
      </w:r>
    </w:p>
    <w:p w14:paraId="4C96D41F" w14:textId="2F4EF478" w:rsidR="00A77B3E" w:rsidRPr="003945C7" w:rsidRDefault="00B1068A" w:rsidP="007B6388">
      <w:pPr>
        <w:adjustRightInd w:val="0"/>
        <w:snapToGrid w:val="0"/>
        <w:spacing w:line="360" w:lineRule="auto"/>
        <w:ind w:firstLine="270"/>
        <w:jc w:val="both"/>
      </w:pPr>
      <w:r w:rsidRPr="003945C7">
        <w:rPr>
          <w:rFonts w:ascii="Book Antiqua" w:eastAsia="Book Antiqua" w:hAnsi="Book Antiqua" w:cs="Book Antiqua"/>
          <w:color w:val="000000"/>
        </w:rPr>
        <w:t xml:space="preserve">The persistence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into adulthood might carry </w:t>
      </w:r>
      <w:r w:rsidR="003C56DB" w:rsidRPr="003945C7">
        <w:rPr>
          <w:rFonts w:ascii="Book Antiqua" w:eastAsia="Book Antiqua" w:hAnsi="Book Antiqua" w:cs="Book Antiqua"/>
          <w:color w:val="000000"/>
        </w:rPr>
        <w:t xml:space="preserve">a </w:t>
      </w:r>
      <w:r w:rsidRPr="003945C7">
        <w:rPr>
          <w:rFonts w:ascii="Book Antiqua" w:eastAsia="Book Antiqua" w:hAnsi="Book Antiqua" w:cs="Book Antiqua"/>
          <w:color w:val="000000"/>
        </w:rPr>
        <w:t xml:space="preserve">life-threatening risk since the World Health Organization considered this bacterium as a class I </w:t>
      </w:r>
      <w:proofErr w:type="gramStart"/>
      <w:r w:rsidRPr="003945C7">
        <w:rPr>
          <w:rFonts w:ascii="Book Antiqua" w:eastAsia="Book Antiqua" w:hAnsi="Book Antiqua" w:cs="Book Antiqua"/>
          <w:color w:val="000000"/>
        </w:rPr>
        <w:t>carcinogen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9]</w:t>
      </w:r>
      <w:r w:rsidRPr="003945C7">
        <w:rPr>
          <w:rFonts w:ascii="Book Antiqua" w:eastAsia="Book Antiqua" w:hAnsi="Book Antiqua" w:cs="Book Antiqua"/>
          <w:color w:val="000000"/>
        </w:rPr>
        <w:t xml:space="preserve">.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was prove</w:t>
      </w:r>
      <w:r w:rsidR="003C56DB" w:rsidRPr="003945C7">
        <w:rPr>
          <w:rFonts w:ascii="Book Antiqua" w:eastAsia="Book Antiqua" w:hAnsi="Book Antiqua" w:cs="Book Antiqua"/>
          <w:color w:val="000000"/>
        </w:rPr>
        <w:t>n</w:t>
      </w:r>
      <w:r w:rsidRPr="003945C7">
        <w:rPr>
          <w:rFonts w:ascii="Book Antiqua" w:eastAsia="Book Antiqua" w:hAnsi="Book Antiqua" w:cs="Book Antiqua"/>
          <w:color w:val="000000"/>
        </w:rPr>
        <w:t xml:space="preserve"> to bind gastric epithelial cells activating the host innate immune system </w:t>
      </w:r>
      <w:r w:rsidRPr="003945C7">
        <w:rPr>
          <w:rFonts w:ascii="Book Antiqua" w:eastAsia="Book Antiqua" w:hAnsi="Book Antiqua" w:cs="Book Antiqua"/>
          <w:i/>
          <w:iCs/>
          <w:color w:val="000000"/>
        </w:rPr>
        <w:t>via</w:t>
      </w:r>
      <w:r w:rsidRPr="003945C7">
        <w:rPr>
          <w:rFonts w:ascii="Book Antiqua" w:eastAsia="Book Antiqua" w:hAnsi="Book Antiqua" w:cs="Book Antiqua"/>
          <w:color w:val="000000"/>
        </w:rPr>
        <w:t xml:space="preserve"> toll-like receptors (TLRs), which subsequently trigger the secretion of pro- and anti-inflammatory cytokines</w:t>
      </w:r>
      <w:r w:rsidR="003C56DB"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resulting in gastric atrophy, hypochlorhydria, and a high risk </w:t>
      </w:r>
      <w:r w:rsidR="003C56DB" w:rsidRPr="003945C7">
        <w:rPr>
          <w:rFonts w:ascii="Book Antiqua" w:eastAsia="Book Antiqua" w:hAnsi="Book Antiqua" w:cs="Book Antiqua"/>
          <w:color w:val="000000"/>
        </w:rPr>
        <w:t xml:space="preserve">of </w:t>
      </w:r>
      <w:proofErr w:type="gramStart"/>
      <w:r w:rsidRPr="003945C7">
        <w:rPr>
          <w:rFonts w:ascii="Book Antiqua" w:eastAsia="Book Antiqua" w:hAnsi="Book Antiqua" w:cs="Book Antiqua"/>
          <w:color w:val="000000"/>
        </w:rPr>
        <w:t>carcinogenesis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10]</w:t>
      </w:r>
      <w:r w:rsidRPr="003945C7">
        <w:rPr>
          <w:rFonts w:ascii="Book Antiqua" w:eastAsia="Book Antiqua" w:hAnsi="Book Antiqua" w:cs="Book Antiqua"/>
          <w:color w:val="000000"/>
        </w:rPr>
        <w:t xml:space="preserve">. </w:t>
      </w:r>
      <w:r w:rsidR="003C56DB" w:rsidRPr="003945C7">
        <w:rPr>
          <w:rFonts w:ascii="Book Antiqua" w:eastAsia="Book Antiqua" w:hAnsi="Book Antiqua" w:cs="Book Antiqua"/>
          <w:color w:val="000000"/>
        </w:rPr>
        <w:t>G</w:t>
      </w:r>
      <w:r w:rsidRPr="003945C7">
        <w:rPr>
          <w:rFonts w:ascii="Book Antiqua" w:eastAsia="Book Antiqua" w:hAnsi="Book Antiqua" w:cs="Book Antiqua"/>
          <w:color w:val="000000"/>
        </w:rPr>
        <w:t xml:space="preserve">astric cancer is the fourth most common type of neoplasia and the second leading cause of death due to cancer among </w:t>
      </w:r>
      <w:proofErr w:type="gramStart"/>
      <w:r w:rsidRPr="003945C7">
        <w:rPr>
          <w:rFonts w:ascii="Book Antiqua" w:eastAsia="Book Antiqua" w:hAnsi="Book Antiqua" w:cs="Book Antiqua"/>
          <w:color w:val="000000"/>
        </w:rPr>
        <w:t>adults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11]</w:t>
      </w:r>
      <w:r w:rsidRPr="003945C7">
        <w:rPr>
          <w:rFonts w:ascii="Book Antiqua" w:eastAsia="Book Antiqua" w:hAnsi="Book Antiqua" w:cs="Book Antiqua"/>
          <w:color w:val="000000"/>
        </w:rPr>
        <w:t xml:space="preserve">. </w:t>
      </w:r>
      <w:r w:rsidR="003C56DB" w:rsidRPr="003945C7">
        <w:rPr>
          <w:rFonts w:ascii="Book Antiqua" w:eastAsia="Book Antiqua" w:hAnsi="Book Antiqua" w:cs="Book Antiqua"/>
          <w:color w:val="000000"/>
        </w:rPr>
        <w:t xml:space="preserve">Because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lastRenderedPageBreak/>
        <w:t xml:space="preserve">infection occurs most frequently during early childhood, identifying the risk factors for this infection in pediatric populations might be the cornerstone for the development of further effective prevention strategies that </w:t>
      </w:r>
      <w:r w:rsidR="003C56DB" w:rsidRPr="003945C7">
        <w:rPr>
          <w:rFonts w:ascii="Book Antiqua" w:eastAsia="Book Antiqua" w:hAnsi="Book Antiqua" w:cs="Book Antiqua"/>
          <w:color w:val="000000"/>
        </w:rPr>
        <w:t xml:space="preserve">will </w:t>
      </w:r>
      <w:r w:rsidRPr="003945C7">
        <w:rPr>
          <w:rFonts w:ascii="Book Antiqua" w:eastAsia="Book Antiqua" w:hAnsi="Book Antiqua" w:cs="Book Antiqua"/>
          <w:color w:val="000000"/>
        </w:rPr>
        <w:t xml:space="preserve">result in a decrease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-related gastric cancer during adulthood. As already mentioned, innate immunity plays an essential role in the eradication of multiple microorganisms by stimulating the adaptive immunity </w:t>
      </w:r>
      <w:r w:rsidRPr="003945C7">
        <w:rPr>
          <w:rFonts w:ascii="Book Antiqua" w:eastAsia="Book Antiqua" w:hAnsi="Book Antiqua" w:cs="Book Antiqua"/>
          <w:i/>
          <w:iCs/>
          <w:color w:val="000000"/>
        </w:rPr>
        <w:t>via</w:t>
      </w:r>
      <w:r w:rsidRPr="003945C7">
        <w:rPr>
          <w:rFonts w:ascii="Book Antiqua" w:eastAsia="Book Antiqua" w:hAnsi="Book Antiqua" w:cs="Book Antiqua"/>
          <w:color w:val="000000"/>
        </w:rPr>
        <w:t xml:space="preserve"> TLR activation and subsequent induction of inflammatory cytokines, chemokines, costimulatory and antigen-presenting </w:t>
      </w:r>
      <w:proofErr w:type="gramStart"/>
      <w:r w:rsidRPr="003945C7">
        <w:rPr>
          <w:rFonts w:ascii="Book Antiqua" w:eastAsia="Book Antiqua" w:hAnsi="Book Antiqua" w:cs="Book Antiqua"/>
          <w:color w:val="000000"/>
        </w:rPr>
        <w:t>molecules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12]</w:t>
      </w:r>
      <w:r w:rsidRPr="003945C7">
        <w:rPr>
          <w:rFonts w:ascii="Book Antiqua" w:eastAsia="Book Antiqua" w:hAnsi="Book Antiqua" w:cs="Book Antiqua"/>
          <w:color w:val="000000"/>
        </w:rPr>
        <w:t xml:space="preserve">. Multiple TLRs </w:t>
      </w:r>
      <w:r w:rsidR="00A925B9" w:rsidRPr="003945C7">
        <w:rPr>
          <w:rFonts w:ascii="Book Antiqua" w:eastAsia="Book Antiqua" w:hAnsi="Book Antiqua" w:cs="Book Antiqua"/>
          <w:color w:val="000000"/>
        </w:rPr>
        <w:t xml:space="preserve">have been </w:t>
      </w:r>
      <w:r w:rsidRPr="003945C7">
        <w:rPr>
          <w:rFonts w:ascii="Book Antiqua" w:eastAsia="Book Antiqua" w:hAnsi="Book Antiqua" w:cs="Book Antiqua"/>
          <w:color w:val="000000"/>
        </w:rPr>
        <w:t>identified to date</w:t>
      </w:r>
      <w:r w:rsidR="00A925B9"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they express specific receptors for the recognition of different bacterial components such as lipids, lipoproteins, proteins, or microbial nucleic </w:t>
      </w:r>
      <w:proofErr w:type="gramStart"/>
      <w:r w:rsidRPr="003945C7">
        <w:rPr>
          <w:rFonts w:ascii="Book Antiqua" w:eastAsia="Book Antiqua" w:hAnsi="Book Antiqua" w:cs="Book Antiqua"/>
          <w:color w:val="000000"/>
        </w:rPr>
        <w:t>acids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13]</w:t>
      </w:r>
      <w:r w:rsidRPr="003945C7">
        <w:rPr>
          <w:rFonts w:ascii="Book Antiqua" w:eastAsia="Book Antiqua" w:hAnsi="Book Antiqua" w:cs="Book Antiqua"/>
          <w:color w:val="000000"/>
        </w:rPr>
        <w:t>.</w:t>
      </w:r>
    </w:p>
    <w:p w14:paraId="515481FA" w14:textId="5F101C16" w:rsidR="00A77B3E" w:rsidRPr="003945C7" w:rsidRDefault="00B1068A" w:rsidP="007B6388">
      <w:pPr>
        <w:adjustRightInd w:val="0"/>
        <w:snapToGrid w:val="0"/>
        <w:spacing w:line="360" w:lineRule="auto"/>
        <w:ind w:firstLine="270"/>
        <w:jc w:val="both"/>
      </w:pPr>
      <w:r w:rsidRPr="003945C7">
        <w:rPr>
          <w:rFonts w:ascii="Book Antiqua" w:eastAsia="Book Antiqua" w:hAnsi="Book Antiqua" w:cs="Book Antiqua"/>
          <w:color w:val="000000"/>
        </w:rPr>
        <w:t>TLR9 recognize</w:t>
      </w:r>
      <w:r w:rsidR="00A925B9"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unmethylated CpG oligonucleotides, an important component of bacterial </w:t>
      </w:r>
      <w:proofErr w:type="gramStart"/>
      <w:r w:rsidRPr="003945C7">
        <w:rPr>
          <w:rFonts w:ascii="Book Antiqua" w:eastAsia="Book Antiqua" w:hAnsi="Book Antiqua" w:cs="Book Antiqua"/>
          <w:color w:val="000000"/>
        </w:rPr>
        <w:t>DNA</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14]</w:t>
      </w:r>
      <w:r w:rsidRPr="003945C7">
        <w:rPr>
          <w:rFonts w:ascii="Book Antiqua" w:eastAsia="Book Antiqua" w:hAnsi="Book Antiqua" w:cs="Book Antiqua"/>
          <w:color w:val="000000"/>
        </w:rPr>
        <w:t xml:space="preserve">. These oligonucleotides are believed to be transferred to the intracellular domain </w:t>
      </w:r>
      <w:r w:rsidRPr="003945C7">
        <w:rPr>
          <w:rFonts w:ascii="Book Antiqua" w:eastAsia="Book Antiqua" w:hAnsi="Book Antiqua" w:cs="Book Antiqua"/>
          <w:i/>
          <w:iCs/>
          <w:color w:val="000000"/>
        </w:rPr>
        <w:t>via</w:t>
      </w:r>
      <w:r w:rsidRPr="003945C7">
        <w:rPr>
          <w:rFonts w:ascii="Book Antiqua" w:eastAsia="Book Antiqua" w:hAnsi="Book Antiqua" w:cs="Book Antiqua"/>
          <w:color w:val="000000"/>
        </w:rPr>
        <w:t xml:space="preserve"> non-specific endocytosis since TLR9 itself is located in this </w:t>
      </w:r>
      <w:proofErr w:type="gramStart"/>
      <w:r w:rsidRPr="003945C7">
        <w:rPr>
          <w:rFonts w:ascii="Book Antiqua" w:eastAsia="Book Antiqua" w:hAnsi="Book Antiqua" w:cs="Book Antiqua"/>
          <w:color w:val="000000"/>
        </w:rPr>
        <w:t>compartment</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15]</w:t>
      </w:r>
      <w:r w:rsidRPr="003945C7">
        <w:rPr>
          <w:rFonts w:ascii="Book Antiqua" w:eastAsia="Book Antiqua" w:hAnsi="Book Antiqua" w:cs="Book Antiqua"/>
          <w:color w:val="000000"/>
        </w:rPr>
        <w:t xml:space="preserve">. The complex pathway of TLR9 activation </w:t>
      </w:r>
      <w:r w:rsidR="002617EF" w:rsidRPr="003945C7">
        <w:rPr>
          <w:rFonts w:ascii="Book Antiqua" w:eastAsia="Book Antiqua" w:hAnsi="Book Antiqua" w:cs="Book Antiqua"/>
          <w:color w:val="000000"/>
        </w:rPr>
        <w:t>is</w:t>
      </w:r>
      <w:r w:rsidRPr="003945C7">
        <w:rPr>
          <w:rFonts w:ascii="Book Antiqua" w:eastAsia="Book Antiqua" w:hAnsi="Book Antiqua" w:cs="Book Antiqua"/>
          <w:color w:val="000000"/>
        </w:rPr>
        <w:t xml:space="preserve"> associated with both infectious diseases and a wide</w:t>
      </w:r>
      <w:r w:rsidR="002617EF"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spectrum of </w:t>
      </w:r>
      <w:proofErr w:type="gramStart"/>
      <w:r w:rsidRPr="003945C7">
        <w:rPr>
          <w:rFonts w:ascii="Book Antiqua" w:eastAsia="Book Antiqua" w:hAnsi="Book Antiqua" w:cs="Book Antiqua"/>
          <w:color w:val="000000"/>
        </w:rPr>
        <w:t>cancers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16]</w:t>
      </w:r>
      <w:r w:rsidRPr="003945C7">
        <w:rPr>
          <w:rFonts w:ascii="Book Antiqua" w:eastAsia="Book Antiqua" w:hAnsi="Book Antiqua" w:cs="Book Antiqua"/>
          <w:color w:val="000000"/>
        </w:rPr>
        <w:t>.</w:t>
      </w:r>
    </w:p>
    <w:p w14:paraId="320B300F" w14:textId="77777777" w:rsidR="00A77B3E" w:rsidRPr="003945C7" w:rsidRDefault="00B1068A" w:rsidP="007B6388">
      <w:pPr>
        <w:adjustRightInd w:val="0"/>
        <w:snapToGrid w:val="0"/>
        <w:spacing w:line="360" w:lineRule="auto"/>
        <w:ind w:firstLine="270"/>
        <w:jc w:val="both"/>
      </w:pPr>
      <w:r w:rsidRPr="003945C7">
        <w:rPr>
          <w:rFonts w:ascii="Book Antiqua" w:eastAsia="Book Antiqua" w:hAnsi="Book Antiqua" w:cs="Book Antiqua"/>
          <w:color w:val="000000"/>
        </w:rPr>
        <w:t>The objectives</w:t>
      </w:r>
      <w:r w:rsidRPr="003945C7">
        <w:rPr>
          <w:rFonts w:ascii="Book Antiqua" w:eastAsia="Book Antiqua" w:hAnsi="Book Antiqua" w:cs="Book Antiqua"/>
          <w:b/>
          <w:bCs/>
          <w:i/>
          <w:iCs/>
          <w:color w:val="000000"/>
        </w:rPr>
        <w:t xml:space="preserve"> </w:t>
      </w:r>
      <w:r w:rsidRPr="003945C7">
        <w:rPr>
          <w:rFonts w:ascii="Book Antiqua" w:eastAsia="Book Antiqua" w:hAnsi="Book Antiqua" w:cs="Book Antiqua"/>
          <w:color w:val="000000"/>
        </w:rPr>
        <w:t xml:space="preserve">of this study were to identify the risk factors associated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and to establish the role of TLR9 rs352140 in suppressing or promoting the inflammation related to this infection in children.</w:t>
      </w:r>
    </w:p>
    <w:p w14:paraId="723F79ED" w14:textId="77777777" w:rsidR="00A77B3E" w:rsidRPr="003945C7" w:rsidRDefault="00A77B3E" w:rsidP="001765D0">
      <w:pPr>
        <w:adjustRightInd w:val="0"/>
        <w:snapToGrid w:val="0"/>
        <w:spacing w:line="360" w:lineRule="auto"/>
        <w:ind w:firstLine="480"/>
        <w:jc w:val="both"/>
      </w:pPr>
    </w:p>
    <w:p w14:paraId="0835681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MATERIALS AND METHODS</w:t>
      </w:r>
    </w:p>
    <w:p w14:paraId="03E62E78"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i/>
          <w:iCs/>
          <w:color w:val="000000"/>
        </w:rPr>
        <w:t>Study sample</w:t>
      </w:r>
    </w:p>
    <w:p w14:paraId="3091605A" w14:textId="3ADE08C0"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We performed a cross-sectional prospective study on 183 children admitted to the Pediatrics Clinic 1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Mureş</w:t>
      </w:r>
      <w:proofErr w:type="spellEnd"/>
      <w:r w:rsidRPr="003945C7">
        <w:rPr>
          <w:rFonts w:ascii="Book Antiqua" w:eastAsia="Book Antiqua" w:hAnsi="Book Antiqua" w:cs="Book Antiqua"/>
          <w:color w:val="000000"/>
        </w:rPr>
        <w:t xml:space="preserve">, Romania between March 2016 and July 2020. </w:t>
      </w:r>
      <w:r w:rsidR="00193FD3" w:rsidRPr="003945C7">
        <w:rPr>
          <w:rFonts w:ascii="Book Antiqua" w:eastAsia="Book Antiqua" w:hAnsi="Book Antiqua" w:cs="Book Antiqua"/>
          <w:color w:val="000000"/>
        </w:rPr>
        <w:t xml:space="preserve">The children </w:t>
      </w:r>
      <w:r w:rsidRPr="003945C7">
        <w:rPr>
          <w:rFonts w:ascii="Book Antiqua" w:eastAsia="Book Antiqua" w:hAnsi="Book Antiqua" w:cs="Book Antiqua"/>
          <w:color w:val="000000"/>
        </w:rPr>
        <w:t xml:space="preserve">included in </w:t>
      </w:r>
      <w:r w:rsidR="00193FD3"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study </w:t>
      </w:r>
      <w:r w:rsidR="00193FD3" w:rsidRPr="003945C7">
        <w:rPr>
          <w:rFonts w:ascii="Book Antiqua" w:eastAsia="Book Antiqua" w:hAnsi="Book Antiqua" w:cs="Book Antiqua"/>
          <w:color w:val="000000"/>
        </w:rPr>
        <w:t>had</w:t>
      </w:r>
      <w:r w:rsidRPr="003945C7">
        <w:rPr>
          <w:rFonts w:ascii="Book Antiqua" w:eastAsia="Book Antiqua" w:hAnsi="Book Antiqua" w:cs="Book Antiqua"/>
          <w:color w:val="000000"/>
        </w:rPr>
        <w:t xml:space="preserve"> dyspeptic symptoms (</w:t>
      </w:r>
      <w:r w:rsidRPr="003945C7">
        <w:rPr>
          <w:rFonts w:ascii="Book Antiqua" w:eastAsia="Book Antiqua" w:hAnsi="Book Antiqua" w:cs="Book Antiqua"/>
          <w:i/>
          <w:iCs/>
          <w:color w:val="000000"/>
        </w:rPr>
        <w:t>e.g.</w:t>
      </w:r>
      <w:r w:rsidRPr="003945C7">
        <w:rPr>
          <w:rFonts w:ascii="Book Antiqua" w:eastAsia="Book Antiqua" w:hAnsi="Book Antiqua" w:cs="Book Antiqua"/>
          <w:color w:val="000000"/>
        </w:rPr>
        <w:t xml:space="preserve">, abdominal and/or epigastric pain, nausea, vomiting, heartburn) suggesting gastritis, </w:t>
      </w:r>
      <w:r w:rsidR="00CE3F25" w:rsidRPr="003945C7">
        <w:rPr>
          <w:rFonts w:ascii="Book Antiqua" w:eastAsia="Book Antiqua" w:hAnsi="Book Antiqua" w:cs="Book Antiqua"/>
          <w:color w:val="000000"/>
        </w:rPr>
        <w:t>were</w:t>
      </w:r>
      <w:r w:rsidRPr="003945C7">
        <w:rPr>
          <w:rFonts w:ascii="Book Antiqua" w:eastAsia="Book Antiqua" w:hAnsi="Book Antiqua" w:cs="Book Antiqua"/>
          <w:color w:val="000000"/>
        </w:rPr>
        <w:t xml:space="preserve"> between 1 and 18 years</w:t>
      </w:r>
      <w:r w:rsidR="00CE3F25" w:rsidRPr="003945C7">
        <w:rPr>
          <w:rFonts w:ascii="Book Antiqua" w:eastAsia="Book Antiqua" w:hAnsi="Book Antiqua" w:cs="Book Antiqua"/>
          <w:color w:val="000000"/>
        </w:rPr>
        <w:t xml:space="preserve"> of age</w:t>
      </w:r>
      <w:r w:rsidRPr="003945C7">
        <w:rPr>
          <w:rFonts w:ascii="Book Antiqua" w:eastAsia="Book Antiqua" w:hAnsi="Book Antiqua" w:cs="Book Antiqua"/>
          <w:color w:val="000000"/>
        </w:rPr>
        <w:t xml:space="preserve">, </w:t>
      </w:r>
      <w:r w:rsidR="00503654" w:rsidRPr="003945C7">
        <w:rPr>
          <w:rFonts w:ascii="Book Antiqua" w:eastAsia="Book Antiqua" w:hAnsi="Book Antiqua" w:cs="Book Antiqua"/>
          <w:color w:val="000000"/>
        </w:rPr>
        <w:t>and did not have a</w:t>
      </w:r>
      <w:r w:rsidRPr="003945C7">
        <w:rPr>
          <w:rFonts w:ascii="Book Antiqua" w:eastAsia="Book Antiqua" w:hAnsi="Book Antiqua" w:cs="Book Antiqua"/>
          <w:color w:val="000000"/>
        </w:rPr>
        <w:t xml:space="preserve"> history of chronic disorders or recent infectious disease. All children </w:t>
      </w:r>
      <w:r w:rsidR="00503654" w:rsidRPr="003945C7">
        <w:rPr>
          <w:rFonts w:ascii="Book Antiqua" w:eastAsia="Book Antiqua" w:hAnsi="Book Antiqua" w:cs="Book Antiqua"/>
          <w:color w:val="000000"/>
        </w:rPr>
        <w:t xml:space="preserve">who </w:t>
      </w:r>
      <w:r w:rsidRPr="003945C7">
        <w:rPr>
          <w:rFonts w:ascii="Book Antiqua" w:eastAsia="Book Antiqua" w:hAnsi="Book Antiqua" w:cs="Book Antiqua"/>
          <w:color w:val="000000"/>
        </w:rPr>
        <w:t xml:space="preserve">complained of dyspeptic symptoms were consecutively included in the study, but only those whose parents/caregivers agreed to </w:t>
      </w:r>
      <w:r w:rsidR="00503654" w:rsidRPr="003945C7">
        <w:rPr>
          <w:rFonts w:ascii="Book Antiqua" w:eastAsia="Book Antiqua" w:hAnsi="Book Antiqua" w:cs="Book Antiqua"/>
          <w:color w:val="000000"/>
        </w:rPr>
        <w:t xml:space="preserve">provide </w:t>
      </w:r>
      <w:r w:rsidRPr="003945C7">
        <w:rPr>
          <w:rFonts w:ascii="Book Antiqua" w:eastAsia="Book Antiqua" w:hAnsi="Book Antiqua" w:cs="Book Antiqua"/>
          <w:color w:val="000000"/>
        </w:rPr>
        <w:t>sign</w:t>
      </w:r>
      <w:r w:rsidR="00503654" w:rsidRPr="003945C7">
        <w:rPr>
          <w:rFonts w:ascii="Book Antiqua" w:eastAsia="Book Antiqua" w:hAnsi="Book Antiqua" w:cs="Book Antiqua"/>
          <w:color w:val="000000"/>
        </w:rPr>
        <w:t>ed</w:t>
      </w:r>
      <w:r w:rsidRPr="003945C7">
        <w:rPr>
          <w:rFonts w:ascii="Book Antiqua" w:eastAsia="Book Antiqua" w:hAnsi="Book Antiqua" w:cs="Book Antiqua"/>
          <w:color w:val="000000"/>
        </w:rPr>
        <w:t xml:space="preserve"> informed consent underwent upper digestive endoscopy. The exclusion criteria</w:t>
      </w:r>
      <w:r w:rsidR="00941CB4" w:rsidRPr="003945C7">
        <w:rPr>
          <w:rFonts w:ascii="Book Antiqua" w:eastAsia="Book Antiqua" w:hAnsi="Book Antiqua" w:cs="Book Antiqua"/>
          <w:color w:val="000000"/>
        </w:rPr>
        <w:t xml:space="preserve"> were:</w:t>
      </w:r>
      <w:r w:rsidRPr="003945C7">
        <w:rPr>
          <w:rFonts w:ascii="Book Antiqua" w:eastAsia="Book Antiqua" w:hAnsi="Book Antiqua" w:cs="Book Antiqua"/>
          <w:color w:val="000000"/>
        </w:rPr>
        <w:t xml:space="preserve"> </w:t>
      </w:r>
      <w:r w:rsidR="00753082" w:rsidRPr="003945C7">
        <w:rPr>
          <w:rFonts w:ascii="Book Antiqua" w:eastAsia="Book Antiqua" w:hAnsi="Book Antiqua" w:cs="Book Antiqua"/>
          <w:color w:val="000000"/>
        </w:rPr>
        <w:t>A</w:t>
      </w:r>
      <w:r w:rsidRPr="003945C7">
        <w:rPr>
          <w:rFonts w:ascii="Book Antiqua" w:eastAsia="Book Antiqua" w:hAnsi="Book Antiqua" w:cs="Book Antiqua"/>
          <w:color w:val="000000"/>
        </w:rPr>
        <w:t xml:space="preserve">ge below 1 year due to the characteristics of the video endoscope; clinical or laboratory signs </w:t>
      </w:r>
      <w:r w:rsidRPr="003945C7">
        <w:rPr>
          <w:rFonts w:ascii="Book Antiqua" w:eastAsia="Book Antiqua" w:hAnsi="Book Antiqua" w:cs="Book Antiqua"/>
          <w:color w:val="000000"/>
        </w:rPr>
        <w:lastRenderedPageBreak/>
        <w:t xml:space="preserve">suggestive </w:t>
      </w:r>
      <w:r w:rsidR="00941CB4" w:rsidRPr="003945C7">
        <w:rPr>
          <w:rFonts w:ascii="Book Antiqua" w:eastAsia="Book Antiqua" w:hAnsi="Book Antiqua" w:cs="Book Antiqua"/>
          <w:color w:val="000000"/>
        </w:rPr>
        <w:t xml:space="preserve">of </w:t>
      </w:r>
      <w:r w:rsidRPr="003945C7">
        <w:rPr>
          <w:rFonts w:ascii="Book Antiqua" w:eastAsia="Book Antiqua" w:hAnsi="Book Antiqua" w:cs="Book Antiqua"/>
          <w:color w:val="000000"/>
        </w:rPr>
        <w:t>an infectious disorder (</w:t>
      </w:r>
      <w:r w:rsidRPr="003945C7">
        <w:rPr>
          <w:rFonts w:ascii="Book Antiqua" w:eastAsia="Book Antiqua" w:hAnsi="Book Antiqua" w:cs="Book Antiqua"/>
          <w:i/>
          <w:iCs/>
          <w:color w:val="000000"/>
        </w:rPr>
        <w:t>e.g.,</w:t>
      </w:r>
      <w:r w:rsidRPr="003945C7">
        <w:rPr>
          <w:rFonts w:ascii="Book Antiqua" w:eastAsia="Book Antiqua" w:hAnsi="Book Antiqua" w:cs="Book Antiqua"/>
          <w:color w:val="000000"/>
        </w:rPr>
        <w:t xml:space="preserve"> fever, leukocytosis, positive acute phase reactants); children with </w:t>
      </w:r>
      <w:r w:rsidRPr="003945C7">
        <w:rPr>
          <w:rFonts w:ascii="Book Antiqua" w:eastAsia="Book Antiqua" w:hAnsi="Book Antiqua" w:cs="Book Antiqua"/>
          <w:i/>
          <w:iCs/>
          <w:color w:val="000000"/>
        </w:rPr>
        <w:t xml:space="preserve">H. pylori </w:t>
      </w:r>
      <w:r w:rsidRPr="003945C7">
        <w:rPr>
          <w:rFonts w:ascii="Book Antiqua" w:eastAsia="Book Antiqua" w:hAnsi="Book Antiqua" w:cs="Book Antiqua"/>
          <w:color w:val="000000"/>
        </w:rPr>
        <w:t>acute gastritis</w:t>
      </w:r>
      <w:r w:rsidRPr="003945C7">
        <w:rPr>
          <w:rFonts w:ascii="Book Antiqua" w:eastAsia="Book Antiqua" w:hAnsi="Book Antiqua" w:cs="Book Antiqua"/>
          <w:i/>
          <w:iCs/>
          <w:color w:val="000000"/>
        </w:rPr>
        <w:t>, H. pylori</w:t>
      </w:r>
      <w:r w:rsidRPr="003945C7">
        <w:rPr>
          <w:rFonts w:ascii="Book Antiqua" w:eastAsia="Book Antiqua" w:hAnsi="Book Antiqua" w:cs="Book Antiqua"/>
          <w:color w:val="000000"/>
        </w:rPr>
        <w:t xml:space="preserve">-negative gastritis,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without histopathological changes, and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-negative pediatric patients with pathological findings at histopathology exam; the parents’/caregivers’ refusal to sign the informed consent for their children inclusion in the study, and those with incomplete information. </w:t>
      </w:r>
      <w:proofErr w:type="gramStart"/>
      <w:r w:rsidRPr="003945C7">
        <w:rPr>
          <w:rFonts w:ascii="Book Antiqua" w:eastAsia="Book Antiqua" w:hAnsi="Book Antiqua" w:cs="Book Antiqua"/>
          <w:color w:val="000000"/>
        </w:rPr>
        <w:t>Taking into account</w:t>
      </w:r>
      <w:proofErr w:type="gramEnd"/>
      <w:r w:rsidRPr="003945C7">
        <w:rPr>
          <w:rFonts w:ascii="Book Antiqua" w:eastAsia="Book Antiqua" w:hAnsi="Book Antiqua" w:cs="Book Antiqua"/>
          <w:color w:val="000000"/>
        </w:rPr>
        <w:t xml:space="preserve"> these criteria, we excluded 26 children from the study: 22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-negative gastritis, 2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-induced acute gastritis, and 2 due to their parents’ refusal to sign the informed consent</w:t>
      </w:r>
      <w:r w:rsidR="00941CB4" w:rsidRPr="003945C7">
        <w:rPr>
          <w:rFonts w:ascii="Book Antiqua" w:eastAsia="Book Antiqua" w:hAnsi="Book Antiqua" w:cs="Book Antiqua"/>
          <w:color w:val="000000"/>
        </w:rPr>
        <w:t xml:space="preserve"> form</w:t>
      </w:r>
      <w:r w:rsidRPr="003945C7">
        <w:rPr>
          <w:rFonts w:ascii="Book Antiqua" w:eastAsia="Book Antiqua" w:hAnsi="Book Antiqua" w:cs="Book Antiqua"/>
          <w:color w:val="000000"/>
        </w:rPr>
        <w:t xml:space="preserve">. All the children included in this study were clinically assessed and a thorough anamnesis was provided by their parents/caregivers. Children without any history of bed sharing or living in crowded homes, with a relatively good economical level and proper hygiene conditions were considered to have good living conditions. A blood sample was taken from each child, and we assessed the following laboratory parameters: </w:t>
      </w:r>
      <w:r w:rsidR="00753082" w:rsidRPr="003945C7">
        <w:rPr>
          <w:rFonts w:ascii="Book Antiqua" w:eastAsia="Book Antiqua" w:hAnsi="Book Antiqua" w:cs="Book Antiqua"/>
          <w:color w:val="000000"/>
        </w:rPr>
        <w:t>C</w:t>
      </w:r>
      <w:r w:rsidRPr="003945C7">
        <w:rPr>
          <w:rFonts w:ascii="Book Antiqua" w:eastAsia="Book Antiqua" w:hAnsi="Book Antiqua" w:cs="Book Antiqua"/>
          <w:color w:val="000000"/>
        </w:rPr>
        <w:t>omplete cellular blood count (hemoglobin, leukocytes, lymphocytes, neutrophils, eosinophils), erythrocyte sedimentation rate, serum iron, liver enzymes (alanine aminotransferase, aspartate aminotransferase, gamma glutamyl transpeptidase), and neutrophil/</w:t>
      </w:r>
      <w:r w:rsidR="003A5057" w:rsidRPr="003945C7">
        <w:rPr>
          <w:rFonts w:ascii="Book Antiqua" w:eastAsia="Book Antiqua" w:hAnsi="Book Antiqua" w:cs="Book Antiqua"/>
          <w:color w:val="000000"/>
        </w:rPr>
        <w:t>l</w:t>
      </w:r>
      <w:r w:rsidRPr="003945C7">
        <w:rPr>
          <w:rFonts w:ascii="Book Antiqua" w:eastAsia="Book Antiqua" w:hAnsi="Book Antiqua" w:cs="Book Antiqua"/>
          <w:color w:val="000000"/>
        </w:rPr>
        <w:t xml:space="preserve">ymphocyte ratio (NLR). A single trained experienced gastroenterologist performed the upper digestive endoscopies and three biopsy series of the gastric mucosa were obtained: </w:t>
      </w:r>
      <w:r w:rsidR="00753082" w:rsidRPr="003945C7">
        <w:rPr>
          <w:rFonts w:ascii="Book Antiqua" w:eastAsia="Book Antiqua" w:hAnsi="Book Antiqua" w:cs="Book Antiqua"/>
          <w:color w:val="000000"/>
        </w:rPr>
        <w:t>T</w:t>
      </w:r>
      <w:r w:rsidRPr="003945C7">
        <w:rPr>
          <w:rFonts w:ascii="Book Antiqua" w:eastAsia="Book Antiqua" w:hAnsi="Book Antiqua" w:cs="Book Antiqua"/>
          <w:color w:val="000000"/>
        </w:rPr>
        <w:t>he first consisted of two biopsies, one from the antrum and one from the corpus, that were used for rapid urease test</w:t>
      </w:r>
      <w:r w:rsidR="0041339E"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the second consisted of two biopsy specimens from the same locations, which served as a samples for the histological exam</w:t>
      </w:r>
      <w:r w:rsidR="0041339E"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the third biopsy from the gastric antrum was collected in an Eppendorf tube filled with a stabilization solution for proper transportation to the Genetics Laboratory in order to rule out the need for immediate DNA isolation and purification. The histological exam was based on Giemsa staining and provided information such as the presence or absence of </w:t>
      </w:r>
      <w:r w:rsidRPr="003945C7">
        <w:rPr>
          <w:rFonts w:ascii="Book Antiqua" w:eastAsia="Book Antiqua" w:hAnsi="Book Antiqua" w:cs="Book Antiqua"/>
          <w:i/>
          <w:iCs/>
          <w:color w:val="000000"/>
        </w:rPr>
        <w:t xml:space="preserve">H. pylori </w:t>
      </w:r>
      <w:r w:rsidRPr="003945C7">
        <w:rPr>
          <w:rFonts w:ascii="Book Antiqua" w:eastAsia="Book Antiqua" w:hAnsi="Book Antiqua" w:cs="Book Antiqua"/>
          <w:color w:val="000000"/>
        </w:rPr>
        <w:t xml:space="preserve">infection, the acute or chronic inflammatory pattern, or the presence of metaplasia. All histological interpretations were also performed by a single experienced pediatric pathologist who provided the final diagnosis of chronic gastritis and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Chronic gastritis was defined according to the Sydney </w:t>
      </w:r>
      <w:proofErr w:type="gramStart"/>
      <w:r w:rsidRPr="003945C7">
        <w:rPr>
          <w:rFonts w:ascii="Book Antiqua" w:eastAsia="Book Antiqua" w:hAnsi="Book Antiqua" w:cs="Book Antiqua"/>
          <w:color w:val="000000"/>
        </w:rPr>
        <w:t>classification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17]</w:t>
      </w:r>
      <w:r w:rsidRPr="003945C7">
        <w:rPr>
          <w:rFonts w:ascii="Book Antiqua" w:eastAsia="Book Antiqua" w:hAnsi="Book Antiqua" w:cs="Book Antiqua"/>
          <w:color w:val="000000"/>
        </w:rPr>
        <w:t xml:space="preserve"> based on the inflammatory infiltrate </w:t>
      </w:r>
      <w:r w:rsidRPr="003945C7">
        <w:rPr>
          <w:rFonts w:ascii="Book Antiqua" w:eastAsia="Book Antiqua" w:hAnsi="Book Antiqua" w:cs="Book Antiqua"/>
          <w:color w:val="000000"/>
        </w:rPr>
        <w:lastRenderedPageBreak/>
        <w:t xml:space="preserve">thoroughly assessed by the pediatric pathologist </w:t>
      </w:r>
      <w:r w:rsidR="0041339E" w:rsidRPr="003945C7">
        <w:rPr>
          <w:rFonts w:ascii="Book Antiqua" w:eastAsia="Book Antiqua" w:hAnsi="Book Antiqua" w:cs="Book Antiqua"/>
          <w:color w:val="000000"/>
        </w:rPr>
        <w:t>(</w:t>
      </w:r>
      <w:r w:rsidRPr="003945C7">
        <w:rPr>
          <w:rFonts w:ascii="Book Antiqua" w:eastAsia="Book Antiqua" w:hAnsi="Book Antiqua" w:cs="Book Antiqua"/>
          <w:i/>
          <w:iCs/>
          <w:color w:val="000000"/>
        </w:rPr>
        <w:t>i.e.</w:t>
      </w:r>
      <w:r w:rsidRPr="003945C7">
        <w:rPr>
          <w:rFonts w:ascii="Book Antiqua" w:eastAsia="Book Antiqua" w:hAnsi="Book Antiqua" w:cs="Book Antiqua"/>
          <w:color w:val="000000"/>
        </w:rPr>
        <w:t xml:space="preserve"> the presence of lymphocytes and/or plasma cells indicating the chronic pattern of inflammation</w:t>
      </w:r>
      <w:r w:rsidR="0041339E"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The diagnoses of gastroesophageal and biliary reflux were established based on history and endoscopic findings.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was diagnosed based on the histopathology exam with special Giemsa staining, and only </w:t>
      </w:r>
      <w:r w:rsidRPr="003945C7">
        <w:rPr>
          <w:rFonts w:ascii="Book Antiqua" w:eastAsia="Book Antiqua" w:hAnsi="Book Antiqua" w:cs="Book Antiqua"/>
          <w:i/>
          <w:iCs/>
          <w:color w:val="000000"/>
        </w:rPr>
        <w:t>H. pylori</w:t>
      </w:r>
      <w:r w:rsidR="001B6ACB"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positive children were included in the study group. Thus, </w:t>
      </w:r>
      <w:proofErr w:type="gramStart"/>
      <w:r w:rsidRPr="003945C7">
        <w:rPr>
          <w:rFonts w:ascii="Book Antiqua" w:eastAsia="Book Antiqua" w:hAnsi="Book Antiqua" w:cs="Book Antiqua"/>
          <w:color w:val="000000"/>
        </w:rPr>
        <w:t>taking into account</w:t>
      </w:r>
      <w:proofErr w:type="gramEnd"/>
      <w:r w:rsidRPr="003945C7">
        <w:rPr>
          <w:rFonts w:ascii="Book Antiqua" w:eastAsia="Book Antiqua" w:hAnsi="Book Antiqua" w:cs="Book Antiqua"/>
          <w:color w:val="000000"/>
        </w:rPr>
        <w:t xml:space="preserve"> only the result of the histopathological exam, the children were divided into </w:t>
      </w:r>
      <w:r w:rsidR="001B6ACB" w:rsidRPr="003945C7">
        <w:rPr>
          <w:rFonts w:ascii="Book Antiqua" w:eastAsia="Book Antiqua" w:hAnsi="Book Antiqua" w:cs="Book Antiqua"/>
          <w:color w:val="000000"/>
        </w:rPr>
        <w:t xml:space="preserve">two </w:t>
      </w:r>
      <w:r w:rsidRPr="003945C7">
        <w:rPr>
          <w:rFonts w:ascii="Book Antiqua" w:eastAsia="Book Antiqua" w:hAnsi="Book Antiqua" w:cs="Book Antiqua"/>
          <w:color w:val="000000"/>
        </w:rPr>
        <w:t xml:space="preserve">groups: </w:t>
      </w:r>
      <w:r w:rsidR="00753082" w:rsidRPr="003945C7">
        <w:rPr>
          <w:rFonts w:ascii="Book Antiqua" w:eastAsia="Book Antiqua" w:hAnsi="Book Antiqua" w:cs="Book Antiqua"/>
          <w:color w:val="000000"/>
        </w:rPr>
        <w:t>G</w:t>
      </w:r>
      <w:r w:rsidRPr="003945C7">
        <w:rPr>
          <w:rFonts w:ascii="Book Antiqua" w:eastAsia="Book Antiqua" w:hAnsi="Book Antiqua" w:cs="Book Antiqua"/>
          <w:color w:val="000000"/>
        </w:rPr>
        <w:t>roup 1</w:t>
      </w:r>
      <w:r w:rsidR="00B06968"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- 48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-induced chronic gastritis, and group 2 – control group, 107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-negative children without any histopathological changes.</w:t>
      </w:r>
    </w:p>
    <w:p w14:paraId="6EB522E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i/>
          <w:iCs/>
          <w:color w:val="000000"/>
        </w:rPr>
        <w:t>Ethics</w:t>
      </w:r>
    </w:p>
    <w:p w14:paraId="3608882E" w14:textId="79B0A17C"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Our study was approved by the Ethics Committee of the University of Medicine, Pharmacy, Sciences and Technology ‘George Emil Palade’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Mureş</w:t>
      </w:r>
      <w:proofErr w:type="spellEnd"/>
      <w:r w:rsidRPr="003945C7">
        <w:rPr>
          <w:rFonts w:ascii="Book Antiqua" w:eastAsia="Book Antiqua" w:hAnsi="Book Antiqua" w:cs="Book Antiqua"/>
          <w:color w:val="000000"/>
        </w:rPr>
        <w:t xml:space="preserve"> (No. 27/March 17</w:t>
      </w:r>
      <w:r w:rsidRPr="003945C7">
        <w:rPr>
          <w:rFonts w:ascii="Book Antiqua" w:eastAsia="Book Antiqua" w:hAnsi="Book Antiqua" w:cs="Book Antiqua"/>
          <w:color w:val="000000"/>
          <w:szCs w:val="20"/>
          <w:vertAlign w:val="superscript"/>
        </w:rPr>
        <w:t xml:space="preserve">th </w:t>
      </w:r>
      <w:r w:rsidRPr="003945C7">
        <w:rPr>
          <w:rFonts w:ascii="Book Antiqua" w:eastAsia="Book Antiqua" w:hAnsi="Book Antiqua" w:cs="Book Antiqua"/>
          <w:color w:val="000000"/>
        </w:rPr>
        <w:t>2016, and No. 792/March 11</w:t>
      </w:r>
      <w:r w:rsidRPr="003945C7">
        <w:rPr>
          <w:rFonts w:ascii="Book Antiqua" w:eastAsia="Book Antiqua" w:hAnsi="Book Antiqua" w:cs="Book Antiqua"/>
          <w:color w:val="000000"/>
          <w:szCs w:val="20"/>
          <w:vertAlign w:val="superscript"/>
        </w:rPr>
        <w:t>th</w:t>
      </w:r>
      <w:r w:rsidRPr="003945C7">
        <w:rPr>
          <w:rFonts w:ascii="Book Antiqua" w:eastAsia="Book Antiqua" w:hAnsi="Book Antiqua" w:cs="Book Antiqua"/>
          <w:color w:val="000000"/>
        </w:rPr>
        <w:t xml:space="preserve"> 2020), </w:t>
      </w:r>
      <w:r w:rsidR="00A438BD" w:rsidRPr="003945C7">
        <w:rPr>
          <w:rFonts w:ascii="Book Antiqua" w:eastAsia="Book Antiqua" w:hAnsi="Book Antiqua" w:cs="Book Antiqua"/>
          <w:color w:val="000000"/>
        </w:rPr>
        <w:t>and was conducted</w:t>
      </w:r>
      <w:r w:rsidRPr="003945C7">
        <w:rPr>
          <w:rFonts w:ascii="Book Antiqua" w:eastAsia="Book Antiqua" w:hAnsi="Book Antiqua" w:cs="Book Antiqua"/>
          <w:color w:val="000000"/>
        </w:rPr>
        <w:t xml:space="preserve"> according to the Helsinki Declaration. All parents/caregivers </w:t>
      </w:r>
      <w:r w:rsidR="00A438BD" w:rsidRPr="003945C7">
        <w:rPr>
          <w:rFonts w:ascii="Book Antiqua" w:eastAsia="Book Antiqua" w:hAnsi="Book Antiqua" w:cs="Book Antiqua"/>
          <w:color w:val="000000"/>
        </w:rPr>
        <w:t xml:space="preserve">provided </w:t>
      </w:r>
      <w:r w:rsidRPr="003945C7">
        <w:rPr>
          <w:rFonts w:ascii="Book Antiqua" w:eastAsia="Book Antiqua" w:hAnsi="Book Antiqua" w:cs="Book Antiqua"/>
          <w:color w:val="000000"/>
        </w:rPr>
        <w:t xml:space="preserve">signed informed consent prior to </w:t>
      </w:r>
      <w:r w:rsidR="00A438BD" w:rsidRPr="003945C7">
        <w:rPr>
          <w:rFonts w:ascii="Book Antiqua" w:eastAsia="Book Antiqua" w:hAnsi="Book Antiqua" w:cs="Book Antiqua"/>
          <w:color w:val="000000"/>
        </w:rPr>
        <w:t xml:space="preserve">inclusion of their </w:t>
      </w:r>
      <w:r w:rsidRPr="003945C7">
        <w:rPr>
          <w:rFonts w:ascii="Book Antiqua" w:eastAsia="Book Antiqua" w:hAnsi="Book Antiqua" w:cs="Book Antiqua"/>
          <w:color w:val="000000"/>
        </w:rPr>
        <w:t xml:space="preserve">children in the study. </w:t>
      </w:r>
    </w:p>
    <w:p w14:paraId="005D103A" w14:textId="77777777" w:rsidR="00A77B3E" w:rsidRPr="003945C7" w:rsidRDefault="00A77B3E" w:rsidP="001765D0">
      <w:pPr>
        <w:adjustRightInd w:val="0"/>
        <w:snapToGrid w:val="0"/>
        <w:spacing w:line="360" w:lineRule="auto"/>
        <w:jc w:val="both"/>
      </w:pPr>
    </w:p>
    <w:p w14:paraId="0D44277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i/>
          <w:iCs/>
          <w:color w:val="000000"/>
        </w:rPr>
        <w:t>Genotyping analysis</w:t>
      </w:r>
    </w:p>
    <w:p w14:paraId="0AA9A72B" w14:textId="5CA9A8E1"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We used the </w:t>
      </w:r>
      <w:proofErr w:type="spellStart"/>
      <w:r w:rsidRPr="003945C7">
        <w:rPr>
          <w:rFonts w:ascii="Book Antiqua" w:eastAsia="Book Antiqua" w:hAnsi="Book Antiqua" w:cs="Book Antiqua"/>
          <w:color w:val="000000"/>
        </w:rPr>
        <w:t>PureLink</w:t>
      </w:r>
      <w:proofErr w:type="spellEnd"/>
      <w:r w:rsidRPr="003945C7">
        <w:rPr>
          <w:rFonts w:ascii="Book Antiqua" w:eastAsia="Book Antiqua" w:hAnsi="Book Antiqua" w:cs="Book Antiqua"/>
          <w:color w:val="000000"/>
        </w:rPr>
        <w:t xml:space="preserve"> Genomic DNA Mini Kit (Thermo</w:t>
      </w:r>
      <w:r w:rsidR="00A438BD"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Fisher Scientific, </w:t>
      </w:r>
      <w:r w:rsidR="00A438BD" w:rsidRPr="003945C7">
        <w:rPr>
          <w:rFonts w:ascii="Book Antiqua" w:eastAsia="Book Antiqua" w:hAnsi="Book Antiqua" w:cs="Book Antiqua"/>
          <w:color w:val="000000"/>
        </w:rPr>
        <w:t xml:space="preserve">Waltham, MA, </w:t>
      </w:r>
      <w:r w:rsidRPr="003945C7">
        <w:rPr>
          <w:rFonts w:ascii="Book Antiqua" w:eastAsia="Book Antiqua" w:hAnsi="Book Antiqua" w:cs="Book Antiqua"/>
          <w:color w:val="000000"/>
        </w:rPr>
        <w:t xml:space="preserve">United States) for extraction of genomic DNA (gDNA) from fresh gastric tissue samples obtained by upper digestive endoscopies. gDNA obtained according to the manufacturer’s protocol was quantified by using an Eppendorf </w:t>
      </w:r>
      <w:proofErr w:type="spellStart"/>
      <w:r w:rsidRPr="003945C7">
        <w:rPr>
          <w:rFonts w:ascii="Book Antiqua" w:eastAsia="Book Antiqua" w:hAnsi="Book Antiqua" w:cs="Book Antiqua"/>
          <w:color w:val="000000"/>
        </w:rPr>
        <w:t>BioSpectrometer</w:t>
      </w:r>
      <w:proofErr w:type="spellEnd"/>
      <w:r w:rsidRPr="003945C7">
        <w:rPr>
          <w:rFonts w:ascii="Book Antiqua" w:eastAsia="Book Antiqua" w:hAnsi="Book Antiqua" w:cs="Book Antiqua"/>
          <w:color w:val="000000"/>
        </w:rPr>
        <w:t xml:space="preserve"> (Eppendorf Austria GmbH</w:t>
      </w:r>
      <w:r w:rsidR="00A438BD" w:rsidRPr="003945C7">
        <w:rPr>
          <w:rFonts w:ascii="Book Antiqua" w:eastAsia="Book Antiqua" w:hAnsi="Book Antiqua" w:cs="Book Antiqua"/>
          <w:color w:val="000000"/>
        </w:rPr>
        <w:t>, Wien, Austria</w:t>
      </w:r>
      <w:r w:rsidRPr="003945C7">
        <w:rPr>
          <w:rFonts w:ascii="Book Antiqua" w:eastAsia="Book Antiqua" w:hAnsi="Book Antiqua" w:cs="Book Antiqua"/>
          <w:color w:val="000000"/>
        </w:rPr>
        <w:t>). For genotyping of TLR9 rs352140</w:t>
      </w:r>
      <w:r w:rsidR="00A438BD"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we used TaqMan technology on </w:t>
      </w:r>
      <w:r w:rsidR="00A438BD" w:rsidRPr="003945C7">
        <w:rPr>
          <w:rFonts w:ascii="Book Antiqua" w:eastAsia="Book Antiqua" w:hAnsi="Book Antiqua" w:cs="Book Antiqua"/>
          <w:color w:val="000000"/>
        </w:rPr>
        <w:t>the</w:t>
      </w:r>
      <w:r w:rsidRPr="003945C7">
        <w:rPr>
          <w:rFonts w:ascii="Book Antiqua" w:eastAsia="Book Antiqua" w:hAnsi="Book Antiqua" w:cs="Book Antiqua"/>
          <w:color w:val="000000"/>
        </w:rPr>
        <w:t xml:space="preserve"> Applied Biosystems™ 7500Fast Dx Real-Time PCR System</w:t>
      </w:r>
      <w:r w:rsidR="00A438BD" w:rsidRPr="003945C7">
        <w:rPr>
          <w:rFonts w:ascii="Book Antiqua" w:eastAsia="Book Antiqua" w:hAnsi="Book Antiqua" w:cs="Book Antiqua"/>
          <w:color w:val="000000"/>
        </w:rPr>
        <w:t xml:space="preserve"> (Applied Biosystems, Waltham, MA, United States)</w:t>
      </w:r>
      <w:r w:rsidRPr="003945C7">
        <w:rPr>
          <w:rFonts w:ascii="Book Antiqua" w:eastAsia="Book Antiqua" w:hAnsi="Book Antiqua" w:cs="Book Antiqua"/>
          <w:color w:val="000000"/>
        </w:rPr>
        <w:t xml:space="preserve"> and </w:t>
      </w:r>
      <w:r w:rsidR="00F052D6" w:rsidRPr="003945C7">
        <w:rPr>
          <w:rFonts w:ascii="Book Antiqua" w:eastAsia="Book Antiqua" w:hAnsi="Book Antiqua" w:cs="Book Antiqua"/>
          <w:color w:val="000000"/>
        </w:rPr>
        <w:t xml:space="preserve">a </w:t>
      </w:r>
      <w:r w:rsidRPr="003945C7">
        <w:rPr>
          <w:rFonts w:ascii="Book Antiqua" w:eastAsia="Book Antiqua" w:hAnsi="Book Antiqua" w:cs="Book Antiqua"/>
          <w:color w:val="000000"/>
        </w:rPr>
        <w:t>predesigned assay</w:t>
      </w:r>
      <w:r w:rsidR="00F052D6"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namely C_2301954_20.</w:t>
      </w:r>
    </w:p>
    <w:p w14:paraId="297ED64F" w14:textId="77777777" w:rsidR="00A77B3E" w:rsidRPr="003945C7" w:rsidRDefault="00A77B3E" w:rsidP="001765D0">
      <w:pPr>
        <w:adjustRightInd w:val="0"/>
        <w:snapToGrid w:val="0"/>
        <w:spacing w:line="360" w:lineRule="auto"/>
        <w:jc w:val="both"/>
      </w:pPr>
    </w:p>
    <w:p w14:paraId="01F05A0A" w14:textId="73C0A689"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i/>
          <w:iCs/>
          <w:color w:val="000000"/>
        </w:rPr>
        <w:t>Statistical analys</w:t>
      </w:r>
      <w:r w:rsidR="007D751A" w:rsidRPr="003945C7">
        <w:rPr>
          <w:rFonts w:ascii="Book Antiqua" w:eastAsia="Book Antiqua" w:hAnsi="Book Antiqua" w:cs="Book Antiqua"/>
          <w:b/>
          <w:bCs/>
          <w:i/>
          <w:iCs/>
          <w:color w:val="000000"/>
        </w:rPr>
        <w:t>e</w:t>
      </w:r>
      <w:r w:rsidRPr="003945C7">
        <w:rPr>
          <w:rFonts w:ascii="Book Antiqua" w:eastAsia="Book Antiqua" w:hAnsi="Book Antiqua" w:cs="Book Antiqua"/>
          <w:b/>
          <w:bCs/>
          <w:i/>
          <w:iCs/>
          <w:color w:val="000000"/>
        </w:rPr>
        <w:t>s</w:t>
      </w:r>
    </w:p>
    <w:p w14:paraId="7CBAED33" w14:textId="229CC21B"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The statistical analys</w:t>
      </w:r>
      <w:r w:rsidR="007D751A" w:rsidRPr="003945C7">
        <w:rPr>
          <w:rFonts w:ascii="Book Antiqua" w:eastAsia="Book Antiqua" w:hAnsi="Book Antiqua" w:cs="Book Antiqua"/>
          <w:color w:val="000000"/>
        </w:rPr>
        <w:t>e</w:t>
      </w:r>
      <w:r w:rsidRPr="003945C7">
        <w:rPr>
          <w:rFonts w:ascii="Book Antiqua" w:eastAsia="Book Antiqua" w:hAnsi="Book Antiqua" w:cs="Book Antiqua"/>
          <w:color w:val="000000"/>
        </w:rPr>
        <w:t xml:space="preserve">s comprised elements of descriptive statistics (frequency, percentage, mean, median, standard deviation) and elements of inferential statistics. The </w:t>
      </w:r>
      <w:r w:rsidRPr="003945C7">
        <w:rPr>
          <w:rFonts w:ascii="Book Antiqua" w:eastAsia="Book Antiqua" w:hAnsi="Book Antiqua" w:cs="Book Antiqua"/>
          <w:color w:val="000000"/>
        </w:rPr>
        <w:lastRenderedPageBreak/>
        <w:t xml:space="preserve">Shapiro-Wilk test was applied in order to assess the distribution of the analyzed series. The </w:t>
      </w:r>
      <w:proofErr w:type="gramStart"/>
      <w:r w:rsidRPr="003945C7">
        <w:rPr>
          <w:rFonts w:ascii="Book Antiqua" w:eastAsia="Book Antiqua" w:hAnsi="Book Antiqua" w:cs="Book Antiqua"/>
          <w:color w:val="000000"/>
        </w:rPr>
        <w:t>Student</w:t>
      </w:r>
      <w:r w:rsidR="007D751A" w:rsidRPr="003945C7">
        <w:rPr>
          <w:rFonts w:ascii="Book Antiqua" w:eastAsia="Book Antiqua" w:hAnsi="Book Antiqua" w:cs="Book Antiqua"/>
          <w:color w:val="000000"/>
        </w:rPr>
        <w:t>’s</w:t>
      </w:r>
      <w:proofErr w:type="gramEnd"/>
      <w:r w:rsidR="007D751A" w:rsidRPr="003945C7">
        <w:rPr>
          <w:rFonts w:ascii="Book Antiqua" w:eastAsia="Book Antiqua" w:hAnsi="Book Antiqua" w:cs="Book Antiqua"/>
          <w:color w:val="000000"/>
        </w:rPr>
        <w:t xml:space="preserve"> </w:t>
      </w:r>
      <w:r w:rsidR="007D751A" w:rsidRPr="003945C7">
        <w:rPr>
          <w:rFonts w:ascii="Book Antiqua" w:eastAsia="Book Antiqua" w:hAnsi="Book Antiqua" w:cs="Book Antiqua"/>
          <w:i/>
          <w:iCs/>
          <w:color w:val="000000"/>
        </w:rPr>
        <w:t>t</w:t>
      </w:r>
      <w:r w:rsidR="007D751A" w:rsidRPr="003945C7">
        <w:rPr>
          <w:rFonts w:ascii="Book Antiqua" w:eastAsia="Book Antiqua" w:hAnsi="Book Antiqua" w:cs="Book Antiqua"/>
          <w:color w:val="000000"/>
        </w:rPr>
        <w:t>-test</w:t>
      </w:r>
      <w:r w:rsidRPr="003945C7">
        <w:rPr>
          <w:rFonts w:ascii="Book Antiqua" w:eastAsia="Book Antiqua" w:hAnsi="Book Antiqua" w:cs="Book Antiqua"/>
          <w:color w:val="000000"/>
        </w:rPr>
        <w:t xml:space="preserve">, </w:t>
      </w:r>
      <w:r w:rsidR="007D751A" w:rsidRPr="003945C7">
        <w:rPr>
          <w:rFonts w:ascii="Book Antiqua" w:eastAsia="Book Antiqua" w:hAnsi="Book Antiqua" w:cs="Book Antiqua"/>
          <w:color w:val="000000"/>
        </w:rPr>
        <w:t>analysis of variance</w:t>
      </w:r>
      <w:r w:rsidRPr="003945C7">
        <w:rPr>
          <w:rFonts w:ascii="Book Antiqua" w:eastAsia="Book Antiqua" w:hAnsi="Book Antiqua" w:cs="Book Antiqua"/>
          <w:color w:val="000000"/>
        </w:rPr>
        <w:t>, Mann</w:t>
      </w:r>
      <w:r w:rsidR="00524639"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Whitney, Kruskal-Wallis, and Dunn's </w:t>
      </w:r>
      <w:r w:rsidR="007D751A" w:rsidRPr="003945C7">
        <w:rPr>
          <w:rFonts w:ascii="Book Antiqua" w:eastAsia="Book Antiqua" w:hAnsi="Book Antiqua" w:cs="Book Antiqua"/>
          <w:color w:val="000000"/>
        </w:rPr>
        <w:t>m</w:t>
      </w:r>
      <w:r w:rsidRPr="003945C7">
        <w:rPr>
          <w:rFonts w:ascii="Book Antiqua" w:eastAsia="Book Antiqua" w:hAnsi="Book Antiqua" w:cs="Book Antiqua"/>
          <w:color w:val="000000"/>
        </w:rPr>
        <w:t xml:space="preserve">ultiple </w:t>
      </w:r>
      <w:r w:rsidR="007D751A" w:rsidRPr="003945C7">
        <w:rPr>
          <w:rFonts w:ascii="Book Antiqua" w:eastAsia="Book Antiqua" w:hAnsi="Book Antiqua" w:cs="Book Antiqua"/>
          <w:color w:val="000000"/>
        </w:rPr>
        <w:t>c</w:t>
      </w:r>
      <w:r w:rsidRPr="003945C7">
        <w:rPr>
          <w:rFonts w:ascii="Book Antiqua" w:eastAsia="Book Antiqua" w:hAnsi="Book Antiqua" w:cs="Book Antiqua"/>
          <w:color w:val="000000"/>
        </w:rPr>
        <w:t xml:space="preserve">omparison </w:t>
      </w:r>
      <w:r w:rsidR="007D751A" w:rsidRPr="003945C7">
        <w:rPr>
          <w:rFonts w:ascii="Book Antiqua" w:eastAsia="Book Antiqua" w:hAnsi="Book Antiqua" w:cs="Book Antiqua"/>
          <w:color w:val="000000"/>
        </w:rPr>
        <w:t>t</w:t>
      </w:r>
      <w:r w:rsidRPr="003945C7">
        <w:rPr>
          <w:rFonts w:ascii="Book Antiqua" w:eastAsia="Book Antiqua" w:hAnsi="Book Antiqua" w:cs="Book Antiqua"/>
          <w:color w:val="000000"/>
        </w:rPr>
        <w:t xml:space="preserve">ests were used for comparing means and medians. The chosen significance threshold for </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value was 0.05. </w:t>
      </w:r>
      <w:r w:rsidR="00524639" w:rsidRPr="003945C7">
        <w:rPr>
          <w:rFonts w:ascii="Book Antiqua" w:eastAsia="Book Antiqua" w:hAnsi="Book Antiqua" w:cs="Book Antiqua"/>
          <w:color w:val="000000"/>
        </w:rPr>
        <w:t>S</w:t>
      </w:r>
      <w:r w:rsidRPr="003945C7">
        <w:rPr>
          <w:rFonts w:ascii="Book Antiqua" w:eastAsia="Book Antiqua" w:hAnsi="Book Antiqua" w:cs="Book Antiqua"/>
          <w:color w:val="000000"/>
        </w:rPr>
        <w:t>tatistical analys</w:t>
      </w:r>
      <w:r w:rsidR="00524639" w:rsidRPr="003945C7">
        <w:rPr>
          <w:rFonts w:ascii="Book Antiqua" w:eastAsia="Book Antiqua" w:hAnsi="Book Antiqua" w:cs="Book Antiqua"/>
          <w:color w:val="000000"/>
        </w:rPr>
        <w:t>e</w:t>
      </w:r>
      <w:r w:rsidRPr="003945C7">
        <w:rPr>
          <w:rFonts w:ascii="Book Antiqua" w:eastAsia="Book Antiqua" w:hAnsi="Book Antiqua" w:cs="Book Antiqua"/>
          <w:color w:val="000000"/>
        </w:rPr>
        <w:t xml:space="preserve">s </w:t>
      </w:r>
      <w:r w:rsidR="00524639" w:rsidRPr="003945C7">
        <w:rPr>
          <w:rFonts w:ascii="Book Antiqua" w:eastAsia="Book Antiqua" w:hAnsi="Book Antiqua" w:cs="Book Antiqua"/>
          <w:color w:val="000000"/>
        </w:rPr>
        <w:t xml:space="preserve">were </w:t>
      </w:r>
      <w:r w:rsidRPr="003945C7">
        <w:rPr>
          <w:rFonts w:ascii="Book Antiqua" w:eastAsia="Book Antiqua" w:hAnsi="Book Antiqua" w:cs="Book Antiqua"/>
          <w:color w:val="000000"/>
        </w:rPr>
        <w:t>performed using the trial variant of the GraphPad Prism program.</w:t>
      </w:r>
    </w:p>
    <w:p w14:paraId="2A2AA6E1" w14:textId="77777777" w:rsidR="00A77B3E" w:rsidRPr="003945C7" w:rsidRDefault="00A77B3E" w:rsidP="001765D0">
      <w:pPr>
        <w:adjustRightInd w:val="0"/>
        <w:snapToGrid w:val="0"/>
        <w:spacing w:line="360" w:lineRule="auto"/>
        <w:jc w:val="both"/>
      </w:pPr>
    </w:p>
    <w:p w14:paraId="4150DF21"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RESULTS</w:t>
      </w:r>
    </w:p>
    <w:p w14:paraId="568CC336" w14:textId="72CF529B"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i/>
          <w:iCs/>
          <w:caps/>
          <w:color w:val="000000"/>
        </w:rPr>
        <w:t>d</w:t>
      </w:r>
      <w:r w:rsidRPr="003945C7">
        <w:rPr>
          <w:rFonts w:ascii="Book Antiqua" w:eastAsia="Book Antiqua" w:hAnsi="Book Antiqua" w:cs="Book Antiqua"/>
          <w:b/>
          <w:bCs/>
          <w:i/>
          <w:iCs/>
          <w:color w:val="000000"/>
        </w:rPr>
        <w:t>emographic analys</w:t>
      </w:r>
      <w:r w:rsidR="00524639" w:rsidRPr="003945C7">
        <w:rPr>
          <w:rFonts w:ascii="Book Antiqua" w:eastAsia="Book Antiqua" w:hAnsi="Book Antiqua" w:cs="Book Antiqua"/>
          <w:b/>
          <w:bCs/>
          <w:i/>
          <w:iCs/>
          <w:color w:val="000000"/>
        </w:rPr>
        <w:t>e</w:t>
      </w:r>
      <w:r w:rsidRPr="003945C7">
        <w:rPr>
          <w:rFonts w:ascii="Book Antiqua" w:eastAsia="Book Antiqua" w:hAnsi="Book Antiqua" w:cs="Book Antiqua"/>
          <w:b/>
          <w:bCs/>
          <w:i/>
          <w:iCs/>
          <w:color w:val="000000"/>
        </w:rPr>
        <w:t>s of the sample</w:t>
      </w:r>
    </w:p>
    <w:p w14:paraId="6E9F5846" w14:textId="39224EBF" w:rsidR="00A77B3E" w:rsidRPr="003945C7" w:rsidRDefault="00B1068A" w:rsidP="00C431F1">
      <w:pPr>
        <w:adjustRightInd w:val="0"/>
        <w:snapToGrid w:val="0"/>
        <w:spacing w:line="360" w:lineRule="auto"/>
        <w:jc w:val="both"/>
      </w:pPr>
      <w:r w:rsidRPr="003945C7">
        <w:rPr>
          <w:rFonts w:ascii="Book Antiqua" w:eastAsia="Book Antiqua" w:hAnsi="Book Antiqua" w:cs="Book Antiqua"/>
          <w:color w:val="000000"/>
        </w:rPr>
        <w:t xml:space="preserve">Our final sample consisted of 155 children who were divided into </w:t>
      </w:r>
      <w:r w:rsidR="00524639" w:rsidRPr="003945C7">
        <w:rPr>
          <w:rFonts w:ascii="Book Antiqua" w:eastAsia="Book Antiqua" w:hAnsi="Book Antiqua" w:cs="Book Antiqua"/>
          <w:color w:val="000000"/>
        </w:rPr>
        <w:t xml:space="preserve">two </w:t>
      </w:r>
      <w:r w:rsidRPr="003945C7">
        <w:rPr>
          <w:rFonts w:ascii="Book Antiqua" w:eastAsia="Book Antiqua" w:hAnsi="Book Antiqua" w:cs="Book Antiqua"/>
          <w:color w:val="000000"/>
        </w:rPr>
        <w:t xml:space="preserve">groups according to the histopathological exam: </w:t>
      </w:r>
      <w:r w:rsidR="00753082" w:rsidRPr="003945C7">
        <w:rPr>
          <w:rFonts w:ascii="Book Antiqua" w:eastAsia="Book Antiqua" w:hAnsi="Book Antiqua" w:cs="Book Antiqua"/>
          <w:color w:val="000000"/>
        </w:rPr>
        <w:t>G</w:t>
      </w:r>
      <w:r w:rsidRPr="003945C7">
        <w:rPr>
          <w:rFonts w:ascii="Book Antiqua" w:eastAsia="Book Antiqua" w:hAnsi="Book Antiqua" w:cs="Book Antiqua"/>
          <w:color w:val="000000"/>
        </w:rPr>
        <w:t>roup 1</w:t>
      </w:r>
      <w:r w:rsidR="00524639"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w:t>
      </w:r>
      <w:r w:rsidR="00524639"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48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-induced chronic gastritis</w:t>
      </w:r>
      <w:r w:rsidR="00524639"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group 2 – control group, 107 children without any histopathological changes. We found a similar mean age between the </w:t>
      </w:r>
      <w:r w:rsidR="00524639" w:rsidRPr="003945C7">
        <w:rPr>
          <w:rFonts w:ascii="Book Antiqua" w:eastAsia="Book Antiqua" w:hAnsi="Book Antiqua" w:cs="Book Antiqua"/>
          <w:color w:val="000000"/>
        </w:rPr>
        <w:t xml:space="preserve">two </w:t>
      </w:r>
      <w:r w:rsidRPr="003945C7">
        <w:rPr>
          <w:rFonts w:ascii="Book Antiqua" w:eastAsia="Book Antiqua" w:hAnsi="Book Antiqua" w:cs="Book Antiqua"/>
          <w:color w:val="000000"/>
        </w:rPr>
        <w:t>groups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0.1987), and the girls predominated in both groups without significant difference</w:t>
      </w:r>
      <w:r w:rsidR="00524639"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0.7725). In terms of </w:t>
      </w:r>
      <w:r w:rsidR="00524639"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originating area, </w:t>
      </w:r>
      <w:r w:rsidR="00524639" w:rsidRPr="003945C7">
        <w:rPr>
          <w:rFonts w:ascii="Book Antiqua" w:eastAsia="Book Antiqua" w:hAnsi="Book Antiqua" w:cs="Book Antiqua"/>
          <w:color w:val="000000"/>
        </w:rPr>
        <w:t>there were</w:t>
      </w:r>
      <w:r w:rsidRPr="003945C7">
        <w:rPr>
          <w:rFonts w:ascii="Book Antiqua" w:eastAsia="Book Antiqua" w:hAnsi="Book Antiqua" w:cs="Book Antiqua"/>
          <w:color w:val="000000"/>
        </w:rPr>
        <w:t xml:space="preserve"> significant differences between the study group</w:t>
      </w:r>
      <w:r w:rsidR="00524639"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w:t>
      </w:r>
      <w:r w:rsidR="00524639" w:rsidRPr="003945C7">
        <w:rPr>
          <w:rFonts w:ascii="Book Antiqua" w:eastAsia="Book Antiqua" w:hAnsi="Book Antiqua" w:cs="Book Antiqua"/>
          <w:color w:val="000000"/>
        </w:rPr>
        <w:t xml:space="preserve">namely, </w:t>
      </w:r>
      <w:r w:rsidRPr="003945C7">
        <w:rPr>
          <w:rFonts w:ascii="Book Antiqua" w:eastAsia="Book Antiqua" w:hAnsi="Book Antiqua" w:cs="Book Antiqua"/>
          <w:color w:val="000000"/>
        </w:rPr>
        <w:t>31.25% of the children came from the urban area</w:t>
      </w:r>
      <w:r w:rsidR="00D97EE8"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68.75% from the rural area in comparison to 56.07% from the urban area</w:t>
      </w:r>
      <w:r w:rsidR="00D97EE8"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43.93% from the rural area in</w:t>
      </w:r>
      <w:r w:rsidR="00D97EE8" w:rsidRPr="003945C7">
        <w:rPr>
          <w:rFonts w:ascii="Book Antiqua" w:eastAsia="Book Antiqua" w:hAnsi="Book Antiqua" w:cs="Book Antiqua"/>
          <w:color w:val="000000"/>
        </w:rPr>
        <w:t xml:space="preserve"> the</w:t>
      </w:r>
      <w:r w:rsidRPr="003945C7">
        <w:rPr>
          <w:rFonts w:ascii="Book Antiqua" w:eastAsia="Book Antiqua" w:hAnsi="Book Antiqua" w:cs="Book Antiqua"/>
          <w:color w:val="000000"/>
        </w:rPr>
        <w:t xml:space="preserve"> control group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0.0042). </w:t>
      </w:r>
      <w:r w:rsidR="008010FD" w:rsidRPr="003945C7">
        <w:rPr>
          <w:rFonts w:ascii="Book Antiqua" w:eastAsia="Book Antiqua" w:hAnsi="Book Antiqua" w:cs="Book Antiqua"/>
          <w:color w:val="000000"/>
        </w:rPr>
        <w:t>There were</w:t>
      </w:r>
      <w:r w:rsidRPr="003945C7">
        <w:rPr>
          <w:rFonts w:ascii="Book Antiqua" w:eastAsia="Book Antiqua" w:hAnsi="Book Antiqua" w:cs="Book Antiqua"/>
          <w:color w:val="000000"/>
        </w:rPr>
        <w:t xml:space="preserve"> significant differences in terms of living conditions between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-induced chronic gastritis, 64.59% of cases stating to have good living conditions, and those from the control group, where 92.52% of cases declared liv</w:t>
      </w:r>
      <w:r w:rsidR="00316470" w:rsidRPr="003945C7">
        <w:rPr>
          <w:rFonts w:ascii="Book Antiqua" w:eastAsia="Book Antiqua" w:hAnsi="Book Antiqua" w:cs="Book Antiqua"/>
          <w:color w:val="000000"/>
        </w:rPr>
        <w:t>ing</w:t>
      </w:r>
      <w:r w:rsidRPr="003945C7">
        <w:rPr>
          <w:rFonts w:ascii="Book Antiqua" w:eastAsia="Book Antiqua" w:hAnsi="Book Antiqua" w:cs="Book Antiqua"/>
          <w:color w:val="000000"/>
        </w:rPr>
        <w:t xml:space="preserve"> in good conditions (</w:t>
      </w:r>
      <w:r w:rsidRPr="003945C7">
        <w:rPr>
          <w:rFonts w:ascii="Book Antiqua" w:eastAsia="Book Antiqua" w:hAnsi="Book Antiqua" w:cs="Book Antiqua"/>
          <w:i/>
          <w:iCs/>
          <w:caps/>
          <w:color w:val="000000"/>
        </w:rPr>
        <w:t>p</w:t>
      </w:r>
      <w:r w:rsidRPr="003945C7">
        <w:rPr>
          <w:rFonts w:ascii="Book Antiqua" w:eastAsia="Book Antiqua" w:hAnsi="Book Antiqua" w:cs="Book Antiqua"/>
          <w:color w:val="000000"/>
        </w:rPr>
        <w:t xml:space="preserve"> &lt; 0.0001). The following findings were noticed in terms of TLR9 rs352140 genotypes distribution: </w:t>
      </w:r>
      <w:r w:rsidR="00753082" w:rsidRPr="003945C7">
        <w:rPr>
          <w:rFonts w:ascii="Book Antiqua" w:eastAsia="Book Antiqua" w:hAnsi="Book Antiqua" w:cs="Book Antiqua"/>
          <w:color w:val="000000"/>
        </w:rPr>
        <w:t>I</w:t>
      </w:r>
      <w:r w:rsidRPr="003945C7">
        <w:rPr>
          <w:rFonts w:ascii="Book Antiqua" w:eastAsia="Book Antiqua" w:hAnsi="Book Antiqua" w:cs="Book Antiqua"/>
          <w:color w:val="000000"/>
        </w:rPr>
        <w:t>n the study group</w:t>
      </w:r>
      <w:r w:rsidR="00316470"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43.75% were heterozygotes CT, 33.33% were homozygotes TT and 21.92% were homozygotes CC, whereas in the control group 58.88% were heterozygotes CT, 18.69% were homozygotes TT and 22.43% were homozygotes CC, without any significant differences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0.1075). No significant differences were noticed in terms of gastroesophageal reflux and biliary reflux between the two groups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0.6657/</w:t>
      </w:r>
      <w:r w:rsidRPr="003945C7">
        <w:rPr>
          <w:rFonts w:ascii="Book Antiqua" w:eastAsia="Book Antiqua" w:hAnsi="Book Antiqua" w:cs="Book Antiqua"/>
          <w:i/>
          <w:iCs/>
          <w:color w:val="000000"/>
        </w:rPr>
        <w:t xml:space="preserve">P = </w:t>
      </w:r>
      <w:r w:rsidRPr="003945C7">
        <w:rPr>
          <w:rFonts w:ascii="Book Antiqua" w:eastAsia="Book Antiqua" w:hAnsi="Book Antiqua" w:cs="Book Antiqua"/>
          <w:color w:val="000000"/>
        </w:rPr>
        <w:t xml:space="preserve">0.6095). Both positive immunoglobulin A anti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and rapid urease test were significantly associated </w:t>
      </w:r>
      <w:r w:rsidR="00316470" w:rsidRPr="003945C7">
        <w:rPr>
          <w:rFonts w:ascii="Book Antiqua" w:eastAsia="Book Antiqua" w:hAnsi="Book Antiqua" w:cs="Book Antiqua"/>
          <w:color w:val="000000"/>
        </w:rPr>
        <w:t xml:space="preserve">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t>
      </w:r>
      <w:r w:rsidRPr="003945C7">
        <w:rPr>
          <w:rFonts w:ascii="Book Antiqua" w:eastAsia="Book Antiqua" w:hAnsi="Book Antiqua" w:cs="Book Antiqua"/>
          <w:i/>
          <w:iCs/>
          <w:color w:val="000000"/>
        </w:rPr>
        <w:t xml:space="preserve">P &lt; </w:t>
      </w:r>
      <w:r w:rsidRPr="003945C7">
        <w:rPr>
          <w:rFonts w:ascii="Book Antiqua" w:eastAsia="Book Antiqua" w:hAnsi="Book Antiqua" w:cs="Book Antiqua"/>
          <w:color w:val="000000"/>
        </w:rPr>
        <w:t xml:space="preserve">0.0001). The demographic analysis of the two groups </w:t>
      </w:r>
      <w:r w:rsidR="001D761B" w:rsidRPr="003945C7">
        <w:rPr>
          <w:rFonts w:ascii="Book Antiqua" w:eastAsia="Book Antiqua" w:hAnsi="Book Antiqua" w:cs="Book Antiqua"/>
          <w:color w:val="000000"/>
        </w:rPr>
        <w:t xml:space="preserve">is </w:t>
      </w:r>
      <w:r w:rsidRPr="003945C7">
        <w:rPr>
          <w:rFonts w:ascii="Book Antiqua" w:eastAsia="Book Antiqua" w:hAnsi="Book Antiqua" w:cs="Book Antiqua"/>
          <w:color w:val="000000"/>
        </w:rPr>
        <w:t>presented in Table 1.</w:t>
      </w:r>
    </w:p>
    <w:p w14:paraId="11A3CF67" w14:textId="322FC23B" w:rsidR="00A77B3E" w:rsidRPr="003945C7" w:rsidRDefault="00B1068A" w:rsidP="00C431F1">
      <w:pPr>
        <w:adjustRightInd w:val="0"/>
        <w:snapToGrid w:val="0"/>
        <w:spacing w:line="360" w:lineRule="auto"/>
        <w:ind w:firstLine="270"/>
        <w:jc w:val="both"/>
      </w:pPr>
      <w:r w:rsidRPr="003945C7">
        <w:rPr>
          <w:rFonts w:ascii="Book Antiqua" w:eastAsia="Book Antiqua" w:hAnsi="Book Antiqua" w:cs="Book Antiqua"/>
          <w:color w:val="000000"/>
        </w:rPr>
        <w:lastRenderedPageBreak/>
        <w:t xml:space="preserve">In terms of the assessed hematological parameters, we noticed higher mean values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but significant differences were </w:t>
      </w:r>
      <w:r w:rsidR="00F33D59" w:rsidRPr="003945C7">
        <w:rPr>
          <w:rFonts w:ascii="Book Antiqua" w:eastAsia="Book Antiqua" w:hAnsi="Book Antiqua" w:cs="Book Antiqua"/>
          <w:color w:val="000000"/>
        </w:rPr>
        <w:t xml:space="preserve">only </w:t>
      </w:r>
      <w:r w:rsidRPr="003945C7">
        <w:rPr>
          <w:rFonts w:ascii="Book Antiqua" w:eastAsia="Book Antiqua" w:hAnsi="Book Antiqua" w:cs="Book Antiqua"/>
          <w:color w:val="000000"/>
        </w:rPr>
        <w:t>encountered for leukocytes and neutrophils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0.011/</w:t>
      </w:r>
      <w:r w:rsidRPr="003945C7">
        <w:rPr>
          <w:rFonts w:ascii="Book Antiqua" w:eastAsia="Book Antiqua" w:hAnsi="Book Antiqua" w:cs="Book Antiqua"/>
          <w:i/>
          <w:iCs/>
          <w:color w:val="000000"/>
        </w:rPr>
        <w:t xml:space="preserve">P = </w:t>
      </w:r>
      <w:r w:rsidRPr="003945C7">
        <w:rPr>
          <w:rFonts w:ascii="Book Antiqua" w:eastAsia="Book Antiqua" w:hAnsi="Book Antiqua" w:cs="Book Antiqua"/>
          <w:color w:val="000000"/>
        </w:rPr>
        <w:t xml:space="preserve">0.028). Similar trends were observed for biochemical parameters except </w:t>
      </w:r>
      <w:r w:rsidR="002D741C"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alanine amino transferase value</w:t>
      </w:r>
      <w:r w:rsidR="002D741C"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which was significantly higher in </w:t>
      </w:r>
      <w:r w:rsidR="00BC75C7" w:rsidRPr="003945C7">
        <w:rPr>
          <w:rFonts w:ascii="Book Antiqua" w:eastAsia="Book Antiqua" w:hAnsi="Book Antiqua" w:cs="Book Antiqua"/>
          <w:color w:val="000000"/>
        </w:rPr>
        <w:t>the</w:t>
      </w:r>
      <w:r w:rsidRPr="003945C7">
        <w:rPr>
          <w:rFonts w:ascii="Book Antiqua" w:eastAsia="Book Antiqua" w:hAnsi="Book Antiqua" w:cs="Book Antiqua"/>
          <w:color w:val="000000"/>
        </w:rPr>
        <w:t xml:space="preserve"> control group</w:t>
      </w:r>
      <w:r w:rsidR="00BC75C7"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i/>
          <w:iCs/>
          <w:color w:val="000000"/>
        </w:rPr>
        <w:t>i.e.</w:t>
      </w:r>
      <w:proofErr w:type="gramEnd"/>
      <w:r w:rsidRPr="003945C7">
        <w:rPr>
          <w:rFonts w:ascii="Book Antiqua" w:eastAsia="Book Antiqua" w:hAnsi="Book Antiqua" w:cs="Book Antiqua"/>
          <w:color w:val="000000"/>
        </w:rPr>
        <w:t xml:space="preserve"> 12.65 ± 3.960 U/L </w:t>
      </w:r>
      <w:r w:rsidRPr="003945C7">
        <w:rPr>
          <w:rFonts w:ascii="Book Antiqua" w:eastAsia="Book Antiqua" w:hAnsi="Book Antiqua" w:cs="Book Antiqua"/>
          <w:i/>
          <w:iCs/>
          <w:color w:val="000000"/>
        </w:rPr>
        <w:t>vs</w:t>
      </w:r>
      <w:r w:rsidRPr="003945C7">
        <w:rPr>
          <w:rFonts w:ascii="Book Antiqua" w:eastAsia="Book Antiqua" w:hAnsi="Book Antiqua" w:cs="Book Antiqua"/>
          <w:color w:val="000000"/>
        </w:rPr>
        <w:t xml:space="preserve"> 15.48 ± 11.55 U/L in the study group </w:t>
      </w:r>
      <w:r w:rsidR="00BC75C7" w:rsidRPr="003945C7">
        <w:rPr>
          <w:rFonts w:ascii="Book Antiqua" w:eastAsia="Book Antiqua" w:hAnsi="Book Antiqua" w:cs="Book Antiqua"/>
          <w:color w:val="000000"/>
        </w:rPr>
        <w:t>[</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0.044</w:t>
      </w:r>
      <w:r w:rsidR="00BC75C7"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Assessing the erythrocyte sedimentation rate as an acute phase marker, we found higher values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compared to those in </w:t>
      </w:r>
      <w:r w:rsidR="00BC75C7"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control group, but without statistical significance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0.172).</w:t>
      </w:r>
      <w:r w:rsidR="00C60A5B"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 xml:space="preserve">All </w:t>
      </w:r>
      <w:r w:rsidR="00BC75C7" w:rsidRPr="003945C7">
        <w:rPr>
          <w:rFonts w:ascii="Book Antiqua" w:eastAsia="Book Antiqua" w:hAnsi="Book Antiqua" w:cs="Book Antiqua"/>
          <w:color w:val="000000"/>
        </w:rPr>
        <w:t>of</w:t>
      </w:r>
      <w:proofErr w:type="gramEnd"/>
      <w:r w:rsidR="00BC75C7"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the assessed parameters </w:t>
      </w:r>
      <w:r w:rsidR="00BC75C7" w:rsidRPr="003945C7">
        <w:rPr>
          <w:rFonts w:ascii="Book Antiqua" w:eastAsia="Book Antiqua" w:hAnsi="Book Antiqua" w:cs="Book Antiqua"/>
          <w:color w:val="000000"/>
        </w:rPr>
        <w:t xml:space="preserve">are </w:t>
      </w:r>
      <w:r w:rsidRPr="003945C7">
        <w:rPr>
          <w:rFonts w:ascii="Book Antiqua" w:eastAsia="Book Antiqua" w:hAnsi="Book Antiqua" w:cs="Book Antiqua"/>
          <w:color w:val="000000"/>
        </w:rPr>
        <w:t>described in Table 2.</w:t>
      </w:r>
    </w:p>
    <w:p w14:paraId="5B150D2C" w14:textId="2F8BE4E4" w:rsidR="00A77B3E" w:rsidRPr="003945C7" w:rsidRDefault="00B1068A" w:rsidP="00C431F1">
      <w:pPr>
        <w:adjustRightInd w:val="0"/>
        <w:snapToGrid w:val="0"/>
        <w:spacing w:line="360" w:lineRule="auto"/>
        <w:ind w:firstLine="270"/>
        <w:jc w:val="both"/>
      </w:pPr>
      <w:r w:rsidRPr="003945C7">
        <w:rPr>
          <w:rFonts w:ascii="Book Antiqua" w:eastAsia="Book Antiqua" w:hAnsi="Book Antiqua" w:cs="Book Antiqua"/>
          <w:color w:val="000000"/>
        </w:rPr>
        <w:t>We compared the mean and median values of the laboratory parameters between the two groups and encountered a significant difference in terms of both leucocytes and neutrophils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0.0225/</w:t>
      </w:r>
      <w:r w:rsidRPr="003945C7">
        <w:rPr>
          <w:rFonts w:ascii="Book Antiqua" w:eastAsia="Book Antiqua" w:hAnsi="Book Antiqua" w:cs="Book Antiqua"/>
          <w:i/>
          <w:iCs/>
          <w:color w:val="000000"/>
        </w:rPr>
        <w:t xml:space="preserve">P = </w:t>
      </w:r>
      <w:r w:rsidRPr="003945C7">
        <w:rPr>
          <w:rFonts w:ascii="Book Antiqua" w:eastAsia="Book Antiqua" w:hAnsi="Book Antiqua" w:cs="Book Antiqua"/>
          <w:color w:val="000000"/>
        </w:rPr>
        <w:t xml:space="preserve">0.0292) for </w:t>
      </w:r>
      <w:r w:rsidR="00F44987"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variant TT</w:t>
      </w:r>
      <w:r w:rsidRPr="003945C7">
        <w:rPr>
          <w:rFonts w:ascii="Book Antiqua" w:eastAsia="Book Antiqua" w:hAnsi="Book Antiqua" w:cs="Book Antiqua"/>
          <w:i/>
          <w:iCs/>
          <w:color w:val="000000"/>
        </w:rPr>
        <w:t xml:space="preserve"> </w:t>
      </w:r>
      <w:r w:rsidRPr="003945C7">
        <w:rPr>
          <w:rFonts w:ascii="Book Antiqua" w:eastAsia="Book Antiqua" w:hAnsi="Book Antiqua" w:cs="Book Antiqua"/>
          <w:color w:val="000000"/>
        </w:rPr>
        <w:t xml:space="preserve">genotype of TLR9 rs352140.The results of these comparisons </w:t>
      </w:r>
      <w:r w:rsidR="00F44987" w:rsidRPr="003945C7">
        <w:rPr>
          <w:rFonts w:ascii="Book Antiqua" w:eastAsia="Book Antiqua" w:hAnsi="Book Antiqua" w:cs="Book Antiqua"/>
          <w:color w:val="000000"/>
        </w:rPr>
        <w:t xml:space="preserve">are noted </w:t>
      </w:r>
      <w:r w:rsidRPr="003945C7">
        <w:rPr>
          <w:rFonts w:ascii="Book Antiqua" w:eastAsia="Book Antiqua" w:hAnsi="Book Antiqua" w:cs="Book Antiqua"/>
          <w:color w:val="000000"/>
        </w:rPr>
        <w:t>in Table 3.</w:t>
      </w:r>
    </w:p>
    <w:p w14:paraId="51A7468C" w14:textId="77777777" w:rsidR="00A77B3E" w:rsidRPr="003945C7" w:rsidRDefault="00A77B3E" w:rsidP="001765D0">
      <w:pPr>
        <w:adjustRightInd w:val="0"/>
        <w:snapToGrid w:val="0"/>
        <w:spacing w:line="360" w:lineRule="auto"/>
        <w:ind w:firstLine="480"/>
        <w:jc w:val="both"/>
      </w:pPr>
    </w:p>
    <w:p w14:paraId="194A427A"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DISCUSSION</w:t>
      </w:r>
    </w:p>
    <w:p w14:paraId="50E4FF16" w14:textId="746F9D52" w:rsidR="00A77B3E" w:rsidRPr="003945C7" w:rsidRDefault="00B1068A" w:rsidP="001765D0">
      <w:pPr>
        <w:adjustRightInd w:val="0"/>
        <w:snapToGrid w:val="0"/>
        <w:spacing w:line="360" w:lineRule="auto"/>
        <w:jc w:val="both"/>
      </w:pP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occur</w:t>
      </w:r>
      <w:r w:rsidR="00C14208"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most commonly during early childhood and can result in life-threatening conditions during adulthood if left untreated. Thus, the persistence of acute gastric inflammation associated </w:t>
      </w:r>
      <w:r w:rsidR="00E348AD" w:rsidRPr="003945C7">
        <w:rPr>
          <w:rFonts w:ascii="Book Antiqua" w:eastAsia="Book Antiqua" w:hAnsi="Book Antiqua" w:cs="Book Antiqua"/>
          <w:color w:val="000000"/>
        </w:rPr>
        <w:t>with</w:t>
      </w:r>
      <w:r w:rsidRPr="003945C7">
        <w:rPr>
          <w:rFonts w:ascii="Book Antiqua" w:eastAsia="Book Antiqua" w:hAnsi="Book Antiqua" w:cs="Book Antiqua"/>
          <w:color w:val="000000"/>
        </w:rPr>
        <w:t xml:space="preserve"> this bacterium and its imminent transformation into a chronic process will definitely result in an increased risk for gastric </w:t>
      </w:r>
      <w:proofErr w:type="gramStart"/>
      <w:r w:rsidRPr="003945C7">
        <w:rPr>
          <w:rFonts w:ascii="Book Antiqua" w:eastAsia="Book Antiqua" w:hAnsi="Book Antiqua" w:cs="Book Antiqua"/>
          <w:color w:val="000000"/>
        </w:rPr>
        <w:t>neoplasia</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18]</w:t>
      </w:r>
      <w:r w:rsidRPr="003945C7">
        <w:rPr>
          <w:rFonts w:ascii="Book Antiqua" w:eastAsia="Book Antiqua" w:hAnsi="Book Antiqua" w:cs="Book Antiqua"/>
          <w:color w:val="000000"/>
        </w:rPr>
        <w:t>. Based on this fact, we assess</w:t>
      </w:r>
      <w:r w:rsidR="00E348AD" w:rsidRPr="003945C7">
        <w:rPr>
          <w:rFonts w:ascii="Book Antiqua" w:eastAsia="Book Antiqua" w:hAnsi="Book Antiqua" w:cs="Book Antiqua"/>
          <w:color w:val="000000"/>
        </w:rPr>
        <w:t>ed</w:t>
      </w:r>
      <w:r w:rsidRPr="003945C7">
        <w:rPr>
          <w:rFonts w:ascii="Book Antiqua" w:eastAsia="Book Antiqua" w:hAnsi="Book Antiqua" w:cs="Book Antiqua"/>
          <w:color w:val="000000"/>
        </w:rPr>
        <w:t xml:space="preserve">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to delineate the features associated with this disorder in terms of environmental factors, laboratory parameters</w:t>
      </w:r>
      <w:r w:rsidR="00E348AD"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innate immunity since </w:t>
      </w:r>
      <w:r w:rsidR="00824E82" w:rsidRPr="003945C7">
        <w:rPr>
          <w:rFonts w:ascii="Book Antiqua" w:eastAsia="Book Antiqua" w:hAnsi="Book Antiqua" w:cs="Book Antiqua"/>
          <w:color w:val="000000"/>
        </w:rPr>
        <w:t xml:space="preserve">it is </w:t>
      </w:r>
      <w:r w:rsidRPr="003945C7">
        <w:rPr>
          <w:rFonts w:ascii="Book Antiqua" w:eastAsia="Book Antiqua" w:hAnsi="Book Antiqua" w:cs="Book Antiqua"/>
          <w:color w:val="000000"/>
        </w:rPr>
        <w:t xml:space="preserve">of major importance to define and characterize this disorder at </w:t>
      </w:r>
      <w:r w:rsidR="00824E82" w:rsidRPr="003945C7">
        <w:rPr>
          <w:rFonts w:ascii="Book Antiqua" w:eastAsia="Book Antiqua" w:hAnsi="Book Antiqua" w:cs="Book Antiqua"/>
          <w:color w:val="000000"/>
        </w:rPr>
        <w:t xml:space="preserve">young </w:t>
      </w:r>
      <w:r w:rsidRPr="003945C7">
        <w:rPr>
          <w:rFonts w:ascii="Book Antiqua" w:eastAsia="Book Antiqua" w:hAnsi="Book Antiqua" w:cs="Book Antiqua"/>
          <w:color w:val="000000"/>
        </w:rPr>
        <w:t xml:space="preserve">ages. Several environmental factors </w:t>
      </w:r>
      <w:r w:rsidR="00824E82" w:rsidRPr="003945C7">
        <w:rPr>
          <w:rFonts w:ascii="Book Antiqua" w:eastAsia="Book Antiqua" w:hAnsi="Book Antiqua" w:cs="Book Antiqua"/>
          <w:color w:val="000000"/>
        </w:rPr>
        <w:t>are</w:t>
      </w:r>
      <w:r w:rsidRPr="003945C7">
        <w:rPr>
          <w:rFonts w:ascii="Book Antiqua" w:eastAsia="Book Antiqua" w:hAnsi="Book Antiqua" w:cs="Book Antiqua"/>
          <w:color w:val="000000"/>
        </w:rPr>
        <w:t xml:space="preserve"> associated with an increased risk </w:t>
      </w:r>
      <w:r w:rsidR="00824E82" w:rsidRPr="003945C7">
        <w:rPr>
          <w:rFonts w:ascii="Book Antiqua" w:eastAsia="Book Antiqua" w:hAnsi="Book Antiqua" w:cs="Book Antiqua"/>
          <w:color w:val="000000"/>
        </w:rPr>
        <w:t xml:space="preserve">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such as low socio-economic status, bed</w:t>
      </w:r>
      <w:r w:rsidR="00E348AD"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sharing between children and adults</w:t>
      </w:r>
      <w:r w:rsidR="00824E82" w:rsidRPr="003945C7">
        <w:rPr>
          <w:rFonts w:ascii="Book Antiqua" w:eastAsia="Book Antiqua" w:hAnsi="Book Antiqua" w:cs="Book Antiqua"/>
          <w:color w:val="000000"/>
        </w:rPr>
        <w:t>, and</w:t>
      </w:r>
      <w:r w:rsidRPr="003945C7">
        <w:rPr>
          <w:rFonts w:ascii="Book Antiqua" w:eastAsia="Book Antiqua" w:hAnsi="Book Antiqua" w:cs="Book Antiqua"/>
          <w:color w:val="000000"/>
        </w:rPr>
        <w:t xml:space="preserve"> improper sanitary conditions within the </w:t>
      </w:r>
      <w:proofErr w:type="gramStart"/>
      <w:r w:rsidRPr="003945C7">
        <w:rPr>
          <w:rFonts w:ascii="Book Antiqua" w:eastAsia="Book Antiqua" w:hAnsi="Book Antiqua" w:cs="Book Antiqua"/>
          <w:color w:val="000000"/>
        </w:rPr>
        <w:t>household</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19,20]</w:t>
      </w:r>
      <w:r w:rsidRPr="003945C7">
        <w:rPr>
          <w:rFonts w:ascii="Book Antiqua" w:eastAsia="Book Antiqua" w:hAnsi="Book Antiqua" w:cs="Book Antiqua"/>
          <w:color w:val="000000"/>
        </w:rPr>
        <w:t xml:space="preserve">. Moreover, a study performed </w:t>
      </w:r>
      <w:r w:rsidR="00824E82" w:rsidRPr="003945C7">
        <w:rPr>
          <w:rFonts w:ascii="Book Antiqua" w:eastAsia="Book Antiqua" w:hAnsi="Book Antiqua" w:cs="Book Antiqua"/>
          <w:color w:val="000000"/>
        </w:rPr>
        <w:t xml:space="preserve">in </w:t>
      </w:r>
      <w:r w:rsidRPr="003945C7">
        <w:rPr>
          <w:rFonts w:ascii="Book Antiqua" w:eastAsia="Book Antiqua" w:hAnsi="Book Antiqua" w:cs="Book Antiqua"/>
          <w:color w:val="000000"/>
        </w:rPr>
        <w:t xml:space="preserve">children </w:t>
      </w:r>
      <w:r w:rsidR="00824E82" w:rsidRPr="003945C7">
        <w:rPr>
          <w:rFonts w:ascii="Book Antiqua" w:eastAsia="Book Antiqua" w:hAnsi="Book Antiqua" w:cs="Book Antiqua"/>
          <w:color w:val="000000"/>
        </w:rPr>
        <w:t xml:space="preserve">showed </w:t>
      </w:r>
      <w:r w:rsidRPr="003945C7">
        <w:rPr>
          <w:rFonts w:ascii="Book Antiqua" w:eastAsia="Book Antiqua" w:hAnsi="Book Antiqua" w:cs="Book Antiqua"/>
          <w:color w:val="000000"/>
        </w:rPr>
        <w:t xml:space="preserve">that those originating from the rural area </w:t>
      </w:r>
      <w:r w:rsidR="00824E82" w:rsidRPr="003945C7">
        <w:rPr>
          <w:rFonts w:ascii="Book Antiqua" w:eastAsia="Book Antiqua" w:hAnsi="Book Antiqua" w:cs="Book Antiqua"/>
          <w:color w:val="000000"/>
        </w:rPr>
        <w:t xml:space="preserve">were </w:t>
      </w:r>
      <w:r w:rsidRPr="003945C7">
        <w:rPr>
          <w:rFonts w:ascii="Book Antiqua" w:eastAsia="Book Antiqua" w:hAnsi="Book Antiqua" w:cs="Book Antiqua"/>
          <w:color w:val="000000"/>
        </w:rPr>
        <w:t>more predisposed to develop</w:t>
      </w:r>
      <w:r w:rsidR="00824E82" w:rsidRPr="003945C7">
        <w:rPr>
          <w:rFonts w:ascii="Book Antiqua" w:eastAsia="Book Antiqua" w:hAnsi="Book Antiqua" w:cs="Book Antiqua"/>
          <w:color w:val="000000"/>
        </w:rPr>
        <w:t>ing</w:t>
      </w:r>
      <w:r w:rsidRPr="003945C7">
        <w:rPr>
          <w:rFonts w:ascii="Book Antiqua" w:eastAsia="Book Antiqua" w:hAnsi="Book Antiqua" w:cs="Book Antiqua"/>
          <w:color w:val="000000"/>
        </w:rPr>
        <w:t xml:space="preserve"> gastritis independently of the presence or absence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infection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w:t>
      </w:r>
      <w:r w:rsidRPr="003945C7">
        <w:rPr>
          <w:rFonts w:ascii="Book Antiqua" w:eastAsia="Book Antiqua" w:hAnsi="Book Antiqua" w:cs="Book Antiqua"/>
          <w:color w:val="000000"/>
        </w:rPr>
        <w:t xml:space="preserve">. Similarly, our study revealed that both poor living conditions and rural area might be risk factors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in children. Serology and rapid urease </w:t>
      </w:r>
      <w:r w:rsidRPr="003945C7">
        <w:rPr>
          <w:rFonts w:ascii="Book Antiqua" w:eastAsia="Book Antiqua" w:hAnsi="Book Antiqua" w:cs="Book Antiqua"/>
          <w:color w:val="000000"/>
        </w:rPr>
        <w:lastRenderedPageBreak/>
        <w:t xml:space="preserve">tests might be used as additional tests for diagnosing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but their sole use is not </w:t>
      </w:r>
      <w:proofErr w:type="gramStart"/>
      <w:r w:rsidRPr="003945C7">
        <w:rPr>
          <w:rFonts w:ascii="Book Antiqua" w:eastAsia="Book Antiqua" w:hAnsi="Book Antiqua" w:cs="Book Antiqua"/>
          <w:color w:val="000000"/>
        </w:rPr>
        <w:t>recommended</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7]</w:t>
      </w:r>
      <w:r w:rsidRPr="003945C7">
        <w:rPr>
          <w:rFonts w:ascii="Book Antiqua" w:eastAsia="Book Antiqua" w:hAnsi="Book Antiqua" w:cs="Book Antiqua"/>
          <w:color w:val="000000"/>
        </w:rPr>
        <w:t xml:space="preserve">. Similarly, </w:t>
      </w:r>
      <w:r w:rsidR="00824E82"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false</w:t>
      </w:r>
      <w:r w:rsidR="00824E82"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positive results of </w:t>
      </w:r>
      <w:r w:rsidR="00824E82"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rapid urease test and serology were also </w:t>
      </w:r>
      <w:r w:rsidR="00824E82" w:rsidRPr="003945C7">
        <w:rPr>
          <w:rFonts w:ascii="Book Antiqua" w:eastAsia="Book Antiqua" w:hAnsi="Book Antiqua" w:cs="Book Antiqua"/>
          <w:color w:val="000000"/>
        </w:rPr>
        <w:t xml:space="preserve">observed </w:t>
      </w:r>
      <w:r w:rsidRPr="003945C7">
        <w:rPr>
          <w:rFonts w:ascii="Book Antiqua" w:eastAsia="Book Antiqua" w:hAnsi="Book Antiqua" w:cs="Book Antiqua"/>
          <w:color w:val="000000"/>
        </w:rPr>
        <w:t xml:space="preserve">in our study. In terms of </w:t>
      </w:r>
      <w:r w:rsidR="00824E82"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rapid urease test, a possible explanation might be related to the presence of other urease-secreting bacteria within the stomach, such as Proteus </w:t>
      </w:r>
      <w:proofErr w:type="spellStart"/>
      <w:proofErr w:type="gramStart"/>
      <w:r w:rsidRPr="003945C7">
        <w:rPr>
          <w:rFonts w:ascii="Book Antiqua" w:eastAsia="Book Antiqua" w:hAnsi="Book Antiqua" w:cs="Book Antiqua"/>
          <w:color w:val="000000"/>
        </w:rPr>
        <w:t>spp</w:t>
      </w:r>
      <w:proofErr w:type="spellEnd"/>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21]</w:t>
      </w:r>
      <w:r w:rsidRPr="003945C7">
        <w:rPr>
          <w:rFonts w:ascii="Book Antiqua" w:eastAsia="Book Antiqua" w:hAnsi="Book Antiqua" w:cs="Book Antiqua"/>
          <w:color w:val="000000"/>
        </w:rPr>
        <w:t>, whereas regarding serology, this fact might be due to a previous infection with this bacteria</w:t>
      </w:r>
      <w:r w:rsidRPr="003945C7">
        <w:rPr>
          <w:rFonts w:ascii="Book Antiqua" w:eastAsia="Book Antiqua" w:hAnsi="Book Antiqua" w:cs="Book Antiqua"/>
          <w:color w:val="000000"/>
          <w:szCs w:val="20"/>
          <w:vertAlign w:val="superscript"/>
        </w:rPr>
        <w:t>[7]</w:t>
      </w:r>
    </w:p>
    <w:p w14:paraId="7C1AD4BE" w14:textId="60578C68" w:rsidR="00A77B3E" w:rsidRPr="003945C7" w:rsidRDefault="00B1068A" w:rsidP="00C60A5B">
      <w:pPr>
        <w:adjustRightInd w:val="0"/>
        <w:snapToGrid w:val="0"/>
        <w:spacing w:line="360" w:lineRule="auto"/>
        <w:ind w:firstLine="270"/>
        <w:jc w:val="both"/>
      </w:pPr>
      <w:r w:rsidRPr="003945C7">
        <w:rPr>
          <w:rFonts w:ascii="Book Antiqua" w:eastAsia="Book Antiqua" w:hAnsi="Book Antiqua" w:cs="Book Antiqua"/>
          <w:color w:val="000000"/>
        </w:rPr>
        <w:t xml:space="preserve">Low-grade systemic inflammation associated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t>
      </w:r>
      <w:r w:rsidR="007E2426" w:rsidRPr="003945C7">
        <w:rPr>
          <w:rFonts w:ascii="Book Antiqua" w:eastAsia="Book Antiqua" w:hAnsi="Book Antiqua" w:cs="Book Antiqua"/>
          <w:color w:val="000000"/>
        </w:rPr>
        <w:t xml:space="preserve">has been </w:t>
      </w:r>
      <w:r w:rsidRPr="003945C7">
        <w:rPr>
          <w:rFonts w:ascii="Book Antiqua" w:eastAsia="Book Antiqua" w:hAnsi="Book Antiqua" w:cs="Book Antiqua"/>
          <w:color w:val="000000"/>
        </w:rPr>
        <w:t xml:space="preserve">the </w:t>
      </w:r>
      <w:proofErr w:type="gramStart"/>
      <w:r w:rsidRPr="003945C7">
        <w:rPr>
          <w:rFonts w:ascii="Book Antiqua" w:eastAsia="Book Antiqua" w:hAnsi="Book Antiqua" w:cs="Book Antiqua"/>
          <w:color w:val="000000"/>
        </w:rPr>
        <w:t>main focus</w:t>
      </w:r>
      <w:proofErr w:type="gramEnd"/>
      <w:r w:rsidRPr="003945C7">
        <w:rPr>
          <w:rFonts w:ascii="Book Antiqua" w:eastAsia="Book Antiqua" w:hAnsi="Book Antiqua" w:cs="Book Antiqua"/>
          <w:color w:val="000000"/>
        </w:rPr>
        <w:t xml:space="preserve"> of multiple recent studies. It </w:t>
      </w:r>
      <w:r w:rsidR="007E2426" w:rsidRPr="003945C7">
        <w:rPr>
          <w:rFonts w:ascii="Book Antiqua" w:eastAsia="Book Antiqua" w:hAnsi="Book Antiqua" w:cs="Book Antiqua"/>
          <w:color w:val="000000"/>
        </w:rPr>
        <w:t xml:space="preserve">has been </w:t>
      </w:r>
      <w:r w:rsidRPr="003945C7">
        <w:rPr>
          <w:rFonts w:ascii="Book Antiqua" w:eastAsia="Book Antiqua" w:hAnsi="Book Antiqua" w:cs="Book Antiqua"/>
          <w:color w:val="000000"/>
        </w:rPr>
        <w:t xml:space="preserve">proved that once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colonizes the gastric mucosa</w:t>
      </w:r>
      <w:r w:rsidR="007E2426"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it exert</w:t>
      </w:r>
      <w:r w:rsidR="007E2426"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chemotactic effect</w:t>
      </w:r>
      <w:r w:rsidR="007E2426"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on neutrophils and lymphocytes, which together with other cells present at this level such as mononuclear cells and macrophages as well as several signal</w:t>
      </w:r>
      <w:r w:rsidR="007E2426" w:rsidRPr="003945C7">
        <w:rPr>
          <w:rFonts w:ascii="Book Antiqua" w:eastAsia="Book Antiqua" w:hAnsi="Book Antiqua" w:cs="Book Antiqua"/>
          <w:color w:val="000000"/>
        </w:rPr>
        <w:t>ing</w:t>
      </w:r>
      <w:r w:rsidRPr="003945C7">
        <w:rPr>
          <w:rFonts w:ascii="Book Antiqua" w:eastAsia="Book Antiqua" w:hAnsi="Book Antiqua" w:cs="Book Antiqua"/>
          <w:color w:val="000000"/>
        </w:rPr>
        <w:t xml:space="preserve"> cytokines</w:t>
      </w:r>
      <w:r w:rsidR="007E2426"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result in a low-grade systemic inflammatory </w:t>
      </w:r>
      <w:proofErr w:type="gramStart"/>
      <w:r w:rsidRPr="003945C7">
        <w:rPr>
          <w:rFonts w:ascii="Book Antiqua" w:eastAsia="Book Antiqua" w:hAnsi="Book Antiqua" w:cs="Book Antiqua"/>
          <w:color w:val="000000"/>
        </w:rPr>
        <w:t>status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22]</w:t>
      </w:r>
      <w:r w:rsidRPr="003945C7">
        <w:rPr>
          <w:rFonts w:ascii="Book Antiqua" w:eastAsia="Book Antiqua" w:hAnsi="Book Antiqua" w:cs="Book Antiqua"/>
          <w:color w:val="000000"/>
        </w:rPr>
        <w:t xml:space="preserve">. </w:t>
      </w:r>
      <w:r w:rsidR="007E2426" w:rsidRPr="003945C7">
        <w:rPr>
          <w:rFonts w:ascii="Book Antiqua" w:eastAsia="Book Antiqua" w:hAnsi="Book Antiqua" w:cs="Book Antiqua"/>
          <w:color w:val="000000"/>
        </w:rPr>
        <w:t xml:space="preserve">Other </w:t>
      </w:r>
      <w:r w:rsidRPr="003945C7">
        <w:rPr>
          <w:rFonts w:ascii="Book Antiqua" w:eastAsia="Book Antiqua" w:hAnsi="Book Antiqua" w:cs="Book Antiqua"/>
          <w:color w:val="000000"/>
        </w:rPr>
        <w:t>studies</w:t>
      </w:r>
      <w:r w:rsidR="007E2426" w:rsidRPr="003945C7">
        <w:rPr>
          <w:rFonts w:ascii="Book Antiqua" w:eastAsia="Book Antiqua" w:hAnsi="Book Antiqua" w:cs="Book Antiqua"/>
          <w:color w:val="000000"/>
        </w:rPr>
        <w:t xml:space="preserve"> have</w:t>
      </w:r>
      <w:r w:rsidRPr="003945C7">
        <w:rPr>
          <w:rFonts w:ascii="Book Antiqua" w:eastAsia="Book Antiqua" w:hAnsi="Book Antiqua" w:cs="Book Antiqua"/>
          <w:color w:val="000000"/>
        </w:rPr>
        <w:t xml:space="preserve"> identified a strong association between this inflammatory status associated to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and a wide</w:t>
      </w:r>
      <w:r w:rsidR="007E2426"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spectrum of disorders</w:t>
      </w:r>
      <w:r w:rsidR="007E2426" w:rsidRPr="003945C7">
        <w:rPr>
          <w:rFonts w:ascii="Book Antiqua" w:eastAsia="Book Antiqua" w:hAnsi="Book Antiqua" w:cs="Book Antiqua"/>
          <w:color w:val="000000"/>
        </w:rPr>
        <w:t xml:space="preserve"> such as </w:t>
      </w:r>
      <w:r w:rsidRPr="003945C7">
        <w:rPr>
          <w:rFonts w:ascii="Book Antiqua" w:eastAsia="Book Antiqua" w:hAnsi="Book Antiqua" w:cs="Book Antiqua"/>
          <w:color w:val="000000"/>
        </w:rPr>
        <w:t xml:space="preserve">cardiovascular diseases, stroke, anemia, idiopathic thrombocytopenic purpura, diabetes, glaucoma, thyroid disease, Alzheimer’s disease, rosacea, eczema, </w:t>
      </w:r>
      <w:r w:rsidR="007E2426" w:rsidRPr="003945C7">
        <w:rPr>
          <w:rFonts w:ascii="Book Antiqua" w:eastAsia="Book Antiqua" w:hAnsi="Book Antiqua" w:cs="Book Antiqua"/>
          <w:color w:val="000000"/>
        </w:rPr>
        <w:t xml:space="preserve">and </w:t>
      </w:r>
      <w:r w:rsidRPr="003945C7">
        <w:rPr>
          <w:rFonts w:ascii="Book Antiqua" w:eastAsia="Book Antiqua" w:hAnsi="Book Antiqua" w:cs="Book Antiqua"/>
          <w:color w:val="000000"/>
        </w:rPr>
        <w:t xml:space="preserve">chronic </w:t>
      </w:r>
      <w:proofErr w:type="gramStart"/>
      <w:r w:rsidRPr="003945C7">
        <w:rPr>
          <w:rFonts w:ascii="Book Antiqua" w:eastAsia="Book Antiqua" w:hAnsi="Book Antiqua" w:cs="Book Antiqua"/>
          <w:color w:val="000000"/>
        </w:rPr>
        <w:t>hives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23]</w:t>
      </w:r>
      <w:r w:rsidRPr="003945C7">
        <w:rPr>
          <w:rFonts w:ascii="Book Antiqua" w:eastAsia="Book Antiqua" w:hAnsi="Book Antiqua" w:cs="Book Antiqua"/>
          <w:color w:val="000000"/>
        </w:rPr>
        <w:t xml:space="preserve">. Moreover, </w:t>
      </w:r>
      <w:r w:rsidR="00C725EF" w:rsidRPr="003945C7">
        <w:rPr>
          <w:rFonts w:ascii="Book Antiqua" w:eastAsia="Book Antiqua" w:hAnsi="Book Antiqua" w:cs="Book Antiqua"/>
          <w:color w:val="000000"/>
        </w:rPr>
        <w:t xml:space="preserve">some studies have noted </w:t>
      </w:r>
      <w:r w:rsidRPr="003945C7">
        <w:rPr>
          <w:rFonts w:ascii="Book Antiqua" w:eastAsia="Book Antiqua" w:hAnsi="Book Antiqua" w:cs="Book Antiqua"/>
          <w:color w:val="000000"/>
        </w:rPr>
        <w:t>that elevated level</w:t>
      </w:r>
      <w:r w:rsidR="00C725EF"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antibodies </w:t>
      </w:r>
      <w:r w:rsidR="00C725EF" w:rsidRPr="003945C7">
        <w:rPr>
          <w:rFonts w:ascii="Book Antiqua" w:eastAsia="Book Antiqua" w:hAnsi="Book Antiqua" w:cs="Book Antiqua"/>
          <w:color w:val="000000"/>
        </w:rPr>
        <w:t xml:space="preserve">are </w:t>
      </w:r>
      <w:r w:rsidRPr="003945C7">
        <w:rPr>
          <w:rFonts w:ascii="Book Antiqua" w:eastAsia="Book Antiqua" w:hAnsi="Book Antiqua" w:cs="Book Antiqua"/>
          <w:color w:val="000000"/>
        </w:rPr>
        <w:t xml:space="preserve">significantly correlated with increased systolic blood pressure and arterial stiffness in </w:t>
      </w:r>
      <w:r w:rsidR="00C725EF" w:rsidRPr="003945C7">
        <w:rPr>
          <w:rFonts w:ascii="Book Antiqua" w:eastAsia="Book Antiqua" w:hAnsi="Book Antiqua" w:cs="Book Antiqua"/>
          <w:color w:val="000000"/>
        </w:rPr>
        <w:t xml:space="preserve">patients with </w:t>
      </w:r>
      <w:proofErr w:type="gramStart"/>
      <w:r w:rsidRPr="003945C7">
        <w:rPr>
          <w:rFonts w:ascii="Book Antiqua" w:eastAsia="Book Antiqua" w:hAnsi="Book Antiqua" w:cs="Book Antiqua"/>
          <w:color w:val="000000"/>
        </w:rPr>
        <w:t>diabet</w:t>
      </w:r>
      <w:r w:rsidR="00C725EF" w:rsidRPr="003945C7">
        <w:rPr>
          <w:rFonts w:ascii="Book Antiqua" w:eastAsia="Book Antiqua" w:hAnsi="Book Antiqua" w:cs="Book Antiqua"/>
          <w:color w:val="000000"/>
        </w:rPr>
        <w:t>es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24]</w:t>
      </w:r>
      <w:r w:rsidRPr="003945C7">
        <w:rPr>
          <w:rFonts w:ascii="Book Antiqua" w:eastAsia="Book Antiqua" w:hAnsi="Book Antiqua" w:cs="Book Antiqua"/>
          <w:color w:val="000000"/>
        </w:rPr>
        <w:t xml:space="preserve"> </w:t>
      </w:r>
      <w:r w:rsidR="00C725EF" w:rsidRPr="003945C7">
        <w:rPr>
          <w:rFonts w:ascii="Book Antiqua" w:eastAsia="Book Antiqua" w:hAnsi="Book Antiqua" w:cs="Book Antiqua"/>
          <w:color w:val="000000"/>
        </w:rPr>
        <w:t>and</w:t>
      </w:r>
      <w:r w:rsidRPr="003945C7">
        <w:rPr>
          <w:rFonts w:ascii="Book Antiqua" w:eastAsia="Book Antiqua" w:hAnsi="Book Antiqua" w:cs="Book Antiqua"/>
          <w:color w:val="000000"/>
        </w:rPr>
        <w:t xml:space="preserve"> coronary artery disease</w:t>
      </w:r>
      <w:r w:rsidRPr="003945C7">
        <w:rPr>
          <w:rFonts w:ascii="Book Antiqua" w:eastAsia="Book Antiqua" w:hAnsi="Book Antiqua" w:cs="Book Antiqua"/>
          <w:color w:val="000000"/>
          <w:szCs w:val="20"/>
          <w:vertAlign w:val="superscript"/>
        </w:rPr>
        <w:t>[25]</w:t>
      </w:r>
      <w:r w:rsidRPr="003945C7">
        <w:rPr>
          <w:rFonts w:ascii="Book Antiqua" w:eastAsia="Book Antiqua" w:hAnsi="Book Antiqua" w:cs="Book Antiqua"/>
          <w:color w:val="000000"/>
        </w:rPr>
        <w:t xml:space="preserve">. Most of the studies that </w:t>
      </w:r>
      <w:r w:rsidR="00C725EF" w:rsidRPr="003945C7">
        <w:rPr>
          <w:rFonts w:ascii="Book Antiqua" w:eastAsia="Book Antiqua" w:hAnsi="Book Antiqua" w:cs="Book Antiqua"/>
          <w:color w:val="000000"/>
        </w:rPr>
        <w:t xml:space="preserve">have </w:t>
      </w:r>
      <w:r w:rsidRPr="003945C7">
        <w:rPr>
          <w:rFonts w:ascii="Book Antiqua" w:eastAsia="Book Antiqua" w:hAnsi="Book Antiqua" w:cs="Book Antiqua"/>
          <w:color w:val="000000"/>
        </w:rPr>
        <w:t xml:space="preserve">aimed to assess the markers of this systemic inflammatory status </w:t>
      </w:r>
      <w:r w:rsidR="00C725EF" w:rsidRPr="003945C7">
        <w:rPr>
          <w:rFonts w:ascii="Book Antiqua" w:eastAsia="Book Antiqua" w:hAnsi="Book Antiqua" w:cs="Book Antiqua"/>
          <w:color w:val="000000"/>
        </w:rPr>
        <w:t xml:space="preserve">have been </w:t>
      </w:r>
      <w:r w:rsidRPr="003945C7">
        <w:rPr>
          <w:rFonts w:ascii="Book Antiqua" w:eastAsia="Book Antiqua" w:hAnsi="Book Antiqua" w:cs="Book Antiqua"/>
          <w:color w:val="000000"/>
        </w:rPr>
        <w:t xml:space="preserve">performed </w:t>
      </w:r>
      <w:r w:rsidR="00C725EF" w:rsidRPr="003945C7">
        <w:rPr>
          <w:rFonts w:ascii="Book Antiqua" w:eastAsia="Book Antiqua" w:hAnsi="Book Antiqua" w:cs="Book Antiqua"/>
          <w:color w:val="000000"/>
        </w:rPr>
        <w:t>i</w:t>
      </w:r>
      <w:r w:rsidRPr="003945C7">
        <w:rPr>
          <w:rFonts w:ascii="Book Antiqua" w:eastAsia="Book Antiqua" w:hAnsi="Book Antiqua" w:cs="Book Antiqua"/>
          <w:color w:val="000000"/>
        </w:rPr>
        <w:t xml:space="preserve">n adult populations and proved that acute phase reactants are significantly higher in patients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infection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26]</w:t>
      </w:r>
      <w:r w:rsidRPr="003945C7">
        <w:rPr>
          <w:rFonts w:ascii="Book Antiqua" w:eastAsia="Book Antiqua" w:hAnsi="Book Antiqua" w:cs="Book Antiqua"/>
          <w:color w:val="000000"/>
        </w:rPr>
        <w:t xml:space="preserve">. Thus, a study that included 50 adult patients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-induced gastritis and 50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-negative gastritis </w:t>
      </w:r>
      <w:r w:rsidR="00C725EF" w:rsidRPr="003945C7">
        <w:rPr>
          <w:rFonts w:ascii="Book Antiqua" w:eastAsia="Book Antiqua" w:hAnsi="Book Antiqua" w:cs="Book Antiqua"/>
          <w:color w:val="000000"/>
        </w:rPr>
        <w:t>showed</w:t>
      </w:r>
      <w:r w:rsidRPr="003945C7">
        <w:rPr>
          <w:rFonts w:ascii="Book Antiqua" w:eastAsia="Book Antiqua" w:hAnsi="Book Antiqua" w:cs="Book Antiqua"/>
          <w:color w:val="000000"/>
        </w:rPr>
        <w:t xml:space="preserve"> higher values of leukocytes, lymphocytes</w:t>
      </w:r>
      <w:r w:rsidR="00C725EF"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and neutrophils in patients with gastritis induced by this infection compared to those with other types of </w:t>
      </w:r>
      <w:proofErr w:type="gramStart"/>
      <w:r w:rsidRPr="003945C7">
        <w:rPr>
          <w:rFonts w:ascii="Book Antiqua" w:eastAsia="Book Antiqua" w:hAnsi="Book Antiqua" w:cs="Book Antiqua"/>
          <w:color w:val="000000"/>
        </w:rPr>
        <w:t>gastritis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27]</w:t>
      </w:r>
      <w:r w:rsidRPr="003945C7">
        <w:rPr>
          <w:rFonts w:ascii="Book Antiqua" w:eastAsia="Book Antiqua" w:hAnsi="Book Antiqua" w:cs="Book Antiqua"/>
          <w:color w:val="000000"/>
        </w:rPr>
        <w:t>. White blood cell subtype along with NLR and platelet/</w:t>
      </w:r>
      <w:r w:rsidR="00C725EF" w:rsidRPr="003945C7">
        <w:rPr>
          <w:rFonts w:ascii="Book Antiqua" w:eastAsia="Book Antiqua" w:hAnsi="Book Antiqua" w:cs="Book Antiqua"/>
          <w:color w:val="000000"/>
        </w:rPr>
        <w:t>l</w:t>
      </w:r>
      <w:r w:rsidRPr="003945C7">
        <w:rPr>
          <w:rFonts w:ascii="Book Antiqua" w:eastAsia="Book Antiqua" w:hAnsi="Book Antiqua" w:cs="Book Antiqua"/>
          <w:color w:val="000000"/>
        </w:rPr>
        <w:t>ymphocyte ratio</w:t>
      </w:r>
      <w:r w:rsidR="00C725EF" w:rsidRPr="003945C7">
        <w:rPr>
          <w:rFonts w:ascii="Book Antiqua" w:eastAsia="Book Antiqua" w:hAnsi="Book Antiqua" w:cs="Book Antiqua"/>
          <w:color w:val="000000"/>
        </w:rPr>
        <w:t xml:space="preserve"> (PLR)</w:t>
      </w:r>
      <w:r w:rsidRPr="003945C7">
        <w:rPr>
          <w:rFonts w:ascii="Book Antiqua" w:eastAsia="Book Antiqua" w:hAnsi="Book Antiqua" w:cs="Book Antiqua"/>
          <w:color w:val="000000"/>
        </w:rPr>
        <w:t xml:space="preserve"> also proved their utility in assessing systemic inflammation</w:t>
      </w:r>
      <w:r w:rsidR="00C725EF" w:rsidRPr="003945C7">
        <w:rPr>
          <w:rFonts w:ascii="Book Antiqua" w:eastAsia="Book Antiqua" w:hAnsi="Book Antiqua" w:cs="Book Antiqua"/>
          <w:color w:val="000000"/>
        </w:rPr>
        <w:t xml:space="preserve"> </w:t>
      </w:r>
      <w:r w:rsidRPr="003945C7">
        <w:rPr>
          <w:rFonts w:ascii="Book Antiqua" w:eastAsia="Book Antiqua" w:hAnsi="Book Antiqua" w:cs="Book Antiqua"/>
          <w:color w:val="000000"/>
        </w:rPr>
        <w:t xml:space="preserve">associated </w:t>
      </w:r>
      <w:r w:rsidR="00C725EF" w:rsidRPr="003945C7">
        <w:rPr>
          <w:rFonts w:ascii="Book Antiqua" w:eastAsia="Book Antiqua" w:hAnsi="Book Antiqua" w:cs="Book Antiqua"/>
          <w:color w:val="000000"/>
        </w:rPr>
        <w:t xml:space="preserve">with </w:t>
      </w:r>
      <w:r w:rsidRPr="003945C7">
        <w:rPr>
          <w:rFonts w:ascii="Book Antiqua" w:eastAsia="Book Antiqua" w:hAnsi="Book Antiqua" w:cs="Book Antiqua"/>
          <w:color w:val="000000"/>
        </w:rPr>
        <w:t xml:space="preserve">pediatric </w:t>
      </w:r>
      <w:proofErr w:type="gramStart"/>
      <w:r w:rsidRPr="003945C7">
        <w:rPr>
          <w:rFonts w:ascii="Book Antiqua" w:eastAsia="Book Antiqua" w:hAnsi="Book Antiqua" w:cs="Book Antiqua"/>
          <w:color w:val="000000"/>
        </w:rPr>
        <w:t>obesity</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28]</w:t>
      </w:r>
      <w:r w:rsidRPr="003945C7">
        <w:rPr>
          <w:rFonts w:ascii="Book Antiqua" w:eastAsia="Book Antiqua" w:hAnsi="Book Antiqua" w:cs="Book Antiqua"/>
          <w:color w:val="000000"/>
        </w:rPr>
        <w:t xml:space="preserve">. In terms of pediatric gastritis, the scarcity of available information hinders establishment of </w:t>
      </w:r>
      <w:r w:rsidR="00C725EF"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precise role of these biomarkers in assessing the systemic inflammatory status related to this infection. Thus, our team </w:t>
      </w:r>
      <w:r w:rsidR="00C725EF" w:rsidRPr="003945C7">
        <w:rPr>
          <w:rFonts w:ascii="Book Antiqua" w:eastAsia="Book Antiqua" w:hAnsi="Book Antiqua" w:cs="Book Antiqua"/>
          <w:color w:val="000000"/>
        </w:rPr>
        <w:t xml:space="preserve">has </w:t>
      </w:r>
      <w:r w:rsidRPr="003945C7">
        <w:rPr>
          <w:rFonts w:ascii="Book Antiqua" w:eastAsia="Book Antiqua" w:hAnsi="Book Antiqua" w:cs="Book Antiqua"/>
          <w:color w:val="000000"/>
        </w:rPr>
        <w:t xml:space="preserve">focused </w:t>
      </w:r>
      <w:r w:rsidR="00C725EF" w:rsidRPr="003945C7">
        <w:rPr>
          <w:rFonts w:ascii="Book Antiqua" w:eastAsia="Book Antiqua" w:hAnsi="Book Antiqua" w:cs="Book Antiqua"/>
          <w:color w:val="000000"/>
        </w:rPr>
        <w:t>on</w:t>
      </w:r>
      <w:r w:rsidRPr="003945C7">
        <w:rPr>
          <w:rFonts w:ascii="Book Antiqua" w:eastAsia="Book Antiqua" w:hAnsi="Book Antiqua" w:cs="Book Antiqua"/>
          <w:color w:val="000000"/>
        </w:rPr>
        <w:t xml:space="preserve"> clarify</w:t>
      </w:r>
      <w:r w:rsidR="00C725EF" w:rsidRPr="003945C7">
        <w:rPr>
          <w:rFonts w:ascii="Book Antiqua" w:eastAsia="Book Antiqua" w:hAnsi="Book Antiqua" w:cs="Book Antiqua"/>
          <w:color w:val="000000"/>
        </w:rPr>
        <w:t>ing</w:t>
      </w:r>
      <w:r w:rsidRPr="003945C7">
        <w:rPr>
          <w:rFonts w:ascii="Book Antiqua" w:eastAsia="Book Antiqua" w:hAnsi="Book Antiqua" w:cs="Book Antiqua"/>
          <w:color w:val="000000"/>
        </w:rPr>
        <w:t xml:space="preserve"> this issue, and we found that </w:t>
      </w:r>
      <w:r w:rsidRPr="003945C7">
        <w:rPr>
          <w:rFonts w:ascii="Book Antiqua" w:eastAsia="Book Antiqua" w:hAnsi="Book Antiqua" w:cs="Book Antiqua"/>
          <w:color w:val="000000"/>
        </w:rPr>
        <w:lastRenderedPageBreak/>
        <w:t xml:space="preserve">leukocyte and neutrophil counts are important indicators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-positive gastritis in children, but we </w:t>
      </w:r>
      <w:r w:rsidR="00C725EF" w:rsidRPr="003945C7">
        <w:rPr>
          <w:rFonts w:ascii="Book Antiqua" w:eastAsia="Book Antiqua" w:hAnsi="Book Antiqua" w:cs="Book Antiqua"/>
          <w:color w:val="000000"/>
        </w:rPr>
        <w:t xml:space="preserve">did not </w:t>
      </w:r>
      <w:r w:rsidRPr="003945C7">
        <w:rPr>
          <w:rFonts w:ascii="Book Antiqua" w:eastAsia="Book Antiqua" w:hAnsi="Book Antiqua" w:cs="Book Antiqua"/>
          <w:color w:val="000000"/>
        </w:rPr>
        <w:t xml:space="preserve">identify any association between this infection and NLR, nor </w:t>
      </w:r>
      <w:proofErr w:type="gramStart"/>
      <w:r w:rsidRPr="003945C7">
        <w:rPr>
          <w:rFonts w:ascii="Book Antiqua" w:eastAsia="Book Antiqua" w:hAnsi="Book Antiqua" w:cs="Book Antiqua"/>
          <w:color w:val="000000"/>
        </w:rPr>
        <w:t>PLR</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3,29]</w:t>
      </w:r>
      <w:r w:rsidRPr="003945C7">
        <w:rPr>
          <w:rFonts w:ascii="Book Antiqua" w:eastAsia="Book Antiqua" w:hAnsi="Book Antiqua" w:cs="Book Antiqua"/>
          <w:color w:val="000000"/>
        </w:rPr>
        <w:t>. Moreover, lymphocyte count might be a better marker for non-</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gastritis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w:t>
      </w:r>
      <w:r w:rsidRPr="003945C7">
        <w:rPr>
          <w:rFonts w:ascii="Book Antiqua" w:eastAsia="Book Antiqua" w:hAnsi="Book Antiqua" w:cs="Book Antiqua"/>
          <w:color w:val="000000"/>
        </w:rPr>
        <w:t xml:space="preserve">. </w:t>
      </w:r>
      <w:r w:rsidR="00F969CA" w:rsidRPr="003945C7">
        <w:rPr>
          <w:rFonts w:ascii="Book Antiqua" w:eastAsia="Book Antiqua" w:hAnsi="Book Antiqua" w:cs="Book Antiqua"/>
          <w:color w:val="000000"/>
        </w:rPr>
        <w:t>N</w:t>
      </w:r>
      <w:r w:rsidRPr="003945C7">
        <w:rPr>
          <w:rFonts w:ascii="Book Antiqua" w:eastAsia="Book Antiqua" w:hAnsi="Book Antiqua" w:cs="Book Antiqua"/>
          <w:color w:val="000000"/>
        </w:rPr>
        <w:t xml:space="preserve">eutrophils might </w:t>
      </w:r>
      <w:r w:rsidR="00F969CA" w:rsidRPr="003945C7">
        <w:rPr>
          <w:rFonts w:ascii="Book Antiqua" w:eastAsia="Book Antiqua" w:hAnsi="Book Antiqua" w:cs="Book Antiqua"/>
          <w:color w:val="000000"/>
        </w:rPr>
        <w:t xml:space="preserve">better </w:t>
      </w:r>
      <w:r w:rsidRPr="003945C7">
        <w:rPr>
          <w:rFonts w:ascii="Book Antiqua" w:eastAsia="Book Antiqua" w:hAnsi="Book Antiqua" w:cs="Book Antiqua"/>
          <w:color w:val="000000"/>
        </w:rPr>
        <w:t>reflect the inflammation, while lymphocytes could be a better indicator of the body</w:t>
      </w:r>
      <w:r w:rsidR="00F969CA"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nutritional status and general </w:t>
      </w:r>
      <w:proofErr w:type="gramStart"/>
      <w:r w:rsidRPr="003945C7">
        <w:rPr>
          <w:rFonts w:ascii="Book Antiqua" w:eastAsia="Book Antiqua" w:hAnsi="Book Antiqua" w:cs="Book Antiqua"/>
          <w:color w:val="000000"/>
        </w:rPr>
        <w:t>stress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30]</w:t>
      </w:r>
      <w:r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Similar to</w:t>
      </w:r>
      <w:proofErr w:type="gramEnd"/>
      <w:r w:rsidRPr="003945C7">
        <w:rPr>
          <w:rFonts w:ascii="Book Antiqua" w:eastAsia="Book Antiqua" w:hAnsi="Book Antiqua" w:cs="Book Antiqua"/>
          <w:color w:val="000000"/>
        </w:rPr>
        <w:t xml:space="preserve"> the aforementioned findings, our study also </w:t>
      </w:r>
      <w:r w:rsidR="00F969CA" w:rsidRPr="003945C7">
        <w:rPr>
          <w:rFonts w:ascii="Book Antiqua" w:eastAsia="Book Antiqua" w:hAnsi="Book Antiqua" w:cs="Book Antiqua"/>
          <w:color w:val="000000"/>
        </w:rPr>
        <w:t xml:space="preserve">showed </w:t>
      </w:r>
      <w:r w:rsidRPr="003945C7">
        <w:rPr>
          <w:rFonts w:ascii="Book Antiqua" w:eastAsia="Book Antiqua" w:hAnsi="Book Antiqua" w:cs="Book Antiqua"/>
          <w:color w:val="000000"/>
        </w:rPr>
        <w:t xml:space="preserve">significantly higher values of both leukocytes and neutrophils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compared to </w:t>
      </w:r>
      <w:r w:rsidR="00F969CA"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healthy controls, but failed </w:t>
      </w:r>
      <w:r w:rsidR="00F969CA" w:rsidRPr="003945C7">
        <w:rPr>
          <w:rFonts w:ascii="Book Antiqua" w:eastAsia="Book Antiqua" w:hAnsi="Book Antiqua" w:cs="Book Antiqua"/>
          <w:color w:val="000000"/>
        </w:rPr>
        <w:t>to</w:t>
      </w:r>
      <w:r w:rsidRPr="003945C7">
        <w:rPr>
          <w:rFonts w:ascii="Book Antiqua" w:eastAsia="Book Antiqua" w:hAnsi="Book Antiqua" w:cs="Book Antiqua"/>
          <w:color w:val="000000"/>
        </w:rPr>
        <w:t xml:space="preserve"> establish an association with NLR. </w:t>
      </w:r>
    </w:p>
    <w:p w14:paraId="2C60707D" w14:textId="1566B4E5" w:rsidR="00A77B3E" w:rsidRPr="003945C7" w:rsidRDefault="00B1068A" w:rsidP="00524639">
      <w:pPr>
        <w:adjustRightInd w:val="0"/>
        <w:snapToGrid w:val="0"/>
        <w:spacing w:line="360" w:lineRule="auto"/>
        <w:ind w:firstLine="270"/>
        <w:jc w:val="both"/>
      </w:pPr>
      <w:r w:rsidRPr="003945C7">
        <w:rPr>
          <w:rFonts w:ascii="Book Antiqua" w:eastAsia="Book Antiqua" w:hAnsi="Book Antiqua" w:cs="Book Antiqua"/>
          <w:color w:val="000000"/>
        </w:rPr>
        <w:t xml:space="preserve">TLR9 is an endosome-transmembrane receptor with an essential role in the DNA recognition of both pathogens and damaged host cells </w:t>
      </w:r>
      <w:r w:rsidRPr="003945C7">
        <w:rPr>
          <w:rFonts w:ascii="Book Antiqua" w:eastAsia="Book Antiqua" w:hAnsi="Book Antiqua" w:cs="Book Antiqua"/>
          <w:i/>
          <w:iCs/>
          <w:color w:val="000000"/>
        </w:rPr>
        <w:t>via</w:t>
      </w:r>
      <w:r w:rsidRPr="003945C7">
        <w:rPr>
          <w:rFonts w:ascii="Book Antiqua" w:eastAsia="Book Antiqua" w:hAnsi="Book Antiqua" w:cs="Book Antiqua"/>
          <w:color w:val="000000"/>
        </w:rPr>
        <w:t xml:space="preserve"> saccharide backbone, a structural component, in a sequence-independent </w:t>
      </w:r>
      <w:proofErr w:type="gramStart"/>
      <w:r w:rsidRPr="003945C7">
        <w:rPr>
          <w:rFonts w:ascii="Book Antiqua" w:eastAsia="Book Antiqua" w:hAnsi="Book Antiqua" w:cs="Book Antiqua"/>
          <w:color w:val="000000"/>
        </w:rPr>
        <w:t>manner</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15]</w:t>
      </w:r>
      <w:r w:rsidRPr="003945C7">
        <w:rPr>
          <w:rFonts w:ascii="Book Antiqua" w:eastAsia="Book Antiqua" w:hAnsi="Book Antiqua" w:cs="Book Antiqua"/>
          <w:color w:val="000000"/>
        </w:rPr>
        <w:t xml:space="preserve">. A study that compared </w:t>
      </w:r>
      <w:r w:rsidRPr="003945C7">
        <w:rPr>
          <w:rFonts w:ascii="Book Antiqua" w:eastAsia="Book Antiqua" w:hAnsi="Book Antiqua" w:cs="Book Antiqua"/>
          <w:i/>
          <w:iCs/>
          <w:color w:val="000000"/>
        </w:rPr>
        <w:t>H. pylori</w:t>
      </w:r>
      <w:r w:rsidR="00F969CA"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infected individuals with healthy controls </w:t>
      </w:r>
      <w:r w:rsidR="00F969CA" w:rsidRPr="003945C7">
        <w:rPr>
          <w:rFonts w:ascii="Book Antiqua" w:eastAsia="Book Antiqua" w:hAnsi="Book Antiqua" w:cs="Book Antiqua"/>
          <w:color w:val="000000"/>
        </w:rPr>
        <w:t xml:space="preserve">showed </w:t>
      </w:r>
      <w:r w:rsidRPr="003945C7">
        <w:rPr>
          <w:rFonts w:ascii="Book Antiqua" w:eastAsia="Book Antiqua" w:hAnsi="Book Antiqua" w:cs="Book Antiqua"/>
          <w:color w:val="000000"/>
        </w:rPr>
        <w:t xml:space="preserve">a distinct distribution in these individuals, </w:t>
      </w:r>
      <w:r w:rsidR="00F969CA" w:rsidRPr="003945C7">
        <w:rPr>
          <w:rFonts w:ascii="Book Antiqua" w:eastAsia="Book Antiqua" w:hAnsi="Book Antiqua" w:cs="Book Antiqua"/>
          <w:color w:val="000000"/>
        </w:rPr>
        <w:t>with</w:t>
      </w:r>
      <w:r w:rsidRPr="003945C7">
        <w:rPr>
          <w:rFonts w:ascii="Book Antiqua" w:eastAsia="Book Antiqua" w:hAnsi="Book Antiqua" w:cs="Book Antiqua"/>
          <w:color w:val="000000"/>
        </w:rPr>
        <w:t xml:space="preserve"> predominant expression of this TLR in the apical compartment of the gastric epithelium in the control group compared to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-positive ones, where this receptor was mainly encountered in the basolateral </w:t>
      </w:r>
      <w:proofErr w:type="gramStart"/>
      <w:r w:rsidRPr="003945C7">
        <w:rPr>
          <w:rFonts w:ascii="Book Antiqua" w:eastAsia="Book Antiqua" w:hAnsi="Book Antiqua" w:cs="Book Antiqua"/>
          <w:color w:val="000000"/>
        </w:rPr>
        <w:t>compartment</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31]</w:t>
      </w:r>
      <w:r w:rsidRPr="003945C7">
        <w:rPr>
          <w:rFonts w:ascii="Book Antiqua" w:eastAsia="Book Antiqua" w:hAnsi="Book Antiqua" w:cs="Book Antiqua"/>
          <w:color w:val="000000"/>
        </w:rPr>
        <w:t xml:space="preserve">. Controversial findings </w:t>
      </w:r>
      <w:r w:rsidR="00F969CA" w:rsidRPr="003945C7">
        <w:rPr>
          <w:rFonts w:ascii="Book Antiqua" w:eastAsia="Book Antiqua" w:hAnsi="Book Antiqua" w:cs="Book Antiqua"/>
          <w:color w:val="000000"/>
        </w:rPr>
        <w:t xml:space="preserve">have been </w:t>
      </w:r>
      <w:r w:rsidRPr="003945C7">
        <w:rPr>
          <w:rFonts w:ascii="Book Antiqua" w:eastAsia="Book Antiqua" w:hAnsi="Book Antiqua" w:cs="Book Antiqua"/>
          <w:color w:val="000000"/>
        </w:rPr>
        <w:t xml:space="preserve">reported regarding the role of TLR9 in the development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Therefore, a study performed </w:t>
      </w:r>
      <w:r w:rsidR="00F969CA" w:rsidRPr="003945C7">
        <w:rPr>
          <w:rFonts w:ascii="Book Antiqua" w:eastAsia="Book Antiqua" w:hAnsi="Book Antiqua" w:cs="Book Antiqua"/>
          <w:color w:val="000000"/>
        </w:rPr>
        <w:t>i</w:t>
      </w:r>
      <w:r w:rsidRPr="003945C7">
        <w:rPr>
          <w:rFonts w:ascii="Book Antiqua" w:eastAsia="Book Antiqua" w:hAnsi="Book Antiqua" w:cs="Book Antiqua"/>
          <w:color w:val="000000"/>
        </w:rPr>
        <w:t xml:space="preserve">n murine models proved that the recognition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DNA by TLR9 triggers proinflammatory </w:t>
      </w:r>
      <w:proofErr w:type="gramStart"/>
      <w:r w:rsidRPr="003945C7">
        <w:rPr>
          <w:rFonts w:ascii="Book Antiqua" w:eastAsia="Book Antiqua" w:hAnsi="Book Antiqua" w:cs="Book Antiqua"/>
          <w:color w:val="000000"/>
        </w:rPr>
        <w:t>responses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32]</w:t>
      </w:r>
      <w:r w:rsidRPr="003945C7">
        <w:rPr>
          <w:rFonts w:ascii="Book Antiqua" w:eastAsia="Book Antiqua" w:hAnsi="Book Antiqua" w:cs="Book Antiqua"/>
          <w:color w:val="000000"/>
        </w:rPr>
        <w:t xml:space="preserve">, while the study </w:t>
      </w:r>
      <w:r w:rsidR="00F969CA" w:rsidRPr="003945C7">
        <w:rPr>
          <w:rFonts w:ascii="Book Antiqua" w:eastAsia="Book Antiqua" w:hAnsi="Book Antiqua" w:cs="Book Antiqua"/>
          <w:color w:val="000000"/>
        </w:rPr>
        <w:t xml:space="preserve">by </w:t>
      </w:r>
      <w:r w:rsidRPr="003945C7">
        <w:rPr>
          <w:rFonts w:ascii="Book Antiqua" w:eastAsia="Book Antiqua" w:hAnsi="Book Antiqua" w:cs="Book Antiqua"/>
          <w:color w:val="000000"/>
        </w:rPr>
        <w:t xml:space="preserve">Otani </w:t>
      </w:r>
      <w:r w:rsidRPr="003945C7">
        <w:rPr>
          <w:rFonts w:ascii="Book Antiqua" w:eastAsia="Book Antiqua" w:hAnsi="Book Antiqua" w:cs="Book Antiqua"/>
          <w:i/>
          <w:iCs/>
          <w:color w:val="000000"/>
        </w:rPr>
        <w:t>et al</w:t>
      </w:r>
      <w:r w:rsidR="00F969CA" w:rsidRPr="003945C7">
        <w:rPr>
          <w:rFonts w:ascii="Book Antiqua" w:eastAsia="Book Antiqua" w:hAnsi="Book Antiqua" w:cs="Book Antiqua"/>
          <w:color w:val="000000"/>
          <w:szCs w:val="20"/>
          <w:vertAlign w:val="superscript"/>
        </w:rPr>
        <w:t xml:space="preserve">[33] </w:t>
      </w:r>
      <w:r w:rsidRPr="003945C7">
        <w:rPr>
          <w:rFonts w:ascii="Book Antiqua" w:eastAsia="Book Antiqua" w:hAnsi="Book Antiqua" w:cs="Book Antiqua"/>
          <w:color w:val="000000"/>
        </w:rPr>
        <w:t xml:space="preserve">performed </w:t>
      </w:r>
      <w:r w:rsidR="00F969CA" w:rsidRPr="003945C7">
        <w:rPr>
          <w:rFonts w:ascii="Book Antiqua" w:eastAsia="Book Antiqua" w:hAnsi="Book Antiqua" w:cs="Book Antiqua"/>
          <w:color w:val="000000"/>
        </w:rPr>
        <w:t>i</w:t>
      </w:r>
      <w:r w:rsidRPr="003945C7">
        <w:rPr>
          <w:rFonts w:ascii="Book Antiqua" w:eastAsia="Book Antiqua" w:hAnsi="Book Antiqua" w:cs="Book Antiqua"/>
          <w:color w:val="000000"/>
        </w:rPr>
        <w:t xml:space="preserve">n mice </w:t>
      </w:r>
      <w:r w:rsidR="00F969CA" w:rsidRPr="003945C7">
        <w:rPr>
          <w:rFonts w:ascii="Book Antiqua" w:eastAsia="Book Antiqua" w:hAnsi="Book Antiqua" w:cs="Book Antiqua"/>
          <w:color w:val="000000"/>
        </w:rPr>
        <w:t xml:space="preserve">indicated </w:t>
      </w:r>
      <w:r w:rsidRPr="003945C7">
        <w:rPr>
          <w:rFonts w:ascii="Book Antiqua" w:eastAsia="Book Antiqua" w:hAnsi="Book Antiqua" w:cs="Book Antiqua"/>
          <w:color w:val="000000"/>
        </w:rPr>
        <w:t xml:space="preserve">that this receptor might act as a suppressor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during the acute phase of this infection. Based on these findings, </w:t>
      </w:r>
      <w:proofErr w:type="spellStart"/>
      <w:r w:rsidRPr="003945C7">
        <w:rPr>
          <w:rFonts w:ascii="Book Antiqua" w:eastAsia="Book Antiqua" w:hAnsi="Book Antiqua" w:cs="Book Antiqua"/>
          <w:color w:val="000000"/>
        </w:rPr>
        <w:t>Varga</w:t>
      </w:r>
      <w:proofErr w:type="spellEnd"/>
      <w:r w:rsidRPr="003945C7">
        <w:rPr>
          <w:rFonts w:ascii="Book Antiqua" w:eastAsia="Book Antiqua" w:hAnsi="Book Antiqua" w:cs="Book Antiqua"/>
          <w:color w:val="000000"/>
        </w:rPr>
        <w:t xml:space="preserve"> </w:t>
      </w:r>
      <w:r w:rsidRPr="003945C7">
        <w:rPr>
          <w:rFonts w:ascii="Book Antiqua" w:eastAsia="Book Antiqua" w:hAnsi="Book Antiqua" w:cs="Book Antiqua"/>
          <w:i/>
          <w:iCs/>
          <w:color w:val="000000"/>
        </w:rPr>
        <w:t xml:space="preserve">et </w:t>
      </w:r>
      <w:proofErr w:type="gramStart"/>
      <w:r w:rsidRPr="003945C7">
        <w:rPr>
          <w:rFonts w:ascii="Book Antiqua" w:eastAsia="Book Antiqua" w:hAnsi="Book Antiqua" w:cs="Book Antiqua"/>
          <w:i/>
          <w:iCs/>
          <w:color w:val="000000"/>
        </w:rPr>
        <w:t>al</w:t>
      </w:r>
      <w:r w:rsidR="00F969CA" w:rsidRPr="003945C7">
        <w:rPr>
          <w:rFonts w:ascii="Book Antiqua" w:eastAsia="Book Antiqua" w:hAnsi="Book Antiqua" w:cs="Book Antiqua"/>
          <w:color w:val="000000"/>
          <w:szCs w:val="20"/>
          <w:vertAlign w:val="superscript"/>
        </w:rPr>
        <w:t>[</w:t>
      </w:r>
      <w:proofErr w:type="gramEnd"/>
      <w:r w:rsidR="00F969CA" w:rsidRPr="003945C7">
        <w:rPr>
          <w:rFonts w:ascii="Book Antiqua" w:eastAsia="Book Antiqua" w:hAnsi="Book Antiqua" w:cs="Book Antiqua"/>
          <w:color w:val="000000"/>
          <w:szCs w:val="20"/>
          <w:vertAlign w:val="superscript"/>
        </w:rPr>
        <w:t>34]</w:t>
      </w:r>
      <w:r w:rsidRPr="003945C7">
        <w:rPr>
          <w:rFonts w:ascii="Book Antiqua" w:eastAsia="Book Antiqua" w:hAnsi="Book Antiqua" w:cs="Book Antiqua"/>
          <w:color w:val="000000"/>
        </w:rPr>
        <w:t xml:space="preserve"> recently stated that TLR9 might </w:t>
      </w:r>
      <w:r w:rsidR="00F969CA" w:rsidRPr="003945C7">
        <w:rPr>
          <w:rFonts w:ascii="Book Antiqua" w:eastAsia="Book Antiqua" w:hAnsi="Book Antiqua" w:cs="Book Antiqua"/>
          <w:color w:val="000000"/>
        </w:rPr>
        <w:t xml:space="preserve">have </w:t>
      </w:r>
      <w:r w:rsidRPr="003945C7">
        <w:rPr>
          <w:rFonts w:ascii="Book Antiqua" w:eastAsia="Book Antiqua" w:hAnsi="Book Antiqua" w:cs="Book Antiqua"/>
          <w:color w:val="000000"/>
        </w:rPr>
        <w:t>a dichotomous role, and it</w:t>
      </w:r>
      <w:r w:rsidR="00F969CA" w:rsidRPr="003945C7">
        <w:rPr>
          <w:rFonts w:ascii="Book Antiqua" w:eastAsia="Book Antiqua" w:hAnsi="Book Antiqua" w:cs="Book Antiqua"/>
          <w:color w:val="000000"/>
        </w:rPr>
        <w:t>s role in</w:t>
      </w:r>
      <w:r w:rsidRPr="003945C7">
        <w:rPr>
          <w:rFonts w:ascii="Book Antiqua" w:eastAsia="Book Antiqua" w:hAnsi="Book Antiqua" w:cs="Book Antiqua"/>
          <w:color w:val="000000"/>
        </w:rPr>
        <w:t xml:space="preserve"> suppressing or promoting might be influenced by the gastric microenvironment. Thus, the microenvironment that contains inflammatory cells without polarity acts as a trigger for the promotion of proinflammatory cascades </w:t>
      </w:r>
      <w:r w:rsidRPr="003945C7">
        <w:rPr>
          <w:rFonts w:ascii="Book Antiqua" w:eastAsia="Book Antiqua" w:hAnsi="Book Antiqua" w:cs="Book Antiqua"/>
          <w:i/>
          <w:iCs/>
          <w:color w:val="000000"/>
        </w:rPr>
        <w:t>via</w:t>
      </w:r>
      <w:r w:rsidRPr="003945C7">
        <w:rPr>
          <w:rFonts w:ascii="Book Antiqua" w:eastAsia="Book Antiqua" w:hAnsi="Book Antiqua" w:cs="Book Antiqua"/>
          <w:color w:val="000000"/>
        </w:rPr>
        <w:t xml:space="preserve"> TLR9 resulting in the development of gastric </w:t>
      </w:r>
      <w:proofErr w:type="gramStart"/>
      <w:r w:rsidRPr="003945C7">
        <w:rPr>
          <w:rFonts w:ascii="Book Antiqua" w:eastAsia="Book Antiqua" w:hAnsi="Book Antiqua" w:cs="Book Antiqua"/>
          <w:color w:val="000000"/>
        </w:rPr>
        <w:t>cancer</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31,35]</w:t>
      </w:r>
      <w:r w:rsidRPr="003945C7">
        <w:rPr>
          <w:rFonts w:ascii="Book Antiqua" w:eastAsia="Book Antiqua" w:hAnsi="Book Antiqua" w:cs="Book Antiqua"/>
          <w:color w:val="000000"/>
        </w:rPr>
        <w:t>. Moreover, cancer tissue expresse</w:t>
      </w:r>
      <w:r w:rsidR="00317F1A" w:rsidRPr="003945C7">
        <w:rPr>
          <w:rFonts w:ascii="Book Antiqua" w:eastAsia="Book Antiqua" w:hAnsi="Book Antiqua" w:cs="Book Antiqua"/>
          <w:color w:val="000000"/>
        </w:rPr>
        <w:t>s</w:t>
      </w:r>
      <w:r w:rsidRPr="003945C7">
        <w:rPr>
          <w:rFonts w:ascii="Book Antiqua" w:eastAsia="Book Antiqua" w:hAnsi="Book Antiqua" w:cs="Book Antiqua"/>
          <w:color w:val="000000"/>
        </w:rPr>
        <w:t xml:space="preserve"> upregulat</w:t>
      </w:r>
      <w:r w:rsidR="00317F1A" w:rsidRPr="003945C7">
        <w:rPr>
          <w:rFonts w:ascii="Book Antiqua" w:eastAsia="Book Antiqua" w:hAnsi="Book Antiqua" w:cs="Book Antiqua"/>
          <w:color w:val="000000"/>
        </w:rPr>
        <w:t xml:space="preserve">es </w:t>
      </w:r>
      <w:r w:rsidRPr="003945C7">
        <w:rPr>
          <w:rFonts w:ascii="Book Antiqua" w:eastAsia="Book Antiqua" w:hAnsi="Book Antiqua" w:cs="Book Antiqua"/>
          <w:color w:val="000000"/>
        </w:rPr>
        <w:t>TLR9</w:t>
      </w:r>
      <w:r w:rsidRPr="003945C7">
        <w:rPr>
          <w:rFonts w:ascii="Book Antiqua" w:eastAsia="Book Antiqua" w:hAnsi="Book Antiqua" w:cs="Book Antiqua"/>
          <w:color w:val="000000"/>
          <w:szCs w:val="20"/>
          <w:vertAlign w:val="superscript"/>
        </w:rPr>
        <w:t>[15]</w:t>
      </w:r>
      <w:r w:rsidRPr="003945C7">
        <w:rPr>
          <w:rFonts w:ascii="Book Antiqua" w:eastAsia="Book Antiqua" w:hAnsi="Book Antiqua" w:cs="Book Antiqua"/>
          <w:color w:val="000000"/>
        </w:rPr>
        <w:t xml:space="preserve">. Multiple TLR9 single nucleotide polymorphisms (SNPs) were assessed in patients with gastric malignancies. Thus, a study that included 314 Chinese patients with gastric cancer and 314 healthy controls </w:t>
      </w:r>
      <w:r w:rsidR="00317F1A" w:rsidRPr="003945C7">
        <w:rPr>
          <w:rFonts w:ascii="Book Antiqua" w:eastAsia="Book Antiqua" w:hAnsi="Book Antiqua" w:cs="Book Antiqua"/>
          <w:color w:val="000000"/>
        </w:rPr>
        <w:t xml:space="preserve">showed </w:t>
      </w:r>
      <w:r w:rsidRPr="003945C7">
        <w:rPr>
          <w:rFonts w:ascii="Book Antiqua" w:eastAsia="Book Antiqua" w:hAnsi="Book Antiqua" w:cs="Book Antiqua"/>
          <w:color w:val="000000"/>
        </w:rPr>
        <w:t xml:space="preserve">that TLR9 -1486C carriers express both an increased risk </w:t>
      </w:r>
      <w:r w:rsidR="00317F1A" w:rsidRPr="003945C7">
        <w:rPr>
          <w:rFonts w:ascii="Book Antiqua" w:eastAsia="Book Antiqua" w:hAnsi="Book Antiqua" w:cs="Book Antiqua"/>
          <w:color w:val="000000"/>
        </w:rPr>
        <w:t xml:space="preserve">of </w:t>
      </w:r>
      <w:r w:rsidRPr="003945C7">
        <w:rPr>
          <w:rFonts w:ascii="Book Antiqua" w:eastAsia="Book Antiqua" w:hAnsi="Book Antiqua" w:cs="Book Antiqua"/>
          <w:color w:val="000000"/>
        </w:rPr>
        <w:t xml:space="preserve">gastric cancer and a poorer </w:t>
      </w:r>
      <w:proofErr w:type="gramStart"/>
      <w:r w:rsidRPr="003945C7">
        <w:rPr>
          <w:rFonts w:ascii="Book Antiqua" w:eastAsia="Book Antiqua" w:hAnsi="Book Antiqua" w:cs="Book Antiqua"/>
          <w:color w:val="000000"/>
        </w:rPr>
        <w:t>prognosis</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36]</w:t>
      </w:r>
      <w:r w:rsidRPr="003945C7">
        <w:rPr>
          <w:rFonts w:ascii="Book Antiqua" w:eastAsia="Book Antiqua" w:hAnsi="Book Antiqua" w:cs="Book Antiqua"/>
          <w:color w:val="000000"/>
        </w:rPr>
        <w:t xml:space="preserve">. Moreover, a more recent study proved that the </w:t>
      </w:r>
      <w:r w:rsidRPr="003945C7">
        <w:rPr>
          <w:rFonts w:ascii="Book Antiqua" w:eastAsia="Book Antiqua" w:hAnsi="Book Antiqua" w:cs="Book Antiqua"/>
          <w:color w:val="000000"/>
        </w:rPr>
        <w:lastRenderedPageBreak/>
        <w:t xml:space="preserve">2848A allele of TLR9 </w:t>
      </w:r>
      <w:r w:rsidR="003A5CDB" w:rsidRPr="003945C7">
        <w:rPr>
          <w:rFonts w:ascii="Book Antiqua" w:eastAsia="Book Antiqua" w:hAnsi="Book Antiqua" w:cs="Book Antiqua"/>
          <w:color w:val="000000"/>
        </w:rPr>
        <w:t xml:space="preserve">is </w:t>
      </w:r>
      <w:r w:rsidRPr="003945C7">
        <w:rPr>
          <w:rFonts w:ascii="Book Antiqua" w:eastAsia="Book Antiqua" w:hAnsi="Book Antiqua" w:cs="Book Antiqua"/>
          <w:color w:val="000000"/>
        </w:rPr>
        <w:t xml:space="preserve">associated with an increased risk for duodenal ulcer, as well as alteration of inflammatory cytokine expression within the gastric </w:t>
      </w:r>
      <w:proofErr w:type="gramStart"/>
      <w:r w:rsidRPr="003945C7">
        <w:rPr>
          <w:rFonts w:ascii="Book Antiqua" w:eastAsia="Book Antiqua" w:hAnsi="Book Antiqua" w:cs="Book Antiqua"/>
          <w:color w:val="000000"/>
        </w:rPr>
        <w:t>mucosa</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37]</w:t>
      </w:r>
      <w:r w:rsidRPr="003945C7">
        <w:rPr>
          <w:rFonts w:ascii="Book Antiqua" w:eastAsia="Book Antiqua" w:hAnsi="Book Antiqua" w:cs="Book Antiqua"/>
          <w:color w:val="000000"/>
        </w:rPr>
        <w:t xml:space="preserve">. </w:t>
      </w:r>
      <w:r w:rsidR="003A5CDB" w:rsidRPr="003945C7">
        <w:rPr>
          <w:rFonts w:ascii="Book Antiqua" w:eastAsia="Book Antiqua" w:hAnsi="Book Antiqua" w:cs="Book Antiqua"/>
          <w:color w:val="000000"/>
        </w:rPr>
        <w:t>By contrast</w:t>
      </w:r>
      <w:r w:rsidRPr="003945C7">
        <w:rPr>
          <w:rFonts w:ascii="Book Antiqua" w:eastAsia="Book Antiqua" w:hAnsi="Book Antiqua" w:cs="Book Antiqua"/>
          <w:color w:val="000000"/>
        </w:rPr>
        <w:t xml:space="preserve">, no association was encountered between TLR9 rs5743836 (or -1237T/C) promoter polymorphisms and the risk of gastric </w:t>
      </w:r>
      <w:proofErr w:type="gramStart"/>
      <w:r w:rsidRPr="003945C7">
        <w:rPr>
          <w:rFonts w:ascii="Book Antiqua" w:eastAsia="Book Antiqua" w:hAnsi="Book Antiqua" w:cs="Book Antiqua"/>
          <w:color w:val="000000"/>
        </w:rPr>
        <w:t>cancer</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38]</w:t>
      </w:r>
      <w:r w:rsidRPr="003945C7">
        <w:rPr>
          <w:rFonts w:ascii="Book Antiqua" w:eastAsia="Book Antiqua" w:hAnsi="Book Antiqua" w:cs="Book Antiqua"/>
          <w:color w:val="000000"/>
        </w:rPr>
        <w:t xml:space="preserve">. The role of TLR9 rs352140 polymorphism was assessed in patients with different conditions such as renal </w:t>
      </w:r>
      <w:proofErr w:type="gramStart"/>
      <w:r w:rsidRPr="003945C7">
        <w:rPr>
          <w:rFonts w:ascii="Book Antiqua" w:eastAsia="Book Antiqua" w:hAnsi="Book Antiqua" w:cs="Book Antiqua"/>
          <w:color w:val="000000"/>
        </w:rPr>
        <w:t>transplantation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39]</w:t>
      </w:r>
      <w:r w:rsidRPr="003945C7">
        <w:rPr>
          <w:rFonts w:ascii="Book Antiqua" w:eastAsia="Book Antiqua" w:hAnsi="Book Antiqua" w:cs="Book Antiqua"/>
          <w:color w:val="000000"/>
        </w:rPr>
        <w:t>, systemic lupus erythematous</w:t>
      </w:r>
      <w:r w:rsidRPr="003945C7">
        <w:rPr>
          <w:rFonts w:ascii="Book Antiqua" w:eastAsia="Book Antiqua" w:hAnsi="Book Antiqua" w:cs="Book Antiqua"/>
          <w:color w:val="000000"/>
          <w:szCs w:val="20"/>
          <w:vertAlign w:val="superscript"/>
        </w:rPr>
        <w:t>[40]</w:t>
      </w:r>
      <w:r w:rsidRPr="003945C7">
        <w:rPr>
          <w:rFonts w:ascii="Book Antiqua" w:eastAsia="Book Antiqua" w:hAnsi="Book Antiqua" w:cs="Book Antiqua"/>
          <w:color w:val="000000"/>
        </w:rPr>
        <w:t>, bacterial meningitis</w:t>
      </w:r>
      <w:r w:rsidRPr="003945C7">
        <w:rPr>
          <w:rFonts w:ascii="Book Antiqua" w:eastAsia="Book Antiqua" w:hAnsi="Book Antiqua" w:cs="Book Antiqua"/>
          <w:color w:val="000000"/>
          <w:szCs w:val="20"/>
          <w:vertAlign w:val="superscript"/>
        </w:rPr>
        <w:t>[41]</w:t>
      </w:r>
      <w:r w:rsidRPr="003945C7">
        <w:rPr>
          <w:rFonts w:ascii="Book Antiqua" w:eastAsia="Book Antiqua" w:hAnsi="Book Antiqua" w:cs="Book Antiqua"/>
          <w:color w:val="000000"/>
        </w:rPr>
        <w:t>, primary immune thrombocytopenia</w:t>
      </w:r>
      <w:r w:rsidRPr="003945C7">
        <w:rPr>
          <w:rFonts w:ascii="Book Antiqua" w:eastAsia="Book Antiqua" w:hAnsi="Book Antiqua" w:cs="Book Antiqua"/>
          <w:color w:val="000000"/>
          <w:szCs w:val="20"/>
          <w:vertAlign w:val="superscript"/>
        </w:rPr>
        <w:t>[42]</w:t>
      </w:r>
      <w:r w:rsidRPr="003945C7">
        <w:rPr>
          <w:rFonts w:ascii="Book Antiqua" w:eastAsia="Book Antiqua" w:hAnsi="Book Antiqua" w:cs="Book Antiqua"/>
          <w:color w:val="000000"/>
        </w:rPr>
        <w:t>, cervicitis</w:t>
      </w:r>
      <w:r w:rsidRPr="003945C7">
        <w:rPr>
          <w:rFonts w:ascii="Book Antiqua" w:eastAsia="Book Antiqua" w:hAnsi="Book Antiqua" w:cs="Book Antiqua"/>
          <w:color w:val="000000"/>
          <w:szCs w:val="20"/>
          <w:vertAlign w:val="superscript"/>
        </w:rPr>
        <w:t>[43]</w:t>
      </w:r>
      <w:r w:rsidRPr="003945C7">
        <w:rPr>
          <w:rFonts w:ascii="Book Antiqua" w:eastAsia="Book Antiqua" w:hAnsi="Book Antiqua" w:cs="Book Antiqua"/>
          <w:color w:val="000000"/>
        </w:rPr>
        <w:t>, cervical cancer</w:t>
      </w:r>
      <w:r w:rsidRPr="003945C7">
        <w:rPr>
          <w:rFonts w:ascii="Book Antiqua" w:eastAsia="Book Antiqua" w:hAnsi="Book Antiqua" w:cs="Book Antiqua"/>
          <w:color w:val="000000"/>
          <w:szCs w:val="20"/>
          <w:vertAlign w:val="superscript"/>
        </w:rPr>
        <w:t>[44]</w:t>
      </w:r>
      <w:r w:rsidRPr="003945C7">
        <w:rPr>
          <w:rFonts w:ascii="Book Antiqua" w:eastAsia="Book Antiqua" w:hAnsi="Book Antiqua" w:cs="Book Antiqua"/>
          <w:color w:val="000000"/>
        </w:rPr>
        <w:t>, or placental inflammation</w:t>
      </w:r>
      <w:r w:rsidRPr="003945C7">
        <w:rPr>
          <w:rFonts w:ascii="Book Antiqua" w:eastAsia="Book Antiqua" w:hAnsi="Book Antiqua" w:cs="Book Antiqua"/>
          <w:color w:val="000000"/>
          <w:szCs w:val="20"/>
          <w:vertAlign w:val="superscript"/>
        </w:rPr>
        <w:t>[45]</w:t>
      </w:r>
      <w:r w:rsidRPr="003945C7">
        <w:rPr>
          <w:rFonts w:ascii="Book Antiqua" w:eastAsia="Book Antiqua" w:hAnsi="Book Antiqua" w:cs="Book Antiqua"/>
          <w:color w:val="000000"/>
        </w:rPr>
        <w:t xml:space="preserve">. In terms of gastropathy and TLR9 rs352140 SNP, the data are scarce. A recent study performed </w:t>
      </w:r>
      <w:r w:rsidR="00FC415D" w:rsidRPr="003945C7">
        <w:rPr>
          <w:rFonts w:ascii="Book Antiqua" w:eastAsia="Book Antiqua" w:hAnsi="Book Antiqua" w:cs="Book Antiqua"/>
          <w:color w:val="000000"/>
        </w:rPr>
        <w:t>i</w:t>
      </w:r>
      <w:r w:rsidRPr="003945C7">
        <w:rPr>
          <w:rFonts w:ascii="Book Antiqua" w:eastAsia="Book Antiqua" w:hAnsi="Book Antiqua" w:cs="Book Antiqua"/>
          <w:color w:val="000000"/>
        </w:rPr>
        <w:t xml:space="preserve">n adults from India underlined that the heterozygous variant CT genotype of this polymorphism </w:t>
      </w:r>
      <w:r w:rsidR="00FC415D" w:rsidRPr="003945C7">
        <w:rPr>
          <w:rFonts w:ascii="Book Antiqua" w:eastAsia="Book Antiqua" w:hAnsi="Book Antiqua" w:cs="Book Antiqua"/>
          <w:color w:val="000000"/>
        </w:rPr>
        <w:t xml:space="preserve">is </w:t>
      </w:r>
      <w:r w:rsidRPr="003945C7">
        <w:rPr>
          <w:rFonts w:ascii="Book Antiqua" w:eastAsia="Book Antiqua" w:hAnsi="Book Antiqua" w:cs="Book Antiqua"/>
          <w:color w:val="000000"/>
        </w:rPr>
        <w:t xml:space="preserve">significantly associated with the persistence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w:t>
      </w:r>
      <w:proofErr w:type="gramStart"/>
      <w:r w:rsidRPr="003945C7">
        <w:rPr>
          <w:rFonts w:ascii="Book Antiqua" w:eastAsia="Book Antiqua" w:hAnsi="Book Antiqua" w:cs="Book Antiqua"/>
          <w:color w:val="000000"/>
        </w:rPr>
        <w:t>infection</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46]</w:t>
      </w:r>
      <w:r w:rsidRPr="003945C7">
        <w:rPr>
          <w:rFonts w:ascii="Book Antiqua" w:eastAsia="Book Antiqua" w:hAnsi="Book Antiqua" w:cs="Book Antiqua"/>
          <w:color w:val="000000"/>
        </w:rPr>
        <w:t xml:space="preserve">. Nevertheless, our study found no correlation between TLR9 rs352140 genotypes and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-induced chronic gastritis</w:t>
      </w:r>
      <w:r w:rsidR="00F4560A"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suggesting that this TLR might not influence the persistence of this infection in children. Another study that included patients with chronic gastritis, peptic ulcer disease, and gastric carcinoma </w:t>
      </w:r>
      <w:r w:rsidR="0016260C" w:rsidRPr="003945C7">
        <w:rPr>
          <w:rFonts w:ascii="Book Antiqua" w:eastAsia="Book Antiqua" w:hAnsi="Book Antiqua" w:cs="Book Antiqua"/>
          <w:color w:val="000000"/>
        </w:rPr>
        <w:t>showed</w:t>
      </w:r>
      <w:r w:rsidRPr="003945C7">
        <w:rPr>
          <w:rFonts w:ascii="Book Antiqua" w:eastAsia="Book Antiqua" w:hAnsi="Book Antiqua" w:cs="Book Antiqua"/>
          <w:color w:val="000000"/>
        </w:rPr>
        <w:t xml:space="preserve"> that </w:t>
      </w:r>
      <w:r w:rsidR="0016260C"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TT genotype was more commonly expressed by patients from the chronic gastritis </w:t>
      </w:r>
      <w:proofErr w:type="gramStart"/>
      <w:r w:rsidRPr="003945C7">
        <w:rPr>
          <w:rFonts w:ascii="Book Antiqua" w:eastAsia="Book Antiqua" w:hAnsi="Book Antiqua" w:cs="Book Antiqua"/>
          <w:color w:val="000000"/>
        </w:rPr>
        <w:t>group</w:t>
      </w:r>
      <w:r w:rsidRPr="003945C7">
        <w:rPr>
          <w:rFonts w:ascii="Book Antiqua" w:eastAsia="Book Antiqua" w:hAnsi="Book Antiqua" w:cs="Book Antiqua"/>
          <w:color w:val="000000"/>
          <w:szCs w:val="20"/>
          <w:vertAlign w:val="superscript"/>
        </w:rPr>
        <w:t>[</w:t>
      </w:r>
      <w:proofErr w:type="gramEnd"/>
      <w:r w:rsidRPr="003945C7">
        <w:rPr>
          <w:rFonts w:ascii="Book Antiqua" w:eastAsia="Book Antiqua" w:hAnsi="Book Antiqua" w:cs="Book Antiqua"/>
          <w:color w:val="000000"/>
          <w:szCs w:val="20"/>
          <w:vertAlign w:val="superscript"/>
        </w:rPr>
        <w:t>47]</w:t>
      </w:r>
      <w:r w:rsidRPr="003945C7">
        <w:rPr>
          <w:rFonts w:ascii="Book Antiqua" w:eastAsia="Book Antiqua" w:hAnsi="Book Antiqua" w:cs="Book Antiqua"/>
          <w:color w:val="000000"/>
        </w:rPr>
        <w:t xml:space="preserve">. Similarly, the meta-analysis of Zhang </w:t>
      </w:r>
      <w:r w:rsidRPr="003945C7">
        <w:rPr>
          <w:rFonts w:ascii="Book Antiqua" w:eastAsia="Book Antiqua" w:hAnsi="Book Antiqua" w:cs="Book Antiqua"/>
          <w:i/>
          <w:iCs/>
          <w:color w:val="000000"/>
        </w:rPr>
        <w:t xml:space="preserve">et </w:t>
      </w:r>
      <w:proofErr w:type="gramStart"/>
      <w:r w:rsidRPr="003945C7">
        <w:rPr>
          <w:rFonts w:ascii="Book Antiqua" w:eastAsia="Book Antiqua" w:hAnsi="Book Antiqua" w:cs="Book Antiqua"/>
          <w:i/>
          <w:iCs/>
          <w:color w:val="000000"/>
        </w:rPr>
        <w:t>al</w:t>
      </w:r>
      <w:r w:rsidR="005617D2" w:rsidRPr="003945C7">
        <w:rPr>
          <w:rFonts w:ascii="Book Antiqua" w:eastAsia="Book Antiqua" w:hAnsi="Book Antiqua" w:cs="Book Antiqua"/>
          <w:color w:val="000000"/>
          <w:szCs w:val="20"/>
          <w:vertAlign w:val="superscript"/>
        </w:rPr>
        <w:t>[</w:t>
      </w:r>
      <w:proofErr w:type="gramEnd"/>
      <w:r w:rsidR="005617D2" w:rsidRPr="003945C7">
        <w:rPr>
          <w:rFonts w:ascii="Book Antiqua" w:eastAsia="Book Antiqua" w:hAnsi="Book Antiqua" w:cs="Book Antiqua"/>
          <w:color w:val="000000"/>
          <w:szCs w:val="20"/>
          <w:vertAlign w:val="superscript"/>
        </w:rPr>
        <w:t>48]</w:t>
      </w:r>
      <w:r w:rsidRPr="003945C7">
        <w:rPr>
          <w:rFonts w:ascii="Book Antiqua" w:eastAsia="Book Antiqua" w:hAnsi="Book Antiqua" w:cs="Book Antiqua"/>
          <w:color w:val="000000"/>
        </w:rPr>
        <w:t xml:space="preserve"> pointed out a significant association between </w:t>
      </w:r>
      <w:r w:rsidR="0016260C"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TT variant genotype of TLR9 rs352140 SNP and the overall risk </w:t>
      </w:r>
      <w:r w:rsidR="0016260C" w:rsidRPr="003945C7">
        <w:rPr>
          <w:rFonts w:ascii="Book Antiqua" w:eastAsia="Book Antiqua" w:hAnsi="Book Antiqua" w:cs="Book Antiqua"/>
          <w:color w:val="000000"/>
        </w:rPr>
        <w:t xml:space="preserve">of </w:t>
      </w:r>
      <w:r w:rsidRPr="003945C7">
        <w:rPr>
          <w:rFonts w:ascii="Book Antiqua" w:eastAsia="Book Antiqua" w:hAnsi="Book Antiqua" w:cs="Book Antiqua"/>
          <w:color w:val="000000"/>
        </w:rPr>
        <w:t xml:space="preserve">neoplasia, emphasizing that this polymorphism might alter innate immune responses promoting chronic inflammation and subsequent carcinogenesis. This </w:t>
      </w:r>
      <w:r w:rsidR="0016260C" w:rsidRPr="003945C7">
        <w:rPr>
          <w:rFonts w:ascii="Book Antiqua" w:eastAsia="Book Antiqua" w:hAnsi="Book Antiqua" w:cs="Book Antiqua"/>
          <w:color w:val="000000"/>
        </w:rPr>
        <w:t>finding wa</w:t>
      </w:r>
      <w:r w:rsidRPr="003945C7">
        <w:rPr>
          <w:rFonts w:ascii="Book Antiqua" w:eastAsia="Book Antiqua" w:hAnsi="Book Antiqua" w:cs="Book Antiqua"/>
          <w:color w:val="000000"/>
        </w:rPr>
        <w:t xml:space="preserve">s also </w:t>
      </w:r>
      <w:r w:rsidR="00EF32FD" w:rsidRPr="003945C7">
        <w:rPr>
          <w:rFonts w:ascii="Book Antiqua" w:eastAsia="Book Antiqua" w:hAnsi="Book Antiqua" w:cs="Book Antiqua"/>
          <w:color w:val="000000"/>
        </w:rPr>
        <w:t xml:space="preserve">shown in </w:t>
      </w:r>
      <w:r w:rsidRPr="003945C7">
        <w:rPr>
          <w:rFonts w:ascii="Book Antiqua" w:eastAsia="Book Antiqua" w:hAnsi="Book Antiqua" w:cs="Book Antiqua"/>
          <w:color w:val="000000"/>
        </w:rPr>
        <w:t xml:space="preserve">our study, </w:t>
      </w:r>
      <w:r w:rsidR="00EF32FD" w:rsidRPr="003945C7">
        <w:rPr>
          <w:rFonts w:ascii="Book Antiqua" w:eastAsia="Book Antiqua" w:hAnsi="Book Antiqua" w:cs="Book Antiqua"/>
          <w:color w:val="000000"/>
        </w:rPr>
        <w:t>as it</w:t>
      </w:r>
      <w:r w:rsidRPr="003945C7">
        <w:rPr>
          <w:rFonts w:ascii="Book Antiqua" w:eastAsia="Book Antiqua" w:hAnsi="Book Antiqua" w:cs="Book Antiqua"/>
          <w:color w:val="000000"/>
        </w:rPr>
        <w:t xml:space="preserve"> assessed the role of this SNP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w:t>
      </w:r>
      <w:r w:rsidR="00EF32FD" w:rsidRPr="003945C7">
        <w:rPr>
          <w:rFonts w:ascii="Book Antiqua" w:eastAsia="Book Antiqua" w:hAnsi="Book Antiqua" w:cs="Book Antiqua"/>
          <w:color w:val="000000"/>
        </w:rPr>
        <w:t xml:space="preserve">and </w:t>
      </w:r>
      <w:r w:rsidRPr="003945C7">
        <w:rPr>
          <w:rFonts w:ascii="Book Antiqua" w:eastAsia="Book Antiqua" w:hAnsi="Book Antiqua" w:cs="Book Antiqua"/>
          <w:color w:val="000000"/>
        </w:rPr>
        <w:t xml:space="preserve">proved that </w:t>
      </w:r>
      <w:r w:rsidR="00EF32FD" w:rsidRPr="003945C7">
        <w:rPr>
          <w:rFonts w:ascii="Book Antiqua" w:eastAsia="Book Antiqua" w:hAnsi="Book Antiqua" w:cs="Book Antiqua"/>
          <w:color w:val="000000"/>
        </w:rPr>
        <w:t xml:space="preserve">the </w:t>
      </w:r>
      <w:r w:rsidRPr="003945C7">
        <w:rPr>
          <w:rFonts w:ascii="Book Antiqua" w:eastAsia="Book Antiqua" w:hAnsi="Book Antiqua" w:cs="Book Antiqua"/>
          <w:color w:val="000000"/>
        </w:rPr>
        <w:t xml:space="preserve">variant TT genotype of TLR9 rs352140 polymorphism </w:t>
      </w:r>
      <w:r w:rsidR="00EF32FD" w:rsidRPr="003945C7">
        <w:rPr>
          <w:rFonts w:ascii="Book Antiqua" w:eastAsia="Book Antiqua" w:hAnsi="Book Antiqua" w:cs="Book Antiqua"/>
          <w:color w:val="000000"/>
        </w:rPr>
        <w:t xml:space="preserve">was </w:t>
      </w:r>
      <w:r w:rsidRPr="003945C7">
        <w:rPr>
          <w:rFonts w:ascii="Book Antiqua" w:eastAsia="Book Antiqua" w:hAnsi="Book Antiqua" w:cs="Book Antiqua"/>
          <w:color w:val="000000"/>
        </w:rPr>
        <w:t xml:space="preserve">associated with significantly higher values of both leukocytes and neutrophils. The discordance between the lack of difference in terms of TLR9 rs352140 genotype distribution between the two groups, and the </w:t>
      </w:r>
      <w:proofErr w:type="gramStart"/>
      <w:r w:rsidRPr="003945C7">
        <w:rPr>
          <w:rFonts w:ascii="Book Antiqua" w:eastAsia="Book Antiqua" w:hAnsi="Book Antiqua" w:cs="Book Antiqua"/>
          <w:color w:val="000000"/>
        </w:rPr>
        <w:t>aforementioned significant</w:t>
      </w:r>
      <w:proofErr w:type="gramEnd"/>
      <w:r w:rsidRPr="003945C7">
        <w:rPr>
          <w:rFonts w:ascii="Book Antiqua" w:eastAsia="Book Antiqua" w:hAnsi="Book Antiqua" w:cs="Book Antiqua"/>
          <w:color w:val="000000"/>
        </w:rPr>
        <w:t xml:space="preserve"> positive association between TT genotype of this polymorphism and increased leukocytes and neutrophils might be explained by a risk for individuals carrying this genotype to express higher values of the parameters as a result </w:t>
      </w:r>
      <w:r w:rsidR="00BD4B38" w:rsidRPr="003945C7">
        <w:rPr>
          <w:rFonts w:ascii="Book Antiqua" w:eastAsia="Book Antiqua" w:hAnsi="Book Antiqua" w:cs="Book Antiqua"/>
          <w:color w:val="000000"/>
        </w:rPr>
        <w:t xml:space="preserve">of </w:t>
      </w:r>
      <w:r w:rsidRPr="003945C7">
        <w:rPr>
          <w:rFonts w:ascii="Book Antiqua" w:eastAsia="Book Antiqua" w:hAnsi="Book Antiqua" w:cs="Book Antiqua"/>
          <w:color w:val="000000"/>
        </w:rPr>
        <w:t xml:space="preserve">a certain trigger. Another possible explanation might be related to the relatively small sample included in our study. </w:t>
      </w:r>
      <w:r w:rsidR="00BD4B38" w:rsidRPr="003945C7">
        <w:rPr>
          <w:rFonts w:ascii="Book Antiqua" w:eastAsia="Book Antiqua" w:hAnsi="Book Antiqua" w:cs="Book Antiqua"/>
          <w:color w:val="000000"/>
        </w:rPr>
        <w:t xml:space="preserve">By contrast, a </w:t>
      </w:r>
      <w:r w:rsidRPr="003945C7">
        <w:rPr>
          <w:rFonts w:ascii="Book Antiqua" w:eastAsia="Book Antiqua" w:hAnsi="Book Antiqua" w:cs="Book Antiqua"/>
          <w:color w:val="000000"/>
        </w:rPr>
        <w:t xml:space="preserve">significant association between TT genotype and the increase in both </w:t>
      </w:r>
      <w:r w:rsidRPr="003945C7">
        <w:rPr>
          <w:rFonts w:ascii="Book Antiqua" w:eastAsia="Book Antiqua" w:hAnsi="Book Antiqua" w:cs="Book Antiqua"/>
          <w:color w:val="000000"/>
        </w:rPr>
        <w:lastRenderedPageBreak/>
        <w:t xml:space="preserve">leukocytes and neutrophils might also be influenced by the low number of subjects, but it </w:t>
      </w:r>
      <w:proofErr w:type="gramStart"/>
      <w:r w:rsidRPr="003945C7">
        <w:rPr>
          <w:rFonts w:ascii="Book Antiqua" w:eastAsia="Book Antiqua" w:hAnsi="Book Antiqua" w:cs="Book Antiqua"/>
          <w:color w:val="000000"/>
        </w:rPr>
        <w:t>definitely raises</w:t>
      </w:r>
      <w:proofErr w:type="gramEnd"/>
      <w:r w:rsidRPr="003945C7">
        <w:rPr>
          <w:rFonts w:ascii="Book Antiqua" w:eastAsia="Book Antiqua" w:hAnsi="Book Antiqua" w:cs="Book Antiqua"/>
          <w:color w:val="000000"/>
        </w:rPr>
        <w:t xml:space="preserve"> a major concern in this area that requires further studies on larger samples.</w:t>
      </w:r>
    </w:p>
    <w:p w14:paraId="0AC841CE" w14:textId="03BB6912" w:rsidR="00A77B3E" w:rsidRPr="003945C7" w:rsidRDefault="00B1068A" w:rsidP="00C60A5B">
      <w:pPr>
        <w:adjustRightInd w:val="0"/>
        <w:snapToGrid w:val="0"/>
        <w:spacing w:line="360" w:lineRule="auto"/>
        <w:ind w:firstLine="270"/>
        <w:jc w:val="both"/>
      </w:pPr>
      <w:r w:rsidRPr="003945C7">
        <w:rPr>
          <w:rFonts w:ascii="Book Antiqua" w:eastAsia="Book Antiqua" w:hAnsi="Book Antiqua" w:cs="Book Antiqua"/>
          <w:color w:val="000000"/>
        </w:rPr>
        <w:t>Our study ha</w:t>
      </w:r>
      <w:r w:rsidR="00A4186E" w:rsidRPr="003945C7">
        <w:rPr>
          <w:rFonts w:ascii="Book Antiqua" w:eastAsia="Book Antiqua" w:hAnsi="Book Antiqua" w:cs="Book Antiqua"/>
          <w:color w:val="000000"/>
        </w:rPr>
        <w:t>d</w:t>
      </w:r>
      <w:r w:rsidRPr="003945C7">
        <w:rPr>
          <w:rFonts w:ascii="Book Antiqua" w:eastAsia="Book Antiqua" w:hAnsi="Book Antiqua" w:cs="Book Antiqua"/>
          <w:color w:val="000000"/>
        </w:rPr>
        <w:t xml:space="preserve"> several limitations</w:t>
      </w:r>
      <w:r w:rsidRPr="003945C7">
        <w:rPr>
          <w:rFonts w:ascii="Book Antiqua" w:eastAsia="Book Antiqua" w:hAnsi="Book Antiqua" w:cs="Book Antiqua"/>
          <w:i/>
          <w:iCs/>
          <w:color w:val="000000"/>
        </w:rPr>
        <w:t xml:space="preserve"> </w:t>
      </w:r>
      <w:r w:rsidRPr="003945C7">
        <w:rPr>
          <w:rFonts w:ascii="Book Antiqua" w:eastAsia="Book Antiqua" w:hAnsi="Book Antiqua" w:cs="Book Antiqua"/>
          <w:color w:val="000000"/>
        </w:rPr>
        <w:t>that must be acknowledged</w:t>
      </w:r>
      <w:r w:rsidR="00D50D31" w:rsidRPr="003945C7">
        <w:rPr>
          <w:rFonts w:ascii="Book Antiqua" w:eastAsia="Book Antiqua" w:hAnsi="Book Antiqua" w:cs="Book Antiqua"/>
          <w:color w:val="000000"/>
        </w:rPr>
        <w:t>:</w:t>
      </w:r>
      <w:r w:rsidRPr="003945C7">
        <w:rPr>
          <w:rFonts w:ascii="Book Antiqua" w:eastAsia="Book Antiqua" w:hAnsi="Book Antiqua" w:cs="Book Antiqua"/>
          <w:color w:val="000000"/>
        </w:rPr>
        <w:t xml:space="preserve"> </w:t>
      </w:r>
      <w:r w:rsidR="00753082" w:rsidRPr="003945C7">
        <w:rPr>
          <w:rFonts w:ascii="Book Antiqua" w:eastAsia="Book Antiqua" w:hAnsi="Book Antiqua" w:cs="Book Antiqua"/>
          <w:color w:val="000000"/>
        </w:rPr>
        <w:t>T</w:t>
      </w:r>
      <w:r w:rsidRPr="003945C7">
        <w:rPr>
          <w:rFonts w:ascii="Book Antiqua" w:eastAsia="Book Antiqua" w:hAnsi="Book Antiqua" w:cs="Book Antiqua"/>
          <w:color w:val="000000"/>
        </w:rPr>
        <w:t xml:space="preserve">he relatively small number of patients originating from a single area of our country; the diagnosis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established only based on the histopathological exam without being confirmed by an additional method; we did not assess the gastric microenvironment, the influence of gastric microbiota or the degrees of gastritis severity; we did not perform esophageal pH monitoring in order to confirm the diagnosis of gastroesophageal reflux; the lack of longitudinal follow-up of the patients endoscopically after the eradication therapy, lack of TLR9 gene expression; and we did not take into account the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pathogenicity features in the development of chronic gastritis and subsequent increased risk for a more severe degree of systemic inflammation.</w:t>
      </w:r>
    </w:p>
    <w:p w14:paraId="3F913FDF" w14:textId="0E94DA09" w:rsidR="00A77B3E" w:rsidRPr="003945C7" w:rsidRDefault="00B1068A" w:rsidP="00316470">
      <w:pPr>
        <w:adjustRightInd w:val="0"/>
        <w:snapToGrid w:val="0"/>
        <w:spacing w:line="360" w:lineRule="auto"/>
        <w:ind w:firstLine="270"/>
        <w:jc w:val="both"/>
      </w:pPr>
      <w:r w:rsidRPr="003945C7">
        <w:rPr>
          <w:rFonts w:ascii="Book Antiqua" w:eastAsia="Book Antiqua" w:hAnsi="Book Antiqua" w:cs="Book Antiqua"/>
          <w:color w:val="000000"/>
        </w:rPr>
        <w:t xml:space="preserve">The main two strengths of this study </w:t>
      </w:r>
      <w:r w:rsidR="00D50D31" w:rsidRPr="003945C7">
        <w:rPr>
          <w:rFonts w:ascii="Book Antiqua" w:eastAsia="Book Antiqua" w:hAnsi="Book Antiqua" w:cs="Book Antiqua"/>
          <w:color w:val="000000"/>
        </w:rPr>
        <w:t>were</w:t>
      </w:r>
      <w:r w:rsidRPr="003945C7">
        <w:rPr>
          <w:rFonts w:ascii="Book Antiqua" w:eastAsia="Book Antiqua" w:hAnsi="Book Antiqua" w:cs="Book Antiqua"/>
          <w:color w:val="000000"/>
        </w:rPr>
        <w:t xml:space="preserve"> the small age of the assessed population and the fact that the role of TLR9 rs352140 polymorphism was assessed for the first time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Therefore, this study might be considered a pilot study providing valuable results of great multidisciplinary importance that might serve as a solid basis for the development of effective preventive strategies for gastric cancer during adulthood. Other strengths of this study consist of the fact that we established the diagnosis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gastritis based on the histological exam of the gastric biopsy, as well as the fact that all upper digestive endoscopies and histological exams were performed by two experienced pediatric gastroenterology and pathology specialists.</w:t>
      </w:r>
    </w:p>
    <w:p w14:paraId="424C2527" w14:textId="77777777" w:rsidR="00A77B3E" w:rsidRPr="003945C7" w:rsidRDefault="00A77B3E" w:rsidP="001765D0">
      <w:pPr>
        <w:adjustRightInd w:val="0"/>
        <w:snapToGrid w:val="0"/>
        <w:spacing w:line="360" w:lineRule="auto"/>
        <w:ind w:firstLine="480"/>
        <w:jc w:val="both"/>
      </w:pPr>
    </w:p>
    <w:p w14:paraId="7E3A2C8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CONCLUSION</w:t>
      </w:r>
    </w:p>
    <w:p w14:paraId="18CAE4FA"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Environmental factors, such as poor living conditions and rural area might result in an increased risk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in children. Serological and rapid urease tests could be used as reliable tests for the detection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w:t>
      </w:r>
      <w:r w:rsidRPr="003945C7">
        <w:rPr>
          <w:rFonts w:ascii="Book Antiqua" w:eastAsia="Book Antiqua" w:hAnsi="Book Antiqua" w:cs="Book Antiqua"/>
          <w:color w:val="000000"/>
        </w:rPr>
        <w:lastRenderedPageBreak/>
        <w:t xml:space="preserve">innate immunity, our findings emphasized that variant TT genotype carriers of the TLR9 rs352140 gene polymorphism might express a more severe degree of inflammation. Nevertheless, further studies are required on bigger samples of pediatric patients to identify the precise role of innate immunity and its TLR9 polymorphisms in the development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gastritis.</w:t>
      </w:r>
    </w:p>
    <w:p w14:paraId="3ABF0BA2" w14:textId="77777777" w:rsidR="00A77B3E" w:rsidRPr="003945C7" w:rsidRDefault="00A77B3E" w:rsidP="001765D0">
      <w:pPr>
        <w:adjustRightInd w:val="0"/>
        <w:snapToGrid w:val="0"/>
        <w:spacing w:line="360" w:lineRule="auto"/>
        <w:jc w:val="both"/>
      </w:pPr>
    </w:p>
    <w:p w14:paraId="4E2E244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ARTICLE HIGHLIGHTS</w:t>
      </w:r>
    </w:p>
    <w:p w14:paraId="5B31F31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background</w:t>
      </w:r>
    </w:p>
    <w:p w14:paraId="2647572E" w14:textId="7A16D8AB"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Innate immunity was found to be associated to both persistence of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infection and increased risk for gastric cancer.</w:t>
      </w:r>
    </w:p>
    <w:p w14:paraId="19E83E6E" w14:textId="77777777" w:rsidR="00A77B3E" w:rsidRPr="003945C7" w:rsidRDefault="00A77B3E" w:rsidP="001765D0">
      <w:pPr>
        <w:adjustRightInd w:val="0"/>
        <w:snapToGrid w:val="0"/>
        <w:spacing w:line="360" w:lineRule="auto"/>
        <w:jc w:val="both"/>
      </w:pPr>
    </w:p>
    <w:p w14:paraId="7DAFB6B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motivation</w:t>
      </w:r>
    </w:p>
    <w:p w14:paraId="5901392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To identify the risk factors associated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and to establish the role of TLR9 rs352140 in suppressing or promoting the inflammation related to this infection in children.</w:t>
      </w:r>
    </w:p>
    <w:p w14:paraId="13BF7A1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objectives</w:t>
      </w:r>
    </w:p>
    <w:p w14:paraId="33BC364D"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Environmental factors represent a major risk factor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in children. Peripheral blood parameters might be reliable indicators of systemic inflammation triggered by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TLR9 polymorphisms seem to be involved in promoting or suppressing systemic inflammation in the setting of pediatric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w:t>
      </w:r>
    </w:p>
    <w:p w14:paraId="567BEF4E" w14:textId="77777777" w:rsidR="00A77B3E" w:rsidRPr="003945C7" w:rsidRDefault="00A77B3E" w:rsidP="001765D0">
      <w:pPr>
        <w:adjustRightInd w:val="0"/>
        <w:snapToGrid w:val="0"/>
        <w:spacing w:line="360" w:lineRule="auto"/>
        <w:jc w:val="both"/>
      </w:pPr>
    </w:p>
    <w:p w14:paraId="6B985A2D"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methods</w:t>
      </w:r>
    </w:p>
    <w:p w14:paraId="4EC85E31"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A cross-sectional prospective study on 183 children.</w:t>
      </w:r>
    </w:p>
    <w:p w14:paraId="77D262BA" w14:textId="77777777" w:rsidR="00A77B3E" w:rsidRPr="003945C7" w:rsidRDefault="00A77B3E" w:rsidP="001765D0">
      <w:pPr>
        <w:adjustRightInd w:val="0"/>
        <w:snapToGrid w:val="0"/>
        <w:spacing w:line="360" w:lineRule="auto"/>
        <w:jc w:val="both"/>
      </w:pPr>
    </w:p>
    <w:p w14:paraId="5D226D1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results</w:t>
      </w:r>
    </w:p>
    <w:p w14:paraId="0CC0A89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Rural area and poor living conditions were significantly associated to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0.0042/</w:t>
      </w:r>
      <w:r w:rsidRPr="003945C7">
        <w:rPr>
          <w:rFonts w:ascii="Book Antiqua" w:eastAsia="Book Antiqua" w:hAnsi="Book Antiqua" w:cs="Book Antiqua"/>
          <w:i/>
          <w:iCs/>
          <w:color w:val="000000"/>
        </w:rPr>
        <w:t xml:space="preserve">P &lt; </w:t>
      </w:r>
      <w:r w:rsidRPr="003945C7">
        <w:rPr>
          <w:rFonts w:ascii="Book Antiqua" w:eastAsia="Book Antiqua" w:hAnsi="Book Antiqua" w:cs="Book Antiqua"/>
          <w:color w:val="000000"/>
        </w:rPr>
        <w:t xml:space="preserve">0.0001). Both positive immunoglobulin A anti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and rapid urease test were significantly associated to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w:t>
      </w:r>
      <w:r w:rsidRPr="003945C7">
        <w:rPr>
          <w:rFonts w:ascii="Book Antiqua" w:eastAsia="Book Antiqua" w:hAnsi="Book Antiqua" w:cs="Book Antiqua"/>
          <w:i/>
          <w:iCs/>
          <w:color w:val="000000"/>
        </w:rPr>
        <w:t xml:space="preserve">P &lt; </w:t>
      </w:r>
      <w:r w:rsidRPr="003945C7">
        <w:rPr>
          <w:rFonts w:ascii="Book Antiqua" w:eastAsia="Book Antiqua" w:hAnsi="Book Antiqua" w:cs="Book Antiqua"/>
          <w:color w:val="000000"/>
        </w:rPr>
        <w:t xml:space="preserve">0.0001). Significantly </w:t>
      </w:r>
      <w:r w:rsidRPr="003945C7">
        <w:rPr>
          <w:rFonts w:ascii="Book Antiqua" w:eastAsia="Book Antiqua" w:hAnsi="Book Antiqua" w:cs="Book Antiqua"/>
          <w:color w:val="000000"/>
        </w:rPr>
        <w:lastRenderedPageBreak/>
        <w:t xml:space="preserve">higher values of leukocytes and neutrophils within the peripheral blood were found in children with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0.111/</w:t>
      </w:r>
      <w:r w:rsidRPr="003945C7">
        <w:rPr>
          <w:rFonts w:ascii="Book Antiqua" w:eastAsia="Book Antiqua" w:hAnsi="Book Antiqua" w:cs="Book Antiqua"/>
          <w:i/>
          <w:iCs/>
          <w:color w:val="000000"/>
        </w:rPr>
        <w:t xml:space="preserve">P = </w:t>
      </w:r>
      <w:r w:rsidRPr="003945C7">
        <w:rPr>
          <w:rFonts w:ascii="Book Antiqua" w:eastAsia="Book Antiqua" w:hAnsi="Book Antiqua" w:cs="Book Antiqua"/>
          <w:color w:val="000000"/>
        </w:rPr>
        <w:t>0.284). We found a significant positive correlation for variant TT</w:t>
      </w:r>
      <w:r w:rsidRPr="003945C7">
        <w:rPr>
          <w:rFonts w:ascii="Book Antiqua" w:eastAsia="Book Antiqua" w:hAnsi="Book Antiqua" w:cs="Book Antiqua"/>
          <w:i/>
          <w:iCs/>
          <w:color w:val="000000"/>
        </w:rPr>
        <w:t xml:space="preserve"> </w:t>
      </w:r>
      <w:r w:rsidRPr="003945C7">
        <w:rPr>
          <w:rFonts w:ascii="Book Antiqua" w:eastAsia="Book Antiqua" w:hAnsi="Book Antiqua" w:cs="Book Antiqua"/>
          <w:color w:val="000000"/>
        </w:rPr>
        <w:t>genotype of TLR9 rs352140 polymorphism and both leucocytes and neutrophils (</w:t>
      </w:r>
      <w:r w:rsidRPr="003945C7">
        <w:rPr>
          <w:rFonts w:ascii="Book Antiqua" w:eastAsia="Book Antiqua" w:hAnsi="Book Antiqua" w:cs="Book Antiqua"/>
          <w:i/>
          <w:iCs/>
          <w:color w:val="000000"/>
        </w:rPr>
        <w:t>P</w:t>
      </w:r>
      <w:r w:rsidRPr="003945C7">
        <w:rPr>
          <w:rFonts w:ascii="Book Antiqua" w:eastAsia="Book Antiqua" w:hAnsi="Book Antiqua" w:cs="Book Antiqua"/>
          <w:color w:val="000000"/>
        </w:rPr>
        <w:t xml:space="preserve"> = 0.0225/</w:t>
      </w:r>
      <w:r w:rsidRPr="003945C7">
        <w:rPr>
          <w:rFonts w:ascii="Book Antiqua" w:eastAsia="Book Antiqua" w:hAnsi="Book Antiqua" w:cs="Book Antiqua"/>
          <w:i/>
          <w:iCs/>
          <w:color w:val="000000"/>
        </w:rPr>
        <w:t xml:space="preserve">P = </w:t>
      </w:r>
      <w:r w:rsidRPr="003945C7">
        <w:rPr>
          <w:rFonts w:ascii="Book Antiqua" w:eastAsia="Book Antiqua" w:hAnsi="Book Antiqua" w:cs="Book Antiqua"/>
          <w:color w:val="000000"/>
        </w:rPr>
        <w:t>0.0292).</w:t>
      </w:r>
    </w:p>
    <w:p w14:paraId="56112F8E" w14:textId="77777777" w:rsidR="00A77B3E" w:rsidRPr="003945C7" w:rsidRDefault="00A77B3E" w:rsidP="001765D0">
      <w:pPr>
        <w:adjustRightInd w:val="0"/>
        <w:snapToGrid w:val="0"/>
        <w:spacing w:line="360" w:lineRule="auto"/>
        <w:jc w:val="both"/>
      </w:pPr>
    </w:p>
    <w:p w14:paraId="6C5A2DF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conclusions</w:t>
      </w:r>
    </w:p>
    <w:p w14:paraId="5AA2D664" w14:textId="5983158D"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Environmental factors such as poor living conditions and rural area might result in an increased risk for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chronic gastritis in children. Serological and rapid urease tests could be used as reliable tests for the detection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infection in children. Moreover, leukocytes and neutrophils are important non-invasive biomarkers for detecting the low-grade inflammatory status associated with this infection in pediatric patients. In terms of innate immunity, our findings emphasized that variant TT genotype carriers of the TLR9 rs352140 gene polymorphism might express a more severe degree of inflammation. </w:t>
      </w:r>
    </w:p>
    <w:p w14:paraId="34079CDC" w14:textId="77777777" w:rsidR="00A77B3E" w:rsidRPr="003945C7" w:rsidRDefault="00A77B3E" w:rsidP="001765D0">
      <w:pPr>
        <w:adjustRightInd w:val="0"/>
        <w:snapToGrid w:val="0"/>
        <w:spacing w:line="360" w:lineRule="auto"/>
        <w:jc w:val="both"/>
      </w:pPr>
    </w:p>
    <w:p w14:paraId="2319784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i/>
          <w:color w:val="000000"/>
        </w:rPr>
        <w:t>Research perspectives</w:t>
      </w:r>
    </w:p>
    <w:p w14:paraId="23289CF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Nevertheless, further studies are required on bigger samples of pediatric patients to identify the precise role of innate immunity and its TLR9 polymorphisms in the development of </w:t>
      </w:r>
      <w:r w:rsidRPr="003945C7">
        <w:rPr>
          <w:rFonts w:ascii="Book Antiqua" w:eastAsia="Book Antiqua" w:hAnsi="Book Antiqua" w:cs="Book Antiqua"/>
          <w:i/>
          <w:iCs/>
          <w:color w:val="000000"/>
        </w:rPr>
        <w:t>H. pylori</w:t>
      </w:r>
      <w:r w:rsidRPr="003945C7">
        <w:rPr>
          <w:rFonts w:ascii="Book Antiqua" w:eastAsia="Book Antiqua" w:hAnsi="Book Antiqua" w:cs="Book Antiqua"/>
          <w:color w:val="000000"/>
        </w:rPr>
        <w:t xml:space="preserve"> gastritis.</w:t>
      </w:r>
    </w:p>
    <w:p w14:paraId="681A0FF5" w14:textId="77777777" w:rsidR="00A77B3E" w:rsidRPr="003945C7" w:rsidRDefault="00A77B3E" w:rsidP="001765D0">
      <w:pPr>
        <w:adjustRightInd w:val="0"/>
        <w:snapToGrid w:val="0"/>
        <w:spacing w:line="360" w:lineRule="auto"/>
        <w:jc w:val="both"/>
      </w:pPr>
    </w:p>
    <w:p w14:paraId="4AE3299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aps/>
          <w:color w:val="000000"/>
          <w:u w:val="single"/>
        </w:rPr>
        <w:t>ACKNOWLEDGEMENTS</w:t>
      </w:r>
    </w:p>
    <w:p w14:paraId="07C005F7" w14:textId="3D324B2C"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We would like to express our appreciation to</w:t>
      </w:r>
      <w:r w:rsidRPr="003945C7">
        <w:rPr>
          <w:rStyle w:val="Fontdeparagrafimplicit1"/>
          <w:rFonts w:ascii="Book Antiqua" w:eastAsia="Book Antiqua" w:hAnsi="Book Antiqua" w:cs="Book Antiqua"/>
          <w:color w:val="000000"/>
        </w:rPr>
        <w:t xml:space="preserve"> </w:t>
      </w:r>
      <w:r w:rsidRPr="003945C7">
        <w:rPr>
          <w:rStyle w:val="Fontdeparagrafimplicit1"/>
          <w:rFonts w:ascii="Book Antiqua" w:eastAsia="Book Antiqua" w:hAnsi="Book Antiqua" w:cs="Book Antiqua"/>
          <w:caps/>
          <w:color w:val="000000"/>
        </w:rPr>
        <w:t>p</w:t>
      </w:r>
      <w:r w:rsidRPr="003945C7">
        <w:rPr>
          <w:rStyle w:val="Fontdeparagrafimplicit1"/>
          <w:rFonts w:ascii="Book Antiqua" w:eastAsia="Book Antiqua" w:hAnsi="Book Antiqua" w:cs="Book Antiqua"/>
          <w:color w:val="000000"/>
        </w:rPr>
        <w:t xml:space="preserve">rofessor Claudia </w:t>
      </w:r>
      <w:proofErr w:type="spellStart"/>
      <w:r w:rsidRPr="003945C7">
        <w:rPr>
          <w:rStyle w:val="Fontdeparagrafimplicit1"/>
          <w:rFonts w:ascii="Book Antiqua" w:eastAsia="Book Antiqua" w:hAnsi="Book Antiqua" w:cs="Book Antiqua"/>
          <w:color w:val="000000"/>
        </w:rPr>
        <w:t>B</w:t>
      </w:r>
      <w:r w:rsidR="00D37F4B" w:rsidRPr="003945C7">
        <w:rPr>
          <w:rStyle w:val="Fontdeparagrafimplicit1"/>
          <w:rFonts w:ascii="Book Antiqua" w:eastAsia="Book Antiqua" w:hAnsi="Book Antiqua" w:cs="Book Antiqua"/>
          <w:color w:val="000000"/>
        </w:rPr>
        <w:t>ă</w:t>
      </w:r>
      <w:r w:rsidRPr="003945C7">
        <w:rPr>
          <w:rStyle w:val="Fontdeparagrafimplicit1"/>
          <w:rFonts w:ascii="Book Antiqua" w:eastAsia="Book Antiqua" w:hAnsi="Book Antiqua" w:cs="Book Antiqua"/>
          <w:color w:val="000000"/>
        </w:rPr>
        <w:t>nescu</w:t>
      </w:r>
      <w:proofErr w:type="spellEnd"/>
      <w:r w:rsidRPr="003945C7">
        <w:rPr>
          <w:rStyle w:val="Fontdeparagrafimplicit1"/>
          <w:rFonts w:ascii="Book Antiqua" w:eastAsia="Book Antiqua" w:hAnsi="Book Antiqua" w:cs="Book Antiqua"/>
          <w:color w:val="000000"/>
        </w:rPr>
        <w:t xml:space="preserve">, from </w:t>
      </w:r>
      <w:r w:rsidRPr="003945C7">
        <w:rPr>
          <w:rFonts w:ascii="Book Antiqua" w:eastAsia="Book Antiqua" w:hAnsi="Book Antiqua" w:cs="Book Antiqua"/>
          <w:color w:val="000000"/>
          <w:shd w:val="clear" w:color="auto" w:fill="FFFFFF"/>
        </w:rPr>
        <w:t xml:space="preserve">Center for Advanced Medical and Pharmaceutical Research, </w:t>
      </w:r>
      <w:r w:rsidRPr="003945C7">
        <w:rPr>
          <w:rFonts w:ascii="Book Antiqua" w:eastAsia="Book Antiqua" w:hAnsi="Book Antiqua" w:cs="Book Antiqua"/>
          <w:color w:val="000000"/>
        </w:rPr>
        <w:t xml:space="preserve">“George Emil Palade” University of Medicine, Pharmacy, Sciences and Technology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Mure</w:t>
      </w:r>
      <w:proofErr w:type="spellEnd"/>
      <w:r w:rsidRPr="003945C7">
        <w:rPr>
          <w:rFonts w:ascii="Book Antiqua" w:eastAsia="Book Antiqua" w:hAnsi="Book Antiqua" w:cs="Book Antiqua"/>
          <w:color w:val="000000"/>
        </w:rPr>
        <w:t>, Romania for her</w:t>
      </w:r>
      <w:r w:rsidRPr="003945C7">
        <w:rPr>
          <w:rStyle w:val="acopre"/>
          <w:rFonts w:ascii="Book Antiqua" w:eastAsia="Book Antiqua" w:hAnsi="Book Antiqua" w:cs="Book Antiqua"/>
          <w:color w:val="000000"/>
        </w:rPr>
        <w:t xml:space="preserve"> untiring support and scientific </w:t>
      </w:r>
      <w:r w:rsidRPr="003945C7">
        <w:rPr>
          <w:rFonts w:ascii="Book Antiqua" w:eastAsia="Book Antiqua" w:hAnsi="Book Antiqua" w:cs="Book Antiqua"/>
          <w:color w:val="000000"/>
        </w:rPr>
        <w:t>guidance</w:t>
      </w:r>
      <w:r w:rsidRPr="003945C7">
        <w:rPr>
          <w:rStyle w:val="acopre"/>
          <w:rFonts w:ascii="Book Antiqua" w:eastAsia="Book Antiqua" w:hAnsi="Book Antiqua" w:cs="Book Antiqua"/>
          <w:color w:val="000000"/>
        </w:rPr>
        <w:t xml:space="preserve"> throughout the present research and for </w:t>
      </w:r>
      <w:r w:rsidRPr="003945C7">
        <w:rPr>
          <w:rFonts w:ascii="Book Antiqua" w:eastAsia="Book Antiqua" w:hAnsi="Book Antiqua" w:cs="Book Antiqua"/>
          <w:color w:val="000000"/>
        </w:rPr>
        <w:t>critically revis</w:t>
      </w:r>
      <w:r w:rsidR="00AB58E8" w:rsidRPr="003945C7">
        <w:rPr>
          <w:rFonts w:ascii="Book Antiqua" w:eastAsia="Book Antiqua" w:hAnsi="Book Antiqua" w:cs="Book Antiqua"/>
          <w:color w:val="000000"/>
        </w:rPr>
        <w:t>ing</w:t>
      </w:r>
      <w:r w:rsidRPr="003945C7">
        <w:rPr>
          <w:rFonts w:ascii="Book Antiqua" w:eastAsia="Book Antiqua" w:hAnsi="Book Antiqua" w:cs="Book Antiqua"/>
          <w:color w:val="000000"/>
        </w:rPr>
        <w:t xml:space="preserve"> the manuscript.</w:t>
      </w:r>
    </w:p>
    <w:p w14:paraId="6CB1825C" w14:textId="77777777" w:rsidR="00A77B3E" w:rsidRPr="003945C7" w:rsidRDefault="00A77B3E" w:rsidP="001765D0">
      <w:pPr>
        <w:adjustRightInd w:val="0"/>
        <w:snapToGrid w:val="0"/>
        <w:spacing w:line="360" w:lineRule="auto"/>
        <w:jc w:val="both"/>
      </w:pPr>
    </w:p>
    <w:p w14:paraId="70E2F50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REFERENCES</w:t>
      </w:r>
    </w:p>
    <w:p w14:paraId="4DDE5C0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 </w:t>
      </w:r>
      <w:r w:rsidRPr="003945C7">
        <w:rPr>
          <w:rFonts w:ascii="Book Antiqua" w:eastAsia="Book Antiqua" w:hAnsi="Book Antiqua" w:cs="Book Antiqua"/>
          <w:b/>
          <w:bCs/>
          <w:color w:val="000000"/>
        </w:rPr>
        <w:t>Tang MYL</w:t>
      </w:r>
      <w:r w:rsidRPr="003945C7">
        <w:rPr>
          <w:rFonts w:ascii="Book Antiqua" w:eastAsia="Book Antiqua" w:hAnsi="Book Antiqua" w:cs="Book Antiqua"/>
          <w:color w:val="000000"/>
        </w:rPr>
        <w:t xml:space="preserve">, Chung PHY, Chan HY, Tam PKH, Wong KK. Recent trends in the prevalence of Helicobacter Pylori in symptomatic children: A 12-year retrospective study </w:t>
      </w:r>
      <w:r w:rsidRPr="003945C7">
        <w:rPr>
          <w:rFonts w:ascii="Book Antiqua" w:eastAsia="Book Antiqua" w:hAnsi="Book Antiqua" w:cs="Book Antiqua"/>
          <w:color w:val="000000"/>
        </w:rPr>
        <w:lastRenderedPageBreak/>
        <w:t xml:space="preserve">in a tertiary </w:t>
      </w:r>
      <w:proofErr w:type="spellStart"/>
      <w:r w:rsidRPr="003945C7">
        <w:rPr>
          <w:rFonts w:ascii="Book Antiqua" w:eastAsia="Book Antiqua" w:hAnsi="Book Antiqua" w:cs="Book Antiqua"/>
          <w:color w:val="000000"/>
        </w:rPr>
        <w:t>centre</w:t>
      </w:r>
      <w:proofErr w:type="spellEnd"/>
      <w:r w:rsidRPr="003945C7">
        <w:rPr>
          <w:rFonts w:ascii="Book Antiqua" w:eastAsia="Book Antiqua" w:hAnsi="Book Antiqua" w:cs="Book Antiqua"/>
          <w:color w:val="000000"/>
        </w:rPr>
        <w:t xml:space="preserve">. </w:t>
      </w:r>
      <w:r w:rsidRPr="003945C7">
        <w:rPr>
          <w:rFonts w:ascii="Book Antiqua" w:eastAsia="Book Antiqua" w:hAnsi="Book Antiqua" w:cs="Book Antiqua"/>
          <w:i/>
          <w:iCs/>
          <w:color w:val="000000"/>
        </w:rPr>
        <w:t xml:space="preserve">J </w:t>
      </w:r>
      <w:proofErr w:type="spellStart"/>
      <w:r w:rsidRPr="003945C7">
        <w:rPr>
          <w:rFonts w:ascii="Book Antiqua" w:eastAsia="Book Antiqua" w:hAnsi="Book Antiqua" w:cs="Book Antiqua"/>
          <w:i/>
          <w:iCs/>
          <w:color w:val="000000"/>
        </w:rPr>
        <w:t>Pediatr</w:t>
      </w:r>
      <w:proofErr w:type="spellEnd"/>
      <w:r w:rsidRPr="003945C7">
        <w:rPr>
          <w:rFonts w:ascii="Book Antiqua" w:eastAsia="Book Antiqua" w:hAnsi="Book Antiqua" w:cs="Book Antiqua"/>
          <w:i/>
          <w:iCs/>
          <w:color w:val="000000"/>
        </w:rPr>
        <w:t xml:space="preserve"> Surg</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54</w:t>
      </w:r>
      <w:r w:rsidRPr="003945C7">
        <w:rPr>
          <w:rFonts w:ascii="Book Antiqua" w:eastAsia="Book Antiqua" w:hAnsi="Book Antiqua" w:cs="Book Antiqua"/>
          <w:color w:val="000000"/>
        </w:rPr>
        <w:t>: 255-257 [PMID: 30497821 DOI: 10.1016/j.jpedsurg.2018.10.079]</w:t>
      </w:r>
    </w:p>
    <w:p w14:paraId="667CDCE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 </w:t>
      </w:r>
      <w:proofErr w:type="spellStart"/>
      <w:r w:rsidRPr="003945C7">
        <w:rPr>
          <w:rFonts w:ascii="Book Antiqua" w:eastAsia="Book Antiqua" w:hAnsi="Book Antiqua" w:cs="Book Antiqua"/>
          <w:b/>
          <w:bCs/>
          <w:color w:val="000000"/>
        </w:rPr>
        <w:t>Meliţ</w:t>
      </w:r>
      <w:proofErr w:type="spellEnd"/>
      <w:r w:rsidRPr="003945C7">
        <w:rPr>
          <w:rFonts w:ascii="Book Antiqua" w:eastAsia="Book Antiqua" w:hAnsi="Book Antiqua" w:cs="Book Antiqua"/>
          <w:b/>
          <w:bCs/>
          <w:color w:val="000000"/>
        </w:rPr>
        <w:t xml:space="preserve"> LE</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Mărginean</w:t>
      </w:r>
      <w:proofErr w:type="spellEnd"/>
      <w:r w:rsidRPr="003945C7">
        <w:rPr>
          <w:rFonts w:ascii="Book Antiqua" w:eastAsia="Book Antiqua" w:hAnsi="Book Antiqua" w:cs="Book Antiqua"/>
          <w:color w:val="000000"/>
        </w:rPr>
        <w:t xml:space="preserve"> CO, </w:t>
      </w:r>
      <w:proofErr w:type="spellStart"/>
      <w:r w:rsidRPr="003945C7">
        <w:rPr>
          <w:rFonts w:ascii="Book Antiqua" w:eastAsia="Book Antiqua" w:hAnsi="Book Antiqua" w:cs="Book Antiqua"/>
          <w:color w:val="000000"/>
        </w:rPr>
        <w:t>Bănescu</w:t>
      </w:r>
      <w:proofErr w:type="spellEnd"/>
      <w:r w:rsidRPr="003945C7">
        <w:rPr>
          <w:rFonts w:ascii="Book Antiqua" w:eastAsia="Book Antiqua" w:hAnsi="Book Antiqua" w:cs="Book Antiqua"/>
          <w:color w:val="000000"/>
        </w:rPr>
        <w:t xml:space="preserve"> C, </w:t>
      </w:r>
      <w:proofErr w:type="spellStart"/>
      <w:r w:rsidRPr="003945C7">
        <w:rPr>
          <w:rFonts w:ascii="Book Antiqua" w:eastAsia="Book Antiqua" w:hAnsi="Book Antiqua" w:cs="Book Antiqua"/>
          <w:color w:val="000000"/>
        </w:rPr>
        <w:t>Bogliş</w:t>
      </w:r>
      <w:proofErr w:type="spellEnd"/>
      <w:r w:rsidRPr="003945C7">
        <w:rPr>
          <w:rFonts w:ascii="Book Antiqua" w:eastAsia="Book Antiqua" w:hAnsi="Book Antiqua" w:cs="Book Antiqua"/>
          <w:color w:val="000000"/>
        </w:rPr>
        <w:t xml:space="preserve"> A, </w:t>
      </w:r>
      <w:proofErr w:type="spellStart"/>
      <w:r w:rsidRPr="003945C7">
        <w:rPr>
          <w:rFonts w:ascii="Book Antiqua" w:eastAsia="Book Antiqua" w:hAnsi="Book Antiqua" w:cs="Book Antiqua"/>
          <w:color w:val="000000"/>
        </w:rPr>
        <w:t>Mocan</w:t>
      </w:r>
      <w:proofErr w:type="spellEnd"/>
      <w:r w:rsidRPr="003945C7">
        <w:rPr>
          <w:rFonts w:ascii="Book Antiqua" w:eastAsia="Book Antiqua" w:hAnsi="Book Antiqua" w:cs="Book Antiqua"/>
          <w:color w:val="000000"/>
        </w:rPr>
        <w:t xml:space="preserve"> S, </w:t>
      </w:r>
      <w:proofErr w:type="spellStart"/>
      <w:r w:rsidRPr="003945C7">
        <w:rPr>
          <w:rFonts w:ascii="Book Antiqua" w:eastAsia="Book Antiqua" w:hAnsi="Book Antiqua" w:cs="Book Antiqua"/>
          <w:color w:val="000000"/>
        </w:rPr>
        <w:t>Iancu</w:t>
      </w:r>
      <w:proofErr w:type="spellEnd"/>
      <w:r w:rsidRPr="003945C7">
        <w:rPr>
          <w:rFonts w:ascii="Book Antiqua" w:eastAsia="Book Antiqua" w:hAnsi="Book Antiqua" w:cs="Book Antiqua"/>
          <w:color w:val="000000"/>
        </w:rPr>
        <w:t xml:space="preserve"> M. The relationship between TLR4 rs4986790 and rs4986791 gene polymorphisms and Helicobacter pylori infection in children with gastritis. </w:t>
      </w:r>
      <w:proofErr w:type="spellStart"/>
      <w:r w:rsidRPr="003945C7">
        <w:rPr>
          <w:rFonts w:ascii="Book Antiqua" w:eastAsia="Book Antiqua" w:hAnsi="Book Antiqua" w:cs="Book Antiqua"/>
          <w:i/>
          <w:iCs/>
          <w:color w:val="000000"/>
        </w:rPr>
        <w:t>Pathol</w:t>
      </w:r>
      <w:proofErr w:type="spellEnd"/>
      <w:r w:rsidRPr="003945C7">
        <w:rPr>
          <w:rFonts w:ascii="Book Antiqua" w:eastAsia="Book Antiqua" w:hAnsi="Book Antiqua" w:cs="Book Antiqua"/>
          <w:i/>
          <w:iCs/>
          <w:color w:val="000000"/>
        </w:rPr>
        <w:t xml:space="preserve"> Res </w:t>
      </w:r>
      <w:proofErr w:type="spellStart"/>
      <w:r w:rsidRPr="003945C7">
        <w:rPr>
          <w:rFonts w:ascii="Book Antiqua" w:eastAsia="Book Antiqua" w:hAnsi="Book Antiqua" w:cs="Book Antiqua"/>
          <w:i/>
          <w:iCs/>
          <w:color w:val="000000"/>
        </w:rPr>
        <w:t>Pract</w:t>
      </w:r>
      <w:proofErr w:type="spellEnd"/>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215</w:t>
      </w:r>
      <w:r w:rsidRPr="003945C7">
        <w:rPr>
          <w:rFonts w:ascii="Book Antiqua" w:eastAsia="Book Antiqua" w:hAnsi="Book Antiqua" w:cs="Book Antiqua"/>
          <w:color w:val="000000"/>
        </w:rPr>
        <w:t>: 152692 [PMID: 31690518 DOI: 10.1016/j.prp.2019.152692]</w:t>
      </w:r>
    </w:p>
    <w:p w14:paraId="5F33160E"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 </w:t>
      </w:r>
      <w:proofErr w:type="spellStart"/>
      <w:r w:rsidRPr="003945C7">
        <w:rPr>
          <w:rFonts w:ascii="Book Antiqua" w:eastAsia="Book Antiqua" w:hAnsi="Book Antiqua" w:cs="Book Antiqua"/>
          <w:b/>
          <w:bCs/>
          <w:color w:val="000000"/>
        </w:rPr>
        <w:t>Săsăran</w:t>
      </w:r>
      <w:proofErr w:type="spellEnd"/>
      <w:r w:rsidRPr="003945C7">
        <w:rPr>
          <w:rFonts w:ascii="Book Antiqua" w:eastAsia="Book Antiqua" w:hAnsi="Book Antiqua" w:cs="Book Antiqua"/>
          <w:b/>
          <w:bCs/>
          <w:color w:val="000000"/>
        </w:rPr>
        <w:t xml:space="preserve"> MO</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Meliţ</w:t>
      </w:r>
      <w:proofErr w:type="spellEnd"/>
      <w:r w:rsidRPr="003945C7">
        <w:rPr>
          <w:rFonts w:ascii="Book Antiqua" w:eastAsia="Book Antiqua" w:hAnsi="Book Antiqua" w:cs="Book Antiqua"/>
          <w:color w:val="000000"/>
        </w:rPr>
        <w:t xml:space="preserve"> LE, </w:t>
      </w:r>
      <w:proofErr w:type="spellStart"/>
      <w:r w:rsidRPr="003945C7">
        <w:rPr>
          <w:rFonts w:ascii="Book Antiqua" w:eastAsia="Book Antiqua" w:hAnsi="Book Antiqua" w:cs="Book Antiqua"/>
          <w:color w:val="000000"/>
        </w:rPr>
        <w:t>Mocan</w:t>
      </w:r>
      <w:proofErr w:type="spellEnd"/>
      <w:r w:rsidRPr="003945C7">
        <w:rPr>
          <w:rFonts w:ascii="Book Antiqua" w:eastAsia="Book Antiqua" w:hAnsi="Book Antiqua" w:cs="Book Antiqua"/>
          <w:color w:val="000000"/>
        </w:rPr>
        <w:t xml:space="preserve"> S, </w:t>
      </w:r>
      <w:proofErr w:type="spellStart"/>
      <w:r w:rsidRPr="003945C7">
        <w:rPr>
          <w:rFonts w:ascii="Book Antiqua" w:eastAsia="Book Antiqua" w:hAnsi="Book Antiqua" w:cs="Book Antiqua"/>
          <w:color w:val="000000"/>
        </w:rPr>
        <w:t>Ghiga</w:t>
      </w:r>
      <w:proofErr w:type="spellEnd"/>
      <w:r w:rsidRPr="003945C7">
        <w:rPr>
          <w:rFonts w:ascii="Book Antiqua" w:eastAsia="Book Antiqua" w:hAnsi="Book Antiqua" w:cs="Book Antiqua"/>
          <w:color w:val="000000"/>
        </w:rPr>
        <w:t xml:space="preserve"> DV, </w:t>
      </w:r>
      <w:proofErr w:type="spellStart"/>
      <w:r w:rsidRPr="003945C7">
        <w:rPr>
          <w:rFonts w:ascii="Book Antiqua" w:eastAsia="Book Antiqua" w:hAnsi="Book Antiqua" w:cs="Book Antiqua"/>
          <w:color w:val="000000"/>
        </w:rPr>
        <w:t>Dobru</w:t>
      </w:r>
      <w:proofErr w:type="spellEnd"/>
      <w:r w:rsidRPr="003945C7">
        <w:rPr>
          <w:rFonts w:ascii="Book Antiqua" w:eastAsia="Book Antiqua" w:hAnsi="Book Antiqua" w:cs="Book Antiqua"/>
          <w:color w:val="000000"/>
        </w:rPr>
        <w:t xml:space="preserve"> ED. Pediatric gastritis and its impact on hematologic parameters. </w:t>
      </w:r>
      <w:r w:rsidRPr="003945C7">
        <w:rPr>
          <w:rFonts w:ascii="Book Antiqua" w:eastAsia="Book Antiqua" w:hAnsi="Book Antiqua" w:cs="Book Antiqua"/>
          <w:i/>
          <w:iCs/>
          <w:color w:val="000000"/>
        </w:rPr>
        <w:t>Medicine (Baltimore)</w:t>
      </w:r>
      <w:r w:rsidRPr="003945C7">
        <w:rPr>
          <w:rFonts w:ascii="Book Antiqua" w:eastAsia="Book Antiqua" w:hAnsi="Book Antiqua" w:cs="Book Antiqua"/>
          <w:color w:val="000000"/>
        </w:rPr>
        <w:t xml:space="preserve"> 2020; </w:t>
      </w:r>
      <w:r w:rsidRPr="003945C7">
        <w:rPr>
          <w:rFonts w:ascii="Book Antiqua" w:eastAsia="Book Antiqua" w:hAnsi="Book Antiqua" w:cs="Book Antiqua"/>
          <w:b/>
          <w:bCs/>
          <w:color w:val="000000"/>
        </w:rPr>
        <w:t>99</w:t>
      </w:r>
      <w:r w:rsidRPr="003945C7">
        <w:rPr>
          <w:rFonts w:ascii="Book Antiqua" w:eastAsia="Book Antiqua" w:hAnsi="Book Antiqua" w:cs="Book Antiqua"/>
          <w:color w:val="000000"/>
        </w:rPr>
        <w:t>: e21985 [PMID: 32871948 DOI: 10.1097/MD.0000000000021985]</w:t>
      </w:r>
    </w:p>
    <w:p w14:paraId="45E2014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 </w:t>
      </w:r>
      <w:r w:rsidRPr="003945C7">
        <w:rPr>
          <w:rFonts w:ascii="Book Antiqua" w:eastAsia="Book Antiqua" w:hAnsi="Book Antiqua" w:cs="Book Antiqua"/>
          <w:b/>
          <w:bCs/>
          <w:color w:val="000000"/>
        </w:rPr>
        <w:t>Molina-Infante J</w:t>
      </w:r>
      <w:r w:rsidRPr="003945C7">
        <w:rPr>
          <w:rFonts w:ascii="Book Antiqua" w:eastAsia="Book Antiqua" w:hAnsi="Book Antiqua" w:cs="Book Antiqua"/>
          <w:color w:val="000000"/>
        </w:rPr>
        <w:t>, Gutierrez-</w:t>
      </w:r>
      <w:proofErr w:type="spellStart"/>
      <w:r w:rsidRPr="003945C7">
        <w:rPr>
          <w:rFonts w:ascii="Book Antiqua" w:eastAsia="Book Antiqua" w:hAnsi="Book Antiqua" w:cs="Book Antiqua"/>
          <w:color w:val="000000"/>
        </w:rPr>
        <w:t>Junquera</w:t>
      </w:r>
      <w:proofErr w:type="spellEnd"/>
      <w:r w:rsidRPr="003945C7">
        <w:rPr>
          <w:rFonts w:ascii="Book Antiqua" w:eastAsia="Book Antiqua" w:hAnsi="Book Antiqua" w:cs="Book Antiqua"/>
          <w:color w:val="000000"/>
        </w:rPr>
        <w:t xml:space="preserve"> C, Savarino E, </w:t>
      </w:r>
      <w:proofErr w:type="spellStart"/>
      <w:r w:rsidRPr="003945C7">
        <w:rPr>
          <w:rFonts w:ascii="Book Antiqua" w:eastAsia="Book Antiqua" w:hAnsi="Book Antiqua" w:cs="Book Antiqua"/>
          <w:color w:val="000000"/>
        </w:rPr>
        <w:t>Penagini</w:t>
      </w:r>
      <w:proofErr w:type="spellEnd"/>
      <w:r w:rsidRPr="003945C7">
        <w:rPr>
          <w:rFonts w:ascii="Book Antiqua" w:eastAsia="Book Antiqua" w:hAnsi="Book Antiqua" w:cs="Book Antiqua"/>
          <w:color w:val="000000"/>
        </w:rPr>
        <w:t xml:space="preserve"> R, </w:t>
      </w:r>
      <w:proofErr w:type="spellStart"/>
      <w:r w:rsidRPr="003945C7">
        <w:rPr>
          <w:rFonts w:ascii="Book Antiqua" w:eastAsia="Book Antiqua" w:hAnsi="Book Antiqua" w:cs="Book Antiqua"/>
          <w:color w:val="000000"/>
        </w:rPr>
        <w:t>Modolell</w:t>
      </w:r>
      <w:proofErr w:type="spellEnd"/>
      <w:r w:rsidRPr="003945C7">
        <w:rPr>
          <w:rFonts w:ascii="Book Antiqua" w:eastAsia="Book Antiqua" w:hAnsi="Book Antiqua" w:cs="Book Antiqua"/>
          <w:color w:val="000000"/>
        </w:rPr>
        <w:t xml:space="preserve"> I, </w:t>
      </w:r>
      <w:proofErr w:type="spellStart"/>
      <w:r w:rsidRPr="003945C7">
        <w:rPr>
          <w:rFonts w:ascii="Book Antiqua" w:eastAsia="Book Antiqua" w:hAnsi="Book Antiqua" w:cs="Book Antiqua"/>
          <w:color w:val="000000"/>
        </w:rPr>
        <w:t>Bartolo</w:t>
      </w:r>
      <w:proofErr w:type="spellEnd"/>
      <w:r w:rsidRPr="003945C7">
        <w:rPr>
          <w:rFonts w:ascii="Book Antiqua" w:eastAsia="Book Antiqua" w:hAnsi="Book Antiqua" w:cs="Book Antiqua"/>
          <w:color w:val="000000"/>
        </w:rPr>
        <w:t xml:space="preserve"> O, Prieto-García A, Mauro A, </w:t>
      </w:r>
      <w:proofErr w:type="spellStart"/>
      <w:r w:rsidRPr="003945C7">
        <w:rPr>
          <w:rFonts w:ascii="Book Antiqua" w:eastAsia="Book Antiqua" w:hAnsi="Book Antiqua" w:cs="Book Antiqua"/>
          <w:color w:val="000000"/>
        </w:rPr>
        <w:t>Alcedo</w:t>
      </w:r>
      <w:proofErr w:type="spellEnd"/>
      <w:r w:rsidRPr="003945C7">
        <w:rPr>
          <w:rFonts w:ascii="Book Antiqua" w:eastAsia="Book Antiqua" w:hAnsi="Book Antiqua" w:cs="Book Antiqua"/>
          <w:color w:val="000000"/>
        </w:rPr>
        <w:t xml:space="preserve"> J, </w:t>
      </w:r>
      <w:proofErr w:type="spellStart"/>
      <w:r w:rsidRPr="003945C7">
        <w:rPr>
          <w:rFonts w:ascii="Book Antiqua" w:eastAsia="Book Antiqua" w:hAnsi="Book Antiqua" w:cs="Book Antiqua"/>
          <w:color w:val="000000"/>
        </w:rPr>
        <w:t>Perelló</w:t>
      </w:r>
      <w:proofErr w:type="spellEnd"/>
      <w:r w:rsidRPr="003945C7">
        <w:rPr>
          <w:rFonts w:ascii="Book Antiqua" w:eastAsia="Book Antiqua" w:hAnsi="Book Antiqua" w:cs="Book Antiqua"/>
          <w:color w:val="000000"/>
        </w:rPr>
        <w:t xml:space="preserve"> A, </w:t>
      </w:r>
      <w:proofErr w:type="spellStart"/>
      <w:r w:rsidRPr="003945C7">
        <w:rPr>
          <w:rFonts w:ascii="Book Antiqua" w:eastAsia="Book Antiqua" w:hAnsi="Book Antiqua" w:cs="Book Antiqua"/>
          <w:color w:val="000000"/>
        </w:rPr>
        <w:t>Guarner-Argente</w:t>
      </w:r>
      <w:proofErr w:type="spellEnd"/>
      <w:r w:rsidRPr="003945C7">
        <w:rPr>
          <w:rFonts w:ascii="Book Antiqua" w:eastAsia="Book Antiqua" w:hAnsi="Book Antiqua" w:cs="Book Antiqua"/>
          <w:color w:val="000000"/>
        </w:rPr>
        <w:t xml:space="preserve"> C, Alcaide N, Vegas AM, Barros-García P, </w:t>
      </w:r>
      <w:proofErr w:type="spellStart"/>
      <w:r w:rsidRPr="003945C7">
        <w:rPr>
          <w:rFonts w:ascii="Book Antiqua" w:eastAsia="Book Antiqua" w:hAnsi="Book Antiqua" w:cs="Book Antiqua"/>
          <w:color w:val="000000"/>
        </w:rPr>
        <w:t>Murzi-Pulgar</w:t>
      </w:r>
      <w:proofErr w:type="spellEnd"/>
      <w:r w:rsidRPr="003945C7">
        <w:rPr>
          <w:rFonts w:ascii="Book Antiqua" w:eastAsia="Book Antiqua" w:hAnsi="Book Antiqua" w:cs="Book Antiqua"/>
          <w:color w:val="000000"/>
        </w:rPr>
        <w:t xml:space="preserve"> M, </w:t>
      </w:r>
      <w:proofErr w:type="spellStart"/>
      <w:r w:rsidRPr="003945C7">
        <w:rPr>
          <w:rFonts w:ascii="Book Antiqua" w:eastAsia="Book Antiqua" w:hAnsi="Book Antiqua" w:cs="Book Antiqua"/>
          <w:color w:val="000000"/>
        </w:rPr>
        <w:t>Perona</w:t>
      </w:r>
      <w:proofErr w:type="spellEnd"/>
      <w:r w:rsidRPr="003945C7">
        <w:rPr>
          <w:rFonts w:ascii="Book Antiqua" w:eastAsia="Book Antiqua" w:hAnsi="Book Antiqua" w:cs="Book Antiqua"/>
          <w:color w:val="000000"/>
        </w:rPr>
        <w:t xml:space="preserve"> M, </w:t>
      </w:r>
      <w:proofErr w:type="spellStart"/>
      <w:r w:rsidRPr="003945C7">
        <w:rPr>
          <w:rFonts w:ascii="Book Antiqua" w:eastAsia="Book Antiqua" w:hAnsi="Book Antiqua" w:cs="Book Antiqua"/>
          <w:color w:val="000000"/>
        </w:rPr>
        <w:t>Gisbert</w:t>
      </w:r>
      <w:proofErr w:type="spellEnd"/>
      <w:r w:rsidRPr="003945C7">
        <w:rPr>
          <w:rFonts w:ascii="Book Antiqua" w:eastAsia="Book Antiqua" w:hAnsi="Book Antiqua" w:cs="Book Antiqua"/>
          <w:color w:val="000000"/>
        </w:rPr>
        <w:t xml:space="preserve"> JP, </w:t>
      </w:r>
      <w:proofErr w:type="spellStart"/>
      <w:r w:rsidRPr="003945C7">
        <w:rPr>
          <w:rFonts w:ascii="Book Antiqua" w:eastAsia="Book Antiqua" w:hAnsi="Book Antiqua" w:cs="Book Antiqua"/>
          <w:color w:val="000000"/>
        </w:rPr>
        <w:t>Lucendo</w:t>
      </w:r>
      <w:proofErr w:type="spellEnd"/>
      <w:r w:rsidRPr="003945C7">
        <w:rPr>
          <w:rFonts w:ascii="Book Antiqua" w:eastAsia="Book Antiqua" w:hAnsi="Book Antiqua" w:cs="Book Antiqua"/>
          <w:color w:val="000000"/>
        </w:rPr>
        <w:t xml:space="preserve"> AJ; Upper GI Tract Study Group from the Spanish Gastroenterological Association (AEG). Helicobacter pylori infection does not protect against eosinophilic esophagitis: results from a large multicenter case-control study. </w:t>
      </w:r>
      <w:r w:rsidRPr="003945C7">
        <w:rPr>
          <w:rFonts w:ascii="Book Antiqua" w:eastAsia="Book Antiqua" w:hAnsi="Book Antiqua" w:cs="Book Antiqua"/>
          <w:i/>
          <w:iCs/>
          <w:color w:val="000000"/>
        </w:rPr>
        <w:t>Am J Gastroenterol</w:t>
      </w:r>
      <w:r w:rsidRPr="003945C7">
        <w:rPr>
          <w:rFonts w:ascii="Book Antiqua" w:eastAsia="Book Antiqua" w:hAnsi="Book Antiqua" w:cs="Book Antiqua"/>
          <w:color w:val="000000"/>
        </w:rPr>
        <w:t xml:space="preserve"> 2018; </w:t>
      </w:r>
      <w:r w:rsidRPr="003945C7">
        <w:rPr>
          <w:rFonts w:ascii="Book Antiqua" w:eastAsia="Book Antiqua" w:hAnsi="Book Antiqua" w:cs="Book Antiqua"/>
          <w:b/>
          <w:bCs/>
          <w:color w:val="000000"/>
        </w:rPr>
        <w:t>113</w:t>
      </w:r>
      <w:r w:rsidRPr="003945C7">
        <w:rPr>
          <w:rFonts w:ascii="Book Antiqua" w:eastAsia="Book Antiqua" w:hAnsi="Book Antiqua" w:cs="Book Antiqua"/>
          <w:color w:val="000000"/>
        </w:rPr>
        <w:t>: 972-979 [PMID: 29545632 DOI: 10.1038/s41395-018-0035-6]</w:t>
      </w:r>
    </w:p>
    <w:p w14:paraId="0A57299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5 </w:t>
      </w:r>
      <w:proofErr w:type="spellStart"/>
      <w:r w:rsidRPr="003945C7">
        <w:rPr>
          <w:rFonts w:ascii="Book Antiqua" w:eastAsia="Book Antiqua" w:hAnsi="Book Antiqua" w:cs="Book Antiqua"/>
          <w:b/>
          <w:bCs/>
          <w:color w:val="000000"/>
        </w:rPr>
        <w:t>Damghani</w:t>
      </w:r>
      <w:proofErr w:type="spellEnd"/>
      <w:r w:rsidRPr="003945C7">
        <w:rPr>
          <w:rFonts w:ascii="Book Antiqua" w:eastAsia="Book Antiqua" w:hAnsi="Book Antiqua" w:cs="Book Antiqua"/>
          <w:b/>
          <w:bCs/>
          <w:color w:val="000000"/>
        </w:rPr>
        <w:t xml:space="preserve"> MA</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Dehghan</w:t>
      </w:r>
      <w:proofErr w:type="spellEnd"/>
      <w:r w:rsidRPr="003945C7">
        <w:rPr>
          <w:rFonts w:ascii="Book Antiqua" w:eastAsia="Book Antiqua" w:hAnsi="Book Antiqua" w:cs="Book Antiqua"/>
          <w:color w:val="000000"/>
        </w:rPr>
        <w:t xml:space="preserve"> E. Is there any association between Helicobacter pylori and otitis media with effusion? </w:t>
      </w:r>
      <w:proofErr w:type="spellStart"/>
      <w:r w:rsidRPr="003945C7">
        <w:rPr>
          <w:rFonts w:ascii="Book Antiqua" w:eastAsia="Book Antiqua" w:hAnsi="Book Antiqua" w:cs="Book Antiqua"/>
          <w:i/>
          <w:iCs/>
          <w:color w:val="000000"/>
        </w:rPr>
        <w:t>Braz</w:t>
      </w:r>
      <w:proofErr w:type="spellEnd"/>
      <w:r w:rsidRPr="003945C7">
        <w:rPr>
          <w:rFonts w:ascii="Book Antiqua" w:eastAsia="Book Antiqua" w:hAnsi="Book Antiqua" w:cs="Book Antiqua"/>
          <w:i/>
          <w:iCs/>
          <w:color w:val="000000"/>
        </w:rPr>
        <w:t xml:space="preserve"> J </w:t>
      </w:r>
      <w:proofErr w:type="spellStart"/>
      <w:r w:rsidRPr="003945C7">
        <w:rPr>
          <w:rFonts w:ascii="Book Antiqua" w:eastAsia="Book Antiqua" w:hAnsi="Book Antiqua" w:cs="Book Antiqua"/>
          <w:i/>
          <w:iCs/>
          <w:color w:val="000000"/>
        </w:rPr>
        <w:t>Otorhinolaryngol</w:t>
      </w:r>
      <w:proofErr w:type="spellEnd"/>
      <w:r w:rsidRPr="003945C7">
        <w:rPr>
          <w:rFonts w:ascii="Book Antiqua" w:eastAsia="Book Antiqua" w:hAnsi="Book Antiqua" w:cs="Book Antiqua"/>
          <w:color w:val="000000"/>
        </w:rPr>
        <w:t xml:space="preserve"> 2020; </w:t>
      </w:r>
      <w:r w:rsidRPr="003945C7">
        <w:rPr>
          <w:rFonts w:ascii="Book Antiqua" w:eastAsia="Book Antiqua" w:hAnsi="Book Antiqua" w:cs="Book Antiqua"/>
          <w:b/>
          <w:bCs/>
          <w:color w:val="000000"/>
        </w:rPr>
        <w:t>86</w:t>
      </w:r>
      <w:r w:rsidRPr="003945C7">
        <w:rPr>
          <w:rFonts w:ascii="Book Antiqua" w:eastAsia="Book Antiqua" w:hAnsi="Book Antiqua" w:cs="Book Antiqua"/>
          <w:color w:val="000000"/>
        </w:rPr>
        <w:t>: 217-221 [PMID: 30595350 DOI: 10.1016/j.bjorl.2018.11.002]</w:t>
      </w:r>
    </w:p>
    <w:p w14:paraId="4CE2DC1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6 </w:t>
      </w:r>
      <w:proofErr w:type="spellStart"/>
      <w:r w:rsidRPr="003945C7">
        <w:rPr>
          <w:rFonts w:ascii="Book Antiqua" w:eastAsia="Book Antiqua" w:hAnsi="Book Antiqua" w:cs="Book Antiqua"/>
          <w:b/>
          <w:bCs/>
          <w:color w:val="000000"/>
        </w:rPr>
        <w:t>Hasosah</w:t>
      </w:r>
      <w:proofErr w:type="spellEnd"/>
      <w:r w:rsidRPr="003945C7">
        <w:rPr>
          <w:rFonts w:ascii="Book Antiqua" w:eastAsia="Book Antiqua" w:hAnsi="Book Antiqua" w:cs="Book Antiqua"/>
          <w:b/>
          <w:bCs/>
          <w:color w:val="000000"/>
        </w:rPr>
        <w:t xml:space="preserve"> M</w:t>
      </w:r>
      <w:r w:rsidRPr="003945C7">
        <w:rPr>
          <w:rFonts w:ascii="Book Antiqua" w:eastAsia="Book Antiqua" w:hAnsi="Book Antiqua" w:cs="Book Antiqua"/>
          <w:color w:val="000000"/>
        </w:rPr>
        <w:t xml:space="preserve">. Accuracy of invasive and noninvasive methods of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infection diagnosis in Saudi children. </w:t>
      </w:r>
      <w:r w:rsidRPr="003945C7">
        <w:rPr>
          <w:rFonts w:ascii="Book Antiqua" w:eastAsia="Book Antiqua" w:hAnsi="Book Antiqua" w:cs="Book Antiqua"/>
          <w:i/>
          <w:iCs/>
          <w:color w:val="000000"/>
        </w:rPr>
        <w:t>Saudi J Gastroenterol</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25</w:t>
      </w:r>
      <w:r w:rsidRPr="003945C7">
        <w:rPr>
          <w:rFonts w:ascii="Book Antiqua" w:eastAsia="Book Antiqua" w:hAnsi="Book Antiqua" w:cs="Book Antiqua"/>
          <w:color w:val="000000"/>
        </w:rPr>
        <w:t>: 126-131 [PMID: 30381494 DOI: 10.4103/sjg.SJG_288_18]</w:t>
      </w:r>
    </w:p>
    <w:p w14:paraId="3623646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7 </w:t>
      </w:r>
      <w:r w:rsidRPr="003945C7">
        <w:rPr>
          <w:rFonts w:ascii="Book Antiqua" w:eastAsia="Book Antiqua" w:hAnsi="Book Antiqua" w:cs="Book Antiqua"/>
          <w:b/>
          <w:bCs/>
          <w:color w:val="000000"/>
        </w:rPr>
        <w:t>Jones NL</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Koletzko</w:t>
      </w:r>
      <w:proofErr w:type="spellEnd"/>
      <w:r w:rsidRPr="003945C7">
        <w:rPr>
          <w:rFonts w:ascii="Book Antiqua" w:eastAsia="Book Antiqua" w:hAnsi="Book Antiqua" w:cs="Book Antiqua"/>
          <w:color w:val="000000"/>
        </w:rPr>
        <w:t xml:space="preserve"> S, Goodman K, </w:t>
      </w:r>
      <w:proofErr w:type="spellStart"/>
      <w:r w:rsidRPr="003945C7">
        <w:rPr>
          <w:rFonts w:ascii="Book Antiqua" w:eastAsia="Book Antiqua" w:hAnsi="Book Antiqua" w:cs="Book Antiqua"/>
          <w:color w:val="000000"/>
        </w:rPr>
        <w:t>Bontems</w:t>
      </w:r>
      <w:proofErr w:type="spellEnd"/>
      <w:r w:rsidRPr="003945C7">
        <w:rPr>
          <w:rFonts w:ascii="Book Antiqua" w:eastAsia="Book Antiqua" w:hAnsi="Book Antiqua" w:cs="Book Antiqua"/>
          <w:color w:val="000000"/>
        </w:rPr>
        <w:t xml:space="preserve"> P, </w:t>
      </w:r>
      <w:proofErr w:type="spellStart"/>
      <w:r w:rsidRPr="003945C7">
        <w:rPr>
          <w:rFonts w:ascii="Book Antiqua" w:eastAsia="Book Antiqua" w:hAnsi="Book Antiqua" w:cs="Book Antiqua"/>
          <w:color w:val="000000"/>
        </w:rPr>
        <w:t>Cadranel</w:t>
      </w:r>
      <w:proofErr w:type="spellEnd"/>
      <w:r w:rsidRPr="003945C7">
        <w:rPr>
          <w:rFonts w:ascii="Book Antiqua" w:eastAsia="Book Antiqua" w:hAnsi="Book Antiqua" w:cs="Book Antiqua"/>
          <w:color w:val="000000"/>
        </w:rPr>
        <w:t xml:space="preserve"> S, </w:t>
      </w:r>
      <w:proofErr w:type="spellStart"/>
      <w:r w:rsidRPr="003945C7">
        <w:rPr>
          <w:rFonts w:ascii="Book Antiqua" w:eastAsia="Book Antiqua" w:hAnsi="Book Antiqua" w:cs="Book Antiqua"/>
          <w:color w:val="000000"/>
        </w:rPr>
        <w:t>Casswall</w:t>
      </w:r>
      <w:proofErr w:type="spellEnd"/>
      <w:r w:rsidRPr="003945C7">
        <w:rPr>
          <w:rFonts w:ascii="Book Antiqua" w:eastAsia="Book Antiqua" w:hAnsi="Book Antiqua" w:cs="Book Antiqua"/>
          <w:color w:val="000000"/>
        </w:rPr>
        <w:t xml:space="preserve"> T, </w:t>
      </w:r>
      <w:proofErr w:type="spellStart"/>
      <w:r w:rsidRPr="003945C7">
        <w:rPr>
          <w:rFonts w:ascii="Book Antiqua" w:eastAsia="Book Antiqua" w:hAnsi="Book Antiqua" w:cs="Book Antiqua"/>
          <w:color w:val="000000"/>
        </w:rPr>
        <w:t>Czinn</w:t>
      </w:r>
      <w:proofErr w:type="spellEnd"/>
      <w:r w:rsidRPr="003945C7">
        <w:rPr>
          <w:rFonts w:ascii="Book Antiqua" w:eastAsia="Book Antiqua" w:hAnsi="Book Antiqua" w:cs="Book Antiqua"/>
          <w:color w:val="000000"/>
        </w:rPr>
        <w:t xml:space="preserve"> S, Gold BD, </w:t>
      </w:r>
      <w:proofErr w:type="spellStart"/>
      <w:r w:rsidRPr="003945C7">
        <w:rPr>
          <w:rFonts w:ascii="Book Antiqua" w:eastAsia="Book Antiqua" w:hAnsi="Book Antiqua" w:cs="Book Antiqua"/>
          <w:color w:val="000000"/>
        </w:rPr>
        <w:t>Guarner</w:t>
      </w:r>
      <w:proofErr w:type="spellEnd"/>
      <w:r w:rsidRPr="003945C7">
        <w:rPr>
          <w:rFonts w:ascii="Book Antiqua" w:eastAsia="Book Antiqua" w:hAnsi="Book Antiqua" w:cs="Book Antiqua"/>
          <w:color w:val="000000"/>
        </w:rPr>
        <w:t xml:space="preserve"> J, </w:t>
      </w:r>
      <w:proofErr w:type="spellStart"/>
      <w:r w:rsidRPr="003945C7">
        <w:rPr>
          <w:rFonts w:ascii="Book Antiqua" w:eastAsia="Book Antiqua" w:hAnsi="Book Antiqua" w:cs="Book Antiqua"/>
          <w:color w:val="000000"/>
        </w:rPr>
        <w:t>Elitsur</w:t>
      </w:r>
      <w:proofErr w:type="spellEnd"/>
      <w:r w:rsidRPr="003945C7">
        <w:rPr>
          <w:rFonts w:ascii="Book Antiqua" w:eastAsia="Book Antiqua" w:hAnsi="Book Antiqua" w:cs="Book Antiqua"/>
          <w:color w:val="000000"/>
        </w:rPr>
        <w:t xml:space="preserve"> Y, Homan M, Kalach N, Kori M, </w:t>
      </w:r>
      <w:proofErr w:type="spellStart"/>
      <w:r w:rsidRPr="003945C7">
        <w:rPr>
          <w:rFonts w:ascii="Book Antiqua" w:eastAsia="Book Antiqua" w:hAnsi="Book Antiqua" w:cs="Book Antiqua"/>
          <w:color w:val="000000"/>
        </w:rPr>
        <w:t>Madrazo</w:t>
      </w:r>
      <w:proofErr w:type="spellEnd"/>
      <w:r w:rsidRPr="003945C7">
        <w:rPr>
          <w:rFonts w:ascii="Book Antiqua" w:eastAsia="Book Antiqua" w:hAnsi="Book Antiqua" w:cs="Book Antiqua"/>
          <w:color w:val="000000"/>
        </w:rPr>
        <w:t xml:space="preserve"> A, </w:t>
      </w:r>
      <w:proofErr w:type="spellStart"/>
      <w:r w:rsidRPr="003945C7">
        <w:rPr>
          <w:rFonts w:ascii="Book Antiqua" w:eastAsia="Book Antiqua" w:hAnsi="Book Antiqua" w:cs="Book Antiqua"/>
          <w:color w:val="000000"/>
        </w:rPr>
        <w:t>Megraud</w:t>
      </w:r>
      <w:proofErr w:type="spellEnd"/>
      <w:r w:rsidRPr="003945C7">
        <w:rPr>
          <w:rFonts w:ascii="Book Antiqua" w:eastAsia="Book Antiqua" w:hAnsi="Book Antiqua" w:cs="Book Antiqua"/>
          <w:color w:val="000000"/>
        </w:rPr>
        <w:t xml:space="preserve"> F, </w:t>
      </w:r>
      <w:proofErr w:type="spellStart"/>
      <w:r w:rsidRPr="003945C7">
        <w:rPr>
          <w:rFonts w:ascii="Book Antiqua" w:eastAsia="Book Antiqua" w:hAnsi="Book Antiqua" w:cs="Book Antiqua"/>
          <w:color w:val="000000"/>
        </w:rPr>
        <w:t>Papadopoulou</w:t>
      </w:r>
      <w:proofErr w:type="spellEnd"/>
      <w:r w:rsidRPr="003945C7">
        <w:rPr>
          <w:rFonts w:ascii="Book Antiqua" w:eastAsia="Book Antiqua" w:hAnsi="Book Antiqua" w:cs="Book Antiqua"/>
          <w:color w:val="000000"/>
        </w:rPr>
        <w:t xml:space="preserve"> A, Rowland M; ESPGHAN, NASPGHAN. Joint ESPGHAN/NASPGHAN Guidelines for the Management of Helicobacter pylori in Children and Adolescents (Update 2016). </w:t>
      </w:r>
      <w:r w:rsidRPr="003945C7">
        <w:rPr>
          <w:rFonts w:ascii="Book Antiqua" w:eastAsia="Book Antiqua" w:hAnsi="Book Antiqua" w:cs="Book Antiqua"/>
          <w:i/>
          <w:iCs/>
          <w:color w:val="000000"/>
        </w:rPr>
        <w:t xml:space="preserve">J </w:t>
      </w:r>
      <w:proofErr w:type="spellStart"/>
      <w:r w:rsidRPr="003945C7">
        <w:rPr>
          <w:rFonts w:ascii="Book Antiqua" w:eastAsia="Book Antiqua" w:hAnsi="Book Antiqua" w:cs="Book Antiqua"/>
          <w:i/>
          <w:iCs/>
          <w:color w:val="000000"/>
        </w:rPr>
        <w:t>Pediatr</w:t>
      </w:r>
      <w:proofErr w:type="spellEnd"/>
      <w:r w:rsidRPr="003945C7">
        <w:rPr>
          <w:rFonts w:ascii="Book Antiqua" w:eastAsia="Book Antiqua" w:hAnsi="Book Antiqua" w:cs="Book Antiqua"/>
          <w:i/>
          <w:iCs/>
          <w:color w:val="000000"/>
        </w:rPr>
        <w:t xml:space="preserve"> Gastroenterol </w:t>
      </w:r>
      <w:proofErr w:type="spellStart"/>
      <w:r w:rsidRPr="003945C7">
        <w:rPr>
          <w:rFonts w:ascii="Book Antiqua" w:eastAsia="Book Antiqua" w:hAnsi="Book Antiqua" w:cs="Book Antiqua"/>
          <w:i/>
          <w:iCs/>
          <w:color w:val="000000"/>
        </w:rPr>
        <w:t>Nutr</w:t>
      </w:r>
      <w:proofErr w:type="spellEnd"/>
      <w:r w:rsidRPr="003945C7">
        <w:rPr>
          <w:rFonts w:ascii="Book Antiqua" w:eastAsia="Book Antiqua" w:hAnsi="Book Antiqua" w:cs="Book Antiqua"/>
          <w:color w:val="000000"/>
        </w:rPr>
        <w:t xml:space="preserve"> 2017; </w:t>
      </w:r>
      <w:r w:rsidRPr="003945C7">
        <w:rPr>
          <w:rFonts w:ascii="Book Antiqua" w:eastAsia="Book Antiqua" w:hAnsi="Book Antiqua" w:cs="Book Antiqua"/>
          <w:b/>
          <w:bCs/>
          <w:color w:val="000000"/>
        </w:rPr>
        <w:t>64</w:t>
      </w:r>
      <w:r w:rsidRPr="003945C7">
        <w:rPr>
          <w:rFonts w:ascii="Book Antiqua" w:eastAsia="Book Antiqua" w:hAnsi="Book Antiqua" w:cs="Book Antiqua"/>
          <w:color w:val="000000"/>
        </w:rPr>
        <w:t>: 991-1003 [PMID: 28541262 DOI: 10.1097/MPG.0000000000001594]</w:t>
      </w:r>
    </w:p>
    <w:p w14:paraId="06D0C1A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lastRenderedPageBreak/>
        <w:t xml:space="preserve">8 </w:t>
      </w:r>
      <w:proofErr w:type="spellStart"/>
      <w:r w:rsidRPr="003945C7">
        <w:rPr>
          <w:rFonts w:ascii="Book Antiqua" w:eastAsia="Book Antiqua" w:hAnsi="Book Antiqua" w:cs="Book Antiqua"/>
          <w:b/>
          <w:bCs/>
          <w:color w:val="000000"/>
        </w:rPr>
        <w:t>Mišak</w:t>
      </w:r>
      <w:proofErr w:type="spellEnd"/>
      <w:r w:rsidRPr="003945C7">
        <w:rPr>
          <w:rFonts w:ascii="Book Antiqua" w:eastAsia="Book Antiqua" w:hAnsi="Book Antiqua" w:cs="Book Antiqua"/>
          <w:b/>
          <w:bCs/>
          <w:color w:val="000000"/>
        </w:rPr>
        <w:t xml:space="preserve"> Z</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Hojsak</w:t>
      </w:r>
      <w:proofErr w:type="spellEnd"/>
      <w:r w:rsidRPr="003945C7">
        <w:rPr>
          <w:rFonts w:ascii="Book Antiqua" w:eastAsia="Book Antiqua" w:hAnsi="Book Antiqua" w:cs="Book Antiqua"/>
          <w:color w:val="000000"/>
        </w:rPr>
        <w:t xml:space="preserve"> I, Homan M. Review: Helicobacter pylori in pediatrics. </w:t>
      </w:r>
      <w:r w:rsidRPr="003945C7">
        <w:rPr>
          <w:rFonts w:ascii="Book Antiqua" w:eastAsia="Book Antiqua" w:hAnsi="Book Antiqua" w:cs="Book Antiqua"/>
          <w:i/>
          <w:iCs/>
          <w:color w:val="000000"/>
        </w:rPr>
        <w:t>Helicobacter</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24 Suppl 1</w:t>
      </w:r>
      <w:r w:rsidRPr="003945C7">
        <w:rPr>
          <w:rFonts w:ascii="Book Antiqua" w:eastAsia="Book Antiqua" w:hAnsi="Book Antiqua" w:cs="Book Antiqua"/>
          <w:color w:val="000000"/>
        </w:rPr>
        <w:t>: e12639 [PMID: 31486243 DOI: 10.1111/hel.12639]</w:t>
      </w:r>
    </w:p>
    <w:p w14:paraId="11A10606"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9 </w:t>
      </w:r>
      <w:r w:rsidRPr="003945C7">
        <w:rPr>
          <w:rFonts w:ascii="Book Antiqua" w:eastAsia="Book Antiqua" w:hAnsi="Book Antiqua" w:cs="Book Antiqua"/>
          <w:b/>
          <w:bCs/>
          <w:color w:val="000000"/>
        </w:rPr>
        <w:t>McGuire S</w:t>
      </w:r>
      <w:r w:rsidRPr="003945C7">
        <w:rPr>
          <w:rFonts w:ascii="Book Antiqua" w:eastAsia="Book Antiqua" w:hAnsi="Book Antiqua" w:cs="Book Antiqua"/>
          <w:color w:val="000000"/>
        </w:rPr>
        <w:t xml:space="preserve">. World Cancer Report 2014. Geneva, Switzerland: World Health Organization, International Agency for Research on Cancer, WHO Press, 2015. </w:t>
      </w:r>
      <w:r w:rsidRPr="003945C7">
        <w:rPr>
          <w:rFonts w:ascii="Book Antiqua" w:eastAsia="Book Antiqua" w:hAnsi="Book Antiqua" w:cs="Book Antiqua"/>
          <w:i/>
          <w:iCs/>
          <w:color w:val="000000"/>
        </w:rPr>
        <w:t xml:space="preserve">Adv </w:t>
      </w:r>
      <w:proofErr w:type="spellStart"/>
      <w:r w:rsidRPr="003945C7">
        <w:rPr>
          <w:rFonts w:ascii="Book Antiqua" w:eastAsia="Book Antiqua" w:hAnsi="Book Antiqua" w:cs="Book Antiqua"/>
          <w:i/>
          <w:iCs/>
          <w:color w:val="000000"/>
        </w:rPr>
        <w:t>Nutr</w:t>
      </w:r>
      <w:proofErr w:type="spellEnd"/>
      <w:r w:rsidRPr="003945C7">
        <w:rPr>
          <w:rFonts w:ascii="Book Antiqua" w:eastAsia="Book Antiqua" w:hAnsi="Book Antiqua" w:cs="Book Antiqua"/>
          <w:color w:val="000000"/>
        </w:rPr>
        <w:t xml:space="preserve"> 2016; </w:t>
      </w:r>
      <w:r w:rsidRPr="003945C7">
        <w:rPr>
          <w:rFonts w:ascii="Book Antiqua" w:eastAsia="Book Antiqua" w:hAnsi="Book Antiqua" w:cs="Book Antiqua"/>
          <w:b/>
          <w:bCs/>
          <w:color w:val="000000"/>
        </w:rPr>
        <w:t>7</w:t>
      </w:r>
      <w:r w:rsidRPr="003945C7">
        <w:rPr>
          <w:rFonts w:ascii="Book Antiqua" w:eastAsia="Book Antiqua" w:hAnsi="Book Antiqua" w:cs="Book Antiqua"/>
          <w:color w:val="000000"/>
        </w:rPr>
        <w:t>: 418-419 [PMID: 26980827 DOI: 10.3945/an.116.012211]</w:t>
      </w:r>
    </w:p>
    <w:p w14:paraId="6970C10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10 </w:t>
      </w:r>
      <w:r w:rsidRPr="003945C7">
        <w:rPr>
          <w:rFonts w:ascii="Book Antiqua" w:eastAsia="Book Antiqua" w:hAnsi="Book Antiqua" w:cs="Book Antiqua"/>
          <w:b/>
          <w:bCs/>
          <w:color w:val="000000"/>
        </w:rPr>
        <w:t>El-Omar EM</w:t>
      </w:r>
      <w:r w:rsidRPr="003945C7">
        <w:rPr>
          <w:rFonts w:ascii="Book Antiqua" w:eastAsia="Book Antiqua" w:hAnsi="Book Antiqua" w:cs="Book Antiqua"/>
          <w:color w:val="000000"/>
        </w:rPr>
        <w:t xml:space="preserve">, Ng MT, Hold GL. Polymorphisms in Toll-like receptor genes and risk of cancer. </w:t>
      </w:r>
      <w:r w:rsidRPr="003945C7">
        <w:rPr>
          <w:rFonts w:ascii="Book Antiqua" w:eastAsia="Book Antiqua" w:hAnsi="Book Antiqua" w:cs="Book Antiqua"/>
          <w:i/>
          <w:iCs/>
          <w:color w:val="000000"/>
        </w:rPr>
        <w:t>Oncogene</w:t>
      </w:r>
      <w:r w:rsidRPr="003945C7">
        <w:rPr>
          <w:rFonts w:ascii="Book Antiqua" w:eastAsia="Book Antiqua" w:hAnsi="Book Antiqua" w:cs="Book Antiqua"/>
          <w:color w:val="000000"/>
        </w:rPr>
        <w:t xml:space="preserve"> 2008; </w:t>
      </w:r>
      <w:r w:rsidRPr="003945C7">
        <w:rPr>
          <w:rFonts w:ascii="Book Antiqua" w:eastAsia="Book Antiqua" w:hAnsi="Book Antiqua" w:cs="Book Antiqua"/>
          <w:b/>
          <w:bCs/>
          <w:color w:val="000000"/>
        </w:rPr>
        <w:t>27</w:t>
      </w:r>
      <w:r w:rsidRPr="003945C7">
        <w:rPr>
          <w:rFonts w:ascii="Book Antiqua" w:eastAsia="Book Antiqua" w:hAnsi="Book Antiqua" w:cs="Book Antiqua"/>
          <w:color w:val="000000"/>
        </w:rPr>
        <w:t>: 244-252 [PMID: 18176606 DOI: 10.1038/sj.onc.1210912]</w:t>
      </w:r>
    </w:p>
    <w:p w14:paraId="25AB5516"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11 </w:t>
      </w:r>
      <w:proofErr w:type="spellStart"/>
      <w:r w:rsidRPr="003945C7">
        <w:rPr>
          <w:rFonts w:ascii="Book Antiqua" w:eastAsia="Book Antiqua" w:hAnsi="Book Antiqua" w:cs="Book Antiqua"/>
          <w:b/>
          <w:bCs/>
          <w:color w:val="000000"/>
        </w:rPr>
        <w:t>Herszényi</w:t>
      </w:r>
      <w:proofErr w:type="spellEnd"/>
      <w:r w:rsidRPr="003945C7">
        <w:rPr>
          <w:rFonts w:ascii="Book Antiqua" w:eastAsia="Book Antiqua" w:hAnsi="Book Antiqua" w:cs="Book Antiqua"/>
          <w:b/>
          <w:bCs/>
          <w:color w:val="000000"/>
        </w:rPr>
        <w:t xml:space="preserve"> L</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Tulassay</w:t>
      </w:r>
      <w:proofErr w:type="spellEnd"/>
      <w:r w:rsidRPr="003945C7">
        <w:rPr>
          <w:rFonts w:ascii="Book Antiqua" w:eastAsia="Book Antiqua" w:hAnsi="Book Antiqua" w:cs="Book Antiqua"/>
          <w:color w:val="000000"/>
        </w:rPr>
        <w:t xml:space="preserve"> Z. Epidemiology of gastrointestinal and liver tumors. </w:t>
      </w:r>
      <w:r w:rsidRPr="003945C7">
        <w:rPr>
          <w:rFonts w:ascii="Book Antiqua" w:eastAsia="Book Antiqua" w:hAnsi="Book Antiqua" w:cs="Book Antiqua"/>
          <w:i/>
          <w:iCs/>
          <w:color w:val="000000"/>
        </w:rPr>
        <w:t xml:space="preserve">Eur Rev Med </w:t>
      </w:r>
      <w:proofErr w:type="spellStart"/>
      <w:r w:rsidRPr="003945C7">
        <w:rPr>
          <w:rFonts w:ascii="Book Antiqua" w:eastAsia="Book Antiqua" w:hAnsi="Book Antiqua" w:cs="Book Antiqua"/>
          <w:i/>
          <w:iCs/>
          <w:color w:val="000000"/>
        </w:rPr>
        <w:t>Pharmacol</w:t>
      </w:r>
      <w:proofErr w:type="spellEnd"/>
      <w:r w:rsidRPr="003945C7">
        <w:rPr>
          <w:rFonts w:ascii="Book Antiqua" w:eastAsia="Book Antiqua" w:hAnsi="Book Antiqua" w:cs="Book Antiqua"/>
          <w:i/>
          <w:iCs/>
          <w:color w:val="000000"/>
        </w:rPr>
        <w:t xml:space="preserve"> Sci</w:t>
      </w:r>
      <w:r w:rsidRPr="003945C7">
        <w:rPr>
          <w:rFonts w:ascii="Book Antiqua" w:eastAsia="Book Antiqua" w:hAnsi="Book Antiqua" w:cs="Book Antiqua"/>
          <w:color w:val="000000"/>
        </w:rPr>
        <w:t xml:space="preserve"> 2010; </w:t>
      </w:r>
      <w:r w:rsidRPr="003945C7">
        <w:rPr>
          <w:rFonts w:ascii="Book Antiqua" w:eastAsia="Book Antiqua" w:hAnsi="Book Antiqua" w:cs="Book Antiqua"/>
          <w:b/>
          <w:bCs/>
          <w:color w:val="000000"/>
        </w:rPr>
        <w:t>14</w:t>
      </w:r>
      <w:r w:rsidRPr="003945C7">
        <w:rPr>
          <w:rFonts w:ascii="Book Antiqua" w:eastAsia="Book Antiqua" w:hAnsi="Book Antiqua" w:cs="Book Antiqua"/>
          <w:color w:val="000000"/>
        </w:rPr>
        <w:t>: 249-258 [PMID: 20496531]</w:t>
      </w:r>
    </w:p>
    <w:p w14:paraId="38EBF167"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12 </w:t>
      </w:r>
      <w:r w:rsidRPr="003945C7">
        <w:rPr>
          <w:rFonts w:ascii="Book Antiqua" w:eastAsia="Book Antiqua" w:hAnsi="Book Antiqua" w:cs="Book Antiqua"/>
          <w:b/>
          <w:bCs/>
          <w:color w:val="000000"/>
        </w:rPr>
        <w:t>Chaudhary PM</w:t>
      </w:r>
      <w:r w:rsidRPr="003945C7">
        <w:rPr>
          <w:rFonts w:ascii="Book Antiqua" w:eastAsia="Book Antiqua" w:hAnsi="Book Antiqua" w:cs="Book Antiqua"/>
          <w:color w:val="000000"/>
        </w:rPr>
        <w:t xml:space="preserve">, Ferguson C, Nguyen V, Nguyen O, Massa HF, </w:t>
      </w:r>
      <w:proofErr w:type="spellStart"/>
      <w:r w:rsidRPr="003945C7">
        <w:rPr>
          <w:rFonts w:ascii="Book Antiqua" w:eastAsia="Book Antiqua" w:hAnsi="Book Antiqua" w:cs="Book Antiqua"/>
          <w:color w:val="000000"/>
        </w:rPr>
        <w:t>Eby</w:t>
      </w:r>
      <w:proofErr w:type="spellEnd"/>
      <w:r w:rsidRPr="003945C7">
        <w:rPr>
          <w:rFonts w:ascii="Book Antiqua" w:eastAsia="Book Antiqua" w:hAnsi="Book Antiqua" w:cs="Book Antiqua"/>
          <w:color w:val="000000"/>
        </w:rPr>
        <w:t xml:space="preserve"> M, Jasmin A, Trask BJ, Hood L, Nelson PS. Cloning and characterization of two Toll/Interleukin-1 receptor-like genes TIL3 and TIL4: evidence for a multi-gene receptor family in humans. </w:t>
      </w:r>
      <w:r w:rsidRPr="003945C7">
        <w:rPr>
          <w:rFonts w:ascii="Book Antiqua" w:eastAsia="Book Antiqua" w:hAnsi="Book Antiqua" w:cs="Book Antiqua"/>
          <w:i/>
          <w:iCs/>
          <w:color w:val="000000"/>
        </w:rPr>
        <w:t>Blood</w:t>
      </w:r>
      <w:r w:rsidRPr="003945C7">
        <w:rPr>
          <w:rFonts w:ascii="Book Antiqua" w:eastAsia="Book Antiqua" w:hAnsi="Book Antiqua" w:cs="Book Antiqua"/>
          <w:color w:val="000000"/>
        </w:rPr>
        <w:t xml:space="preserve"> 1998; </w:t>
      </w:r>
      <w:r w:rsidRPr="003945C7">
        <w:rPr>
          <w:rFonts w:ascii="Book Antiqua" w:eastAsia="Book Antiqua" w:hAnsi="Book Antiqua" w:cs="Book Antiqua"/>
          <w:b/>
          <w:bCs/>
          <w:color w:val="000000"/>
        </w:rPr>
        <w:t>91</w:t>
      </w:r>
      <w:r w:rsidRPr="003945C7">
        <w:rPr>
          <w:rFonts w:ascii="Book Antiqua" w:eastAsia="Book Antiqua" w:hAnsi="Book Antiqua" w:cs="Book Antiqua"/>
          <w:color w:val="000000"/>
        </w:rPr>
        <w:t>: 4020-4027 [PMID: 9596645]</w:t>
      </w:r>
    </w:p>
    <w:p w14:paraId="4E98D00A"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13 </w:t>
      </w:r>
      <w:r w:rsidRPr="003945C7">
        <w:rPr>
          <w:rFonts w:ascii="Book Antiqua" w:eastAsia="Book Antiqua" w:hAnsi="Book Antiqua" w:cs="Book Antiqua"/>
          <w:b/>
          <w:bCs/>
          <w:color w:val="000000"/>
        </w:rPr>
        <w:t>Kawai T</w:t>
      </w:r>
      <w:r w:rsidRPr="003945C7">
        <w:rPr>
          <w:rFonts w:ascii="Book Antiqua" w:eastAsia="Book Antiqua" w:hAnsi="Book Antiqua" w:cs="Book Antiqua"/>
          <w:color w:val="000000"/>
        </w:rPr>
        <w:t xml:space="preserve">, Akira S. Toll-like </w:t>
      </w:r>
      <w:proofErr w:type="gramStart"/>
      <w:r w:rsidRPr="003945C7">
        <w:rPr>
          <w:rFonts w:ascii="Book Antiqua" w:eastAsia="Book Antiqua" w:hAnsi="Book Antiqua" w:cs="Book Antiqua"/>
          <w:color w:val="000000"/>
        </w:rPr>
        <w:t>receptors</w:t>
      </w:r>
      <w:proofErr w:type="gramEnd"/>
      <w:r w:rsidRPr="003945C7">
        <w:rPr>
          <w:rFonts w:ascii="Book Antiqua" w:eastAsia="Book Antiqua" w:hAnsi="Book Antiqua" w:cs="Book Antiqua"/>
          <w:color w:val="000000"/>
        </w:rPr>
        <w:t xml:space="preserve"> and their crosstalk with other innate receptors in infection and immunity. </w:t>
      </w:r>
      <w:r w:rsidRPr="003945C7">
        <w:rPr>
          <w:rFonts w:ascii="Book Antiqua" w:eastAsia="Book Antiqua" w:hAnsi="Book Antiqua" w:cs="Book Antiqua"/>
          <w:i/>
          <w:iCs/>
          <w:color w:val="000000"/>
        </w:rPr>
        <w:t>Immunity</w:t>
      </w:r>
      <w:r w:rsidRPr="003945C7">
        <w:rPr>
          <w:rFonts w:ascii="Book Antiqua" w:eastAsia="Book Antiqua" w:hAnsi="Book Antiqua" w:cs="Book Antiqua"/>
          <w:color w:val="000000"/>
        </w:rPr>
        <w:t xml:space="preserve"> 2011; </w:t>
      </w:r>
      <w:r w:rsidRPr="003945C7">
        <w:rPr>
          <w:rFonts w:ascii="Book Antiqua" w:eastAsia="Book Antiqua" w:hAnsi="Book Antiqua" w:cs="Book Antiqua"/>
          <w:b/>
          <w:bCs/>
          <w:color w:val="000000"/>
        </w:rPr>
        <w:t>34</w:t>
      </w:r>
      <w:r w:rsidRPr="003945C7">
        <w:rPr>
          <w:rFonts w:ascii="Book Antiqua" w:eastAsia="Book Antiqua" w:hAnsi="Book Antiqua" w:cs="Book Antiqua"/>
          <w:color w:val="000000"/>
        </w:rPr>
        <w:t>: 637-650 [PMID: 21616434 DOI: 10.1016/j.immuni.2011.05.006]</w:t>
      </w:r>
    </w:p>
    <w:p w14:paraId="5771DE6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14 </w:t>
      </w:r>
      <w:proofErr w:type="spellStart"/>
      <w:r w:rsidRPr="003945C7">
        <w:rPr>
          <w:rFonts w:ascii="Book Antiqua" w:eastAsia="Book Antiqua" w:hAnsi="Book Antiqua" w:cs="Book Antiqua"/>
          <w:b/>
          <w:bCs/>
          <w:color w:val="000000"/>
        </w:rPr>
        <w:t>Fukata</w:t>
      </w:r>
      <w:proofErr w:type="spellEnd"/>
      <w:r w:rsidRPr="003945C7">
        <w:rPr>
          <w:rFonts w:ascii="Book Antiqua" w:eastAsia="Book Antiqua" w:hAnsi="Book Antiqua" w:cs="Book Antiqua"/>
          <w:b/>
          <w:bCs/>
          <w:color w:val="000000"/>
        </w:rPr>
        <w:t xml:space="preserve"> M</w:t>
      </w:r>
      <w:r w:rsidRPr="003945C7">
        <w:rPr>
          <w:rFonts w:ascii="Book Antiqua" w:eastAsia="Book Antiqua" w:hAnsi="Book Antiqua" w:cs="Book Antiqua"/>
          <w:color w:val="000000"/>
        </w:rPr>
        <w:t xml:space="preserve">, Abreu MT. Role of Toll-like receptors in gastrointestinal malignancies. </w:t>
      </w:r>
      <w:r w:rsidRPr="003945C7">
        <w:rPr>
          <w:rFonts w:ascii="Book Antiqua" w:eastAsia="Book Antiqua" w:hAnsi="Book Antiqua" w:cs="Book Antiqua"/>
          <w:i/>
          <w:iCs/>
          <w:color w:val="000000"/>
        </w:rPr>
        <w:t>Oncogene</w:t>
      </w:r>
      <w:r w:rsidRPr="003945C7">
        <w:rPr>
          <w:rFonts w:ascii="Book Antiqua" w:eastAsia="Book Antiqua" w:hAnsi="Book Antiqua" w:cs="Book Antiqua"/>
          <w:color w:val="000000"/>
        </w:rPr>
        <w:t xml:space="preserve"> 2008; </w:t>
      </w:r>
      <w:r w:rsidRPr="003945C7">
        <w:rPr>
          <w:rFonts w:ascii="Book Antiqua" w:eastAsia="Book Antiqua" w:hAnsi="Book Antiqua" w:cs="Book Antiqua"/>
          <w:b/>
          <w:bCs/>
          <w:color w:val="000000"/>
        </w:rPr>
        <w:t>27</w:t>
      </w:r>
      <w:r w:rsidRPr="003945C7">
        <w:rPr>
          <w:rFonts w:ascii="Book Antiqua" w:eastAsia="Book Antiqua" w:hAnsi="Book Antiqua" w:cs="Book Antiqua"/>
          <w:color w:val="000000"/>
        </w:rPr>
        <w:t>: 234-243 [PMID: 18176605 DOI: 10.1038/sj.onc.1210908]</w:t>
      </w:r>
    </w:p>
    <w:p w14:paraId="466D2BC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15 </w:t>
      </w:r>
      <w:r w:rsidRPr="003945C7">
        <w:rPr>
          <w:rFonts w:ascii="Book Antiqua" w:eastAsia="Book Antiqua" w:hAnsi="Book Antiqua" w:cs="Book Antiqua"/>
          <w:b/>
          <w:bCs/>
          <w:color w:val="000000"/>
        </w:rPr>
        <w:t>Wang TR</w:t>
      </w:r>
      <w:r w:rsidRPr="003945C7">
        <w:rPr>
          <w:rFonts w:ascii="Book Antiqua" w:eastAsia="Book Antiqua" w:hAnsi="Book Antiqua" w:cs="Book Antiqua"/>
          <w:color w:val="000000"/>
        </w:rPr>
        <w:t xml:space="preserve">, Peng JC, </w:t>
      </w:r>
      <w:proofErr w:type="spellStart"/>
      <w:r w:rsidRPr="003945C7">
        <w:rPr>
          <w:rFonts w:ascii="Book Antiqua" w:eastAsia="Book Antiqua" w:hAnsi="Book Antiqua" w:cs="Book Antiqua"/>
          <w:color w:val="000000"/>
        </w:rPr>
        <w:t>Qiao</w:t>
      </w:r>
      <w:proofErr w:type="spellEnd"/>
      <w:r w:rsidRPr="003945C7">
        <w:rPr>
          <w:rFonts w:ascii="Book Antiqua" w:eastAsia="Book Antiqua" w:hAnsi="Book Antiqua" w:cs="Book Antiqua"/>
          <w:color w:val="000000"/>
        </w:rPr>
        <w:t xml:space="preserve"> YQ, Zhu MM, Zhao D, Shen J, Ran ZH. Helicobacter pylori regulates TLR4 and TLR9 during gastric carcinogenesis. </w:t>
      </w:r>
      <w:r w:rsidRPr="003945C7">
        <w:rPr>
          <w:rFonts w:ascii="Book Antiqua" w:eastAsia="Book Antiqua" w:hAnsi="Book Antiqua" w:cs="Book Antiqua"/>
          <w:i/>
          <w:iCs/>
          <w:color w:val="000000"/>
        </w:rPr>
        <w:t xml:space="preserve">Int J Clin Exp </w:t>
      </w:r>
      <w:proofErr w:type="spellStart"/>
      <w:r w:rsidRPr="003945C7">
        <w:rPr>
          <w:rFonts w:ascii="Book Antiqua" w:eastAsia="Book Antiqua" w:hAnsi="Book Antiqua" w:cs="Book Antiqua"/>
          <w:i/>
          <w:iCs/>
          <w:color w:val="000000"/>
        </w:rPr>
        <w:t>Pathol</w:t>
      </w:r>
      <w:proofErr w:type="spellEnd"/>
      <w:r w:rsidRPr="003945C7">
        <w:rPr>
          <w:rFonts w:ascii="Book Antiqua" w:eastAsia="Book Antiqua" w:hAnsi="Book Antiqua" w:cs="Book Antiqua"/>
          <w:color w:val="000000"/>
        </w:rPr>
        <w:t xml:space="preserve"> 2014; </w:t>
      </w:r>
      <w:r w:rsidRPr="003945C7">
        <w:rPr>
          <w:rFonts w:ascii="Book Antiqua" w:eastAsia="Book Antiqua" w:hAnsi="Book Antiqua" w:cs="Book Antiqua"/>
          <w:b/>
          <w:bCs/>
          <w:color w:val="000000"/>
        </w:rPr>
        <w:t>7</w:t>
      </w:r>
      <w:r w:rsidRPr="003945C7">
        <w:rPr>
          <w:rFonts w:ascii="Book Antiqua" w:eastAsia="Book Antiqua" w:hAnsi="Book Antiqua" w:cs="Book Antiqua"/>
          <w:color w:val="000000"/>
        </w:rPr>
        <w:t>: 6950-6955 [PMID: 25400780]</w:t>
      </w:r>
    </w:p>
    <w:p w14:paraId="6534FA0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16 </w:t>
      </w:r>
      <w:r w:rsidRPr="003945C7">
        <w:rPr>
          <w:rFonts w:ascii="Book Antiqua" w:eastAsia="Book Antiqua" w:hAnsi="Book Antiqua" w:cs="Book Antiqua"/>
          <w:b/>
          <w:bCs/>
          <w:color w:val="000000"/>
        </w:rPr>
        <w:t>Susi MD</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Lourenço</w:t>
      </w:r>
      <w:proofErr w:type="spellEnd"/>
      <w:r w:rsidRPr="003945C7">
        <w:rPr>
          <w:rFonts w:ascii="Book Antiqua" w:eastAsia="Book Antiqua" w:hAnsi="Book Antiqua" w:cs="Book Antiqua"/>
          <w:color w:val="000000"/>
        </w:rPr>
        <w:t xml:space="preserve"> Caroline M, Rasmussen LT, </w:t>
      </w:r>
      <w:proofErr w:type="spellStart"/>
      <w:r w:rsidRPr="003945C7">
        <w:rPr>
          <w:rFonts w:ascii="Book Antiqua" w:eastAsia="Book Antiqua" w:hAnsi="Book Antiqua" w:cs="Book Antiqua"/>
          <w:color w:val="000000"/>
        </w:rPr>
        <w:t>Payão</w:t>
      </w:r>
      <w:proofErr w:type="spellEnd"/>
      <w:r w:rsidRPr="003945C7">
        <w:rPr>
          <w:rFonts w:ascii="Book Antiqua" w:eastAsia="Book Antiqua" w:hAnsi="Book Antiqua" w:cs="Book Antiqua"/>
          <w:color w:val="000000"/>
        </w:rPr>
        <w:t xml:space="preserve"> SLM, Rossi AFT, Silva AE, de Oliveira-</w:t>
      </w:r>
      <w:proofErr w:type="spellStart"/>
      <w:r w:rsidRPr="003945C7">
        <w:rPr>
          <w:rFonts w:ascii="Book Antiqua" w:eastAsia="Book Antiqua" w:hAnsi="Book Antiqua" w:cs="Book Antiqua"/>
          <w:color w:val="000000"/>
        </w:rPr>
        <w:t>Cucolo</w:t>
      </w:r>
      <w:proofErr w:type="spellEnd"/>
      <w:r w:rsidRPr="003945C7">
        <w:rPr>
          <w:rFonts w:ascii="Book Antiqua" w:eastAsia="Book Antiqua" w:hAnsi="Book Antiqua" w:cs="Book Antiqua"/>
          <w:color w:val="000000"/>
        </w:rPr>
        <w:t xml:space="preserve"> JG. Toll-like receptor 9 polymorphisms and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influence gene expression and risk of gastric carcinogenesis in the Brazilian population. </w:t>
      </w:r>
      <w:r w:rsidRPr="003945C7">
        <w:rPr>
          <w:rFonts w:ascii="Book Antiqua" w:eastAsia="Book Antiqua" w:hAnsi="Book Antiqua" w:cs="Book Antiqua"/>
          <w:i/>
          <w:iCs/>
          <w:color w:val="000000"/>
        </w:rPr>
        <w:t xml:space="preserve">World J </w:t>
      </w:r>
      <w:proofErr w:type="spellStart"/>
      <w:r w:rsidRPr="003945C7">
        <w:rPr>
          <w:rFonts w:ascii="Book Antiqua" w:eastAsia="Book Antiqua" w:hAnsi="Book Antiqua" w:cs="Book Antiqua"/>
          <w:i/>
          <w:iCs/>
          <w:color w:val="000000"/>
        </w:rPr>
        <w:t>Gastrointest</w:t>
      </w:r>
      <w:proofErr w:type="spellEnd"/>
      <w:r w:rsidRPr="003945C7">
        <w:rPr>
          <w:rFonts w:ascii="Book Antiqua" w:eastAsia="Book Antiqua" w:hAnsi="Book Antiqua" w:cs="Book Antiqua"/>
          <w:i/>
          <w:iCs/>
          <w:color w:val="000000"/>
        </w:rPr>
        <w:t xml:space="preserve"> Oncol</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11</w:t>
      </w:r>
      <w:r w:rsidRPr="003945C7">
        <w:rPr>
          <w:rFonts w:ascii="Book Antiqua" w:eastAsia="Book Antiqua" w:hAnsi="Book Antiqua" w:cs="Book Antiqua"/>
          <w:color w:val="000000"/>
        </w:rPr>
        <w:t>: 998-1010 [PMID: 31798780 DOI: 10.4251/</w:t>
      </w:r>
      <w:proofErr w:type="gramStart"/>
      <w:r w:rsidRPr="003945C7">
        <w:rPr>
          <w:rFonts w:ascii="Book Antiqua" w:eastAsia="Book Antiqua" w:hAnsi="Book Antiqua" w:cs="Book Antiqua"/>
          <w:color w:val="000000"/>
        </w:rPr>
        <w:t>wjgo.v11.i</w:t>
      </w:r>
      <w:proofErr w:type="gramEnd"/>
      <w:r w:rsidRPr="003945C7">
        <w:rPr>
          <w:rFonts w:ascii="Book Antiqua" w:eastAsia="Book Antiqua" w:hAnsi="Book Antiqua" w:cs="Book Antiqua"/>
          <w:color w:val="000000"/>
        </w:rPr>
        <w:t>11.998]</w:t>
      </w:r>
    </w:p>
    <w:p w14:paraId="3C69F4F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17 </w:t>
      </w:r>
      <w:r w:rsidRPr="003945C7">
        <w:rPr>
          <w:rFonts w:ascii="Book Antiqua" w:eastAsia="Book Antiqua" w:hAnsi="Book Antiqua" w:cs="Book Antiqua"/>
          <w:b/>
          <w:bCs/>
          <w:color w:val="000000"/>
        </w:rPr>
        <w:t>Dixon MF</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Genta</w:t>
      </w:r>
      <w:proofErr w:type="spellEnd"/>
      <w:r w:rsidRPr="003945C7">
        <w:rPr>
          <w:rFonts w:ascii="Book Antiqua" w:eastAsia="Book Antiqua" w:hAnsi="Book Antiqua" w:cs="Book Antiqua"/>
          <w:color w:val="000000"/>
        </w:rPr>
        <w:t xml:space="preserve"> RM, Yardley JH, Correa P. </w:t>
      </w:r>
      <w:proofErr w:type="gramStart"/>
      <w:r w:rsidRPr="003945C7">
        <w:rPr>
          <w:rFonts w:ascii="Book Antiqua" w:eastAsia="Book Antiqua" w:hAnsi="Book Antiqua" w:cs="Book Antiqua"/>
          <w:color w:val="000000"/>
        </w:rPr>
        <w:t>Classification</w:t>
      </w:r>
      <w:proofErr w:type="gramEnd"/>
      <w:r w:rsidRPr="003945C7">
        <w:rPr>
          <w:rFonts w:ascii="Book Antiqua" w:eastAsia="Book Antiqua" w:hAnsi="Book Antiqua" w:cs="Book Antiqua"/>
          <w:color w:val="000000"/>
        </w:rPr>
        <w:t xml:space="preserve"> and grading of gastritis. The updated Sydney System. International Workshop on the Histopathology of Gastritis, Houston 1994. </w:t>
      </w:r>
      <w:r w:rsidRPr="003945C7">
        <w:rPr>
          <w:rFonts w:ascii="Book Antiqua" w:eastAsia="Book Antiqua" w:hAnsi="Book Antiqua" w:cs="Book Antiqua"/>
          <w:i/>
          <w:iCs/>
          <w:color w:val="000000"/>
        </w:rPr>
        <w:t xml:space="preserve">Am J Surg </w:t>
      </w:r>
      <w:proofErr w:type="spellStart"/>
      <w:r w:rsidRPr="003945C7">
        <w:rPr>
          <w:rFonts w:ascii="Book Antiqua" w:eastAsia="Book Antiqua" w:hAnsi="Book Antiqua" w:cs="Book Antiqua"/>
          <w:i/>
          <w:iCs/>
          <w:color w:val="000000"/>
        </w:rPr>
        <w:t>Pathol</w:t>
      </w:r>
      <w:proofErr w:type="spellEnd"/>
      <w:r w:rsidRPr="003945C7">
        <w:rPr>
          <w:rFonts w:ascii="Book Antiqua" w:eastAsia="Book Antiqua" w:hAnsi="Book Antiqua" w:cs="Book Antiqua"/>
          <w:color w:val="000000"/>
        </w:rPr>
        <w:t xml:space="preserve"> 1996; </w:t>
      </w:r>
      <w:r w:rsidRPr="003945C7">
        <w:rPr>
          <w:rFonts w:ascii="Book Antiqua" w:eastAsia="Book Antiqua" w:hAnsi="Book Antiqua" w:cs="Book Antiqua"/>
          <w:b/>
          <w:bCs/>
          <w:color w:val="000000"/>
        </w:rPr>
        <w:t>20</w:t>
      </w:r>
      <w:r w:rsidRPr="003945C7">
        <w:rPr>
          <w:rFonts w:ascii="Book Antiqua" w:eastAsia="Book Antiqua" w:hAnsi="Book Antiqua" w:cs="Book Antiqua"/>
          <w:color w:val="000000"/>
        </w:rPr>
        <w:t>: 1161-1181 [PMID: 8827022 DOI: 10.1097/00000478-199610000-00001]</w:t>
      </w:r>
    </w:p>
    <w:p w14:paraId="47E716D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lastRenderedPageBreak/>
        <w:t xml:space="preserve">18 </w:t>
      </w:r>
      <w:r w:rsidRPr="003945C7">
        <w:rPr>
          <w:rFonts w:ascii="Book Antiqua" w:eastAsia="Book Antiqua" w:hAnsi="Book Antiqua" w:cs="Book Antiqua"/>
          <w:b/>
          <w:bCs/>
          <w:color w:val="000000"/>
        </w:rPr>
        <w:t>McColl KE</w:t>
      </w:r>
      <w:r w:rsidRPr="003945C7">
        <w:rPr>
          <w:rFonts w:ascii="Book Antiqua" w:eastAsia="Book Antiqua" w:hAnsi="Book Antiqua" w:cs="Book Antiqua"/>
          <w:color w:val="000000"/>
        </w:rPr>
        <w:t xml:space="preserve">. Clinical practice. Helicobacter pylori infection. </w:t>
      </w:r>
      <w:r w:rsidRPr="003945C7">
        <w:rPr>
          <w:rFonts w:ascii="Book Antiqua" w:eastAsia="Book Antiqua" w:hAnsi="Book Antiqua" w:cs="Book Antiqua"/>
          <w:i/>
          <w:iCs/>
          <w:color w:val="000000"/>
        </w:rPr>
        <w:t xml:space="preserve">N </w:t>
      </w:r>
      <w:proofErr w:type="spellStart"/>
      <w:r w:rsidRPr="003945C7">
        <w:rPr>
          <w:rFonts w:ascii="Book Antiqua" w:eastAsia="Book Antiqua" w:hAnsi="Book Antiqua" w:cs="Book Antiqua"/>
          <w:i/>
          <w:iCs/>
          <w:color w:val="000000"/>
        </w:rPr>
        <w:t>Engl</w:t>
      </w:r>
      <w:proofErr w:type="spellEnd"/>
      <w:r w:rsidRPr="003945C7">
        <w:rPr>
          <w:rFonts w:ascii="Book Antiqua" w:eastAsia="Book Antiqua" w:hAnsi="Book Antiqua" w:cs="Book Antiqua"/>
          <w:i/>
          <w:iCs/>
          <w:color w:val="000000"/>
        </w:rPr>
        <w:t xml:space="preserve"> J Med</w:t>
      </w:r>
      <w:r w:rsidRPr="003945C7">
        <w:rPr>
          <w:rFonts w:ascii="Book Antiqua" w:eastAsia="Book Antiqua" w:hAnsi="Book Antiqua" w:cs="Book Antiqua"/>
          <w:color w:val="000000"/>
        </w:rPr>
        <w:t xml:space="preserve"> 2010; </w:t>
      </w:r>
      <w:r w:rsidRPr="003945C7">
        <w:rPr>
          <w:rFonts w:ascii="Book Antiqua" w:eastAsia="Book Antiqua" w:hAnsi="Book Antiqua" w:cs="Book Antiqua"/>
          <w:b/>
          <w:bCs/>
          <w:color w:val="000000"/>
        </w:rPr>
        <w:t>362</w:t>
      </w:r>
      <w:r w:rsidRPr="003945C7">
        <w:rPr>
          <w:rFonts w:ascii="Book Antiqua" w:eastAsia="Book Antiqua" w:hAnsi="Book Antiqua" w:cs="Book Antiqua"/>
          <w:color w:val="000000"/>
        </w:rPr>
        <w:t>: 1597-1604 [PMID: 20427808 DOI: 10.1056/NEJMcp1001110]</w:t>
      </w:r>
    </w:p>
    <w:p w14:paraId="076547E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19 </w:t>
      </w:r>
      <w:proofErr w:type="spellStart"/>
      <w:r w:rsidRPr="003945C7">
        <w:rPr>
          <w:rFonts w:ascii="Book Antiqua" w:eastAsia="Book Antiqua" w:hAnsi="Book Antiqua" w:cs="Book Antiqua"/>
          <w:b/>
          <w:bCs/>
          <w:color w:val="000000"/>
        </w:rPr>
        <w:t>Opekun</w:t>
      </w:r>
      <w:proofErr w:type="spellEnd"/>
      <w:r w:rsidRPr="003945C7">
        <w:rPr>
          <w:rFonts w:ascii="Book Antiqua" w:eastAsia="Book Antiqua" w:hAnsi="Book Antiqua" w:cs="Book Antiqua"/>
          <w:b/>
          <w:bCs/>
          <w:color w:val="000000"/>
        </w:rPr>
        <w:t xml:space="preserve"> AR</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Gilger</w:t>
      </w:r>
      <w:proofErr w:type="spellEnd"/>
      <w:r w:rsidRPr="003945C7">
        <w:rPr>
          <w:rFonts w:ascii="Book Antiqua" w:eastAsia="Book Antiqua" w:hAnsi="Book Antiqua" w:cs="Book Antiqua"/>
          <w:color w:val="000000"/>
        </w:rPr>
        <w:t xml:space="preserve"> MA, </w:t>
      </w:r>
      <w:proofErr w:type="spellStart"/>
      <w:r w:rsidRPr="003945C7">
        <w:rPr>
          <w:rFonts w:ascii="Book Antiqua" w:eastAsia="Book Antiqua" w:hAnsi="Book Antiqua" w:cs="Book Antiqua"/>
          <w:color w:val="000000"/>
        </w:rPr>
        <w:t>Denyes</w:t>
      </w:r>
      <w:proofErr w:type="spellEnd"/>
      <w:r w:rsidRPr="003945C7">
        <w:rPr>
          <w:rFonts w:ascii="Book Antiqua" w:eastAsia="Book Antiqua" w:hAnsi="Book Antiqua" w:cs="Book Antiqua"/>
          <w:color w:val="000000"/>
        </w:rPr>
        <w:t xml:space="preserve"> SM, </w:t>
      </w:r>
      <w:proofErr w:type="spellStart"/>
      <w:r w:rsidRPr="003945C7">
        <w:rPr>
          <w:rFonts w:ascii="Book Antiqua" w:eastAsia="Book Antiqua" w:hAnsi="Book Antiqua" w:cs="Book Antiqua"/>
          <w:color w:val="000000"/>
        </w:rPr>
        <w:t>Nirken</w:t>
      </w:r>
      <w:proofErr w:type="spellEnd"/>
      <w:r w:rsidRPr="003945C7">
        <w:rPr>
          <w:rFonts w:ascii="Book Antiqua" w:eastAsia="Book Antiqua" w:hAnsi="Book Antiqua" w:cs="Book Antiqua"/>
          <w:color w:val="000000"/>
        </w:rPr>
        <w:t xml:space="preserve"> MH, Philip SP, </w:t>
      </w:r>
      <w:proofErr w:type="spellStart"/>
      <w:r w:rsidRPr="003945C7">
        <w:rPr>
          <w:rFonts w:ascii="Book Antiqua" w:eastAsia="Book Antiqua" w:hAnsi="Book Antiqua" w:cs="Book Antiqua"/>
          <w:color w:val="000000"/>
        </w:rPr>
        <w:t>Osato</w:t>
      </w:r>
      <w:proofErr w:type="spellEnd"/>
      <w:r w:rsidRPr="003945C7">
        <w:rPr>
          <w:rFonts w:ascii="Book Antiqua" w:eastAsia="Book Antiqua" w:hAnsi="Book Antiqua" w:cs="Book Antiqua"/>
          <w:color w:val="000000"/>
        </w:rPr>
        <w:t xml:space="preserve"> MS, </w:t>
      </w:r>
      <w:proofErr w:type="spellStart"/>
      <w:r w:rsidRPr="003945C7">
        <w:rPr>
          <w:rFonts w:ascii="Book Antiqua" w:eastAsia="Book Antiqua" w:hAnsi="Book Antiqua" w:cs="Book Antiqua"/>
          <w:color w:val="000000"/>
        </w:rPr>
        <w:t>Malaty</w:t>
      </w:r>
      <w:proofErr w:type="spellEnd"/>
      <w:r w:rsidRPr="003945C7">
        <w:rPr>
          <w:rFonts w:ascii="Book Antiqua" w:eastAsia="Book Antiqua" w:hAnsi="Book Antiqua" w:cs="Book Antiqua"/>
          <w:color w:val="000000"/>
        </w:rPr>
        <w:t xml:space="preserve"> HM, Hicks J, Graham DY. Helicobacter pylori infection in children of Texas. </w:t>
      </w:r>
      <w:r w:rsidRPr="003945C7">
        <w:rPr>
          <w:rFonts w:ascii="Book Antiqua" w:eastAsia="Book Antiqua" w:hAnsi="Book Antiqua" w:cs="Book Antiqua"/>
          <w:i/>
          <w:iCs/>
          <w:color w:val="000000"/>
        </w:rPr>
        <w:t xml:space="preserve">J </w:t>
      </w:r>
      <w:proofErr w:type="spellStart"/>
      <w:r w:rsidRPr="003945C7">
        <w:rPr>
          <w:rFonts w:ascii="Book Antiqua" w:eastAsia="Book Antiqua" w:hAnsi="Book Antiqua" w:cs="Book Antiqua"/>
          <w:i/>
          <w:iCs/>
          <w:color w:val="000000"/>
        </w:rPr>
        <w:t>Pediatr</w:t>
      </w:r>
      <w:proofErr w:type="spellEnd"/>
      <w:r w:rsidRPr="003945C7">
        <w:rPr>
          <w:rFonts w:ascii="Book Antiqua" w:eastAsia="Book Antiqua" w:hAnsi="Book Antiqua" w:cs="Book Antiqua"/>
          <w:i/>
          <w:iCs/>
          <w:color w:val="000000"/>
        </w:rPr>
        <w:t xml:space="preserve"> Gastroenterol </w:t>
      </w:r>
      <w:proofErr w:type="spellStart"/>
      <w:r w:rsidRPr="003945C7">
        <w:rPr>
          <w:rFonts w:ascii="Book Antiqua" w:eastAsia="Book Antiqua" w:hAnsi="Book Antiqua" w:cs="Book Antiqua"/>
          <w:i/>
          <w:iCs/>
          <w:color w:val="000000"/>
        </w:rPr>
        <w:t>Nutr</w:t>
      </w:r>
      <w:proofErr w:type="spellEnd"/>
      <w:r w:rsidRPr="003945C7">
        <w:rPr>
          <w:rFonts w:ascii="Book Antiqua" w:eastAsia="Book Antiqua" w:hAnsi="Book Antiqua" w:cs="Book Antiqua"/>
          <w:color w:val="000000"/>
        </w:rPr>
        <w:t xml:space="preserve"> 2000; </w:t>
      </w:r>
      <w:r w:rsidRPr="003945C7">
        <w:rPr>
          <w:rFonts w:ascii="Book Antiqua" w:eastAsia="Book Antiqua" w:hAnsi="Book Antiqua" w:cs="Book Antiqua"/>
          <w:b/>
          <w:bCs/>
          <w:color w:val="000000"/>
        </w:rPr>
        <w:t>31</w:t>
      </w:r>
      <w:r w:rsidRPr="003945C7">
        <w:rPr>
          <w:rFonts w:ascii="Book Antiqua" w:eastAsia="Book Antiqua" w:hAnsi="Book Antiqua" w:cs="Book Antiqua"/>
          <w:color w:val="000000"/>
        </w:rPr>
        <w:t>: 405-410 [PMID: 11045838 DOI: 10.1097/00005176-200010000-00014]</w:t>
      </w:r>
    </w:p>
    <w:p w14:paraId="53830E3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20 </w:t>
      </w:r>
      <w:r w:rsidRPr="003945C7">
        <w:rPr>
          <w:rFonts w:ascii="Book Antiqua" w:eastAsia="Book Antiqua" w:hAnsi="Book Antiqua" w:cs="Book Antiqua"/>
          <w:b/>
          <w:bCs/>
          <w:color w:val="000000"/>
        </w:rPr>
        <w:t>McCallion WA</w:t>
      </w:r>
      <w:r w:rsidRPr="003945C7">
        <w:rPr>
          <w:rFonts w:ascii="Book Antiqua" w:eastAsia="Book Antiqua" w:hAnsi="Book Antiqua" w:cs="Book Antiqua"/>
          <w:color w:val="000000"/>
        </w:rPr>
        <w:t xml:space="preserve">, Murray LJ, </w:t>
      </w:r>
      <w:proofErr w:type="spellStart"/>
      <w:r w:rsidRPr="003945C7">
        <w:rPr>
          <w:rFonts w:ascii="Book Antiqua" w:eastAsia="Book Antiqua" w:hAnsi="Book Antiqua" w:cs="Book Antiqua"/>
          <w:color w:val="000000"/>
        </w:rPr>
        <w:t>Bailie</w:t>
      </w:r>
      <w:proofErr w:type="spellEnd"/>
      <w:r w:rsidRPr="003945C7">
        <w:rPr>
          <w:rFonts w:ascii="Book Antiqua" w:eastAsia="Book Antiqua" w:hAnsi="Book Antiqua" w:cs="Book Antiqua"/>
          <w:color w:val="000000"/>
        </w:rPr>
        <w:t xml:space="preserve"> AG, Dalzell AM, O'Reilly DP, Bamford KB. Helicobacter pylori infection in children: relation with current household living conditions. </w:t>
      </w:r>
      <w:r w:rsidRPr="003945C7">
        <w:rPr>
          <w:rFonts w:ascii="Book Antiqua" w:eastAsia="Book Antiqua" w:hAnsi="Book Antiqua" w:cs="Book Antiqua"/>
          <w:i/>
          <w:iCs/>
          <w:color w:val="000000"/>
        </w:rPr>
        <w:t>Gut</w:t>
      </w:r>
      <w:r w:rsidRPr="003945C7">
        <w:rPr>
          <w:rFonts w:ascii="Book Antiqua" w:eastAsia="Book Antiqua" w:hAnsi="Book Antiqua" w:cs="Book Antiqua"/>
          <w:color w:val="000000"/>
        </w:rPr>
        <w:t xml:space="preserve"> 1996; </w:t>
      </w:r>
      <w:r w:rsidRPr="003945C7">
        <w:rPr>
          <w:rFonts w:ascii="Book Antiqua" w:eastAsia="Book Antiqua" w:hAnsi="Book Antiqua" w:cs="Book Antiqua"/>
          <w:b/>
          <w:bCs/>
          <w:color w:val="000000"/>
        </w:rPr>
        <w:t>39</w:t>
      </w:r>
      <w:r w:rsidRPr="003945C7">
        <w:rPr>
          <w:rFonts w:ascii="Book Antiqua" w:eastAsia="Book Antiqua" w:hAnsi="Book Antiqua" w:cs="Book Antiqua"/>
          <w:color w:val="000000"/>
        </w:rPr>
        <w:t>: 18-21 [PMID: 8881801 DOI: 10.1136/gut.39.1.18]</w:t>
      </w:r>
    </w:p>
    <w:p w14:paraId="65C4B2B6"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21 </w:t>
      </w:r>
      <w:r w:rsidRPr="003945C7">
        <w:rPr>
          <w:rFonts w:ascii="Book Antiqua" w:eastAsia="Book Antiqua" w:hAnsi="Book Antiqua" w:cs="Book Antiqua"/>
          <w:b/>
          <w:bCs/>
          <w:color w:val="000000"/>
        </w:rPr>
        <w:t>Sykes JE,</w:t>
      </w:r>
      <w:r w:rsidRPr="003945C7">
        <w:rPr>
          <w:rFonts w:ascii="Book Antiqua" w:eastAsia="Book Antiqua" w:hAnsi="Book Antiqua" w:cs="Book Antiqua"/>
          <w:color w:val="000000"/>
        </w:rPr>
        <w:t xml:space="preserve"> Marks SL. Gastric Helicobacter-like Infections. In: Sykes JE, editor. Canine and Feline Infectious Diseases. Saint Louis: W.B. Saunders, 2014: 465–473</w:t>
      </w:r>
    </w:p>
    <w:p w14:paraId="4608D771"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22 </w:t>
      </w:r>
      <w:proofErr w:type="spellStart"/>
      <w:r w:rsidRPr="003945C7">
        <w:rPr>
          <w:rFonts w:ascii="Book Antiqua" w:eastAsia="Book Antiqua" w:hAnsi="Book Antiqua" w:cs="Book Antiqua"/>
          <w:b/>
          <w:bCs/>
          <w:color w:val="000000"/>
        </w:rPr>
        <w:t>Guclu</w:t>
      </w:r>
      <w:proofErr w:type="spellEnd"/>
      <w:r w:rsidRPr="003945C7">
        <w:rPr>
          <w:rFonts w:ascii="Book Antiqua" w:eastAsia="Book Antiqua" w:hAnsi="Book Antiqua" w:cs="Book Antiqua"/>
          <w:b/>
          <w:bCs/>
          <w:color w:val="000000"/>
        </w:rPr>
        <w:t xml:space="preserve"> M</w:t>
      </w:r>
      <w:r w:rsidRPr="003945C7">
        <w:rPr>
          <w:rFonts w:ascii="Book Antiqua" w:eastAsia="Book Antiqua" w:hAnsi="Book Antiqua" w:cs="Book Antiqua"/>
          <w:color w:val="000000"/>
        </w:rPr>
        <w:t xml:space="preserve">, Faruq </w:t>
      </w:r>
      <w:proofErr w:type="spellStart"/>
      <w:r w:rsidRPr="003945C7">
        <w:rPr>
          <w:rFonts w:ascii="Book Antiqua" w:eastAsia="Book Antiqua" w:hAnsi="Book Antiqua" w:cs="Book Antiqua"/>
          <w:color w:val="000000"/>
        </w:rPr>
        <w:t>Agan</w:t>
      </w:r>
      <w:proofErr w:type="spellEnd"/>
      <w:r w:rsidRPr="003945C7">
        <w:rPr>
          <w:rFonts w:ascii="Book Antiqua" w:eastAsia="Book Antiqua" w:hAnsi="Book Antiqua" w:cs="Book Antiqua"/>
          <w:color w:val="000000"/>
        </w:rPr>
        <w:t xml:space="preserve"> A. Association of Severity of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 Infection with Peripheral Blood Neutrophil to Lymphocyte Ratio and Mean Platelet Volume. </w:t>
      </w:r>
      <w:proofErr w:type="spellStart"/>
      <w:r w:rsidRPr="003945C7">
        <w:rPr>
          <w:rFonts w:ascii="Book Antiqua" w:eastAsia="Book Antiqua" w:hAnsi="Book Antiqua" w:cs="Book Antiqua"/>
          <w:i/>
          <w:iCs/>
          <w:color w:val="000000"/>
        </w:rPr>
        <w:t>Euroasian</w:t>
      </w:r>
      <w:proofErr w:type="spellEnd"/>
      <w:r w:rsidRPr="003945C7">
        <w:rPr>
          <w:rFonts w:ascii="Book Antiqua" w:eastAsia="Book Antiqua" w:hAnsi="Book Antiqua" w:cs="Book Antiqua"/>
          <w:i/>
          <w:iCs/>
          <w:color w:val="000000"/>
        </w:rPr>
        <w:t xml:space="preserve"> J </w:t>
      </w:r>
      <w:proofErr w:type="spellStart"/>
      <w:r w:rsidRPr="003945C7">
        <w:rPr>
          <w:rFonts w:ascii="Book Antiqua" w:eastAsia="Book Antiqua" w:hAnsi="Book Antiqua" w:cs="Book Antiqua"/>
          <w:i/>
          <w:iCs/>
          <w:color w:val="000000"/>
        </w:rPr>
        <w:t>Hepatogastroenterol</w:t>
      </w:r>
      <w:proofErr w:type="spellEnd"/>
      <w:r w:rsidRPr="003945C7">
        <w:rPr>
          <w:rFonts w:ascii="Book Antiqua" w:eastAsia="Book Antiqua" w:hAnsi="Book Antiqua" w:cs="Book Antiqua"/>
          <w:color w:val="000000"/>
        </w:rPr>
        <w:t xml:space="preserve"> 2017; </w:t>
      </w:r>
      <w:r w:rsidRPr="003945C7">
        <w:rPr>
          <w:rFonts w:ascii="Book Antiqua" w:eastAsia="Book Antiqua" w:hAnsi="Book Antiqua" w:cs="Book Antiqua"/>
          <w:b/>
          <w:bCs/>
          <w:color w:val="000000"/>
        </w:rPr>
        <w:t>7</w:t>
      </w:r>
      <w:r w:rsidRPr="003945C7">
        <w:rPr>
          <w:rFonts w:ascii="Book Antiqua" w:eastAsia="Book Antiqua" w:hAnsi="Book Antiqua" w:cs="Book Antiqua"/>
          <w:color w:val="000000"/>
        </w:rPr>
        <w:t>: 11-16 [PMID: 29201765 DOI: 10.5005/jp-journals-10018-1204]</w:t>
      </w:r>
    </w:p>
    <w:p w14:paraId="5C3DF66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23 </w:t>
      </w:r>
      <w:proofErr w:type="spellStart"/>
      <w:r w:rsidRPr="003945C7">
        <w:rPr>
          <w:rFonts w:ascii="Book Antiqua" w:eastAsia="Book Antiqua" w:hAnsi="Book Antiqua" w:cs="Book Antiqua"/>
          <w:b/>
          <w:bCs/>
          <w:color w:val="000000"/>
        </w:rPr>
        <w:t>Szlachcic</w:t>
      </w:r>
      <w:proofErr w:type="spellEnd"/>
      <w:r w:rsidRPr="003945C7">
        <w:rPr>
          <w:rFonts w:ascii="Book Antiqua" w:eastAsia="Book Antiqua" w:hAnsi="Book Antiqua" w:cs="Book Antiqua"/>
          <w:b/>
          <w:bCs/>
          <w:color w:val="000000"/>
        </w:rPr>
        <w:t xml:space="preserve"> A</w:t>
      </w:r>
      <w:r w:rsidRPr="003945C7">
        <w:rPr>
          <w:rFonts w:ascii="Book Antiqua" w:eastAsia="Book Antiqua" w:hAnsi="Book Antiqua" w:cs="Book Antiqua"/>
          <w:color w:val="000000"/>
        </w:rPr>
        <w:t xml:space="preserve">. The link between Helicobacter pylori infection and rosacea. </w:t>
      </w:r>
      <w:r w:rsidRPr="003945C7">
        <w:rPr>
          <w:rFonts w:ascii="Book Antiqua" w:eastAsia="Book Antiqua" w:hAnsi="Book Antiqua" w:cs="Book Antiqua"/>
          <w:i/>
          <w:iCs/>
          <w:color w:val="000000"/>
        </w:rPr>
        <w:t xml:space="preserve">J Eur </w:t>
      </w:r>
      <w:proofErr w:type="spellStart"/>
      <w:r w:rsidRPr="003945C7">
        <w:rPr>
          <w:rFonts w:ascii="Book Antiqua" w:eastAsia="Book Antiqua" w:hAnsi="Book Antiqua" w:cs="Book Antiqua"/>
          <w:i/>
          <w:iCs/>
          <w:color w:val="000000"/>
        </w:rPr>
        <w:t>Acad</w:t>
      </w:r>
      <w:proofErr w:type="spellEnd"/>
      <w:r w:rsidRPr="003945C7">
        <w:rPr>
          <w:rFonts w:ascii="Book Antiqua" w:eastAsia="Book Antiqua" w:hAnsi="Book Antiqua" w:cs="Book Antiqua"/>
          <w:i/>
          <w:iCs/>
          <w:color w:val="000000"/>
        </w:rPr>
        <w:t xml:space="preserve"> Dermatol </w:t>
      </w:r>
      <w:proofErr w:type="spellStart"/>
      <w:r w:rsidRPr="003945C7">
        <w:rPr>
          <w:rFonts w:ascii="Book Antiqua" w:eastAsia="Book Antiqua" w:hAnsi="Book Antiqua" w:cs="Book Antiqua"/>
          <w:i/>
          <w:iCs/>
          <w:color w:val="000000"/>
        </w:rPr>
        <w:t>Venereol</w:t>
      </w:r>
      <w:proofErr w:type="spellEnd"/>
      <w:r w:rsidRPr="003945C7">
        <w:rPr>
          <w:rFonts w:ascii="Book Antiqua" w:eastAsia="Book Antiqua" w:hAnsi="Book Antiqua" w:cs="Book Antiqua"/>
          <w:color w:val="000000"/>
        </w:rPr>
        <w:t xml:space="preserve"> 2002; </w:t>
      </w:r>
      <w:r w:rsidRPr="003945C7">
        <w:rPr>
          <w:rFonts w:ascii="Book Antiqua" w:eastAsia="Book Antiqua" w:hAnsi="Book Antiqua" w:cs="Book Antiqua"/>
          <w:b/>
          <w:bCs/>
          <w:color w:val="000000"/>
        </w:rPr>
        <w:t>16</w:t>
      </w:r>
      <w:r w:rsidRPr="003945C7">
        <w:rPr>
          <w:rFonts w:ascii="Book Antiqua" w:eastAsia="Book Antiqua" w:hAnsi="Book Antiqua" w:cs="Book Antiqua"/>
          <w:color w:val="000000"/>
        </w:rPr>
        <w:t>: 328-333 [PMID: 12224687 DOI: 10.1046/j.1468-3083.</w:t>
      </w:r>
      <w:proofErr w:type="gramStart"/>
      <w:r w:rsidRPr="003945C7">
        <w:rPr>
          <w:rFonts w:ascii="Book Antiqua" w:eastAsia="Book Antiqua" w:hAnsi="Book Antiqua" w:cs="Book Antiqua"/>
          <w:color w:val="000000"/>
        </w:rPr>
        <w:t>2002.00497.x</w:t>
      </w:r>
      <w:proofErr w:type="gramEnd"/>
      <w:r w:rsidRPr="003945C7">
        <w:rPr>
          <w:rFonts w:ascii="Book Antiqua" w:eastAsia="Book Antiqua" w:hAnsi="Book Antiqua" w:cs="Book Antiqua"/>
          <w:color w:val="000000"/>
        </w:rPr>
        <w:t>]</w:t>
      </w:r>
    </w:p>
    <w:p w14:paraId="5022738E"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24 </w:t>
      </w:r>
      <w:r w:rsidRPr="003945C7">
        <w:rPr>
          <w:rFonts w:ascii="Book Antiqua" w:eastAsia="Book Antiqua" w:hAnsi="Book Antiqua" w:cs="Book Antiqua"/>
          <w:b/>
          <w:bCs/>
          <w:color w:val="000000"/>
        </w:rPr>
        <w:t>Ohnishi M</w:t>
      </w:r>
      <w:r w:rsidRPr="003945C7">
        <w:rPr>
          <w:rFonts w:ascii="Book Antiqua" w:eastAsia="Book Antiqua" w:hAnsi="Book Antiqua" w:cs="Book Antiqua"/>
          <w:color w:val="000000"/>
        </w:rPr>
        <w:t xml:space="preserve">, Fukui M, Ishikawa T, Ohnishi N, </w:t>
      </w:r>
      <w:proofErr w:type="spellStart"/>
      <w:r w:rsidRPr="003945C7">
        <w:rPr>
          <w:rFonts w:ascii="Book Antiqua" w:eastAsia="Book Antiqua" w:hAnsi="Book Antiqua" w:cs="Book Antiqua"/>
          <w:color w:val="000000"/>
        </w:rPr>
        <w:t>Ishigami</w:t>
      </w:r>
      <w:proofErr w:type="spellEnd"/>
      <w:r w:rsidRPr="003945C7">
        <w:rPr>
          <w:rFonts w:ascii="Book Antiqua" w:eastAsia="Book Antiqua" w:hAnsi="Book Antiqua" w:cs="Book Antiqua"/>
          <w:color w:val="000000"/>
        </w:rPr>
        <w:t xml:space="preserve"> N, Yoshioka K, Hasegawa G, Yoshikawa T, Nakamura N. Helicobacter pylori infection and arterial stiffness in patients with type 2 diabetes mellitus. </w:t>
      </w:r>
      <w:r w:rsidRPr="003945C7">
        <w:rPr>
          <w:rFonts w:ascii="Book Antiqua" w:eastAsia="Book Antiqua" w:hAnsi="Book Antiqua" w:cs="Book Antiqua"/>
          <w:i/>
          <w:iCs/>
          <w:color w:val="000000"/>
        </w:rPr>
        <w:t>Metabolism</w:t>
      </w:r>
      <w:r w:rsidRPr="003945C7">
        <w:rPr>
          <w:rFonts w:ascii="Book Antiqua" w:eastAsia="Book Antiqua" w:hAnsi="Book Antiqua" w:cs="Book Antiqua"/>
          <w:color w:val="000000"/>
        </w:rPr>
        <w:t xml:space="preserve"> 2008; </w:t>
      </w:r>
      <w:r w:rsidRPr="003945C7">
        <w:rPr>
          <w:rFonts w:ascii="Book Antiqua" w:eastAsia="Book Antiqua" w:hAnsi="Book Antiqua" w:cs="Book Antiqua"/>
          <w:b/>
          <w:bCs/>
          <w:color w:val="000000"/>
        </w:rPr>
        <w:t>57</w:t>
      </w:r>
      <w:r w:rsidRPr="003945C7">
        <w:rPr>
          <w:rFonts w:ascii="Book Antiqua" w:eastAsia="Book Antiqua" w:hAnsi="Book Antiqua" w:cs="Book Antiqua"/>
          <w:color w:val="000000"/>
        </w:rPr>
        <w:t>: 1760-1764 [PMID: 19013302 DOI: 10.1016/j.metabol.2008.08.001]</w:t>
      </w:r>
    </w:p>
    <w:p w14:paraId="54B7F9E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25 </w:t>
      </w:r>
      <w:r w:rsidRPr="003945C7">
        <w:rPr>
          <w:rFonts w:ascii="Book Antiqua" w:eastAsia="Book Antiqua" w:hAnsi="Book Antiqua" w:cs="Book Antiqua"/>
          <w:b/>
          <w:bCs/>
          <w:color w:val="000000"/>
        </w:rPr>
        <w:t>Jha HC</w:t>
      </w:r>
      <w:r w:rsidRPr="003945C7">
        <w:rPr>
          <w:rFonts w:ascii="Book Antiqua" w:eastAsia="Book Antiqua" w:hAnsi="Book Antiqua" w:cs="Book Antiqua"/>
          <w:color w:val="000000"/>
        </w:rPr>
        <w:t xml:space="preserve">, Prasad J, Mittal A. High immunoglobulin A seropositivity for combined Chlamydia pneumoniae, Helicobacter pylori infection, and high-sensitivity C-reactive protein in coronary artery disease patients in India can serve as atherosclerotic marker. </w:t>
      </w:r>
      <w:r w:rsidRPr="003945C7">
        <w:rPr>
          <w:rFonts w:ascii="Book Antiqua" w:eastAsia="Book Antiqua" w:hAnsi="Book Antiqua" w:cs="Book Antiqua"/>
          <w:i/>
          <w:iCs/>
          <w:color w:val="000000"/>
        </w:rPr>
        <w:t>Heart Vessels</w:t>
      </w:r>
      <w:r w:rsidRPr="003945C7">
        <w:rPr>
          <w:rFonts w:ascii="Book Antiqua" w:eastAsia="Book Antiqua" w:hAnsi="Book Antiqua" w:cs="Book Antiqua"/>
          <w:color w:val="000000"/>
        </w:rPr>
        <w:t xml:space="preserve"> 2008; </w:t>
      </w:r>
      <w:r w:rsidRPr="003945C7">
        <w:rPr>
          <w:rFonts w:ascii="Book Antiqua" w:eastAsia="Book Antiqua" w:hAnsi="Book Antiqua" w:cs="Book Antiqua"/>
          <w:b/>
          <w:bCs/>
          <w:color w:val="000000"/>
        </w:rPr>
        <w:t>23</w:t>
      </w:r>
      <w:r w:rsidRPr="003945C7">
        <w:rPr>
          <w:rFonts w:ascii="Book Antiqua" w:eastAsia="Book Antiqua" w:hAnsi="Book Antiqua" w:cs="Book Antiqua"/>
          <w:color w:val="000000"/>
        </w:rPr>
        <w:t>: 390-396 [PMID: 19037586 DOI: 10.1007/s00380-008-1062-9]</w:t>
      </w:r>
    </w:p>
    <w:p w14:paraId="30FA312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26 </w:t>
      </w:r>
      <w:r w:rsidRPr="003945C7">
        <w:rPr>
          <w:rFonts w:ascii="Book Antiqua" w:eastAsia="Book Antiqua" w:hAnsi="Book Antiqua" w:cs="Book Antiqua"/>
          <w:b/>
          <w:bCs/>
          <w:color w:val="000000"/>
        </w:rPr>
        <w:t>Jackson L</w:t>
      </w:r>
      <w:r w:rsidRPr="003945C7">
        <w:rPr>
          <w:rFonts w:ascii="Book Antiqua" w:eastAsia="Book Antiqua" w:hAnsi="Book Antiqua" w:cs="Book Antiqua"/>
          <w:color w:val="000000"/>
        </w:rPr>
        <w:t xml:space="preserve">, Britton J, Lewis SA, McKeever TM, Atherton J, Fullerton D, Fogarty AW. A population-based epidemiologic study of Helicobacter pylori infection and its association with systemic inflammation. </w:t>
      </w:r>
      <w:r w:rsidRPr="003945C7">
        <w:rPr>
          <w:rFonts w:ascii="Book Antiqua" w:eastAsia="Book Antiqua" w:hAnsi="Book Antiqua" w:cs="Book Antiqua"/>
          <w:i/>
          <w:iCs/>
          <w:color w:val="000000"/>
        </w:rPr>
        <w:t>Helicobacter</w:t>
      </w:r>
      <w:r w:rsidRPr="003945C7">
        <w:rPr>
          <w:rFonts w:ascii="Book Antiqua" w:eastAsia="Book Antiqua" w:hAnsi="Book Antiqua" w:cs="Book Antiqua"/>
          <w:color w:val="000000"/>
        </w:rPr>
        <w:t xml:space="preserve"> 2009; </w:t>
      </w:r>
      <w:r w:rsidRPr="003945C7">
        <w:rPr>
          <w:rFonts w:ascii="Book Antiqua" w:eastAsia="Book Antiqua" w:hAnsi="Book Antiqua" w:cs="Book Antiqua"/>
          <w:b/>
          <w:bCs/>
          <w:color w:val="000000"/>
        </w:rPr>
        <w:t>14</w:t>
      </w:r>
      <w:r w:rsidRPr="003945C7">
        <w:rPr>
          <w:rFonts w:ascii="Book Antiqua" w:eastAsia="Book Antiqua" w:hAnsi="Book Antiqua" w:cs="Book Antiqua"/>
          <w:color w:val="000000"/>
        </w:rPr>
        <w:t>: 108-113 [PMID: 19751435 DOI: 10.1111/j.1523-5378.</w:t>
      </w:r>
      <w:proofErr w:type="gramStart"/>
      <w:r w:rsidRPr="003945C7">
        <w:rPr>
          <w:rFonts w:ascii="Book Antiqua" w:eastAsia="Book Antiqua" w:hAnsi="Book Antiqua" w:cs="Book Antiqua"/>
          <w:color w:val="000000"/>
        </w:rPr>
        <w:t>2009.00711.x</w:t>
      </w:r>
      <w:proofErr w:type="gramEnd"/>
      <w:r w:rsidRPr="003945C7">
        <w:rPr>
          <w:rFonts w:ascii="Book Antiqua" w:eastAsia="Book Antiqua" w:hAnsi="Book Antiqua" w:cs="Book Antiqua"/>
          <w:color w:val="000000"/>
        </w:rPr>
        <w:t>]</w:t>
      </w:r>
    </w:p>
    <w:p w14:paraId="093BE3F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lastRenderedPageBreak/>
        <w:t xml:space="preserve">27 </w:t>
      </w:r>
      <w:r w:rsidRPr="003945C7">
        <w:rPr>
          <w:rFonts w:ascii="Book Antiqua" w:eastAsia="Book Antiqua" w:hAnsi="Book Antiqua" w:cs="Book Antiqua"/>
          <w:b/>
          <w:bCs/>
          <w:color w:val="000000"/>
        </w:rPr>
        <w:t>Farah R</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Khamisy</w:t>
      </w:r>
      <w:proofErr w:type="spellEnd"/>
      <w:r w:rsidRPr="003945C7">
        <w:rPr>
          <w:rFonts w:ascii="Book Antiqua" w:eastAsia="Book Antiqua" w:hAnsi="Book Antiqua" w:cs="Book Antiqua"/>
          <w:color w:val="000000"/>
        </w:rPr>
        <w:t xml:space="preserve">-Farah R. Association of neutrophil to lymphocyte ratio with presence and severity of gastritis due to Helicobacter pylori infection. </w:t>
      </w:r>
      <w:r w:rsidRPr="003945C7">
        <w:rPr>
          <w:rFonts w:ascii="Book Antiqua" w:eastAsia="Book Antiqua" w:hAnsi="Book Antiqua" w:cs="Book Antiqua"/>
          <w:i/>
          <w:iCs/>
          <w:color w:val="000000"/>
        </w:rPr>
        <w:t>J Clin Lab Anal</w:t>
      </w:r>
      <w:r w:rsidRPr="003945C7">
        <w:rPr>
          <w:rFonts w:ascii="Book Antiqua" w:eastAsia="Book Antiqua" w:hAnsi="Book Antiqua" w:cs="Book Antiqua"/>
          <w:color w:val="000000"/>
        </w:rPr>
        <w:t xml:space="preserve"> 2014; </w:t>
      </w:r>
      <w:r w:rsidRPr="003945C7">
        <w:rPr>
          <w:rFonts w:ascii="Book Antiqua" w:eastAsia="Book Antiqua" w:hAnsi="Book Antiqua" w:cs="Book Antiqua"/>
          <w:b/>
          <w:bCs/>
          <w:color w:val="000000"/>
        </w:rPr>
        <w:t>28</w:t>
      </w:r>
      <w:r w:rsidRPr="003945C7">
        <w:rPr>
          <w:rFonts w:ascii="Book Antiqua" w:eastAsia="Book Antiqua" w:hAnsi="Book Antiqua" w:cs="Book Antiqua"/>
          <w:color w:val="000000"/>
        </w:rPr>
        <w:t>: 219-223 [PMID: 24478129 DOI: 10.1002/jcla.21669]</w:t>
      </w:r>
    </w:p>
    <w:p w14:paraId="59A5ECF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28 </w:t>
      </w:r>
      <w:proofErr w:type="spellStart"/>
      <w:r w:rsidRPr="003945C7">
        <w:rPr>
          <w:rFonts w:ascii="Book Antiqua" w:eastAsia="Book Antiqua" w:hAnsi="Book Antiqua" w:cs="Book Antiqua"/>
          <w:b/>
          <w:bCs/>
          <w:color w:val="000000"/>
        </w:rPr>
        <w:t>Mărginean</w:t>
      </w:r>
      <w:proofErr w:type="spellEnd"/>
      <w:r w:rsidRPr="003945C7">
        <w:rPr>
          <w:rFonts w:ascii="Book Antiqua" w:eastAsia="Book Antiqua" w:hAnsi="Book Antiqua" w:cs="Book Antiqua"/>
          <w:b/>
          <w:bCs/>
          <w:color w:val="000000"/>
        </w:rPr>
        <w:t xml:space="preserve"> CO</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Meliţ</w:t>
      </w:r>
      <w:proofErr w:type="spellEnd"/>
      <w:r w:rsidRPr="003945C7">
        <w:rPr>
          <w:rFonts w:ascii="Book Antiqua" w:eastAsia="Book Antiqua" w:hAnsi="Book Antiqua" w:cs="Book Antiqua"/>
          <w:color w:val="000000"/>
        </w:rPr>
        <w:t xml:space="preserve"> LE, </w:t>
      </w:r>
      <w:proofErr w:type="spellStart"/>
      <w:r w:rsidRPr="003945C7">
        <w:rPr>
          <w:rFonts w:ascii="Book Antiqua" w:eastAsia="Book Antiqua" w:hAnsi="Book Antiqua" w:cs="Book Antiqua"/>
          <w:color w:val="000000"/>
        </w:rPr>
        <w:t>Huțanu</w:t>
      </w:r>
      <w:proofErr w:type="spellEnd"/>
      <w:r w:rsidRPr="003945C7">
        <w:rPr>
          <w:rFonts w:ascii="Book Antiqua" w:eastAsia="Book Antiqua" w:hAnsi="Book Antiqua" w:cs="Book Antiqua"/>
          <w:color w:val="000000"/>
        </w:rPr>
        <w:t xml:space="preserve"> A, </w:t>
      </w:r>
      <w:proofErr w:type="spellStart"/>
      <w:r w:rsidRPr="003945C7">
        <w:rPr>
          <w:rFonts w:ascii="Book Antiqua" w:eastAsia="Book Antiqua" w:hAnsi="Book Antiqua" w:cs="Book Antiqua"/>
          <w:color w:val="000000"/>
        </w:rPr>
        <w:t>Ghiga</w:t>
      </w:r>
      <w:proofErr w:type="spellEnd"/>
      <w:r w:rsidRPr="003945C7">
        <w:rPr>
          <w:rFonts w:ascii="Book Antiqua" w:eastAsia="Book Antiqua" w:hAnsi="Book Antiqua" w:cs="Book Antiqua"/>
          <w:color w:val="000000"/>
        </w:rPr>
        <w:t xml:space="preserve"> DV, </w:t>
      </w:r>
      <w:proofErr w:type="spellStart"/>
      <w:r w:rsidRPr="003945C7">
        <w:rPr>
          <w:rFonts w:ascii="Book Antiqua" w:eastAsia="Book Antiqua" w:hAnsi="Book Antiqua" w:cs="Book Antiqua"/>
          <w:color w:val="000000"/>
        </w:rPr>
        <w:t>Săsăran</w:t>
      </w:r>
      <w:proofErr w:type="spellEnd"/>
      <w:r w:rsidRPr="003945C7">
        <w:rPr>
          <w:rFonts w:ascii="Book Antiqua" w:eastAsia="Book Antiqua" w:hAnsi="Book Antiqua" w:cs="Book Antiqua"/>
          <w:color w:val="000000"/>
        </w:rPr>
        <w:t xml:space="preserve"> MO. The adipokines and inflammatory status in the era of pediatric obesity. </w:t>
      </w:r>
      <w:r w:rsidRPr="003945C7">
        <w:rPr>
          <w:rFonts w:ascii="Book Antiqua" w:eastAsia="Book Antiqua" w:hAnsi="Book Antiqua" w:cs="Book Antiqua"/>
          <w:i/>
          <w:iCs/>
          <w:color w:val="000000"/>
        </w:rPr>
        <w:t>Cytokine</w:t>
      </w:r>
      <w:r w:rsidRPr="003945C7">
        <w:rPr>
          <w:rFonts w:ascii="Book Antiqua" w:eastAsia="Book Antiqua" w:hAnsi="Book Antiqua" w:cs="Book Antiqua"/>
          <w:color w:val="000000"/>
        </w:rPr>
        <w:t xml:space="preserve"> 2020; </w:t>
      </w:r>
      <w:r w:rsidRPr="003945C7">
        <w:rPr>
          <w:rFonts w:ascii="Book Antiqua" w:eastAsia="Book Antiqua" w:hAnsi="Book Antiqua" w:cs="Book Antiqua"/>
          <w:b/>
          <w:bCs/>
          <w:color w:val="000000"/>
        </w:rPr>
        <w:t>126</w:t>
      </w:r>
      <w:r w:rsidRPr="003945C7">
        <w:rPr>
          <w:rFonts w:ascii="Book Antiqua" w:eastAsia="Book Antiqua" w:hAnsi="Book Antiqua" w:cs="Book Antiqua"/>
          <w:color w:val="000000"/>
        </w:rPr>
        <w:t>: 154925 [PMID: 31759309 DOI: 10.1016/j.cyto.2019.154925]</w:t>
      </w:r>
    </w:p>
    <w:p w14:paraId="4D80EFA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29 </w:t>
      </w:r>
      <w:proofErr w:type="spellStart"/>
      <w:r w:rsidRPr="003945C7">
        <w:rPr>
          <w:rFonts w:ascii="Book Antiqua" w:eastAsia="Book Antiqua" w:hAnsi="Book Antiqua" w:cs="Book Antiqua"/>
          <w:b/>
          <w:bCs/>
          <w:color w:val="000000"/>
        </w:rPr>
        <w:t>Meliţ</w:t>
      </w:r>
      <w:proofErr w:type="spellEnd"/>
      <w:r w:rsidRPr="003945C7">
        <w:rPr>
          <w:rFonts w:ascii="Book Antiqua" w:eastAsia="Book Antiqua" w:hAnsi="Book Antiqua" w:cs="Book Antiqua"/>
          <w:b/>
          <w:bCs/>
          <w:color w:val="000000"/>
        </w:rPr>
        <w:t xml:space="preserve"> LE</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Mărginean</w:t>
      </w:r>
      <w:proofErr w:type="spellEnd"/>
      <w:r w:rsidRPr="003945C7">
        <w:rPr>
          <w:rFonts w:ascii="Book Antiqua" w:eastAsia="Book Antiqua" w:hAnsi="Book Antiqua" w:cs="Book Antiqua"/>
          <w:color w:val="000000"/>
        </w:rPr>
        <w:t xml:space="preserve"> MO, </w:t>
      </w:r>
      <w:proofErr w:type="spellStart"/>
      <w:r w:rsidRPr="003945C7">
        <w:rPr>
          <w:rFonts w:ascii="Book Antiqua" w:eastAsia="Book Antiqua" w:hAnsi="Book Antiqua" w:cs="Book Antiqua"/>
          <w:color w:val="000000"/>
        </w:rPr>
        <w:t>Mocan</w:t>
      </w:r>
      <w:proofErr w:type="spellEnd"/>
      <w:r w:rsidRPr="003945C7">
        <w:rPr>
          <w:rFonts w:ascii="Book Antiqua" w:eastAsia="Book Antiqua" w:hAnsi="Book Antiqua" w:cs="Book Antiqua"/>
          <w:color w:val="000000"/>
        </w:rPr>
        <w:t xml:space="preserve"> S, </w:t>
      </w:r>
      <w:proofErr w:type="spellStart"/>
      <w:r w:rsidRPr="003945C7">
        <w:rPr>
          <w:rFonts w:ascii="Book Antiqua" w:eastAsia="Book Antiqua" w:hAnsi="Book Antiqua" w:cs="Book Antiqua"/>
          <w:color w:val="000000"/>
        </w:rPr>
        <w:t>Mărginean</w:t>
      </w:r>
      <w:proofErr w:type="spellEnd"/>
      <w:r w:rsidRPr="003945C7">
        <w:rPr>
          <w:rFonts w:ascii="Book Antiqua" w:eastAsia="Book Antiqua" w:hAnsi="Book Antiqua" w:cs="Book Antiqua"/>
          <w:color w:val="000000"/>
        </w:rPr>
        <w:t xml:space="preserve"> CO. The usefulness of inflammatory biomarkers in diagnosing child and adolescent's gastritis: STROBE compliant article. </w:t>
      </w:r>
      <w:r w:rsidRPr="003945C7">
        <w:rPr>
          <w:rFonts w:ascii="Book Antiqua" w:eastAsia="Book Antiqua" w:hAnsi="Book Antiqua" w:cs="Book Antiqua"/>
          <w:i/>
          <w:iCs/>
          <w:color w:val="000000"/>
        </w:rPr>
        <w:t>Medicine (Baltimore)</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98</w:t>
      </w:r>
      <w:r w:rsidRPr="003945C7">
        <w:rPr>
          <w:rFonts w:ascii="Book Antiqua" w:eastAsia="Book Antiqua" w:hAnsi="Book Antiqua" w:cs="Book Antiqua"/>
          <w:color w:val="000000"/>
        </w:rPr>
        <w:t>: e16188 [PMID: 31261556 DOI: 10.1097/MD.0000000000016188]</w:t>
      </w:r>
    </w:p>
    <w:p w14:paraId="6677131D"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30 </w:t>
      </w:r>
      <w:proofErr w:type="spellStart"/>
      <w:r w:rsidRPr="003945C7">
        <w:rPr>
          <w:rFonts w:ascii="Book Antiqua" w:eastAsia="Book Antiqua" w:hAnsi="Book Antiqua" w:cs="Book Antiqua"/>
          <w:b/>
          <w:bCs/>
          <w:color w:val="000000"/>
        </w:rPr>
        <w:t>Bozkuş</w:t>
      </w:r>
      <w:proofErr w:type="spellEnd"/>
      <w:r w:rsidRPr="003945C7">
        <w:rPr>
          <w:rFonts w:ascii="Book Antiqua" w:eastAsia="Book Antiqua" w:hAnsi="Book Antiqua" w:cs="Book Antiqua"/>
          <w:b/>
          <w:bCs/>
          <w:color w:val="000000"/>
        </w:rPr>
        <w:t xml:space="preserve"> F</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Dikmen</w:t>
      </w:r>
      <w:proofErr w:type="spellEnd"/>
      <w:r w:rsidRPr="003945C7">
        <w:rPr>
          <w:rFonts w:ascii="Book Antiqua" w:eastAsia="Book Antiqua" w:hAnsi="Book Antiqua" w:cs="Book Antiqua"/>
          <w:color w:val="000000"/>
        </w:rPr>
        <w:t xml:space="preserve"> N, </w:t>
      </w:r>
      <w:proofErr w:type="spellStart"/>
      <w:r w:rsidRPr="003945C7">
        <w:rPr>
          <w:rFonts w:ascii="Book Antiqua" w:eastAsia="Book Antiqua" w:hAnsi="Book Antiqua" w:cs="Book Antiqua"/>
          <w:color w:val="000000"/>
        </w:rPr>
        <w:t>Samur</w:t>
      </w:r>
      <w:proofErr w:type="spellEnd"/>
      <w:r w:rsidRPr="003945C7">
        <w:rPr>
          <w:rFonts w:ascii="Book Antiqua" w:eastAsia="Book Antiqua" w:hAnsi="Book Antiqua" w:cs="Book Antiqua"/>
          <w:color w:val="000000"/>
        </w:rPr>
        <w:t xml:space="preserve"> A, Bilal N, Atilla N, </w:t>
      </w:r>
      <w:proofErr w:type="spellStart"/>
      <w:r w:rsidRPr="003945C7">
        <w:rPr>
          <w:rFonts w:ascii="Book Antiqua" w:eastAsia="Book Antiqua" w:hAnsi="Book Antiqua" w:cs="Book Antiqua"/>
          <w:color w:val="000000"/>
        </w:rPr>
        <w:t>Arpağ</w:t>
      </w:r>
      <w:proofErr w:type="spellEnd"/>
      <w:r w:rsidRPr="003945C7">
        <w:rPr>
          <w:rFonts w:ascii="Book Antiqua" w:eastAsia="Book Antiqua" w:hAnsi="Book Antiqua" w:cs="Book Antiqua"/>
          <w:color w:val="000000"/>
        </w:rPr>
        <w:t xml:space="preserve"> H. Does the neutrophil-to-lymphocyte ratio have any importance between subjects with obstructive sleep apnea syndrome with obesity and without obesity? </w:t>
      </w:r>
      <w:proofErr w:type="spellStart"/>
      <w:r w:rsidRPr="003945C7">
        <w:rPr>
          <w:rFonts w:ascii="Book Antiqua" w:eastAsia="Book Antiqua" w:hAnsi="Book Antiqua" w:cs="Book Antiqua"/>
          <w:i/>
          <w:iCs/>
          <w:color w:val="000000"/>
        </w:rPr>
        <w:t>Tuberk</w:t>
      </w:r>
      <w:proofErr w:type="spellEnd"/>
      <w:r w:rsidRPr="003945C7">
        <w:rPr>
          <w:rFonts w:ascii="Book Antiqua" w:eastAsia="Book Antiqua" w:hAnsi="Book Antiqua" w:cs="Book Antiqua"/>
          <w:i/>
          <w:iCs/>
          <w:color w:val="000000"/>
        </w:rPr>
        <w:t xml:space="preserve"> </w:t>
      </w:r>
      <w:proofErr w:type="spellStart"/>
      <w:r w:rsidRPr="003945C7">
        <w:rPr>
          <w:rFonts w:ascii="Book Antiqua" w:eastAsia="Book Antiqua" w:hAnsi="Book Antiqua" w:cs="Book Antiqua"/>
          <w:i/>
          <w:iCs/>
          <w:color w:val="000000"/>
        </w:rPr>
        <w:t>Toraks</w:t>
      </w:r>
      <w:proofErr w:type="spellEnd"/>
      <w:r w:rsidRPr="003945C7">
        <w:rPr>
          <w:rFonts w:ascii="Book Antiqua" w:eastAsia="Book Antiqua" w:hAnsi="Book Antiqua" w:cs="Book Antiqua"/>
          <w:color w:val="000000"/>
        </w:rPr>
        <w:t xml:space="preserve"> 2018; </w:t>
      </w:r>
      <w:r w:rsidRPr="003945C7">
        <w:rPr>
          <w:rFonts w:ascii="Book Antiqua" w:eastAsia="Book Antiqua" w:hAnsi="Book Antiqua" w:cs="Book Antiqua"/>
          <w:b/>
          <w:bCs/>
          <w:color w:val="000000"/>
        </w:rPr>
        <w:t>66</w:t>
      </w:r>
      <w:r w:rsidRPr="003945C7">
        <w:rPr>
          <w:rFonts w:ascii="Book Antiqua" w:eastAsia="Book Antiqua" w:hAnsi="Book Antiqua" w:cs="Book Antiqua"/>
          <w:color w:val="000000"/>
        </w:rPr>
        <w:t>: 8-15 [PMID: 30020036 DOI: 10.5578/tt.66535]</w:t>
      </w:r>
    </w:p>
    <w:p w14:paraId="01252EE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31 </w:t>
      </w:r>
      <w:proofErr w:type="spellStart"/>
      <w:r w:rsidRPr="003945C7">
        <w:rPr>
          <w:rFonts w:ascii="Book Antiqua" w:eastAsia="Book Antiqua" w:hAnsi="Book Antiqua" w:cs="Book Antiqua"/>
          <w:b/>
          <w:bCs/>
          <w:color w:val="000000"/>
        </w:rPr>
        <w:t>Schmausser</w:t>
      </w:r>
      <w:proofErr w:type="spellEnd"/>
      <w:r w:rsidRPr="003945C7">
        <w:rPr>
          <w:rFonts w:ascii="Book Antiqua" w:eastAsia="Book Antiqua" w:hAnsi="Book Antiqua" w:cs="Book Antiqua"/>
          <w:b/>
          <w:bCs/>
          <w:color w:val="000000"/>
        </w:rPr>
        <w:t xml:space="preserve"> B</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Andrulis</w:t>
      </w:r>
      <w:proofErr w:type="spellEnd"/>
      <w:r w:rsidRPr="003945C7">
        <w:rPr>
          <w:rFonts w:ascii="Book Antiqua" w:eastAsia="Book Antiqua" w:hAnsi="Book Antiqua" w:cs="Book Antiqua"/>
          <w:color w:val="000000"/>
        </w:rPr>
        <w:t xml:space="preserve"> M, </w:t>
      </w:r>
      <w:proofErr w:type="spellStart"/>
      <w:r w:rsidRPr="003945C7">
        <w:rPr>
          <w:rFonts w:ascii="Book Antiqua" w:eastAsia="Book Antiqua" w:hAnsi="Book Antiqua" w:cs="Book Antiqua"/>
          <w:color w:val="000000"/>
        </w:rPr>
        <w:t>Endrich</w:t>
      </w:r>
      <w:proofErr w:type="spellEnd"/>
      <w:r w:rsidRPr="003945C7">
        <w:rPr>
          <w:rFonts w:ascii="Book Antiqua" w:eastAsia="Book Antiqua" w:hAnsi="Book Antiqua" w:cs="Book Antiqua"/>
          <w:color w:val="000000"/>
        </w:rPr>
        <w:t xml:space="preserve"> S, Lee SK, </w:t>
      </w:r>
      <w:proofErr w:type="spellStart"/>
      <w:r w:rsidRPr="003945C7">
        <w:rPr>
          <w:rFonts w:ascii="Book Antiqua" w:eastAsia="Book Antiqua" w:hAnsi="Book Antiqua" w:cs="Book Antiqua"/>
          <w:color w:val="000000"/>
        </w:rPr>
        <w:t>Josenhans</w:t>
      </w:r>
      <w:proofErr w:type="spellEnd"/>
      <w:r w:rsidRPr="003945C7">
        <w:rPr>
          <w:rFonts w:ascii="Book Antiqua" w:eastAsia="Book Antiqua" w:hAnsi="Book Antiqua" w:cs="Book Antiqua"/>
          <w:color w:val="000000"/>
        </w:rPr>
        <w:t xml:space="preserve"> C, Müller-</w:t>
      </w:r>
      <w:proofErr w:type="spellStart"/>
      <w:r w:rsidRPr="003945C7">
        <w:rPr>
          <w:rFonts w:ascii="Book Antiqua" w:eastAsia="Book Antiqua" w:hAnsi="Book Antiqua" w:cs="Book Antiqua"/>
          <w:color w:val="000000"/>
        </w:rPr>
        <w:t>Hermelink</w:t>
      </w:r>
      <w:proofErr w:type="spellEnd"/>
      <w:r w:rsidRPr="003945C7">
        <w:rPr>
          <w:rFonts w:ascii="Book Antiqua" w:eastAsia="Book Antiqua" w:hAnsi="Book Antiqua" w:cs="Book Antiqua"/>
          <w:color w:val="000000"/>
        </w:rPr>
        <w:t xml:space="preserve"> HK, Eck M. Expression and subcellular distribution of toll-like receptors TLR4, TLR5 and TLR9 on the gastric epithelium in Helicobacter pylori infection. </w:t>
      </w:r>
      <w:r w:rsidRPr="003945C7">
        <w:rPr>
          <w:rFonts w:ascii="Book Antiqua" w:eastAsia="Book Antiqua" w:hAnsi="Book Antiqua" w:cs="Book Antiqua"/>
          <w:i/>
          <w:iCs/>
          <w:color w:val="000000"/>
        </w:rPr>
        <w:t>Clin Exp Immunol</w:t>
      </w:r>
      <w:r w:rsidRPr="003945C7">
        <w:rPr>
          <w:rFonts w:ascii="Book Antiqua" w:eastAsia="Book Antiqua" w:hAnsi="Book Antiqua" w:cs="Book Antiqua"/>
          <w:color w:val="000000"/>
        </w:rPr>
        <w:t xml:space="preserve"> 2004; </w:t>
      </w:r>
      <w:r w:rsidRPr="003945C7">
        <w:rPr>
          <w:rFonts w:ascii="Book Antiqua" w:eastAsia="Book Antiqua" w:hAnsi="Book Antiqua" w:cs="Book Antiqua"/>
          <w:b/>
          <w:bCs/>
          <w:color w:val="000000"/>
        </w:rPr>
        <w:t>136</w:t>
      </w:r>
      <w:r w:rsidRPr="003945C7">
        <w:rPr>
          <w:rFonts w:ascii="Book Antiqua" w:eastAsia="Book Antiqua" w:hAnsi="Book Antiqua" w:cs="Book Antiqua"/>
          <w:color w:val="000000"/>
        </w:rPr>
        <w:t>: 521-526 [PMID: 15147355 DOI: 10.1111/j.1365-2249.</w:t>
      </w:r>
      <w:proofErr w:type="gramStart"/>
      <w:r w:rsidRPr="003945C7">
        <w:rPr>
          <w:rFonts w:ascii="Book Antiqua" w:eastAsia="Book Antiqua" w:hAnsi="Book Antiqua" w:cs="Book Antiqua"/>
          <w:color w:val="000000"/>
        </w:rPr>
        <w:t>2004.02464.x</w:t>
      </w:r>
      <w:proofErr w:type="gramEnd"/>
      <w:r w:rsidRPr="003945C7">
        <w:rPr>
          <w:rFonts w:ascii="Book Antiqua" w:eastAsia="Book Antiqua" w:hAnsi="Book Antiqua" w:cs="Book Antiqua"/>
          <w:color w:val="000000"/>
        </w:rPr>
        <w:t>]</w:t>
      </w:r>
    </w:p>
    <w:p w14:paraId="0A84446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32 </w:t>
      </w:r>
      <w:r w:rsidRPr="003945C7">
        <w:rPr>
          <w:rFonts w:ascii="Book Antiqua" w:eastAsia="Book Antiqua" w:hAnsi="Book Antiqua" w:cs="Book Antiqua"/>
          <w:b/>
          <w:bCs/>
          <w:color w:val="000000"/>
        </w:rPr>
        <w:t>Rad R</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Ballhorn</w:t>
      </w:r>
      <w:proofErr w:type="spellEnd"/>
      <w:r w:rsidRPr="003945C7">
        <w:rPr>
          <w:rFonts w:ascii="Book Antiqua" w:eastAsia="Book Antiqua" w:hAnsi="Book Antiqua" w:cs="Book Antiqua"/>
          <w:color w:val="000000"/>
        </w:rPr>
        <w:t xml:space="preserve"> W, </w:t>
      </w:r>
      <w:proofErr w:type="spellStart"/>
      <w:r w:rsidRPr="003945C7">
        <w:rPr>
          <w:rFonts w:ascii="Book Antiqua" w:eastAsia="Book Antiqua" w:hAnsi="Book Antiqua" w:cs="Book Antiqua"/>
          <w:color w:val="000000"/>
        </w:rPr>
        <w:t>Voland</w:t>
      </w:r>
      <w:proofErr w:type="spellEnd"/>
      <w:r w:rsidRPr="003945C7">
        <w:rPr>
          <w:rFonts w:ascii="Book Antiqua" w:eastAsia="Book Antiqua" w:hAnsi="Book Antiqua" w:cs="Book Antiqua"/>
          <w:color w:val="000000"/>
        </w:rPr>
        <w:t xml:space="preserve"> P, </w:t>
      </w:r>
      <w:proofErr w:type="spellStart"/>
      <w:r w:rsidRPr="003945C7">
        <w:rPr>
          <w:rFonts w:ascii="Book Antiqua" w:eastAsia="Book Antiqua" w:hAnsi="Book Antiqua" w:cs="Book Antiqua"/>
          <w:color w:val="000000"/>
        </w:rPr>
        <w:t>Eisenächer</w:t>
      </w:r>
      <w:proofErr w:type="spellEnd"/>
      <w:r w:rsidRPr="003945C7">
        <w:rPr>
          <w:rFonts w:ascii="Book Antiqua" w:eastAsia="Book Antiqua" w:hAnsi="Book Antiqua" w:cs="Book Antiqua"/>
          <w:color w:val="000000"/>
        </w:rPr>
        <w:t xml:space="preserve"> K, Mages J, Rad L, </w:t>
      </w:r>
      <w:proofErr w:type="spellStart"/>
      <w:r w:rsidRPr="003945C7">
        <w:rPr>
          <w:rFonts w:ascii="Book Antiqua" w:eastAsia="Book Antiqua" w:hAnsi="Book Antiqua" w:cs="Book Antiqua"/>
          <w:color w:val="000000"/>
        </w:rPr>
        <w:t>Ferstl</w:t>
      </w:r>
      <w:proofErr w:type="spellEnd"/>
      <w:r w:rsidRPr="003945C7">
        <w:rPr>
          <w:rFonts w:ascii="Book Antiqua" w:eastAsia="Book Antiqua" w:hAnsi="Book Antiqua" w:cs="Book Antiqua"/>
          <w:color w:val="000000"/>
        </w:rPr>
        <w:t xml:space="preserve"> R, Lang R, Wagner H, Schmid RM, Bauer S, Prinz C, </w:t>
      </w:r>
      <w:proofErr w:type="spellStart"/>
      <w:r w:rsidRPr="003945C7">
        <w:rPr>
          <w:rFonts w:ascii="Book Antiqua" w:eastAsia="Book Antiqua" w:hAnsi="Book Antiqua" w:cs="Book Antiqua"/>
          <w:color w:val="000000"/>
        </w:rPr>
        <w:t>Kirschning</w:t>
      </w:r>
      <w:proofErr w:type="spellEnd"/>
      <w:r w:rsidRPr="003945C7">
        <w:rPr>
          <w:rFonts w:ascii="Book Antiqua" w:eastAsia="Book Antiqua" w:hAnsi="Book Antiqua" w:cs="Book Antiqua"/>
          <w:color w:val="000000"/>
        </w:rPr>
        <w:t xml:space="preserve"> CJ, Krug A. Extracellular and intracellular pattern recognition receptors cooperate in the recognition of Helicobacter pylori. </w:t>
      </w:r>
      <w:r w:rsidRPr="003945C7">
        <w:rPr>
          <w:rFonts w:ascii="Book Antiqua" w:eastAsia="Book Antiqua" w:hAnsi="Book Antiqua" w:cs="Book Antiqua"/>
          <w:i/>
          <w:iCs/>
          <w:color w:val="000000"/>
        </w:rPr>
        <w:t>Gastroenterology</w:t>
      </w:r>
      <w:r w:rsidRPr="003945C7">
        <w:rPr>
          <w:rFonts w:ascii="Book Antiqua" w:eastAsia="Book Antiqua" w:hAnsi="Book Antiqua" w:cs="Book Antiqua"/>
          <w:color w:val="000000"/>
        </w:rPr>
        <w:t xml:space="preserve"> 2009; </w:t>
      </w:r>
      <w:r w:rsidRPr="003945C7">
        <w:rPr>
          <w:rFonts w:ascii="Book Antiqua" w:eastAsia="Book Antiqua" w:hAnsi="Book Antiqua" w:cs="Book Antiqua"/>
          <w:b/>
          <w:bCs/>
          <w:color w:val="000000"/>
        </w:rPr>
        <w:t>136</w:t>
      </w:r>
      <w:r w:rsidRPr="003945C7">
        <w:rPr>
          <w:rFonts w:ascii="Book Antiqua" w:eastAsia="Book Antiqua" w:hAnsi="Book Antiqua" w:cs="Book Antiqua"/>
          <w:color w:val="000000"/>
        </w:rPr>
        <w:t>: 2247-2257 [PMID: 19272387 DOI: 10.1053/j.gastro.2009.02.066]</w:t>
      </w:r>
    </w:p>
    <w:p w14:paraId="0F420FE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33 </w:t>
      </w:r>
      <w:r w:rsidRPr="003945C7">
        <w:rPr>
          <w:rFonts w:ascii="Book Antiqua" w:eastAsia="Book Antiqua" w:hAnsi="Book Antiqua" w:cs="Book Antiqua"/>
          <w:b/>
          <w:bCs/>
          <w:color w:val="000000"/>
        </w:rPr>
        <w:t>Otani K</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Tanigawa</w:t>
      </w:r>
      <w:proofErr w:type="spellEnd"/>
      <w:r w:rsidRPr="003945C7">
        <w:rPr>
          <w:rFonts w:ascii="Book Antiqua" w:eastAsia="Book Antiqua" w:hAnsi="Book Antiqua" w:cs="Book Antiqua"/>
          <w:color w:val="000000"/>
        </w:rPr>
        <w:t xml:space="preserve"> T, Watanabe T, </w:t>
      </w:r>
      <w:proofErr w:type="spellStart"/>
      <w:r w:rsidRPr="003945C7">
        <w:rPr>
          <w:rFonts w:ascii="Book Antiqua" w:eastAsia="Book Antiqua" w:hAnsi="Book Antiqua" w:cs="Book Antiqua"/>
          <w:color w:val="000000"/>
        </w:rPr>
        <w:t>Nadatani</w:t>
      </w:r>
      <w:proofErr w:type="spellEnd"/>
      <w:r w:rsidRPr="003945C7">
        <w:rPr>
          <w:rFonts w:ascii="Book Antiqua" w:eastAsia="Book Antiqua" w:hAnsi="Book Antiqua" w:cs="Book Antiqua"/>
          <w:color w:val="000000"/>
        </w:rPr>
        <w:t xml:space="preserve"> Y, </w:t>
      </w:r>
      <w:proofErr w:type="spellStart"/>
      <w:r w:rsidRPr="003945C7">
        <w:rPr>
          <w:rFonts w:ascii="Book Antiqua" w:eastAsia="Book Antiqua" w:hAnsi="Book Antiqua" w:cs="Book Antiqua"/>
          <w:color w:val="000000"/>
        </w:rPr>
        <w:t>Sogawa</w:t>
      </w:r>
      <w:proofErr w:type="spellEnd"/>
      <w:r w:rsidRPr="003945C7">
        <w:rPr>
          <w:rFonts w:ascii="Book Antiqua" w:eastAsia="Book Antiqua" w:hAnsi="Book Antiqua" w:cs="Book Antiqua"/>
          <w:color w:val="000000"/>
        </w:rPr>
        <w:t xml:space="preserve"> M, </w:t>
      </w:r>
      <w:proofErr w:type="spellStart"/>
      <w:r w:rsidRPr="003945C7">
        <w:rPr>
          <w:rFonts w:ascii="Book Antiqua" w:eastAsia="Book Antiqua" w:hAnsi="Book Antiqua" w:cs="Book Antiqua"/>
          <w:color w:val="000000"/>
        </w:rPr>
        <w:t>Yamagami</w:t>
      </w:r>
      <w:proofErr w:type="spellEnd"/>
      <w:r w:rsidRPr="003945C7">
        <w:rPr>
          <w:rFonts w:ascii="Book Antiqua" w:eastAsia="Book Antiqua" w:hAnsi="Book Antiqua" w:cs="Book Antiqua"/>
          <w:color w:val="000000"/>
        </w:rPr>
        <w:t xml:space="preserve"> H, Shiba M, Watanabe K, Tominaga K, Fujiwara Y, Arakawa T. Toll-like receptor 9 signaling has anti-inflammatory effects on the early phase of Helicobacter pylori-induced gastritis. </w:t>
      </w:r>
      <w:proofErr w:type="spellStart"/>
      <w:r w:rsidRPr="003945C7">
        <w:rPr>
          <w:rFonts w:ascii="Book Antiqua" w:eastAsia="Book Antiqua" w:hAnsi="Book Antiqua" w:cs="Book Antiqua"/>
          <w:i/>
          <w:iCs/>
          <w:color w:val="000000"/>
        </w:rPr>
        <w:t>Biochem</w:t>
      </w:r>
      <w:proofErr w:type="spellEnd"/>
      <w:r w:rsidRPr="003945C7">
        <w:rPr>
          <w:rFonts w:ascii="Book Antiqua" w:eastAsia="Book Antiqua" w:hAnsi="Book Antiqua" w:cs="Book Antiqua"/>
          <w:i/>
          <w:iCs/>
          <w:color w:val="000000"/>
        </w:rPr>
        <w:t xml:space="preserve"> </w:t>
      </w:r>
      <w:proofErr w:type="spellStart"/>
      <w:r w:rsidRPr="003945C7">
        <w:rPr>
          <w:rFonts w:ascii="Book Antiqua" w:eastAsia="Book Antiqua" w:hAnsi="Book Antiqua" w:cs="Book Antiqua"/>
          <w:i/>
          <w:iCs/>
          <w:color w:val="000000"/>
        </w:rPr>
        <w:t>Biophys</w:t>
      </w:r>
      <w:proofErr w:type="spellEnd"/>
      <w:r w:rsidRPr="003945C7">
        <w:rPr>
          <w:rFonts w:ascii="Book Antiqua" w:eastAsia="Book Antiqua" w:hAnsi="Book Antiqua" w:cs="Book Antiqua"/>
          <w:i/>
          <w:iCs/>
          <w:color w:val="000000"/>
        </w:rPr>
        <w:t xml:space="preserve"> Res </w:t>
      </w:r>
      <w:proofErr w:type="spellStart"/>
      <w:r w:rsidRPr="003945C7">
        <w:rPr>
          <w:rFonts w:ascii="Book Antiqua" w:eastAsia="Book Antiqua" w:hAnsi="Book Antiqua" w:cs="Book Antiqua"/>
          <w:i/>
          <w:iCs/>
          <w:color w:val="000000"/>
        </w:rPr>
        <w:t>Commun</w:t>
      </w:r>
      <w:proofErr w:type="spellEnd"/>
      <w:r w:rsidRPr="003945C7">
        <w:rPr>
          <w:rFonts w:ascii="Book Antiqua" w:eastAsia="Book Antiqua" w:hAnsi="Book Antiqua" w:cs="Book Antiqua"/>
          <w:color w:val="000000"/>
        </w:rPr>
        <w:t xml:space="preserve"> 2012; </w:t>
      </w:r>
      <w:r w:rsidRPr="003945C7">
        <w:rPr>
          <w:rFonts w:ascii="Book Antiqua" w:eastAsia="Book Antiqua" w:hAnsi="Book Antiqua" w:cs="Book Antiqua"/>
          <w:b/>
          <w:bCs/>
          <w:color w:val="000000"/>
        </w:rPr>
        <w:t>426</w:t>
      </w:r>
      <w:r w:rsidRPr="003945C7">
        <w:rPr>
          <w:rFonts w:ascii="Book Antiqua" w:eastAsia="Book Antiqua" w:hAnsi="Book Antiqua" w:cs="Book Antiqua"/>
          <w:color w:val="000000"/>
        </w:rPr>
        <w:t>: 342-349 [PMID: 22940550 DOI: 10.1016/j.bbrc.2012.08.080]</w:t>
      </w:r>
    </w:p>
    <w:p w14:paraId="7467B02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34 </w:t>
      </w:r>
      <w:proofErr w:type="spellStart"/>
      <w:r w:rsidRPr="003945C7">
        <w:rPr>
          <w:rFonts w:ascii="Book Antiqua" w:eastAsia="Book Antiqua" w:hAnsi="Book Antiqua" w:cs="Book Antiqua"/>
          <w:b/>
          <w:bCs/>
          <w:color w:val="000000"/>
        </w:rPr>
        <w:t>Varga</w:t>
      </w:r>
      <w:proofErr w:type="spellEnd"/>
      <w:r w:rsidRPr="003945C7">
        <w:rPr>
          <w:rFonts w:ascii="Book Antiqua" w:eastAsia="Book Antiqua" w:hAnsi="Book Antiqua" w:cs="Book Antiqua"/>
          <w:b/>
          <w:bCs/>
          <w:color w:val="000000"/>
        </w:rPr>
        <w:t xml:space="preserve"> MG</w:t>
      </w:r>
      <w:r w:rsidRPr="003945C7">
        <w:rPr>
          <w:rFonts w:ascii="Book Antiqua" w:eastAsia="Book Antiqua" w:hAnsi="Book Antiqua" w:cs="Book Antiqua"/>
          <w:color w:val="000000"/>
        </w:rPr>
        <w:t xml:space="preserve">, Peek RM. DNA Transfer and Toll-like Receptor Modulation by Helicobacter pylori. </w:t>
      </w:r>
      <w:proofErr w:type="spellStart"/>
      <w:r w:rsidRPr="003945C7">
        <w:rPr>
          <w:rFonts w:ascii="Book Antiqua" w:eastAsia="Book Antiqua" w:hAnsi="Book Antiqua" w:cs="Book Antiqua"/>
          <w:i/>
          <w:iCs/>
          <w:color w:val="000000"/>
        </w:rPr>
        <w:t>Curr</w:t>
      </w:r>
      <w:proofErr w:type="spellEnd"/>
      <w:r w:rsidRPr="003945C7">
        <w:rPr>
          <w:rFonts w:ascii="Book Antiqua" w:eastAsia="Book Antiqua" w:hAnsi="Book Antiqua" w:cs="Book Antiqua"/>
          <w:i/>
          <w:iCs/>
          <w:color w:val="000000"/>
        </w:rPr>
        <w:t xml:space="preserve"> Top Microbiol Immunol</w:t>
      </w:r>
      <w:r w:rsidRPr="003945C7">
        <w:rPr>
          <w:rFonts w:ascii="Book Antiqua" w:eastAsia="Book Antiqua" w:hAnsi="Book Antiqua" w:cs="Book Antiqua"/>
          <w:color w:val="000000"/>
        </w:rPr>
        <w:t xml:space="preserve"> 2017; </w:t>
      </w:r>
      <w:r w:rsidRPr="003945C7">
        <w:rPr>
          <w:rFonts w:ascii="Book Antiqua" w:eastAsia="Book Antiqua" w:hAnsi="Book Antiqua" w:cs="Book Antiqua"/>
          <w:b/>
          <w:bCs/>
          <w:color w:val="000000"/>
        </w:rPr>
        <w:t>400</w:t>
      </w:r>
      <w:r w:rsidRPr="003945C7">
        <w:rPr>
          <w:rFonts w:ascii="Book Antiqua" w:eastAsia="Book Antiqua" w:hAnsi="Book Antiqua" w:cs="Book Antiqua"/>
          <w:color w:val="000000"/>
        </w:rPr>
        <w:t>: 169-193 [PMID: 28124154 DOI: 10.1007/978-3-319-50520-6_8]</w:t>
      </w:r>
    </w:p>
    <w:p w14:paraId="48DE551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lastRenderedPageBreak/>
        <w:t xml:space="preserve">35 </w:t>
      </w:r>
      <w:proofErr w:type="spellStart"/>
      <w:r w:rsidRPr="003945C7">
        <w:rPr>
          <w:rFonts w:ascii="Book Antiqua" w:eastAsia="Book Antiqua" w:hAnsi="Book Antiqua" w:cs="Book Antiqua"/>
          <w:b/>
          <w:bCs/>
          <w:color w:val="000000"/>
        </w:rPr>
        <w:t>Schmausser</w:t>
      </w:r>
      <w:proofErr w:type="spellEnd"/>
      <w:r w:rsidRPr="003945C7">
        <w:rPr>
          <w:rFonts w:ascii="Book Antiqua" w:eastAsia="Book Antiqua" w:hAnsi="Book Antiqua" w:cs="Book Antiqua"/>
          <w:b/>
          <w:bCs/>
          <w:color w:val="000000"/>
        </w:rPr>
        <w:t xml:space="preserve"> B</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Andrulis</w:t>
      </w:r>
      <w:proofErr w:type="spellEnd"/>
      <w:r w:rsidRPr="003945C7">
        <w:rPr>
          <w:rFonts w:ascii="Book Antiqua" w:eastAsia="Book Antiqua" w:hAnsi="Book Antiqua" w:cs="Book Antiqua"/>
          <w:color w:val="000000"/>
        </w:rPr>
        <w:t xml:space="preserve"> M, </w:t>
      </w:r>
      <w:proofErr w:type="spellStart"/>
      <w:r w:rsidRPr="003945C7">
        <w:rPr>
          <w:rFonts w:ascii="Book Antiqua" w:eastAsia="Book Antiqua" w:hAnsi="Book Antiqua" w:cs="Book Antiqua"/>
          <w:color w:val="000000"/>
        </w:rPr>
        <w:t>Endrich</w:t>
      </w:r>
      <w:proofErr w:type="spellEnd"/>
      <w:r w:rsidRPr="003945C7">
        <w:rPr>
          <w:rFonts w:ascii="Book Antiqua" w:eastAsia="Book Antiqua" w:hAnsi="Book Antiqua" w:cs="Book Antiqua"/>
          <w:color w:val="000000"/>
        </w:rPr>
        <w:t xml:space="preserve"> S, Müller-</w:t>
      </w:r>
      <w:proofErr w:type="spellStart"/>
      <w:r w:rsidRPr="003945C7">
        <w:rPr>
          <w:rFonts w:ascii="Book Antiqua" w:eastAsia="Book Antiqua" w:hAnsi="Book Antiqua" w:cs="Book Antiqua"/>
          <w:color w:val="000000"/>
        </w:rPr>
        <w:t>Hermelink</w:t>
      </w:r>
      <w:proofErr w:type="spellEnd"/>
      <w:r w:rsidRPr="003945C7">
        <w:rPr>
          <w:rFonts w:ascii="Book Antiqua" w:eastAsia="Book Antiqua" w:hAnsi="Book Antiqua" w:cs="Book Antiqua"/>
          <w:color w:val="000000"/>
        </w:rPr>
        <w:t xml:space="preserve"> HK, Eck M. Toll-like receptors TLR4, TLR5 and TLR9 on gastric carcinoma cells: an implication for interaction with Helicobacter pylori. </w:t>
      </w:r>
      <w:r w:rsidRPr="003945C7">
        <w:rPr>
          <w:rFonts w:ascii="Book Antiqua" w:eastAsia="Book Antiqua" w:hAnsi="Book Antiqua" w:cs="Book Antiqua"/>
          <w:i/>
          <w:iCs/>
          <w:color w:val="000000"/>
        </w:rPr>
        <w:t>Int J Med Microbiol</w:t>
      </w:r>
      <w:r w:rsidRPr="003945C7">
        <w:rPr>
          <w:rFonts w:ascii="Book Antiqua" w:eastAsia="Book Antiqua" w:hAnsi="Book Antiqua" w:cs="Book Antiqua"/>
          <w:color w:val="000000"/>
        </w:rPr>
        <w:t xml:space="preserve"> 2005; </w:t>
      </w:r>
      <w:r w:rsidRPr="003945C7">
        <w:rPr>
          <w:rFonts w:ascii="Book Antiqua" w:eastAsia="Book Antiqua" w:hAnsi="Book Antiqua" w:cs="Book Antiqua"/>
          <w:b/>
          <w:bCs/>
          <w:color w:val="000000"/>
        </w:rPr>
        <w:t>295</w:t>
      </w:r>
      <w:r w:rsidRPr="003945C7">
        <w:rPr>
          <w:rFonts w:ascii="Book Antiqua" w:eastAsia="Book Antiqua" w:hAnsi="Book Antiqua" w:cs="Book Antiqua"/>
          <w:color w:val="000000"/>
        </w:rPr>
        <w:t>: 179-185 [PMID: 16044857 DOI: 10.1016/j.ijmm.2005.02.009]</w:t>
      </w:r>
    </w:p>
    <w:p w14:paraId="1474734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36 </w:t>
      </w:r>
      <w:r w:rsidRPr="003945C7">
        <w:rPr>
          <w:rFonts w:ascii="Book Antiqua" w:eastAsia="Book Antiqua" w:hAnsi="Book Antiqua" w:cs="Book Antiqua"/>
          <w:b/>
          <w:bCs/>
          <w:color w:val="000000"/>
        </w:rPr>
        <w:t>Wang X</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Xue</w:t>
      </w:r>
      <w:proofErr w:type="spellEnd"/>
      <w:r w:rsidRPr="003945C7">
        <w:rPr>
          <w:rFonts w:ascii="Book Antiqua" w:eastAsia="Book Antiqua" w:hAnsi="Book Antiqua" w:cs="Book Antiqua"/>
          <w:color w:val="000000"/>
        </w:rPr>
        <w:t xml:space="preserve"> L, Yang Y, Xu L, Zhang G. TLR9 promoter polymorphism is associated with both an increased susceptibility to gastric carcinoma and poor prognosis. </w:t>
      </w:r>
      <w:proofErr w:type="spellStart"/>
      <w:r w:rsidRPr="003945C7">
        <w:rPr>
          <w:rFonts w:ascii="Book Antiqua" w:eastAsia="Book Antiqua" w:hAnsi="Book Antiqua" w:cs="Book Antiqua"/>
          <w:i/>
          <w:iCs/>
          <w:color w:val="000000"/>
        </w:rPr>
        <w:t>PLoS</w:t>
      </w:r>
      <w:proofErr w:type="spellEnd"/>
      <w:r w:rsidRPr="003945C7">
        <w:rPr>
          <w:rFonts w:ascii="Book Antiqua" w:eastAsia="Book Antiqua" w:hAnsi="Book Antiqua" w:cs="Book Antiqua"/>
          <w:i/>
          <w:iCs/>
          <w:color w:val="000000"/>
        </w:rPr>
        <w:t xml:space="preserve"> One</w:t>
      </w:r>
      <w:r w:rsidRPr="003945C7">
        <w:rPr>
          <w:rFonts w:ascii="Book Antiqua" w:eastAsia="Book Antiqua" w:hAnsi="Book Antiqua" w:cs="Book Antiqua"/>
          <w:color w:val="000000"/>
        </w:rPr>
        <w:t xml:space="preserve"> 2013; </w:t>
      </w:r>
      <w:r w:rsidRPr="003945C7">
        <w:rPr>
          <w:rFonts w:ascii="Book Antiqua" w:eastAsia="Book Antiqua" w:hAnsi="Book Antiqua" w:cs="Book Antiqua"/>
          <w:b/>
          <w:bCs/>
          <w:color w:val="000000"/>
        </w:rPr>
        <w:t>8</w:t>
      </w:r>
      <w:r w:rsidRPr="003945C7">
        <w:rPr>
          <w:rFonts w:ascii="Book Antiqua" w:eastAsia="Book Antiqua" w:hAnsi="Book Antiqua" w:cs="Book Antiqua"/>
          <w:color w:val="000000"/>
        </w:rPr>
        <w:t>: e65731 [PMID: 23776537 DOI: 10.1371/journal.pone.0065731]</w:t>
      </w:r>
    </w:p>
    <w:p w14:paraId="5277760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37 </w:t>
      </w:r>
      <w:r w:rsidRPr="003945C7">
        <w:rPr>
          <w:rFonts w:ascii="Book Antiqua" w:eastAsia="Book Antiqua" w:hAnsi="Book Antiqua" w:cs="Book Antiqua"/>
          <w:b/>
          <w:bCs/>
          <w:color w:val="000000"/>
        </w:rPr>
        <w:t>Trejo-de la O A</w:t>
      </w:r>
      <w:r w:rsidRPr="003945C7">
        <w:rPr>
          <w:rFonts w:ascii="Book Antiqua" w:eastAsia="Book Antiqua" w:hAnsi="Book Antiqua" w:cs="Book Antiqua"/>
          <w:color w:val="000000"/>
        </w:rPr>
        <w:t>, Torres J, Sánchez-</w:t>
      </w:r>
      <w:proofErr w:type="spellStart"/>
      <w:r w:rsidRPr="003945C7">
        <w:rPr>
          <w:rFonts w:ascii="Book Antiqua" w:eastAsia="Book Antiqua" w:hAnsi="Book Antiqua" w:cs="Book Antiqua"/>
          <w:color w:val="000000"/>
        </w:rPr>
        <w:t>Zauco</w:t>
      </w:r>
      <w:proofErr w:type="spellEnd"/>
      <w:r w:rsidRPr="003945C7">
        <w:rPr>
          <w:rFonts w:ascii="Book Antiqua" w:eastAsia="Book Antiqua" w:hAnsi="Book Antiqua" w:cs="Book Antiqua"/>
          <w:color w:val="000000"/>
        </w:rPr>
        <w:t xml:space="preserve"> N, Pérez-Rodríguez M, </w:t>
      </w:r>
      <w:proofErr w:type="spellStart"/>
      <w:r w:rsidRPr="003945C7">
        <w:rPr>
          <w:rFonts w:ascii="Book Antiqua" w:eastAsia="Book Antiqua" w:hAnsi="Book Antiqua" w:cs="Book Antiqua"/>
          <w:color w:val="000000"/>
        </w:rPr>
        <w:t>Camorlinga</w:t>
      </w:r>
      <w:proofErr w:type="spellEnd"/>
      <w:r w:rsidRPr="003945C7">
        <w:rPr>
          <w:rFonts w:ascii="Book Antiqua" w:eastAsia="Book Antiqua" w:hAnsi="Book Antiqua" w:cs="Book Antiqua"/>
          <w:color w:val="000000"/>
        </w:rPr>
        <w:t xml:space="preserve">-Ponce M, Flores-Luna L, </w:t>
      </w:r>
      <w:proofErr w:type="spellStart"/>
      <w:r w:rsidRPr="003945C7">
        <w:rPr>
          <w:rFonts w:ascii="Book Antiqua" w:eastAsia="Book Antiqua" w:hAnsi="Book Antiqua" w:cs="Book Antiqua"/>
          <w:color w:val="000000"/>
        </w:rPr>
        <w:t>Lazcano</w:t>
      </w:r>
      <w:proofErr w:type="spellEnd"/>
      <w:r w:rsidRPr="003945C7">
        <w:rPr>
          <w:rFonts w:ascii="Book Antiqua" w:eastAsia="Book Antiqua" w:hAnsi="Book Antiqua" w:cs="Book Antiqua"/>
          <w:color w:val="000000"/>
        </w:rPr>
        <w:t xml:space="preserve">-Ponce E, Maldonado-Bernal C. Polymorphisms in TLR9 but not in TLR5 increase the risk for duodenal ulcer and alter cytokine expression in the gastric mucosa. </w:t>
      </w:r>
      <w:r w:rsidRPr="003945C7">
        <w:rPr>
          <w:rFonts w:ascii="Book Antiqua" w:eastAsia="Book Antiqua" w:hAnsi="Book Antiqua" w:cs="Book Antiqua"/>
          <w:i/>
          <w:iCs/>
          <w:color w:val="000000"/>
        </w:rPr>
        <w:t xml:space="preserve">Innate </w:t>
      </w:r>
      <w:proofErr w:type="spellStart"/>
      <w:r w:rsidRPr="003945C7">
        <w:rPr>
          <w:rFonts w:ascii="Book Antiqua" w:eastAsia="Book Antiqua" w:hAnsi="Book Antiqua" w:cs="Book Antiqua"/>
          <w:i/>
          <w:iCs/>
          <w:color w:val="000000"/>
        </w:rPr>
        <w:t>Immun</w:t>
      </w:r>
      <w:proofErr w:type="spellEnd"/>
      <w:r w:rsidRPr="003945C7">
        <w:rPr>
          <w:rFonts w:ascii="Book Antiqua" w:eastAsia="Book Antiqua" w:hAnsi="Book Antiqua" w:cs="Book Antiqua"/>
          <w:color w:val="000000"/>
        </w:rPr>
        <w:t xml:space="preserve"> 2015; </w:t>
      </w:r>
      <w:r w:rsidRPr="003945C7">
        <w:rPr>
          <w:rFonts w:ascii="Book Antiqua" w:eastAsia="Book Antiqua" w:hAnsi="Book Antiqua" w:cs="Book Antiqua"/>
          <w:b/>
          <w:bCs/>
          <w:color w:val="000000"/>
        </w:rPr>
        <w:t>21</w:t>
      </w:r>
      <w:r w:rsidRPr="003945C7">
        <w:rPr>
          <w:rFonts w:ascii="Book Antiqua" w:eastAsia="Book Antiqua" w:hAnsi="Book Antiqua" w:cs="Book Antiqua"/>
          <w:color w:val="000000"/>
        </w:rPr>
        <w:t>: 706-713 [PMID: 25995217 DOI: 10.1177/1753425915587130]</w:t>
      </w:r>
    </w:p>
    <w:p w14:paraId="4BF7174C"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38 </w:t>
      </w:r>
      <w:r w:rsidRPr="003945C7">
        <w:rPr>
          <w:rFonts w:ascii="Book Antiqua" w:eastAsia="Book Antiqua" w:hAnsi="Book Antiqua" w:cs="Book Antiqua"/>
          <w:b/>
          <w:bCs/>
          <w:color w:val="000000"/>
        </w:rPr>
        <w:t>Hold GL</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Rabkin</w:t>
      </w:r>
      <w:proofErr w:type="spellEnd"/>
      <w:r w:rsidRPr="003945C7">
        <w:rPr>
          <w:rFonts w:ascii="Book Antiqua" w:eastAsia="Book Antiqua" w:hAnsi="Book Antiqua" w:cs="Book Antiqua"/>
          <w:color w:val="000000"/>
        </w:rPr>
        <w:t xml:space="preserve"> CS, Gammon MD, Berry SH, Smith MG, </w:t>
      </w:r>
      <w:proofErr w:type="spellStart"/>
      <w:r w:rsidRPr="003945C7">
        <w:rPr>
          <w:rFonts w:ascii="Book Antiqua" w:eastAsia="Book Antiqua" w:hAnsi="Book Antiqua" w:cs="Book Antiqua"/>
          <w:color w:val="000000"/>
        </w:rPr>
        <w:t>Lissowska</w:t>
      </w:r>
      <w:proofErr w:type="spellEnd"/>
      <w:r w:rsidRPr="003945C7">
        <w:rPr>
          <w:rFonts w:ascii="Book Antiqua" w:eastAsia="Book Antiqua" w:hAnsi="Book Antiqua" w:cs="Book Antiqua"/>
          <w:color w:val="000000"/>
        </w:rPr>
        <w:t xml:space="preserve"> J, </w:t>
      </w:r>
      <w:proofErr w:type="spellStart"/>
      <w:r w:rsidRPr="003945C7">
        <w:rPr>
          <w:rFonts w:ascii="Book Antiqua" w:eastAsia="Book Antiqua" w:hAnsi="Book Antiqua" w:cs="Book Antiqua"/>
          <w:color w:val="000000"/>
        </w:rPr>
        <w:t>Risch</w:t>
      </w:r>
      <w:proofErr w:type="spellEnd"/>
      <w:r w:rsidRPr="003945C7">
        <w:rPr>
          <w:rFonts w:ascii="Book Antiqua" w:eastAsia="Book Antiqua" w:hAnsi="Book Antiqua" w:cs="Book Antiqua"/>
          <w:color w:val="000000"/>
        </w:rPr>
        <w:t xml:space="preserve"> HA, Chow WH, Mowat NA, Vaughan TL, El-Omar EM. CD14-159C/T and TLR9-1237T/C polymorphisms are not associated with gastric cancer risk in Caucasian populations. </w:t>
      </w:r>
      <w:r w:rsidRPr="003945C7">
        <w:rPr>
          <w:rFonts w:ascii="Book Antiqua" w:eastAsia="Book Antiqua" w:hAnsi="Book Antiqua" w:cs="Book Antiqua"/>
          <w:i/>
          <w:iCs/>
          <w:color w:val="000000"/>
        </w:rPr>
        <w:t xml:space="preserve">Eur J Cancer </w:t>
      </w:r>
      <w:proofErr w:type="spellStart"/>
      <w:r w:rsidRPr="003945C7">
        <w:rPr>
          <w:rFonts w:ascii="Book Antiqua" w:eastAsia="Book Antiqua" w:hAnsi="Book Antiqua" w:cs="Book Antiqua"/>
          <w:i/>
          <w:iCs/>
          <w:color w:val="000000"/>
        </w:rPr>
        <w:t>Prev</w:t>
      </w:r>
      <w:proofErr w:type="spellEnd"/>
      <w:r w:rsidRPr="003945C7">
        <w:rPr>
          <w:rFonts w:ascii="Book Antiqua" w:eastAsia="Book Antiqua" w:hAnsi="Book Antiqua" w:cs="Book Antiqua"/>
          <w:color w:val="000000"/>
        </w:rPr>
        <w:t xml:space="preserve"> 2009; </w:t>
      </w:r>
      <w:r w:rsidRPr="003945C7">
        <w:rPr>
          <w:rFonts w:ascii="Book Antiqua" w:eastAsia="Book Antiqua" w:hAnsi="Book Antiqua" w:cs="Book Antiqua"/>
          <w:b/>
          <w:bCs/>
          <w:color w:val="000000"/>
        </w:rPr>
        <w:t>18</w:t>
      </w:r>
      <w:r w:rsidRPr="003945C7">
        <w:rPr>
          <w:rFonts w:ascii="Book Antiqua" w:eastAsia="Book Antiqua" w:hAnsi="Book Antiqua" w:cs="Book Antiqua"/>
          <w:color w:val="000000"/>
        </w:rPr>
        <w:t>: 117-119 [PMID: 19337058 DOI: 10.1097/CEJ.0b013e3283101292]</w:t>
      </w:r>
    </w:p>
    <w:p w14:paraId="6145A00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39 </w:t>
      </w:r>
      <w:r w:rsidRPr="003945C7">
        <w:rPr>
          <w:rFonts w:ascii="Book Antiqua" w:eastAsia="Book Antiqua" w:hAnsi="Book Antiqua" w:cs="Book Antiqua"/>
          <w:b/>
          <w:bCs/>
          <w:color w:val="000000"/>
        </w:rPr>
        <w:t>Srivastava P</w:t>
      </w:r>
      <w:r w:rsidRPr="003945C7">
        <w:rPr>
          <w:rFonts w:ascii="Book Antiqua" w:eastAsia="Book Antiqua" w:hAnsi="Book Antiqua" w:cs="Book Antiqua"/>
          <w:color w:val="000000"/>
        </w:rPr>
        <w:t xml:space="preserve">, Singh A, </w:t>
      </w:r>
      <w:proofErr w:type="spellStart"/>
      <w:r w:rsidRPr="003945C7">
        <w:rPr>
          <w:rFonts w:ascii="Book Antiqua" w:eastAsia="Book Antiqua" w:hAnsi="Book Antiqua" w:cs="Book Antiqua"/>
          <w:color w:val="000000"/>
        </w:rPr>
        <w:t>Kesarwani</w:t>
      </w:r>
      <w:proofErr w:type="spellEnd"/>
      <w:r w:rsidRPr="003945C7">
        <w:rPr>
          <w:rFonts w:ascii="Book Antiqua" w:eastAsia="Book Antiqua" w:hAnsi="Book Antiqua" w:cs="Book Antiqua"/>
          <w:color w:val="000000"/>
        </w:rPr>
        <w:t xml:space="preserve"> P, Jaiswal PK, Singh V, Mittal RD. Association studies of Toll-like receptor gene polymorphisms with allograft survival in renal transplant recipients of North India. </w:t>
      </w:r>
      <w:r w:rsidRPr="003945C7">
        <w:rPr>
          <w:rFonts w:ascii="Book Antiqua" w:eastAsia="Book Antiqua" w:hAnsi="Book Antiqua" w:cs="Book Antiqua"/>
          <w:i/>
          <w:iCs/>
          <w:color w:val="000000"/>
        </w:rPr>
        <w:t>Clin Transplant</w:t>
      </w:r>
      <w:r w:rsidRPr="003945C7">
        <w:rPr>
          <w:rFonts w:ascii="Book Antiqua" w:eastAsia="Book Antiqua" w:hAnsi="Book Antiqua" w:cs="Book Antiqua"/>
          <w:color w:val="000000"/>
        </w:rPr>
        <w:t xml:space="preserve"> 2012; </w:t>
      </w:r>
      <w:r w:rsidRPr="003945C7">
        <w:rPr>
          <w:rFonts w:ascii="Book Antiqua" w:eastAsia="Book Antiqua" w:hAnsi="Book Antiqua" w:cs="Book Antiqua"/>
          <w:b/>
          <w:bCs/>
          <w:color w:val="000000"/>
        </w:rPr>
        <w:t>26</w:t>
      </w:r>
      <w:r w:rsidRPr="003945C7">
        <w:rPr>
          <w:rFonts w:ascii="Book Antiqua" w:eastAsia="Book Antiqua" w:hAnsi="Book Antiqua" w:cs="Book Antiqua"/>
          <w:color w:val="000000"/>
        </w:rPr>
        <w:t>: 581-588 [PMID: 22251233 DOI: 10.1111/j.1399-0012.</w:t>
      </w:r>
      <w:proofErr w:type="gramStart"/>
      <w:r w:rsidRPr="003945C7">
        <w:rPr>
          <w:rFonts w:ascii="Book Antiqua" w:eastAsia="Book Antiqua" w:hAnsi="Book Antiqua" w:cs="Book Antiqua"/>
          <w:color w:val="000000"/>
        </w:rPr>
        <w:t>2011.01577.x</w:t>
      </w:r>
      <w:proofErr w:type="gramEnd"/>
      <w:r w:rsidRPr="003945C7">
        <w:rPr>
          <w:rFonts w:ascii="Book Antiqua" w:eastAsia="Book Antiqua" w:hAnsi="Book Antiqua" w:cs="Book Antiqua"/>
          <w:color w:val="000000"/>
        </w:rPr>
        <w:t>]</w:t>
      </w:r>
    </w:p>
    <w:p w14:paraId="4718986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40 </w:t>
      </w:r>
      <w:r w:rsidRPr="003945C7">
        <w:rPr>
          <w:rFonts w:ascii="Book Antiqua" w:eastAsia="Book Antiqua" w:hAnsi="Book Antiqua" w:cs="Book Antiqua"/>
          <w:b/>
          <w:bCs/>
          <w:color w:val="000000"/>
        </w:rPr>
        <w:t>Zhang J</w:t>
      </w:r>
      <w:r w:rsidRPr="003945C7">
        <w:rPr>
          <w:rFonts w:ascii="Book Antiqua" w:eastAsia="Book Antiqua" w:hAnsi="Book Antiqua" w:cs="Book Antiqua"/>
          <w:color w:val="000000"/>
        </w:rPr>
        <w:t xml:space="preserve">, Zhu Q, Meng F, Lei H, Zhao Y. Association study of TLR-9 polymorphisms and systemic lupus erythematosus in northern Chinese Han population. </w:t>
      </w:r>
      <w:r w:rsidRPr="003945C7">
        <w:rPr>
          <w:rFonts w:ascii="Book Antiqua" w:eastAsia="Book Antiqua" w:hAnsi="Book Antiqua" w:cs="Book Antiqua"/>
          <w:i/>
          <w:iCs/>
          <w:color w:val="000000"/>
        </w:rPr>
        <w:t>Gene</w:t>
      </w:r>
      <w:r w:rsidRPr="003945C7">
        <w:rPr>
          <w:rFonts w:ascii="Book Antiqua" w:eastAsia="Book Antiqua" w:hAnsi="Book Antiqua" w:cs="Book Antiqua"/>
          <w:color w:val="000000"/>
        </w:rPr>
        <w:t xml:space="preserve"> 2014; </w:t>
      </w:r>
      <w:r w:rsidRPr="003945C7">
        <w:rPr>
          <w:rFonts w:ascii="Book Antiqua" w:eastAsia="Book Antiqua" w:hAnsi="Book Antiqua" w:cs="Book Antiqua"/>
          <w:b/>
          <w:bCs/>
          <w:color w:val="000000"/>
        </w:rPr>
        <w:t>533</w:t>
      </w:r>
      <w:r w:rsidRPr="003945C7">
        <w:rPr>
          <w:rFonts w:ascii="Book Antiqua" w:eastAsia="Book Antiqua" w:hAnsi="Book Antiqua" w:cs="Book Antiqua"/>
          <w:color w:val="000000"/>
        </w:rPr>
        <w:t>: 385-388 [PMID: 24004541 DOI: 10.1016/j.gene.2013.08.051]</w:t>
      </w:r>
    </w:p>
    <w:p w14:paraId="159AED2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41 </w:t>
      </w:r>
      <w:proofErr w:type="spellStart"/>
      <w:r w:rsidRPr="003945C7">
        <w:rPr>
          <w:rFonts w:ascii="Book Antiqua" w:eastAsia="Book Antiqua" w:hAnsi="Book Antiqua" w:cs="Book Antiqua"/>
          <w:b/>
          <w:bCs/>
          <w:color w:val="000000"/>
        </w:rPr>
        <w:t>Gowin</w:t>
      </w:r>
      <w:proofErr w:type="spellEnd"/>
      <w:r w:rsidRPr="003945C7">
        <w:rPr>
          <w:rFonts w:ascii="Book Antiqua" w:eastAsia="Book Antiqua" w:hAnsi="Book Antiqua" w:cs="Book Antiqua"/>
          <w:b/>
          <w:bCs/>
          <w:color w:val="000000"/>
        </w:rPr>
        <w:t xml:space="preserve"> E</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Świątek-Kościelna</w:t>
      </w:r>
      <w:proofErr w:type="spellEnd"/>
      <w:r w:rsidRPr="003945C7">
        <w:rPr>
          <w:rFonts w:ascii="Book Antiqua" w:eastAsia="Book Antiqua" w:hAnsi="Book Antiqua" w:cs="Book Antiqua"/>
          <w:color w:val="000000"/>
        </w:rPr>
        <w:t xml:space="preserve"> B, </w:t>
      </w:r>
      <w:proofErr w:type="spellStart"/>
      <w:r w:rsidRPr="003945C7">
        <w:rPr>
          <w:rFonts w:ascii="Book Antiqua" w:eastAsia="Book Antiqua" w:hAnsi="Book Antiqua" w:cs="Book Antiqua"/>
          <w:color w:val="000000"/>
        </w:rPr>
        <w:t>Kałużna</w:t>
      </w:r>
      <w:proofErr w:type="spellEnd"/>
      <w:r w:rsidRPr="003945C7">
        <w:rPr>
          <w:rFonts w:ascii="Book Antiqua" w:eastAsia="Book Antiqua" w:hAnsi="Book Antiqua" w:cs="Book Antiqua"/>
          <w:color w:val="000000"/>
        </w:rPr>
        <w:t xml:space="preserve"> E, Nowak J, Michalak M, Wysocki J, </w:t>
      </w:r>
      <w:proofErr w:type="spellStart"/>
      <w:r w:rsidRPr="003945C7">
        <w:rPr>
          <w:rFonts w:ascii="Book Antiqua" w:eastAsia="Book Antiqua" w:hAnsi="Book Antiqua" w:cs="Book Antiqua"/>
          <w:color w:val="000000"/>
        </w:rPr>
        <w:t>Januszkiewicz-Lewandowska</w:t>
      </w:r>
      <w:proofErr w:type="spellEnd"/>
      <w:r w:rsidRPr="003945C7">
        <w:rPr>
          <w:rFonts w:ascii="Book Antiqua" w:eastAsia="Book Antiqua" w:hAnsi="Book Antiqua" w:cs="Book Antiqua"/>
          <w:color w:val="000000"/>
        </w:rPr>
        <w:t xml:space="preserve"> D. Analysis of TLR2, TLR4, and TLR9 single nucleotide polymorphisms in children with bacterial meningitis and their healthy family members. </w:t>
      </w:r>
      <w:r w:rsidRPr="003945C7">
        <w:rPr>
          <w:rFonts w:ascii="Book Antiqua" w:eastAsia="Book Antiqua" w:hAnsi="Book Antiqua" w:cs="Book Antiqua"/>
          <w:i/>
          <w:iCs/>
          <w:color w:val="000000"/>
        </w:rPr>
        <w:t>Int J Infect Dis</w:t>
      </w:r>
      <w:r w:rsidRPr="003945C7">
        <w:rPr>
          <w:rFonts w:ascii="Book Antiqua" w:eastAsia="Book Antiqua" w:hAnsi="Book Antiqua" w:cs="Book Antiqua"/>
          <w:color w:val="000000"/>
        </w:rPr>
        <w:t xml:space="preserve"> 2017; </w:t>
      </w:r>
      <w:r w:rsidRPr="003945C7">
        <w:rPr>
          <w:rFonts w:ascii="Book Antiqua" w:eastAsia="Book Antiqua" w:hAnsi="Book Antiqua" w:cs="Book Antiqua"/>
          <w:b/>
          <w:bCs/>
          <w:color w:val="000000"/>
        </w:rPr>
        <w:t>60</w:t>
      </w:r>
      <w:r w:rsidRPr="003945C7">
        <w:rPr>
          <w:rFonts w:ascii="Book Antiqua" w:eastAsia="Book Antiqua" w:hAnsi="Book Antiqua" w:cs="Book Antiqua"/>
          <w:color w:val="000000"/>
        </w:rPr>
        <w:t>: 23-28 [PMID: 28487240 DOI: 10.1016/j.ijid.2017.04.024]</w:t>
      </w:r>
    </w:p>
    <w:p w14:paraId="7387B25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42 </w:t>
      </w:r>
      <w:r w:rsidRPr="003945C7">
        <w:rPr>
          <w:rFonts w:ascii="Book Antiqua" w:eastAsia="Book Antiqua" w:hAnsi="Book Antiqua" w:cs="Book Antiqua"/>
          <w:b/>
          <w:bCs/>
          <w:color w:val="000000"/>
        </w:rPr>
        <w:t>Hassan AE</w:t>
      </w:r>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Shoeib</w:t>
      </w:r>
      <w:proofErr w:type="spellEnd"/>
      <w:r w:rsidRPr="003945C7">
        <w:rPr>
          <w:rFonts w:ascii="Book Antiqua" w:eastAsia="Book Antiqua" w:hAnsi="Book Antiqua" w:cs="Book Antiqua"/>
          <w:color w:val="000000"/>
        </w:rPr>
        <w:t xml:space="preserve"> S, </w:t>
      </w:r>
      <w:proofErr w:type="spellStart"/>
      <w:r w:rsidRPr="003945C7">
        <w:rPr>
          <w:rFonts w:ascii="Book Antiqua" w:eastAsia="Book Antiqua" w:hAnsi="Book Antiqua" w:cs="Book Antiqua"/>
          <w:color w:val="000000"/>
        </w:rPr>
        <w:t>Abdelmohsen</w:t>
      </w:r>
      <w:proofErr w:type="spellEnd"/>
      <w:r w:rsidRPr="003945C7">
        <w:rPr>
          <w:rFonts w:ascii="Book Antiqua" w:eastAsia="Book Antiqua" w:hAnsi="Book Antiqua" w:cs="Book Antiqua"/>
          <w:color w:val="000000"/>
        </w:rPr>
        <w:t xml:space="preserve"> E, Nazir A, Dawood A, Gamal H, </w:t>
      </w:r>
      <w:proofErr w:type="spellStart"/>
      <w:r w:rsidRPr="003945C7">
        <w:rPr>
          <w:rFonts w:ascii="Book Antiqua" w:eastAsia="Book Antiqua" w:hAnsi="Book Antiqua" w:cs="Book Antiqua"/>
          <w:color w:val="000000"/>
        </w:rPr>
        <w:t>Abdelhafez</w:t>
      </w:r>
      <w:proofErr w:type="spellEnd"/>
      <w:r w:rsidRPr="003945C7">
        <w:rPr>
          <w:rFonts w:ascii="Book Antiqua" w:eastAsia="Book Antiqua" w:hAnsi="Book Antiqua" w:cs="Book Antiqua"/>
          <w:color w:val="000000"/>
        </w:rPr>
        <w:t xml:space="preserve"> M. Toll-Like Receptor 9 (TLR9) Gene C/T (rs352140) Polymorphisms in Adult Primary </w:t>
      </w:r>
      <w:r w:rsidRPr="003945C7">
        <w:rPr>
          <w:rFonts w:ascii="Book Antiqua" w:eastAsia="Book Antiqua" w:hAnsi="Book Antiqua" w:cs="Book Antiqua"/>
          <w:color w:val="000000"/>
        </w:rPr>
        <w:lastRenderedPageBreak/>
        <w:t xml:space="preserve">Immune Thrombocytopenia. </w:t>
      </w:r>
      <w:r w:rsidRPr="003945C7">
        <w:rPr>
          <w:rFonts w:ascii="Book Antiqua" w:eastAsia="Book Antiqua" w:hAnsi="Book Antiqua" w:cs="Book Antiqua"/>
          <w:i/>
          <w:iCs/>
          <w:color w:val="000000"/>
        </w:rPr>
        <w:t xml:space="preserve">Clin Appl </w:t>
      </w:r>
      <w:proofErr w:type="spellStart"/>
      <w:r w:rsidRPr="003945C7">
        <w:rPr>
          <w:rFonts w:ascii="Book Antiqua" w:eastAsia="Book Antiqua" w:hAnsi="Book Antiqua" w:cs="Book Antiqua"/>
          <w:i/>
          <w:iCs/>
          <w:color w:val="000000"/>
        </w:rPr>
        <w:t>Thromb</w:t>
      </w:r>
      <w:proofErr w:type="spellEnd"/>
      <w:r w:rsidRPr="003945C7">
        <w:rPr>
          <w:rFonts w:ascii="Book Antiqua" w:eastAsia="Book Antiqua" w:hAnsi="Book Antiqua" w:cs="Book Antiqua"/>
          <w:i/>
          <w:iCs/>
          <w:color w:val="000000"/>
        </w:rPr>
        <w:t xml:space="preserve"> </w:t>
      </w:r>
      <w:proofErr w:type="spellStart"/>
      <w:r w:rsidRPr="003945C7">
        <w:rPr>
          <w:rFonts w:ascii="Book Antiqua" w:eastAsia="Book Antiqua" w:hAnsi="Book Antiqua" w:cs="Book Antiqua"/>
          <w:i/>
          <w:iCs/>
          <w:color w:val="000000"/>
        </w:rPr>
        <w:t>Hemost</w:t>
      </w:r>
      <w:proofErr w:type="spellEnd"/>
      <w:r w:rsidRPr="003945C7">
        <w:rPr>
          <w:rFonts w:ascii="Book Antiqua" w:eastAsia="Book Antiqua" w:hAnsi="Book Antiqua" w:cs="Book Antiqua"/>
          <w:color w:val="000000"/>
        </w:rPr>
        <w:t xml:space="preserve"> 2020; </w:t>
      </w:r>
      <w:r w:rsidRPr="003945C7">
        <w:rPr>
          <w:rFonts w:ascii="Book Antiqua" w:eastAsia="Book Antiqua" w:hAnsi="Book Antiqua" w:cs="Book Antiqua"/>
          <w:b/>
          <w:bCs/>
          <w:color w:val="000000"/>
        </w:rPr>
        <w:t>26</w:t>
      </w:r>
      <w:r w:rsidRPr="003945C7">
        <w:rPr>
          <w:rFonts w:ascii="Book Antiqua" w:eastAsia="Book Antiqua" w:hAnsi="Book Antiqua" w:cs="Book Antiqua"/>
          <w:color w:val="000000"/>
        </w:rPr>
        <w:t>: 1076029620940050 [PMID: 32729323 DOI: 10.1177/1076029620940050]</w:t>
      </w:r>
    </w:p>
    <w:p w14:paraId="37D101D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43 </w:t>
      </w:r>
      <w:r w:rsidRPr="003945C7">
        <w:rPr>
          <w:rFonts w:ascii="Book Antiqua" w:eastAsia="Book Antiqua" w:hAnsi="Book Antiqua" w:cs="Book Antiqua"/>
          <w:b/>
          <w:bCs/>
          <w:color w:val="000000"/>
        </w:rPr>
        <w:t>Chauhan A</w:t>
      </w:r>
      <w:r w:rsidRPr="003945C7">
        <w:rPr>
          <w:rFonts w:ascii="Book Antiqua" w:eastAsia="Book Antiqua" w:hAnsi="Book Antiqua" w:cs="Book Antiqua"/>
          <w:color w:val="000000"/>
        </w:rPr>
        <w:t xml:space="preserve">, Pandey N, Desai A, </w:t>
      </w:r>
      <w:proofErr w:type="spellStart"/>
      <w:r w:rsidRPr="003945C7">
        <w:rPr>
          <w:rFonts w:ascii="Book Antiqua" w:eastAsia="Book Antiqua" w:hAnsi="Book Antiqua" w:cs="Book Antiqua"/>
          <w:color w:val="000000"/>
        </w:rPr>
        <w:t>Raithatha</w:t>
      </w:r>
      <w:proofErr w:type="spellEnd"/>
      <w:r w:rsidRPr="003945C7">
        <w:rPr>
          <w:rFonts w:ascii="Book Antiqua" w:eastAsia="Book Antiqua" w:hAnsi="Book Antiqua" w:cs="Book Antiqua"/>
          <w:color w:val="000000"/>
        </w:rPr>
        <w:t xml:space="preserve"> N, Patel P, </w:t>
      </w:r>
      <w:proofErr w:type="spellStart"/>
      <w:r w:rsidRPr="003945C7">
        <w:rPr>
          <w:rFonts w:ascii="Book Antiqua" w:eastAsia="Book Antiqua" w:hAnsi="Book Antiqua" w:cs="Book Antiqua"/>
          <w:color w:val="000000"/>
        </w:rPr>
        <w:t>Choxi</w:t>
      </w:r>
      <w:proofErr w:type="spellEnd"/>
      <w:r w:rsidRPr="003945C7">
        <w:rPr>
          <w:rFonts w:ascii="Book Antiqua" w:eastAsia="Book Antiqua" w:hAnsi="Book Antiqua" w:cs="Book Antiqua"/>
          <w:color w:val="000000"/>
        </w:rPr>
        <w:t xml:space="preserve"> Y, Kapadia R, Khandelwal R, Jain N. Association of TLR4 and TLR9 gene polymorphisms and haplotypes with cervicitis susceptibility. </w:t>
      </w:r>
      <w:proofErr w:type="spellStart"/>
      <w:r w:rsidRPr="003945C7">
        <w:rPr>
          <w:rFonts w:ascii="Book Antiqua" w:eastAsia="Book Antiqua" w:hAnsi="Book Antiqua" w:cs="Book Antiqua"/>
          <w:i/>
          <w:iCs/>
          <w:color w:val="000000"/>
        </w:rPr>
        <w:t>PLoS</w:t>
      </w:r>
      <w:proofErr w:type="spellEnd"/>
      <w:r w:rsidRPr="003945C7">
        <w:rPr>
          <w:rFonts w:ascii="Book Antiqua" w:eastAsia="Book Antiqua" w:hAnsi="Book Antiqua" w:cs="Book Antiqua"/>
          <w:i/>
          <w:iCs/>
          <w:color w:val="000000"/>
        </w:rPr>
        <w:t xml:space="preserve"> One</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14</w:t>
      </w:r>
      <w:r w:rsidRPr="003945C7">
        <w:rPr>
          <w:rFonts w:ascii="Book Antiqua" w:eastAsia="Book Antiqua" w:hAnsi="Book Antiqua" w:cs="Book Antiqua"/>
          <w:color w:val="000000"/>
        </w:rPr>
        <w:t>: e0220330 [PMID: 31365550 DOI: 10.1371/journal.pone.0220330]</w:t>
      </w:r>
    </w:p>
    <w:p w14:paraId="6840F10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44 </w:t>
      </w:r>
      <w:r w:rsidRPr="003945C7">
        <w:rPr>
          <w:rFonts w:ascii="Book Antiqua" w:eastAsia="Book Antiqua" w:hAnsi="Book Antiqua" w:cs="Book Antiqua"/>
          <w:b/>
          <w:bCs/>
          <w:color w:val="000000"/>
        </w:rPr>
        <w:t>Pandey NO</w:t>
      </w:r>
      <w:r w:rsidRPr="003945C7">
        <w:rPr>
          <w:rFonts w:ascii="Book Antiqua" w:eastAsia="Book Antiqua" w:hAnsi="Book Antiqua" w:cs="Book Antiqua"/>
          <w:color w:val="000000"/>
        </w:rPr>
        <w:t xml:space="preserve">, Chauhan AV, </w:t>
      </w:r>
      <w:proofErr w:type="spellStart"/>
      <w:r w:rsidRPr="003945C7">
        <w:rPr>
          <w:rFonts w:ascii="Book Antiqua" w:eastAsia="Book Antiqua" w:hAnsi="Book Antiqua" w:cs="Book Antiqua"/>
          <w:color w:val="000000"/>
        </w:rPr>
        <w:t>Raithatha</w:t>
      </w:r>
      <w:proofErr w:type="spellEnd"/>
      <w:r w:rsidRPr="003945C7">
        <w:rPr>
          <w:rFonts w:ascii="Book Antiqua" w:eastAsia="Book Antiqua" w:hAnsi="Book Antiqua" w:cs="Book Antiqua"/>
          <w:color w:val="000000"/>
        </w:rPr>
        <w:t xml:space="preserve"> NS, Patel PK, Khandelwal R, Desai AN, </w:t>
      </w:r>
      <w:proofErr w:type="spellStart"/>
      <w:r w:rsidRPr="003945C7">
        <w:rPr>
          <w:rFonts w:ascii="Book Antiqua" w:eastAsia="Book Antiqua" w:hAnsi="Book Antiqua" w:cs="Book Antiqua"/>
          <w:color w:val="000000"/>
        </w:rPr>
        <w:t>Choxi</w:t>
      </w:r>
      <w:proofErr w:type="spellEnd"/>
      <w:r w:rsidRPr="003945C7">
        <w:rPr>
          <w:rFonts w:ascii="Book Antiqua" w:eastAsia="Book Antiqua" w:hAnsi="Book Antiqua" w:cs="Book Antiqua"/>
          <w:color w:val="000000"/>
        </w:rPr>
        <w:t xml:space="preserve"> Y, Kapadia RS, Jain ND. Association of TLR4 and TLR9 polymorphisms and haplotypes with cervical cancer susceptibility. </w:t>
      </w:r>
      <w:r w:rsidRPr="003945C7">
        <w:rPr>
          <w:rFonts w:ascii="Book Antiqua" w:eastAsia="Book Antiqua" w:hAnsi="Book Antiqua" w:cs="Book Antiqua"/>
          <w:i/>
          <w:iCs/>
          <w:color w:val="000000"/>
        </w:rPr>
        <w:t>Sci Rep</w:t>
      </w:r>
      <w:r w:rsidRPr="003945C7">
        <w:rPr>
          <w:rFonts w:ascii="Book Antiqua" w:eastAsia="Book Antiqua" w:hAnsi="Book Antiqua" w:cs="Book Antiqua"/>
          <w:color w:val="000000"/>
        </w:rPr>
        <w:t xml:space="preserve"> 2019; </w:t>
      </w:r>
      <w:r w:rsidRPr="003945C7">
        <w:rPr>
          <w:rFonts w:ascii="Book Antiqua" w:eastAsia="Book Antiqua" w:hAnsi="Book Antiqua" w:cs="Book Antiqua"/>
          <w:b/>
          <w:bCs/>
          <w:color w:val="000000"/>
        </w:rPr>
        <w:t>9</w:t>
      </w:r>
      <w:r w:rsidRPr="003945C7">
        <w:rPr>
          <w:rFonts w:ascii="Book Antiqua" w:eastAsia="Book Antiqua" w:hAnsi="Book Antiqua" w:cs="Book Antiqua"/>
          <w:color w:val="000000"/>
        </w:rPr>
        <w:t>: 9729 [PMID: 31278284 DOI: 10.1038/s41598-019-46077-z]</w:t>
      </w:r>
    </w:p>
    <w:p w14:paraId="1E6B2B1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45 </w:t>
      </w:r>
      <w:proofErr w:type="spellStart"/>
      <w:r w:rsidRPr="003945C7">
        <w:rPr>
          <w:rFonts w:ascii="Book Antiqua" w:eastAsia="Book Antiqua" w:hAnsi="Book Antiqua" w:cs="Book Antiqua"/>
          <w:b/>
          <w:bCs/>
          <w:color w:val="000000"/>
        </w:rPr>
        <w:t>Karody</w:t>
      </w:r>
      <w:proofErr w:type="spellEnd"/>
      <w:r w:rsidRPr="003945C7">
        <w:rPr>
          <w:rFonts w:ascii="Book Antiqua" w:eastAsia="Book Antiqua" w:hAnsi="Book Antiqua" w:cs="Book Antiqua"/>
          <w:b/>
          <w:bCs/>
          <w:color w:val="000000"/>
        </w:rPr>
        <w:t xml:space="preserve"> V</w:t>
      </w:r>
      <w:r w:rsidRPr="003945C7">
        <w:rPr>
          <w:rFonts w:ascii="Book Antiqua" w:eastAsia="Book Antiqua" w:hAnsi="Book Antiqua" w:cs="Book Antiqua"/>
          <w:color w:val="000000"/>
        </w:rPr>
        <w:t xml:space="preserve">, Reese S, Kumar N, </w:t>
      </w:r>
      <w:proofErr w:type="spellStart"/>
      <w:r w:rsidRPr="003945C7">
        <w:rPr>
          <w:rFonts w:ascii="Book Antiqua" w:eastAsia="Book Antiqua" w:hAnsi="Book Antiqua" w:cs="Book Antiqua"/>
          <w:color w:val="000000"/>
        </w:rPr>
        <w:t>Liedel</w:t>
      </w:r>
      <w:proofErr w:type="spellEnd"/>
      <w:r w:rsidRPr="003945C7">
        <w:rPr>
          <w:rFonts w:ascii="Book Antiqua" w:eastAsia="Book Antiqua" w:hAnsi="Book Antiqua" w:cs="Book Antiqua"/>
          <w:color w:val="000000"/>
        </w:rPr>
        <w:t xml:space="preserve"> J, Jarzembowski J, Sampath V. A toll-like receptor 9 (rs352140) variant is associated with placental inflammation in newborn infants. </w:t>
      </w:r>
      <w:r w:rsidRPr="003945C7">
        <w:rPr>
          <w:rFonts w:ascii="Book Antiqua" w:eastAsia="Book Antiqua" w:hAnsi="Book Antiqua" w:cs="Book Antiqua"/>
          <w:i/>
          <w:iCs/>
          <w:color w:val="000000"/>
        </w:rPr>
        <w:t xml:space="preserve">J </w:t>
      </w:r>
      <w:proofErr w:type="spellStart"/>
      <w:r w:rsidRPr="003945C7">
        <w:rPr>
          <w:rFonts w:ascii="Book Antiqua" w:eastAsia="Book Antiqua" w:hAnsi="Book Antiqua" w:cs="Book Antiqua"/>
          <w:i/>
          <w:iCs/>
          <w:color w:val="000000"/>
        </w:rPr>
        <w:t>Matern</w:t>
      </w:r>
      <w:proofErr w:type="spellEnd"/>
      <w:r w:rsidRPr="003945C7">
        <w:rPr>
          <w:rFonts w:ascii="Book Antiqua" w:eastAsia="Book Antiqua" w:hAnsi="Book Antiqua" w:cs="Book Antiqua"/>
          <w:i/>
          <w:iCs/>
          <w:color w:val="000000"/>
        </w:rPr>
        <w:t xml:space="preserve"> Fetal Neonatal Med</w:t>
      </w:r>
      <w:r w:rsidRPr="003945C7">
        <w:rPr>
          <w:rFonts w:ascii="Book Antiqua" w:eastAsia="Book Antiqua" w:hAnsi="Book Antiqua" w:cs="Book Antiqua"/>
          <w:color w:val="000000"/>
        </w:rPr>
        <w:t xml:space="preserve"> 2016; </w:t>
      </w:r>
      <w:r w:rsidRPr="003945C7">
        <w:rPr>
          <w:rFonts w:ascii="Book Antiqua" w:eastAsia="Book Antiqua" w:hAnsi="Book Antiqua" w:cs="Book Antiqua"/>
          <w:b/>
          <w:bCs/>
          <w:color w:val="000000"/>
        </w:rPr>
        <w:t>29</w:t>
      </w:r>
      <w:r w:rsidRPr="003945C7">
        <w:rPr>
          <w:rFonts w:ascii="Book Antiqua" w:eastAsia="Book Antiqua" w:hAnsi="Book Antiqua" w:cs="Book Antiqua"/>
          <w:color w:val="000000"/>
        </w:rPr>
        <w:t>: 2210-2216 [PMID: 26371589 DOI: 10.3109/14767058.2015.1081590]</w:t>
      </w:r>
    </w:p>
    <w:p w14:paraId="1060651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46 </w:t>
      </w:r>
      <w:r w:rsidRPr="003945C7">
        <w:rPr>
          <w:rFonts w:ascii="Book Antiqua" w:eastAsia="Book Antiqua" w:hAnsi="Book Antiqua" w:cs="Book Antiqua"/>
          <w:b/>
          <w:bCs/>
          <w:color w:val="000000"/>
        </w:rPr>
        <w:t>Loganathan R</w:t>
      </w:r>
      <w:r w:rsidRPr="003945C7">
        <w:rPr>
          <w:rFonts w:ascii="Book Antiqua" w:eastAsia="Book Antiqua" w:hAnsi="Book Antiqua" w:cs="Book Antiqua"/>
          <w:color w:val="000000"/>
        </w:rPr>
        <w:t xml:space="preserve">, Nazeer M, </w:t>
      </w:r>
      <w:proofErr w:type="spellStart"/>
      <w:r w:rsidRPr="003945C7">
        <w:rPr>
          <w:rFonts w:ascii="Book Antiqua" w:eastAsia="Book Antiqua" w:hAnsi="Book Antiqua" w:cs="Book Antiqua"/>
          <w:color w:val="000000"/>
        </w:rPr>
        <w:t>Goda</w:t>
      </w:r>
      <w:proofErr w:type="spellEnd"/>
      <w:r w:rsidRPr="003945C7">
        <w:rPr>
          <w:rFonts w:ascii="Book Antiqua" w:eastAsia="Book Antiqua" w:hAnsi="Book Antiqua" w:cs="Book Antiqua"/>
          <w:color w:val="000000"/>
        </w:rPr>
        <w:t xml:space="preserve"> V, </w:t>
      </w:r>
      <w:proofErr w:type="spellStart"/>
      <w:r w:rsidRPr="003945C7">
        <w:rPr>
          <w:rFonts w:ascii="Book Antiqua" w:eastAsia="Book Antiqua" w:hAnsi="Book Antiqua" w:cs="Book Antiqua"/>
          <w:color w:val="000000"/>
        </w:rPr>
        <w:t>Devaraju</w:t>
      </w:r>
      <w:proofErr w:type="spellEnd"/>
      <w:r w:rsidRPr="003945C7">
        <w:rPr>
          <w:rFonts w:ascii="Book Antiqua" w:eastAsia="Book Antiqua" w:hAnsi="Book Antiqua" w:cs="Book Antiqua"/>
          <w:color w:val="000000"/>
        </w:rPr>
        <w:t xml:space="preserve"> P, Ali M, Karunakaran P, Jayaraman M. Genetic variants of TLR4 and TLR9 are risk factors for chronic Helicobacter pylori infection in South Indian Tamils. </w:t>
      </w:r>
      <w:r w:rsidRPr="003945C7">
        <w:rPr>
          <w:rFonts w:ascii="Book Antiqua" w:eastAsia="Book Antiqua" w:hAnsi="Book Antiqua" w:cs="Book Antiqua"/>
          <w:i/>
          <w:iCs/>
          <w:color w:val="000000"/>
        </w:rPr>
        <w:t>Hum Immunol</w:t>
      </w:r>
      <w:r w:rsidRPr="003945C7">
        <w:rPr>
          <w:rFonts w:ascii="Book Antiqua" w:eastAsia="Book Antiqua" w:hAnsi="Book Antiqua" w:cs="Book Antiqua"/>
          <w:color w:val="000000"/>
        </w:rPr>
        <w:t xml:space="preserve"> 2017; </w:t>
      </w:r>
      <w:r w:rsidRPr="003945C7">
        <w:rPr>
          <w:rFonts w:ascii="Book Antiqua" w:eastAsia="Book Antiqua" w:hAnsi="Book Antiqua" w:cs="Book Antiqua"/>
          <w:b/>
          <w:bCs/>
          <w:color w:val="000000"/>
        </w:rPr>
        <w:t>78</w:t>
      </w:r>
      <w:r w:rsidRPr="003945C7">
        <w:rPr>
          <w:rFonts w:ascii="Book Antiqua" w:eastAsia="Book Antiqua" w:hAnsi="Book Antiqua" w:cs="Book Antiqua"/>
          <w:color w:val="000000"/>
        </w:rPr>
        <w:t>: 216-220 [PMID: 27993530 DOI: 10.1016/j.humimm.2016.12.002]</w:t>
      </w:r>
    </w:p>
    <w:p w14:paraId="5D12565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47 </w:t>
      </w:r>
      <w:proofErr w:type="spellStart"/>
      <w:r w:rsidRPr="003945C7">
        <w:rPr>
          <w:rFonts w:ascii="Book Antiqua" w:eastAsia="Book Antiqua" w:hAnsi="Book Antiqua" w:cs="Book Antiqua"/>
          <w:b/>
          <w:bCs/>
          <w:color w:val="000000"/>
        </w:rPr>
        <w:t>Eed</w:t>
      </w:r>
      <w:proofErr w:type="spellEnd"/>
      <w:r w:rsidRPr="003945C7">
        <w:rPr>
          <w:rFonts w:ascii="Book Antiqua" w:eastAsia="Book Antiqua" w:hAnsi="Book Antiqua" w:cs="Book Antiqua"/>
          <w:b/>
          <w:bCs/>
          <w:color w:val="000000"/>
        </w:rPr>
        <w:t xml:space="preserve"> EM</w:t>
      </w:r>
      <w:r w:rsidRPr="003945C7">
        <w:rPr>
          <w:rFonts w:ascii="Book Antiqua" w:eastAsia="Book Antiqua" w:hAnsi="Book Antiqua" w:cs="Book Antiqua"/>
          <w:color w:val="000000"/>
        </w:rPr>
        <w:t xml:space="preserve">, Hawash YA, Khalifa AS, </w:t>
      </w:r>
      <w:proofErr w:type="spellStart"/>
      <w:r w:rsidRPr="003945C7">
        <w:rPr>
          <w:rFonts w:ascii="Book Antiqua" w:eastAsia="Book Antiqua" w:hAnsi="Book Antiqua" w:cs="Book Antiqua"/>
          <w:color w:val="000000"/>
        </w:rPr>
        <w:t>Alsharif</w:t>
      </w:r>
      <w:proofErr w:type="spellEnd"/>
      <w:r w:rsidRPr="003945C7">
        <w:rPr>
          <w:rFonts w:ascii="Book Antiqua" w:eastAsia="Book Antiqua" w:hAnsi="Book Antiqua" w:cs="Book Antiqua"/>
          <w:color w:val="000000"/>
        </w:rPr>
        <w:t xml:space="preserve"> KF, Alghamdi SA, </w:t>
      </w:r>
      <w:proofErr w:type="spellStart"/>
      <w:r w:rsidRPr="003945C7">
        <w:rPr>
          <w:rFonts w:ascii="Book Antiqua" w:eastAsia="Book Antiqua" w:hAnsi="Book Antiqua" w:cs="Book Antiqua"/>
          <w:color w:val="000000"/>
        </w:rPr>
        <w:t>Almalki</w:t>
      </w:r>
      <w:proofErr w:type="spellEnd"/>
      <w:r w:rsidRPr="003945C7">
        <w:rPr>
          <w:rFonts w:ascii="Book Antiqua" w:eastAsia="Book Antiqua" w:hAnsi="Book Antiqua" w:cs="Book Antiqua"/>
          <w:color w:val="000000"/>
        </w:rPr>
        <w:t xml:space="preserve"> AA, </w:t>
      </w:r>
      <w:proofErr w:type="spellStart"/>
      <w:r w:rsidRPr="003945C7">
        <w:rPr>
          <w:rFonts w:ascii="Book Antiqua" w:eastAsia="Book Antiqua" w:hAnsi="Book Antiqua" w:cs="Book Antiqua"/>
          <w:color w:val="000000"/>
        </w:rPr>
        <w:t>Almehmadi</w:t>
      </w:r>
      <w:proofErr w:type="spellEnd"/>
      <w:r w:rsidRPr="003945C7">
        <w:rPr>
          <w:rFonts w:ascii="Book Antiqua" w:eastAsia="Book Antiqua" w:hAnsi="Book Antiqua" w:cs="Book Antiqua"/>
          <w:color w:val="000000"/>
        </w:rPr>
        <w:t xml:space="preserve"> MM, Ismail KA, Taha AA, Saber T. Association of toll-like receptors 2, 4, 9 and 10 genes polymorphisms and </w:t>
      </w:r>
      <w:r w:rsidRPr="003945C7">
        <w:rPr>
          <w:rFonts w:ascii="Book Antiqua" w:eastAsia="Book Antiqua" w:hAnsi="Book Antiqua" w:cs="Book Antiqua"/>
          <w:i/>
          <w:iCs/>
          <w:color w:val="000000"/>
        </w:rPr>
        <w:t>Helicobacter pylori</w:t>
      </w:r>
      <w:r w:rsidRPr="003945C7">
        <w:rPr>
          <w:rFonts w:ascii="Book Antiqua" w:eastAsia="Book Antiqua" w:hAnsi="Book Antiqua" w:cs="Book Antiqua"/>
          <w:color w:val="000000"/>
        </w:rPr>
        <w:t xml:space="preserve">-related gastric diseases in Saudi patients. </w:t>
      </w:r>
      <w:r w:rsidRPr="003945C7">
        <w:rPr>
          <w:rFonts w:ascii="Book Antiqua" w:eastAsia="Book Antiqua" w:hAnsi="Book Antiqua" w:cs="Book Antiqua"/>
          <w:i/>
          <w:iCs/>
          <w:color w:val="000000"/>
        </w:rPr>
        <w:t>Indian J Med Microbiol</w:t>
      </w:r>
      <w:r w:rsidRPr="003945C7">
        <w:rPr>
          <w:rFonts w:ascii="Book Antiqua" w:eastAsia="Book Antiqua" w:hAnsi="Book Antiqua" w:cs="Book Antiqua"/>
          <w:color w:val="000000"/>
        </w:rPr>
        <w:t xml:space="preserve"> 2020; </w:t>
      </w:r>
      <w:r w:rsidRPr="003945C7">
        <w:rPr>
          <w:rFonts w:ascii="Book Antiqua" w:eastAsia="Book Antiqua" w:hAnsi="Book Antiqua" w:cs="Book Antiqua"/>
          <w:b/>
          <w:bCs/>
          <w:color w:val="000000"/>
        </w:rPr>
        <w:t>38</w:t>
      </w:r>
      <w:r w:rsidRPr="003945C7">
        <w:rPr>
          <w:rFonts w:ascii="Book Antiqua" w:eastAsia="Book Antiqua" w:hAnsi="Book Antiqua" w:cs="Book Antiqua"/>
          <w:color w:val="000000"/>
        </w:rPr>
        <w:t>: 94-100 [PMID: 32719215 DOI: 10.4103/ijmm.IJMM_20_164]</w:t>
      </w:r>
    </w:p>
    <w:p w14:paraId="2386B8D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 xml:space="preserve">48 </w:t>
      </w:r>
      <w:r w:rsidRPr="003945C7">
        <w:rPr>
          <w:rFonts w:ascii="Book Antiqua" w:eastAsia="Book Antiqua" w:hAnsi="Book Antiqua" w:cs="Book Antiqua"/>
          <w:b/>
          <w:bCs/>
          <w:color w:val="000000"/>
        </w:rPr>
        <w:t>Zhang L</w:t>
      </w:r>
      <w:r w:rsidRPr="003945C7">
        <w:rPr>
          <w:rFonts w:ascii="Book Antiqua" w:eastAsia="Book Antiqua" w:hAnsi="Book Antiqua" w:cs="Book Antiqua"/>
          <w:color w:val="000000"/>
        </w:rPr>
        <w:t xml:space="preserve">, Qin H, Guan X, Zhang K, Liu Z. The TLR9 gene polymorphisms and the risk of cancer: evidence from a meta-analysis. </w:t>
      </w:r>
      <w:proofErr w:type="spellStart"/>
      <w:r w:rsidRPr="003945C7">
        <w:rPr>
          <w:rFonts w:ascii="Book Antiqua" w:eastAsia="Book Antiqua" w:hAnsi="Book Antiqua" w:cs="Book Antiqua"/>
          <w:i/>
          <w:iCs/>
          <w:color w:val="000000"/>
        </w:rPr>
        <w:t>PLoS</w:t>
      </w:r>
      <w:proofErr w:type="spellEnd"/>
      <w:r w:rsidRPr="003945C7">
        <w:rPr>
          <w:rFonts w:ascii="Book Antiqua" w:eastAsia="Book Antiqua" w:hAnsi="Book Antiqua" w:cs="Book Antiqua"/>
          <w:i/>
          <w:iCs/>
          <w:color w:val="000000"/>
        </w:rPr>
        <w:t xml:space="preserve"> One</w:t>
      </w:r>
      <w:r w:rsidRPr="003945C7">
        <w:rPr>
          <w:rFonts w:ascii="Book Antiqua" w:eastAsia="Book Antiqua" w:hAnsi="Book Antiqua" w:cs="Book Antiqua"/>
          <w:color w:val="000000"/>
        </w:rPr>
        <w:t xml:space="preserve"> 2013; </w:t>
      </w:r>
      <w:r w:rsidRPr="003945C7">
        <w:rPr>
          <w:rFonts w:ascii="Book Antiqua" w:eastAsia="Book Antiqua" w:hAnsi="Book Antiqua" w:cs="Book Antiqua"/>
          <w:b/>
          <w:bCs/>
          <w:color w:val="000000"/>
        </w:rPr>
        <w:t>8</w:t>
      </w:r>
      <w:r w:rsidRPr="003945C7">
        <w:rPr>
          <w:rFonts w:ascii="Book Antiqua" w:eastAsia="Book Antiqua" w:hAnsi="Book Antiqua" w:cs="Book Antiqua"/>
          <w:color w:val="000000"/>
        </w:rPr>
        <w:t>: e71785 [PMID: 23990988 DOI: 10.1371/journal.pone.0071785]</w:t>
      </w:r>
    </w:p>
    <w:p w14:paraId="026E18A1" w14:textId="77777777" w:rsidR="00A77B3E" w:rsidRPr="003945C7" w:rsidRDefault="00A77B3E" w:rsidP="001765D0">
      <w:pPr>
        <w:adjustRightInd w:val="0"/>
        <w:snapToGrid w:val="0"/>
        <w:spacing w:line="360" w:lineRule="auto"/>
        <w:jc w:val="both"/>
        <w:sectPr w:rsidR="00A77B3E" w:rsidRPr="003945C7">
          <w:pgSz w:w="12240" w:h="15840"/>
          <w:pgMar w:top="1440" w:right="1440" w:bottom="1440" w:left="1440" w:header="720" w:footer="720" w:gutter="0"/>
          <w:cols w:space="720"/>
          <w:docGrid w:linePitch="360"/>
        </w:sectPr>
      </w:pPr>
    </w:p>
    <w:p w14:paraId="54B38A0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lastRenderedPageBreak/>
        <w:t>Footnotes</w:t>
      </w:r>
    </w:p>
    <w:p w14:paraId="06C297C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Institutional review board statement: </w:t>
      </w:r>
      <w:r w:rsidRPr="003945C7">
        <w:rPr>
          <w:rFonts w:ascii="Book Antiqua" w:eastAsia="Book Antiqua" w:hAnsi="Book Antiqua" w:cs="Book Antiqua"/>
          <w:color w:val="000000"/>
        </w:rPr>
        <w:t xml:space="preserve">Our study was approved by the Ethics Committee of the University of Medicine, Pharmacy, Sciences and Technology ‘George Emil Palade’ </w:t>
      </w:r>
      <w:proofErr w:type="spellStart"/>
      <w:r w:rsidRPr="003945C7">
        <w:rPr>
          <w:rFonts w:ascii="Book Antiqua" w:eastAsia="Book Antiqua" w:hAnsi="Book Antiqua" w:cs="Book Antiqua"/>
          <w:color w:val="000000"/>
        </w:rPr>
        <w:t>Târgu</w:t>
      </w:r>
      <w:proofErr w:type="spellEnd"/>
      <w:r w:rsidRPr="003945C7">
        <w:rPr>
          <w:rFonts w:ascii="Book Antiqua" w:eastAsia="Book Antiqua" w:hAnsi="Book Antiqua" w:cs="Book Antiqua"/>
          <w:color w:val="000000"/>
        </w:rPr>
        <w:t xml:space="preserve"> </w:t>
      </w:r>
      <w:proofErr w:type="spellStart"/>
      <w:r w:rsidRPr="003945C7">
        <w:rPr>
          <w:rFonts w:ascii="Book Antiqua" w:eastAsia="Book Antiqua" w:hAnsi="Book Antiqua" w:cs="Book Antiqua"/>
          <w:color w:val="000000"/>
        </w:rPr>
        <w:t>Mureş</w:t>
      </w:r>
      <w:proofErr w:type="spellEnd"/>
      <w:r w:rsidRPr="003945C7">
        <w:rPr>
          <w:rFonts w:ascii="Book Antiqua" w:eastAsia="Book Antiqua" w:hAnsi="Book Antiqua" w:cs="Book Antiqua"/>
          <w:color w:val="000000"/>
        </w:rPr>
        <w:t xml:space="preserve"> (No. 27/March 17</w:t>
      </w:r>
      <w:r w:rsidRPr="003945C7">
        <w:rPr>
          <w:rFonts w:ascii="Book Antiqua" w:eastAsia="Book Antiqua" w:hAnsi="Book Antiqua" w:cs="Book Antiqua"/>
          <w:color w:val="000000"/>
          <w:szCs w:val="30"/>
          <w:vertAlign w:val="superscript"/>
        </w:rPr>
        <w:t xml:space="preserve">th </w:t>
      </w:r>
      <w:r w:rsidRPr="003945C7">
        <w:rPr>
          <w:rFonts w:ascii="Book Antiqua" w:eastAsia="Book Antiqua" w:hAnsi="Book Antiqua" w:cs="Book Antiqua"/>
          <w:color w:val="000000"/>
        </w:rPr>
        <w:t>2016, and No. 792/March 11</w:t>
      </w:r>
      <w:r w:rsidRPr="003945C7">
        <w:rPr>
          <w:rFonts w:ascii="Book Antiqua" w:eastAsia="Book Antiqua" w:hAnsi="Book Antiqua" w:cs="Book Antiqua"/>
          <w:color w:val="000000"/>
          <w:szCs w:val="30"/>
          <w:vertAlign w:val="superscript"/>
        </w:rPr>
        <w:t>th</w:t>
      </w:r>
      <w:r w:rsidRPr="003945C7">
        <w:rPr>
          <w:rFonts w:ascii="Book Antiqua" w:eastAsia="Book Antiqua" w:hAnsi="Book Antiqua" w:cs="Book Antiqua"/>
          <w:color w:val="000000"/>
        </w:rPr>
        <w:t xml:space="preserve"> 2020), being performed according to the Helsinki Declaration. </w:t>
      </w:r>
    </w:p>
    <w:p w14:paraId="724522A7" w14:textId="77777777" w:rsidR="00A77B3E" w:rsidRPr="003945C7" w:rsidRDefault="00A77B3E" w:rsidP="001765D0">
      <w:pPr>
        <w:adjustRightInd w:val="0"/>
        <w:snapToGrid w:val="0"/>
        <w:spacing w:line="360" w:lineRule="auto"/>
        <w:jc w:val="both"/>
      </w:pPr>
    </w:p>
    <w:p w14:paraId="614F427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Informed consent statement: </w:t>
      </w:r>
      <w:r w:rsidRPr="003945C7">
        <w:rPr>
          <w:rFonts w:ascii="Book Antiqua" w:eastAsia="Book Antiqua" w:hAnsi="Book Antiqua" w:cs="Book Antiqua"/>
          <w:color w:val="000000"/>
        </w:rPr>
        <w:t xml:space="preserve">All the parents/caregivers signed the informed consent prior to their children inclusion in the study. </w:t>
      </w:r>
    </w:p>
    <w:p w14:paraId="38B51144" w14:textId="77777777" w:rsidR="00A77B3E" w:rsidRPr="003945C7" w:rsidRDefault="00A77B3E" w:rsidP="001765D0">
      <w:pPr>
        <w:adjustRightInd w:val="0"/>
        <w:snapToGrid w:val="0"/>
        <w:spacing w:line="360" w:lineRule="auto"/>
        <w:jc w:val="both"/>
      </w:pPr>
    </w:p>
    <w:p w14:paraId="15642F3A"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Conflict-of-interest statement: </w:t>
      </w:r>
      <w:r w:rsidRPr="003945C7">
        <w:rPr>
          <w:rFonts w:ascii="Book Antiqua" w:eastAsia="Book Antiqua" w:hAnsi="Book Antiqua" w:cs="Book Antiqua"/>
          <w:color w:val="000000"/>
        </w:rPr>
        <w:t>The authors have no conflicts of interest to disclose.</w:t>
      </w:r>
    </w:p>
    <w:p w14:paraId="3F748F86" w14:textId="77777777" w:rsidR="00A77B3E" w:rsidRPr="003945C7" w:rsidRDefault="00A77B3E" w:rsidP="001765D0">
      <w:pPr>
        <w:adjustRightInd w:val="0"/>
        <w:snapToGrid w:val="0"/>
        <w:spacing w:line="360" w:lineRule="auto"/>
        <w:jc w:val="both"/>
      </w:pPr>
    </w:p>
    <w:p w14:paraId="75B2DE2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Data sharing statement: </w:t>
      </w:r>
      <w:r w:rsidRPr="003945C7">
        <w:rPr>
          <w:rFonts w:ascii="Book Antiqua" w:eastAsia="Book Antiqua" w:hAnsi="Book Antiqua" w:cs="Book Antiqua"/>
          <w:color w:val="000000"/>
        </w:rPr>
        <w:t>No additional data are available.</w:t>
      </w:r>
    </w:p>
    <w:p w14:paraId="6A0122CE" w14:textId="77777777" w:rsidR="00A77B3E" w:rsidRPr="003945C7" w:rsidRDefault="00A77B3E" w:rsidP="001765D0">
      <w:pPr>
        <w:adjustRightInd w:val="0"/>
        <w:snapToGrid w:val="0"/>
        <w:spacing w:line="360" w:lineRule="auto"/>
        <w:jc w:val="both"/>
      </w:pPr>
    </w:p>
    <w:p w14:paraId="48A1324B"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STROBE statement: </w:t>
      </w:r>
      <w:r w:rsidRPr="003945C7">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6B1351F1" w14:textId="77777777" w:rsidR="00A77B3E" w:rsidRPr="003945C7" w:rsidRDefault="00A77B3E" w:rsidP="001765D0">
      <w:pPr>
        <w:adjustRightInd w:val="0"/>
        <w:snapToGrid w:val="0"/>
        <w:spacing w:line="360" w:lineRule="auto"/>
        <w:jc w:val="both"/>
      </w:pPr>
    </w:p>
    <w:p w14:paraId="5F3B7D9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bCs/>
          <w:color w:val="000000"/>
        </w:rPr>
        <w:t xml:space="preserve">Open-Access: </w:t>
      </w:r>
      <w:r w:rsidRPr="003945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45C7">
        <w:rPr>
          <w:rFonts w:ascii="Book Antiqua" w:eastAsia="Book Antiqua" w:hAnsi="Book Antiqua" w:cs="Book Antiqua"/>
          <w:color w:val="000000"/>
        </w:rPr>
        <w:t>NonCommercial</w:t>
      </w:r>
      <w:proofErr w:type="spellEnd"/>
      <w:r w:rsidRPr="003945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4CF6A0" w14:textId="77777777" w:rsidR="00A77B3E" w:rsidRPr="003945C7" w:rsidRDefault="00A77B3E" w:rsidP="001765D0">
      <w:pPr>
        <w:adjustRightInd w:val="0"/>
        <w:snapToGrid w:val="0"/>
        <w:spacing w:line="360" w:lineRule="auto"/>
        <w:jc w:val="both"/>
      </w:pPr>
    </w:p>
    <w:p w14:paraId="0B9E0E87"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Manuscript source: </w:t>
      </w:r>
      <w:r w:rsidRPr="003945C7">
        <w:rPr>
          <w:rFonts w:ascii="Book Antiqua" w:eastAsia="Book Antiqua" w:hAnsi="Book Antiqua" w:cs="Book Antiqua"/>
          <w:color w:val="000000"/>
        </w:rPr>
        <w:t xml:space="preserve">Unsolicited </w:t>
      </w:r>
      <w:r w:rsidR="00D97386" w:rsidRPr="003945C7">
        <w:rPr>
          <w:rFonts w:ascii="Book Antiqua" w:eastAsia="Book Antiqua" w:hAnsi="Book Antiqua" w:cs="Book Antiqua"/>
          <w:color w:val="000000"/>
        </w:rPr>
        <w:t>m</w:t>
      </w:r>
      <w:r w:rsidRPr="003945C7">
        <w:rPr>
          <w:rFonts w:ascii="Book Antiqua" w:eastAsia="Book Antiqua" w:hAnsi="Book Antiqua" w:cs="Book Antiqua"/>
          <w:color w:val="000000"/>
        </w:rPr>
        <w:t>anuscript</w:t>
      </w:r>
    </w:p>
    <w:p w14:paraId="499FFF93" w14:textId="77777777" w:rsidR="00A77B3E" w:rsidRPr="003945C7" w:rsidRDefault="00A77B3E" w:rsidP="001765D0">
      <w:pPr>
        <w:adjustRightInd w:val="0"/>
        <w:snapToGrid w:val="0"/>
        <w:spacing w:line="360" w:lineRule="auto"/>
        <w:jc w:val="both"/>
      </w:pPr>
    </w:p>
    <w:p w14:paraId="1A1C7C87"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Peer-review started: </w:t>
      </w:r>
      <w:r w:rsidRPr="003945C7">
        <w:rPr>
          <w:rFonts w:ascii="Book Antiqua" w:eastAsia="Book Antiqua" w:hAnsi="Book Antiqua" w:cs="Book Antiqua"/>
          <w:color w:val="000000"/>
        </w:rPr>
        <w:t>March 18, 2021</w:t>
      </w:r>
    </w:p>
    <w:p w14:paraId="51E1FD84"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First decision: </w:t>
      </w:r>
      <w:r w:rsidRPr="003945C7">
        <w:rPr>
          <w:rFonts w:ascii="Book Antiqua" w:eastAsia="Book Antiqua" w:hAnsi="Book Antiqua" w:cs="Book Antiqua"/>
          <w:color w:val="000000"/>
        </w:rPr>
        <w:t>June 3, 2021</w:t>
      </w:r>
    </w:p>
    <w:p w14:paraId="65C78CD0" w14:textId="29F31AE4"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Article in press: </w:t>
      </w:r>
      <w:r w:rsidR="00C36BCC" w:rsidRPr="003945C7">
        <w:rPr>
          <w:rFonts w:ascii="Book Antiqua" w:eastAsia="Book Antiqua" w:hAnsi="Book Antiqua" w:cs="Book Antiqua"/>
          <w:bCs/>
          <w:color w:val="000000"/>
        </w:rPr>
        <w:t>July 5, 2021</w:t>
      </w:r>
    </w:p>
    <w:p w14:paraId="3371FBED" w14:textId="77777777" w:rsidR="00A77B3E" w:rsidRPr="003945C7" w:rsidRDefault="00A77B3E" w:rsidP="001765D0">
      <w:pPr>
        <w:adjustRightInd w:val="0"/>
        <w:snapToGrid w:val="0"/>
        <w:spacing w:line="360" w:lineRule="auto"/>
        <w:jc w:val="both"/>
      </w:pPr>
    </w:p>
    <w:p w14:paraId="36DA904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lastRenderedPageBreak/>
        <w:t xml:space="preserve">Specialty type: </w:t>
      </w:r>
      <w:r w:rsidRPr="003945C7">
        <w:rPr>
          <w:rFonts w:ascii="Book Antiqua" w:eastAsia="Book Antiqua" w:hAnsi="Book Antiqua" w:cs="Book Antiqua"/>
          <w:color w:val="000000"/>
        </w:rPr>
        <w:t>Pediatrics</w:t>
      </w:r>
    </w:p>
    <w:p w14:paraId="79DEFF09"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 xml:space="preserve">Country/Territory of origin: </w:t>
      </w:r>
      <w:r w:rsidRPr="003945C7">
        <w:rPr>
          <w:rFonts w:ascii="Book Antiqua" w:eastAsia="Book Antiqua" w:hAnsi="Book Antiqua" w:cs="Book Antiqua"/>
          <w:color w:val="000000"/>
        </w:rPr>
        <w:t>Romania</w:t>
      </w:r>
    </w:p>
    <w:p w14:paraId="7AEB0263"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b/>
          <w:color w:val="000000"/>
        </w:rPr>
        <w:t>Peer-review report’s scientific quality classification</w:t>
      </w:r>
    </w:p>
    <w:p w14:paraId="24C79590"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Grade A (Excellent): 0</w:t>
      </w:r>
    </w:p>
    <w:p w14:paraId="17C18A0F"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Grade B (Very good): 0</w:t>
      </w:r>
    </w:p>
    <w:p w14:paraId="76DA25A2"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Grade C (Good): C</w:t>
      </w:r>
    </w:p>
    <w:p w14:paraId="29E29CEE"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Grade D (Fair): D</w:t>
      </w:r>
    </w:p>
    <w:p w14:paraId="75AB31A5" w14:textId="77777777" w:rsidR="00A77B3E" w:rsidRPr="003945C7" w:rsidRDefault="00B1068A" w:rsidP="001765D0">
      <w:pPr>
        <w:adjustRightInd w:val="0"/>
        <w:snapToGrid w:val="0"/>
        <w:spacing w:line="360" w:lineRule="auto"/>
        <w:jc w:val="both"/>
      </w:pPr>
      <w:r w:rsidRPr="003945C7">
        <w:rPr>
          <w:rFonts w:ascii="Book Antiqua" w:eastAsia="Book Antiqua" w:hAnsi="Book Antiqua" w:cs="Book Antiqua"/>
          <w:color w:val="000000"/>
        </w:rPr>
        <w:t>Grade E (Poor): 0</w:t>
      </w:r>
    </w:p>
    <w:p w14:paraId="439C8951" w14:textId="77777777" w:rsidR="00A77B3E" w:rsidRPr="003945C7" w:rsidRDefault="00A77B3E" w:rsidP="001765D0">
      <w:pPr>
        <w:adjustRightInd w:val="0"/>
        <w:snapToGrid w:val="0"/>
        <w:spacing w:line="360" w:lineRule="auto"/>
        <w:jc w:val="both"/>
      </w:pPr>
    </w:p>
    <w:p w14:paraId="674CC45C" w14:textId="5ACF4C7B" w:rsidR="00A77B3E" w:rsidRPr="003945C7" w:rsidRDefault="00B1068A" w:rsidP="001765D0">
      <w:pPr>
        <w:adjustRightInd w:val="0"/>
        <w:snapToGrid w:val="0"/>
        <w:spacing w:line="360" w:lineRule="auto"/>
        <w:jc w:val="both"/>
        <w:rPr>
          <w:rFonts w:ascii="Book Antiqua" w:hAnsi="Book Antiqua" w:cs="Book Antiqua"/>
          <w:bCs/>
          <w:color w:val="000000"/>
          <w:lang w:eastAsia="zh-CN"/>
        </w:rPr>
      </w:pPr>
      <w:r w:rsidRPr="003945C7">
        <w:rPr>
          <w:rFonts w:ascii="Book Antiqua" w:eastAsia="Book Antiqua" w:hAnsi="Book Antiqua" w:cs="Book Antiqua"/>
          <w:b/>
          <w:color w:val="000000"/>
        </w:rPr>
        <w:t xml:space="preserve">P-Reviewer: </w:t>
      </w:r>
      <w:proofErr w:type="spellStart"/>
      <w:r w:rsidRPr="003945C7">
        <w:rPr>
          <w:rFonts w:ascii="Book Antiqua" w:eastAsia="Book Antiqua" w:hAnsi="Book Antiqua" w:cs="Book Antiqua"/>
          <w:color w:val="000000"/>
        </w:rPr>
        <w:t>Barisani</w:t>
      </w:r>
      <w:proofErr w:type="spellEnd"/>
      <w:r w:rsidRPr="003945C7">
        <w:rPr>
          <w:rFonts w:ascii="Book Antiqua" w:eastAsia="Book Antiqua" w:hAnsi="Book Antiqua" w:cs="Book Antiqua"/>
          <w:color w:val="000000"/>
        </w:rPr>
        <w:t xml:space="preserve"> D, Kao JT</w:t>
      </w:r>
      <w:r w:rsidRPr="003945C7">
        <w:rPr>
          <w:rFonts w:ascii="Book Antiqua" w:eastAsia="Book Antiqua" w:hAnsi="Book Antiqua" w:cs="Book Antiqua"/>
          <w:b/>
          <w:color w:val="000000"/>
        </w:rPr>
        <w:t xml:space="preserve"> S-Editor: </w:t>
      </w:r>
      <w:r w:rsidRPr="003945C7">
        <w:rPr>
          <w:rFonts w:ascii="Book Antiqua" w:eastAsia="Book Antiqua" w:hAnsi="Book Antiqua" w:cs="Book Antiqua"/>
          <w:color w:val="000000"/>
        </w:rPr>
        <w:t>Ma YJ</w:t>
      </w:r>
      <w:r w:rsidRPr="003945C7">
        <w:rPr>
          <w:rFonts w:ascii="Book Antiqua" w:eastAsia="Book Antiqua" w:hAnsi="Book Antiqua" w:cs="Book Antiqua"/>
          <w:b/>
          <w:color w:val="000000"/>
        </w:rPr>
        <w:t xml:space="preserve"> L-Editor: </w:t>
      </w:r>
      <w:r w:rsidR="00AB7CF3" w:rsidRPr="003945C7">
        <w:rPr>
          <w:rFonts w:ascii="Book Antiqua" w:eastAsia="Book Antiqua" w:hAnsi="Book Antiqua" w:cs="Book Antiqua"/>
          <w:bCs/>
          <w:color w:val="000000"/>
        </w:rPr>
        <w:t xml:space="preserve">Filipodia </w:t>
      </w:r>
      <w:r w:rsidRPr="003945C7">
        <w:rPr>
          <w:rFonts w:ascii="Book Antiqua" w:eastAsia="Book Antiqua" w:hAnsi="Book Antiqua" w:cs="Book Antiqua"/>
          <w:b/>
          <w:color w:val="000000"/>
        </w:rPr>
        <w:t xml:space="preserve">P-Editor: </w:t>
      </w:r>
      <w:r w:rsidR="00583102" w:rsidRPr="003945C7">
        <w:rPr>
          <w:rFonts w:ascii="Book Antiqua" w:eastAsia="Book Antiqua" w:hAnsi="Book Antiqua" w:cs="Book Antiqua"/>
          <w:bCs/>
          <w:color w:val="000000"/>
        </w:rPr>
        <w:t>Li JH</w:t>
      </w:r>
    </w:p>
    <w:p w14:paraId="0715F8C2" w14:textId="22FA5122" w:rsidR="00AF44F3" w:rsidRPr="003945C7" w:rsidRDefault="00AF44F3" w:rsidP="001765D0">
      <w:pPr>
        <w:adjustRightInd w:val="0"/>
        <w:snapToGrid w:val="0"/>
        <w:spacing w:line="360" w:lineRule="auto"/>
        <w:jc w:val="both"/>
        <w:rPr>
          <w:rFonts w:ascii="Book Antiqua" w:hAnsi="Book Antiqua"/>
          <w:b/>
          <w:color w:val="000000" w:themeColor="text1"/>
          <w:lang w:eastAsia="zh-CN"/>
        </w:rPr>
      </w:pPr>
      <w:r w:rsidRPr="003945C7">
        <w:rPr>
          <w:rFonts w:ascii="Book Antiqua" w:hAnsi="Book Antiqua" w:cs="Book Antiqua"/>
          <w:b/>
          <w:color w:val="000000"/>
          <w:lang w:eastAsia="zh-CN"/>
        </w:rPr>
        <w:br w:type="page"/>
      </w:r>
      <w:r w:rsidRPr="003945C7">
        <w:rPr>
          <w:rFonts w:ascii="Book Antiqua" w:hAnsi="Book Antiqua"/>
          <w:b/>
          <w:color w:val="000000" w:themeColor="text1"/>
        </w:rPr>
        <w:lastRenderedPageBreak/>
        <w:t xml:space="preserve">Table </w:t>
      </w:r>
      <w:r w:rsidRPr="003945C7">
        <w:rPr>
          <w:rFonts w:ascii="Book Antiqua" w:hAnsi="Book Antiqua"/>
          <w:b/>
          <w:color w:val="000000" w:themeColor="text1"/>
          <w:lang w:eastAsia="zh-CN"/>
        </w:rPr>
        <w:t>1</w:t>
      </w:r>
      <w:r w:rsidRPr="003945C7">
        <w:rPr>
          <w:rFonts w:ascii="Book Antiqua" w:hAnsi="Book Antiqua"/>
          <w:b/>
          <w:color w:val="000000" w:themeColor="text1"/>
        </w:rPr>
        <w:t xml:space="preserve"> </w:t>
      </w:r>
      <w:r w:rsidRPr="003945C7">
        <w:rPr>
          <w:rFonts w:ascii="Book Antiqua" w:hAnsi="Book Antiqua"/>
          <w:b/>
          <w:caps/>
          <w:color w:val="000000" w:themeColor="text1"/>
        </w:rPr>
        <w:t>d</w:t>
      </w:r>
      <w:r w:rsidRPr="003945C7">
        <w:rPr>
          <w:rFonts w:ascii="Book Antiqua" w:hAnsi="Book Antiqua"/>
          <w:b/>
          <w:color w:val="000000" w:themeColor="text1"/>
        </w:rPr>
        <w:t xml:space="preserve">emographic analysis of the </w:t>
      </w:r>
      <w:r w:rsidR="00DF7B32" w:rsidRPr="003945C7">
        <w:rPr>
          <w:rFonts w:ascii="Book Antiqua" w:hAnsi="Book Antiqua"/>
          <w:b/>
          <w:color w:val="000000" w:themeColor="text1"/>
        </w:rPr>
        <w:t xml:space="preserve">two </w:t>
      </w:r>
      <w:r w:rsidRPr="003945C7">
        <w:rPr>
          <w:rFonts w:ascii="Book Antiqua" w:hAnsi="Book Antiqua"/>
          <w:b/>
          <w:color w:val="000000" w:themeColor="text1"/>
        </w:rPr>
        <w:t>groups</w:t>
      </w:r>
      <w:r w:rsidRPr="003945C7">
        <w:rPr>
          <w:rFonts w:ascii="Book Antiqua" w:hAnsi="Book Antiqua"/>
          <w:b/>
          <w:color w:val="000000" w:themeColor="text1"/>
          <w:lang w:eastAsia="zh-CN"/>
        </w:rPr>
        <w:t xml:space="preserve">, </w:t>
      </w:r>
      <w:r w:rsidRPr="003945C7">
        <w:rPr>
          <w:rFonts w:ascii="Book Antiqua" w:hAnsi="Book Antiqua"/>
          <w:b/>
          <w:i/>
          <w:color w:val="000000" w:themeColor="text1"/>
          <w:lang w:eastAsia="zh-CN"/>
        </w:rPr>
        <w:t>n</w:t>
      </w:r>
      <w:r w:rsidRPr="003945C7">
        <w:rPr>
          <w:rFonts w:ascii="Book Antiqua" w:hAnsi="Book Antiqua"/>
          <w:b/>
          <w:color w:val="000000" w:themeColor="text1"/>
          <w:lang w:eastAsia="zh-CN"/>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gridCol w:w="2551"/>
        <w:gridCol w:w="996"/>
      </w:tblGrid>
      <w:tr w:rsidR="00AF44F3" w:rsidRPr="003945C7" w14:paraId="33C52515" w14:textId="77777777" w:rsidTr="00395BB9">
        <w:tc>
          <w:tcPr>
            <w:tcW w:w="2689" w:type="dxa"/>
            <w:tcBorders>
              <w:top w:val="single" w:sz="4" w:space="0" w:color="auto"/>
              <w:bottom w:val="single" w:sz="4" w:space="0" w:color="auto"/>
            </w:tcBorders>
          </w:tcPr>
          <w:p w14:paraId="70F4DD33" w14:textId="77777777" w:rsidR="00AF44F3" w:rsidRPr="003945C7" w:rsidRDefault="00AF44F3" w:rsidP="001765D0">
            <w:pPr>
              <w:adjustRightInd w:val="0"/>
              <w:snapToGrid w:val="0"/>
              <w:spacing w:line="360" w:lineRule="auto"/>
              <w:rPr>
                <w:rFonts w:ascii="Book Antiqua" w:hAnsi="Book Antiqua" w:cs="Times New Roman"/>
                <w:b/>
                <w:color w:val="000000" w:themeColor="text1"/>
              </w:rPr>
            </w:pPr>
            <w:r w:rsidRPr="003945C7">
              <w:rPr>
                <w:rFonts w:ascii="Book Antiqua" w:hAnsi="Book Antiqua" w:cs="Times New Roman"/>
                <w:b/>
                <w:color w:val="000000" w:themeColor="text1"/>
              </w:rPr>
              <w:t>Parameters</w:t>
            </w:r>
          </w:p>
        </w:tc>
        <w:tc>
          <w:tcPr>
            <w:tcW w:w="2835" w:type="dxa"/>
            <w:tcBorders>
              <w:top w:val="single" w:sz="4" w:space="0" w:color="auto"/>
              <w:bottom w:val="single" w:sz="4" w:space="0" w:color="auto"/>
            </w:tcBorders>
          </w:tcPr>
          <w:p w14:paraId="7CD6EC9A" w14:textId="4BED42B7" w:rsidR="00AF44F3" w:rsidRPr="003945C7" w:rsidRDefault="00AF44F3" w:rsidP="001765D0">
            <w:pPr>
              <w:adjustRightInd w:val="0"/>
              <w:snapToGrid w:val="0"/>
              <w:spacing w:line="360" w:lineRule="auto"/>
              <w:rPr>
                <w:rFonts w:ascii="Book Antiqua" w:hAnsi="Book Antiqua" w:cs="Times New Roman"/>
                <w:b/>
                <w:color w:val="000000" w:themeColor="text1"/>
              </w:rPr>
            </w:pPr>
            <w:r w:rsidRPr="003945C7">
              <w:rPr>
                <w:rFonts w:ascii="Book Antiqua" w:hAnsi="Book Antiqua" w:cs="Times New Roman"/>
                <w:b/>
                <w:color w:val="000000" w:themeColor="text1"/>
              </w:rPr>
              <w:t>Study group</w:t>
            </w:r>
            <w:r w:rsidR="00342DFC" w:rsidRPr="003945C7">
              <w:rPr>
                <w:rFonts w:ascii="Book Antiqua" w:hAnsi="Book Antiqua" w:cs="Times New Roman"/>
                <w:b/>
                <w:color w:val="000000" w:themeColor="text1"/>
              </w:rPr>
              <w:t xml:space="preserve">, </w:t>
            </w:r>
            <w:r w:rsidRPr="003945C7">
              <w:rPr>
                <w:rFonts w:ascii="Book Antiqua" w:hAnsi="Book Antiqua"/>
                <w:b/>
                <w:i/>
                <w:iCs/>
                <w:color w:val="000000" w:themeColor="text1"/>
              </w:rPr>
              <w:t>n</w:t>
            </w:r>
            <w:r w:rsidRPr="003945C7">
              <w:rPr>
                <w:rFonts w:ascii="Book Antiqua" w:hAnsi="Book Antiqua" w:cs="Times New Roman"/>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b/>
                <w:color w:val="000000" w:themeColor="text1"/>
                <w:lang w:eastAsia="zh-CN"/>
              </w:rPr>
              <w:t xml:space="preserve"> </w:t>
            </w:r>
            <w:r w:rsidRPr="003945C7">
              <w:rPr>
                <w:rFonts w:ascii="Book Antiqua" w:hAnsi="Book Antiqua" w:cs="Times New Roman"/>
                <w:b/>
                <w:color w:val="000000" w:themeColor="text1"/>
              </w:rPr>
              <w:t>48</w:t>
            </w:r>
          </w:p>
        </w:tc>
        <w:tc>
          <w:tcPr>
            <w:tcW w:w="2551" w:type="dxa"/>
            <w:tcBorders>
              <w:top w:val="single" w:sz="4" w:space="0" w:color="auto"/>
              <w:bottom w:val="single" w:sz="4" w:space="0" w:color="auto"/>
            </w:tcBorders>
          </w:tcPr>
          <w:p w14:paraId="5C3FD28B" w14:textId="7AD33C6B" w:rsidR="00AF44F3" w:rsidRPr="003945C7" w:rsidRDefault="00AF44F3" w:rsidP="001765D0">
            <w:pPr>
              <w:adjustRightInd w:val="0"/>
              <w:snapToGrid w:val="0"/>
              <w:spacing w:line="360" w:lineRule="auto"/>
              <w:rPr>
                <w:rFonts w:ascii="Book Antiqua" w:hAnsi="Book Antiqua" w:cs="Times New Roman"/>
                <w:b/>
                <w:color w:val="000000" w:themeColor="text1"/>
              </w:rPr>
            </w:pPr>
            <w:r w:rsidRPr="003945C7">
              <w:rPr>
                <w:rFonts w:ascii="Book Antiqua" w:hAnsi="Book Antiqua" w:cs="Times New Roman"/>
                <w:b/>
                <w:color w:val="000000" w:themeColor="text1"/>
              </w:rPr>
              <w:t>Control group</w:t>
            </w:r>
            <w:r w:rsidR="00342DFC"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b/>
                <w:color w:val="000000" w:themeColor="text1"/>
                <w:lang w:eastAsia="zh-CN"/>
              </w:rPr>
              <w:t xml:space="preserve"> </w:t>
            </w:r>
            <w:r w:rsidRPr="003945C7">
              <w:rPr>
                <w:rFonts w:ascii="Book Antiqua" w:hAnsi="Book Antiqua" w:cs="Times New Roman"/>
                <w:b/>
                <w:color w:val="000000" w:themeColor="text1"/>
              </w:rPr>
              <w:t>107</w:t>
            </w:r>
          </w:p>
        </w:tc>
        <w:tc>
          <w:tcPr>
            <w:tcW w:w="996" w:type="dxa"/>
            <w:tcBorders>
              <w:top w:val="single" w:sz="4" w:space="0" w:color="auto"/>
              <w:bottom w:val="single" w:sz="4" w:space="0" w:color="auto"/>
            </w:tcBorders>
          </w:tcPr>
          <w:p w14:paraId="177D0F6A" w14:textId="77777777" w:rsidR="00AF44F3" w:rsidRPr="003945C7" w:rsidRDefault="00AF44F3" w:rsidP="001C29AC">
            <w:pPr>
              <w:adjustRightInd w:val="0"/>
              <w:snapToGrid w:val="0"/>
              <w:spacing w:line="360" w:lineRule="auto"/>
              <w:rPr>
                <w:rFonts w:ascii="Book Antiqua" w:hAnsi="Book Antiqua" w:cs="Times New Roman"/>
                <w:b/>
                <w:color w:val="000000" w:themeColor="text1"/>
              </w:rPr>
            </w:pPr>
            <w:r w:rsidRPr="003945C7">
              <w:rPr>
                <w:rFonts w:ascii="Book Antiqua" w:hAnsi="Book Antiqua" w:cs="Times New Roman"/>
                <w:b/>
                <w:i/>
                <w:caps/>
                <w:color w:val="000000" w:themeColor="text1"/>
              </w:rPr>
              <w:t>p</w:t>
            </w:r>
            <w:r w:rsidR="001C29AC" w:rsidRPr="003945C7">
              <w:rPr>
                <w:rFonts w:ascii="Book Antiqua" w:hAnsi="Book Antiqua" w:cs="Times New Roman"/>
                <w:b/>
                <w:color w:val="000000" w:themeColor="text1"/>
              </w:rPr>
              <w:t xml:space="preserve"> </w:t>
            </w:r>
            <w:r w:rsidRPr="003945C7">
              <w:rPr>
                <w:rFonts w:ascii="Book Antiqua" w:hAnsi="Book Antiqua" w:cs="Times New Roman"/>
                <w:b/>
                <w:color w:val="000000" w:themeColor="text1"/>
              </w:rPr>
              <w:t>value</w:t>
            </w:r>
          </w:p>
        </w:tc>
      </w:tr>
      <w:tr w:rsidR="00AF44F3" w:rsidRPr="003945C7" w14:paraId="22725838" w14:textId="77777777" w:rsidTr="00395BB9">
        <w:tc>
          <w:tcPr>
            <w:tcW w:w="2689" w:type="dxa"/>
            <w:tcBorders>
              <w:top w:val="single" w:sz="4" w:space="0" w:color="auto"/>
            </w:tcBorders>
          </w:tcPr>
          <w:p w14:paraId="2D2C6CB9" w14:textId="6C48BDF0"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Age </w:t>
            </w:r>
            <w:r w:rsidR="00342DFC" w:rsidRPr="003945C7">
              <w:rPr>
                <w:rFonts w:ascii="Book Antiqua" w:hAnsi="Book Antiqua" w:cs="Times New Roman"/>
                <w:color w:val="000000" w:themeColor="text1"/>
              </w:rPr>
              <w:t xml:space="preserve">in </w:t>
            </w:r>
            <w:proofErr w:type="spellStart"/>
            <w:r w:rsidRPr="003945C7">
              <w:rPr>
                <w:rFonts w:ascii="Book Antiqua" w:hAnsi="Book Antiqua" w:cs="Times New Roman"/>
                <w:color w:val="000000" w:themeColor="text1"/>
              </w:rPr>
              <w:t>yr</w:t>
            </w:r>
            <w:proofErr w:type="spellEnd"/>
          </w:p>
        </w:tc>
        <w:tc>
          <w:tcPr>
            <w:tcW w:w="2835" w:type="dxa"/>
            <w:tcBorders>
              <w:top w:val="single" w:sz="4" w:space="0" w:color="auto"/>
            </w:tcBorders>
          </w:tcPr>
          <w:p w14:paraId="1C53C3BC"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12.96</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3.83 (13.50)</w:t>
            </w:r>
          </w:p>
        </w:tc>
        <w:tc>
          <w:tcPr>
            <w:tcW w:w="2551" w:type="dxa"/>
            <w:tcBorders>
              <w:top w:val="single" w:sz="4" w:space="0" w:color="auto"/>
            </w:tcBorders>
          </w:tcPr>
          <w:p w14:paraId="5488C48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12.09</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3.80 (12.00)</w:t>
            </w:r>
          </w:p>
        </w:tc>
        <w:tc>
          <w:tcPr>
            <w:tcW w:w="996" w:type="dxa"/>
            <w:tcBorders>
              <w:top w:val="single" w:sz="4" w:space="0" w:color="auto"/>
            </w:tcBorders>
          </w:tcPr>
          <w:p w14:paraId="1DE983C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0.1987</w:t>
            </w:r>
          </w:p>
        </w:tc>
      </w:tr>
      <w:tr w:rsidR="00AF44F3" w:rsidRPr="003945C7" w14:paraId="103AA919" w14:textId="77777777" w:rsidTr="00395BB9">
        <w:tc>
          <w:tcPr>
            <w:tcW w:w="8075" w:type="dxa"/>
            <w:gridSpan w:val="3"/>
            <w:vAlign w:val="center"/>
          </w:tcPr>
          <w:p w14:paraId="17AF22C7"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Gender</w:t>
            </w:r>
          </w:p>
        </w:tc>
        <w:tc>
          <w:tcPr>
            <w:tcW w:w="996" w:type="dxa"/>
          </w:tcPr>
          <w:p w14:paraId="34D5FC3E"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0AAC2D55" w14:textId="77777777" w:rsidTr="00395BB9">
        <w:tc>
          <w:tcPr>
            <w:tcW w:w="2689" w:type="dxa"/>
          </w:tcPr>
          <w:p w14:paraId="3575DE01"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Girls</w:t>
            </w:r>
          </w:p>
        </w:tc>
        <w:tc>
          <w:tcPr>
            <w:tcW w:w="2835" w:type="dxa"/>
          </w:tcPr>
          <w:p w14:paraId="05D28F81"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29 (60.42)</w:t>
            </w:r>
          </w:p>
        </w:tc>
        <w:tc>
          <w:tcPr>
            <w:tcW w:w="2551" w:type="dxa"/>
          </w:tcPr>
          <w:p w14:paraId="79D7F1B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62 (57.94)</w:t>
            </w:r>
          </w:p>
        </w:tc>
        <w:tc>
          <w:tcPr>
            <w:tcW w:w="996" w:type="dxa"/>
            <w:vMerge w:val="restart"/>
            <w:vAlign w:val="center"/>
          </w:tcPr>
          <w:p w14:paraId="6C621AD4"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0.7725</w:t>
            </w:r>
          </w:p>
        </w:tc>
      </w:tr>
      <w:tr w:rsidR="00AF44F3" w:rsidRPr="003945C7" w14:paraId="294E8B92" w14:textId="77777777" w:rsidTr="00395BB9">
        <w:tc>
          <w:tcPr>
            <w:tcW w:w="2689" w:type="dxa"/>
          </w:tcPr>
          <w:p w14:paraId="0A53C22A"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Boys</w:t>
            </w:r>
          </w:p>
        </w:tc>
        <w:tc>
          <w:tcPr>
            <w:tcW w:w="2835" w:type="dxa"/>
          </w:tcPr>
          <w:p w14:paraId="4A4C8625"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19 (39.58)</w:t>
            </w:r>
          </w:p>
        </w:tc>
        <w:tc>
          <w:tcPr>
            <w:tcW w:w="2551" w:type="dxa"/>
          </w:tcPr>
          <w:p w14:paraId="74C31ED1"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45 (42.06)</w:t>
            </w:r>
          </w:p>
        </w:tc>
        <w:tc>
          <w:tcPr>
            <w:tcW w:w="996" w:type="dxa"/>
            <w:vMerge/>
          </w:tcPr>
          <w:p w14:paraId="7C822EE9"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16D85825" w14:textId="77777777" w:rsidTr="00395BB9">
        <w:tc>
          <w:tcPr>
            <w:tcW w:w="8075" w:type="dxa"/>
            <w:gridSpan w:val="3"/>
            <w:vAlign w:val="center"/>
          </w:tcPr>
          <w:p w14:paraId="454D1B4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Originating area</w:t>
            </w:r>
          </w:p>
        </w:tc>
        <w:tc>
          <w:tcPr>
            <w:tcW w:w="996" w:type="dxa"/>
          </w:tcPr>
          <w:p w14:paraId="3A1D732D"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36AC82FB" w14:textId="77777777" w:rsidTr="00395BB9">
        <w:tc>
          <w:tcPr>
            <w:tcW w:w="2689" w:type="dxa"/>
          </w:tcPr>
          <w:p w14:paraId="04BA5245"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Urban</w:t>
            </w:r>
          </w:p>
        </w:tc>
        <w:tc>
          <w:tcPr>
            <w:tcW w:w="2835" w:type="dxa"/>
          </w:tcPr>
          <w:p w14:paraId="7AF2D7D6"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15 (31.25)</w:t>
            </w:r>
          </w:p>
        </w:tc>
        <w:tc>
          <w:tcPr>
            <w:tcW w:w="2551" w:type="dxa"/>
          </w:tcPr>
          <w:p w14:paraId="514F247A"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60 (56.07)</w:t>
            </w:r>
          </w:p>
        </w:tc>
        <w:tc>
          <w:tcPr>
            <w:tcW w:w="996" w:type="dxa"/>
            <w:vMerge w:val="restart"/>
            <w:vAlign w:val="center"/>
          </w:tcPr>
          <w:p w14:paraId="64374059"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0.0042</w:t>
            </w:r>
          </w:p>
        </w:tc>
      </w:tr>
      <w:tr w:rsidR="00AF44F3" w:rsidRPr="003945C7" w14:paraId="038BB742" w14:textId="77777777" w:rsidTr="00395BB9">
        <w:tc>
          <w:tcPr>
            <w:tcW w:w="2689" w:type="dxa"/>
          </w:tcPr>
          <w:p w14:paraId="13299933"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Rural</w:t>
            </w:r>
          </w:p>
        </w:tc>
        <w:tc>
          <w:tcPr>
            <w:tcW w:w="2835" w:type="dxa"/>
          </w:tcPr>
          <w:p w14:paraId="3DE6EDFA"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33 (68.75)</w:t>
            </w:r>
          </w:p>
        </w:tc>
        <w:tc>
          <w:tcPr>
            <w:tcW w:w="2551" w:type="dxa"/>
          </w:tcPr>
          <w:p w14:paraId="5F446F5A"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47 (43.93)</w:t>
            </w:r>
          </w:p>
        </w:tc>
        <w:tc>
          <w:tcPr>
            <w:tcW w:w="996" w:type="dxa"/>
            <w:vMerge/>
          </w:tcPr>
          <w:p w14:paraId="5F70C03C"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0583BF5B" w14:textId="77777777" w:rsidTr="00395BB9">
        <w:tc>
          <w:tcPr>
            <w:tcW w:w="8075" w:type="dxa"/>
            <w:gridSpan w:val="3"/>
            <w:vAlign w:val="center"/>
          </w:tcPr>
          <w:p w14:paraId="2202235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TLR9 rs352140</w:t>
            </w:r>
          </w:p>
        </w:tc>
        <w:tc>
          <w:tcPr>
            <w:tcW w:w="996" w:type="dxa"/>
          </w:tcPr>
          <w:p w14:paraId="471180B7"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0E975892" w14:textId="77777777" w:rsidTr="00395BB9">
        <w:tc>
          <w:tcPr>
            <w:tcW w:w="2689" w:type="dxa"/>
          </w:tcPr>
          <w:p w14:paraId="2A50B57D"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CT genotype</w:t>
            </w:r>
          </w:p>
        </w:tc>
        <w:tc>
          <w:tcPr>
            <w:tcW w:w="2835" w:type="dxa"/>
          </w:tcPr>
          <w:p w14:paraId="754F556C"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21 (43.75)</w:t>
            </w:r>
          </w:p>
        </w:tc>
        <w:tc>
          <w:tcPr>
            <w:tcW w:w="2551" w:type="dxa"/>
          </w:tcPr>
          <w:p w14:paraId="7F8D0857"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63 (58.88)</w:t>
            </w:r>
          </w:p>
        </w:tc>
        <w:tc>
          <w:tcPr>
            <w:tcW w:w="996" w:type="dxa"/>
            <w:vMerge w:val="restart"/>
            <w:vAlign w:val="center"/>
          </w:tcPr>
          <w:p w14:paraId="6085F866"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0.1075</w:t>
            </w:r>
          </w:p>
        </w:tc>
      </w:tr>
      <w:tr w:rsidR="00AF44F3" w:rsidRPr="003945C7" w14:paraId="197325F6" w14:textId="77777777" w:rsidTr="00395BB9">
        <w:tc>
          <w:tcPr>
            <w:tcW w:w="2689" w:type="dxa"/>
          </w:tcPr>
          <w:p w14:paraId="5F2D81A6"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TT genotype</w:t>
            </w:r>
          </w:p>
        </w:tc>
        <w:tc>
          <w:tcPr>
            <w:tcW w:w="2835" w:type="dxa"/>
          </w:tcPr>
          <w:p w14:paraId="6FD3A86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16 (33.33)</w:t>
            </w:r>
          </w:p>
        </w:tc>
        <w:tc>
          <w:tcPr>
            <w:tcW w:w="2551" w:type="dxa"/>
          </w:tcPr>
          <w:p w14:paraId="25EF5A5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20 (18.69)</w:t>
            </w:r>
          </w:p>
        </w:tc>
        <w:tc>
          <w:tcPr>
            <w:tcW w:w="996" w:type="dxa"/>
            <w:vMerge/>
          </w:tcPr>
          <w:p w14:paraId="6A6AACC6"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33FA6011" w14:textId="77777777" w:rsidTr="00395BB9">
        <w:tc>
          <w:tcPr>
            <w:tcW w:w="2689" w:type="dxa"/>
          </w:tcPr>
          <w:p w14:paraId="718415C5"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CC genotype</w:t>
            </w:r>
          </w:p>
        </w:tc>
        <w:tc>
          <w:tcPr>
            <w:tcW w:w="2835" w:type="dxa"/>
          </w:tcPr>
          <w:p w14:paraId="73442ABD"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11 (21.92)</w:t>
            </w:r>
          </w:p>
        </w:tc>
        <w:tc>
          <w:tcPr>
            <w:tcW w:w="2551" w:type="dxa"/>
          </w:tcPr>
          <w:p w14:paraId="19287E63"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24 (22.43)</w:t>
            </w:r>
          </w:p>
        </w:tc>
        <w:tc>
          <w:tcPr>
            <w:tcW w:w="996" w:type="dxa"/>
            <w:vMerge/>
          </w:tcPr>
          <w:p w14:paraId="41855AD4"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6F408109" w14:textId="77777777" w:rsidTr="00395BB9">
        <w:tc>
          <w:tcPr>
            <w:tcW w:w="8075" w:type="dxa"/>
            <w:gridSpan w:val="3"/>
            <w:vAlign w:val="center"/>
          </w:tcPr>
          <w:p w14:paraId="274438FB"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Family history</w:t>
            </w:r>
          </w:p>
        </w:tc>
        <w:tc>
          <w:tcPr>
            <w:tcW w:w="996" w:type="dxa"/>
          </w:tcPr>
          <w:p w14:paraId="7F4AAFA0"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4F6AC6AF" w14:textId="77777777" w:rsidTr="00395BB9">
        <w:tc>
          <w:tcPr>
            <w:tcW w:w="2689" w:type="dxa"/>
          </w:tcPr>
          <w:p w14:paraId="18A33679"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Negative</w:t>
            </w:r>
          </w:p>
        </w:tc>
        <w:tc>
          <w:tcPr>
            <w:tcW w:w="2835" w:type="dxa"/>
          </w:tcPr>
          <w:p w14:paraId="486D91B4"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47 (97.92)</w:t>
            </w:r>
          </w:p>
        </w:tc>
        <w:tc>
          <w:tcPr>
            <w:tcW w:w="2551" w:type="dxa"/>
          </w:tcPr>
          <w:p w14:paraId="2E7B86C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106 (99.07)</w:t>
            </w:r>
          </w:p>
        </w:tc>
        <w:tc>
          <w:tcPr>
            <w:tcW w:w="996" w:type="dxa"/>
          </w:tcPr>
          <w:p w14:paraId="53ED3DDA"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5977AB8E" w14:textId="77777777" w:rsidTr="00395BB9">
        <w:tc>
          <w:tcPr>
            <w:tcW w:w="2689" w:type="dxa"/>
          </w:tcPr>
          <w:p w14:paraId="4E551665"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Positive</w:t>
            </w:r>
          </w:p>
        </w:tc>
        <w:tc>
          <w:tcPr>
            <w:tcW w:w="2835" w:type="dxa"/>
          </w:tcPr>
          <w:p w14:paraId="3148ECF8"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 (2.08)</w:t>
            </w:r>
          </w:p>
        </w:tc>
        <w:tc>
          <w:tcPr>
            <w:tcW w:w="2551" w:type="dxa"/>
          </w:tcPr>
          <w:p w14:paraId="55B7BC7C"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 (0.00)</w:t>
            </w:r>
          </w:p>
        </w:tc>
        <w:tc>
          <w:tcPr>
            <w:tcW w:w="996" w:type="dxa"/>
          </w:tcPr>
          <w:p w14:paraId="04C6CB73"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4A7E2392" w14:textId="77777777" w:rsidTr="00395BB9">
        <w:tc>
          <w:tcPr>
            <w:tcW w:w="8075" w:type="dxa"/>
            <w:gridSpan w:val="3"/>
            <w:vAlign w:val="center"/>
          </w:tcPr>
          <w:p w14:paraId="5EFD49F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Living conditions</w:t>
            </w:r>
          </w:p>
        </w:tc>
        <w:tc>
          <w:tcPr>
            <w:tcW w:w="996" w:type="dxa"/>
          </w:tcPr>
          <w:p w14:paraId="360A76D9"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33DEE295" w14:textId="77777777" w:rsidTr="00395BB9">
        <w:tc>
          <w:tcPr>
            <w:tcW w:w="2689" w:type="dxa"/>
          </w:tcPr>
          <w:p w14:paraId="64276F7A"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Good</w:t>
            </w:r>
          </w:p>
        </w:tc>
        <w:tc>
          <w:tcPr>
            <w:tcW w:w="2835" w:type="dxa"/>
          </w:tcPr>
          <w:p w14:paraId="57EC9A8C"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31 (64.59)</w:t>
            </w:r>
          </w:p>
        </w:tc>
        <w:tc>
          <w:tcPr>
            <w:tcW w:w="2551" w:type="dxa"/>
          </w:tcPr>
          <w:p w14:paraId="2AF1D709"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99 (92.52)</w:t>
            </w:r>
          </w:p>
        </w:tc>
        <w:tc>
          <w:tcPr>
            <w:tcW w:w="996" w:type="dxa"/>
            <w:vMerge w:val="restart"/>
            <w:vAlign w:val="center"/>
          </w:tcPr>
          <w:p w14:paraId="1AD33682"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&lt;</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0.0001</w:t>
            </w:r>
          </w:p>
        </w:tc>
      </w:tr>
      <w:tr w:rsidR="00AF44F3" w:rsidRPr="003945C7" w14:paraId="6BEFF853" w14:textId="77777777" w:rsidTr="00395BB9">
        <w:tc>
          <w:tcPr>
            <w:tcW w:w="2689" w:type="dxa"/>
          </w:tcPr>
          <w:p w14:paraId="08A7414E"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Poor</w:t>
            </w:r>
          </w:p>
        </w:tc>
        <w:tc>
          <w:tcPr>
            <w:tcW w:w="2835" w:type="dxa"/>
          </w:tcPr>
          <w:p w14:paraId="1380F247"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17 (36,41)</w:t>
            </w:r>
          </w:p>
        </w:tc>
        <w:tc>
          <w:tcPr>
            <w:tcW w:w="2551" w:type="dxa"/>
          </w:tcPr>
          <w:p w14:paraId="54DB5653"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8 (7.48)</w:t>
            </w:r>
          </w:p>
        </w:tc>
        <w:tc>
          <w:tcPr>
            <w:tcW w:w="996" w:type="dxa"/>
            <w:vMerge/>
          </w:tcPr>
          <w:p w14:paraId="7D8B8165"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26FB3252" w14:textId="77777777" w:rsidTr="00395BB9">
        <w:trPr>
          <w:trHeight w:val="264"/>
        </w:trPr>
        <w:tc>
          <w:tcPr>
            <w:tcW w:w="8075" w:type="dxa"/>
            <w:gridSpan w:val="3"/>
            <w:vAlign w:val="center"/>
          </w:tcPr>
          <w:p w14:paraId="70167313"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IgA anti-</w:t>
            </w:r>
            <w:r w:rsidRPr="003945C7">
              <w:rPr>
                <w:rFonts w:ascii="Book Antiqua" w:hAnsi="Book Antiqua"/>
                <w:i/>
                <w:iCs/>
                <w:color w:val="000000" w:themeColor="text1"/>
              </w:rPr>
              <w:t>H. pylori</w:t>
            </w:r>
            <w:r w:rsidRPr="003945C7">
              <w:rPr>
                <w:rFonts w:ascii="Book Antiqua" w:hAnsi="Book Antiqua" w:cs="Times New Roman"/>
                <w:color w:val="000000" w:themeColor="text1"/>
              </w:rPr>
              <w:t xml:space="preserve"> </w:t>
            </w:r>
          </w:p>
        </w:tc>
        <w:tc>
          <w:tcPr>
            <w:tcW w:w="996" w:type="dxa"/>
          </w:tcPr>
          <w:p w14:paraId="28498189"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3E749EC5" w14:textId="77777777" w:rsidTr="00395BB9">
        <w:tc>
          <w:tcPr>
            <w:tcW w:w="2689" w:type="dxa"/>
          </w:tcPr>
          <w:p w14:paraId="0DC64D8E"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Positive</w:t>
            </w:r>
          </w:p>
        </w:tc>
        <w:tc>
          <w:tcPr>
            <w:tcW w:w="2835" w:type="dxa"/>
          </w:tcPr>
          <w:p w14:paraId="0B9A0B4B"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30 (62.50)</w:t>
            </w:r>
          </w:p>
        </w:tc>
        <w:tc>
          <w:tcPr>
            <w:tcW w:w="2551" w:type="dxa"/>
          </w:tcPr>
          <w:p w14:paraId="2FAFF365"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 (2.80)</w:t>
            </w:r>
          </w:p>
        </w:tc>
        <w:tc>
          <w:tcPr>
            <w:tcW w:w="996" w:type="dxa"/>
            <w:vMerge w:val="restart"/>
            <w:vAlign w:val="center"/>
          </w:tcPr>
          <w:p w14:paraId="0C19378C"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&lt;</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0.0001</w:t>
            </w:r>
          </w:p>
        </w:tc>
      </w:tr>
      <w:tr w:rsidR="00AF44F3" w:rsidRPr="003945C7" w14:paraId="69D907F6" w14:textId="77777777" w:rsidTr="00395BB9">
        <w:tc>
          <w:tcPr>
            <w:tcW w:w="2689" w:type="dxa"/>
          </w:tcPr>
          <w:p w14:paraId="1AFBCC27"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Negative</w:t>
            </w:r>
          </w:p>
        </w:tc>
        <w:tc>
          <w:tcPr>
            <w:tcW w:w="2835" w:type="dxa"/>
          </w:tcPr>
          <w:p w14:paraId="48D3ACD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17 (36,</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41)</w:t>
            </w:r>
          </w:p>
        </w:tc>
        <w:tc>
          <w:tcPr>
            <w:tcW w:w="2551" w:type="dxa"/>
          </w:tcPr>
          <w:p w14:paraId="7B998DB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104 (97.20)</w:t>
            </w:r>
          </w:p>
        </w:tc>
        <w:tc>
          <w:tcPr>
            <w:tcW w:w="996" w:type="dxa"/>
            <w:vMerge/>
          </w:tcPr>
          <w:p w14:paraId="4CDD88E1"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089DE26D" w14:textId="77777777" w:rsidTr="00395BB9">
        <w:tc>
          <w:tcPr>
            <w:tcW w:w="8075" w:type="dxa"/>
            <w:gridSpan w:val="3"/>
            <w:vAlign w:val="center"/>
          </w:tcPr>
          <w:p w14:paraId="46135B9B"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Gastro-esophageal reflux</w:t>
            </w:r>
          </w:p>
        </w:tc>
        <w:tc>
          <w:tcPr>
            <w:tcW w:w="996" w:type="dxa"/>
          </w:tcPr>
          <w:p w14:paraId="6FAE3115"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0834F3B0" w14:textId="77777777" w:rsidTr="00395BB9">
        <w:tc>
          <w:tcPr>
            <w:tcW w:w="2689" w:type="dxa"/>
          </w:tcPr>
          <w:p w14:paraId="2C042360"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Present</w:t>
            </w:r>
          </w:p>
        </w:tc>
        <w:tc>
          <w:tcPr>
            <w:tcW w:w="2835" w:type="dxa"/>
          </w:tcPr>
          <w:p w14:paraId="35CDE10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9 (18.75)</w:t>
            </w:r>
          </w:p>
        </w:tc>
        <w:tc>
          <w:tcPr>
            <w:tcW w:w="2551" w:type="dxa"/>
          </w:tcPr>
          <w:p w14:paraId="363FC55B"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25 (23.36)</w:t>
            </w:r>
          </w:p>
        </w:tc>
        <w:tc>
          <w:tcPr>
            <w:tcW w:w="996" w:type="dxa"/>
            <w:vMerge w:val="restart"/>
            <w:vAlign w:val="center"/>
          </w:tcPr>
          <w:p w14:paraId="478303C8"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0.6657</w:t>
            </w:r>
          </w:p>
        </w:tc>
      </w:tr>
      <w:tr w:rsidR="00AF44F3" w:rsidRPr="003945C7" w14:paraId="29BD58BF" w14:textId="77777777" w:rsidTr="00395BB9">
        <w:tc>
          <w:tcPr>
            <w:tcW w:w="2689" w:type="dxa"/>
          </w:tcPr>
          <w:p w14:paraId="72756D38"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Absent</w:t>
            </w:r>
          </w:p>
        </w:tc>
        <w:tc>
          <w:tcPr>
            <w:tcW w:w="2835" w:type="dxa"/>
          </w:tcPr>
          <w:p w14:paraId="1DEBE5B9"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39 (81.25)</w:t>
            </w:r>
          </w:p>
        </w:tc>
        <w:tc>
          <w:tcPr>
            <w:tcW w:w="2551" w:type="dxa"/>
          </w:tcPr>
          <w:p w14:paraId="7DD89EBA"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82 (76.64)</w:t>
            </w:r>
          </w:p>
        </w:tc>
        <w:tc>
          <w:tcPr>
            <w:tcW w:w="996" w:type="dxa"/>
            <w:vMerge/>
          </w:tcPr>
          <w:p w14:paraId="7A4E526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72828698" w14:textId="77777777" w:rsidTr="00395BB9">
        <w:tc>
          <w:tcPr>
            <w:tcW w:w="8075" w:type="dxa"/>
            <w:gridSpan w:val="3"/>
            <w:vAlign w:val="center"/>
          </w:tcPr>
          <w:p w14:paraId="60026AEE"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Biliary reflux</w:t>
            </w:r>
          </w:p>
        </w:tc>
        <w:tc>
          <w:tcPr>
            <w:tcW w:w="996" w:type="dxa"/>
          </w:tcPr>
          <w:p w14:paraId="57CD1A9B"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40EF9FB3" w14:textId="77777777" w:rsidTr="00395BB9">
        <w:tc>
          <w:tcPr>
            <w:tcW w:w="2689" w:type="dxa"/>
          </w:tcPr>
          <w:p w14:paraId="147270B4"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Present</w:t>
            </w:r>
          </w:p>
        </w:tc>
        <w:tc>
          <w:tcPr>
            <w:tcW w:w="2835" w:type="dxa"/>
          </w:tcPr>
          <w:p w14:paraId="055A6A0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12 (25)</w:t>
            </w:r>
          </w:p>
        </w:tc>
        <w:tc>
          <w:tcPr>
            <w:tcW w:w="2551" w:type="dxa"/>
          </w:tcPr>
          <w:p w14:paraId="78A36B8E"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31 (28.97)</w:t>
            </w:r>
          </w:p>
        </w:tc>
        <w:tc>
          <w:tcPr>
            <w:tcW w:w="996" w:type="dxa"/>
            <w:vMerge w:val="restart"/>
            <w:vAlign w:val="center"/>
          </w:tcPr>
          <w:p w14:paraId="306229F0"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0.6096</w:t>
            </w:r>
          </w:p>
        </w:tc>
      </w:tr>
      <w:tr w:rsidR="00AF44F3" w:rsidRPr="003945C7" w14:paraId="3DACBB5E" w14:textId="77777777" w:rsidTr="00395BB9">
        <w:tc>
          <w:tcPr>
            <w:tcW w:w="2689" w:type="dxa"/>
          </w:tcPr>
          <w:p w14:paraId="43CE62C1"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lastRenderedPageBreak/>
              <w:t>Absent</w:t>
            </w:r>
          </w:p>
        </w:tc>
        <w:tc>
          <w:tcPr>
            <w:tcW w:w="2835" w:type="dxa"/>
          </w:tcPr>
          <w:p w14:paraId="5FAF5FF3"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36 (75)</w:t>
            </w:r>
          </w:p>
        </w:tc>
        <w:tc>
          <w:tcPr>
            <w:tcW w:w="2551" w:type="dxa"/>
          </w:tcPr>
          <w:p w14:paraId="6600E54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76 (71.03)</w:t>
            </w:r>
          </w:p>
        </w:tc>
        <w:tc>
          <w:tcPr>
            <w:tcW w:w="996" w:type="dxa"/>
            <w:vMerge/>
          </w:tcPr>
          <w:p w14:paraId="4B6A0774"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r w:rsidR="00AF44F3" w:rsidRPr="003945C7" w14:paraId="4BADA713" w14:textId="77777777" w:rsidTr="00395BB9">
        <w:tc>
          <w:tcPr>
            <w:tcW w:w="8075" w:type="dxa"/>
            <w:gridSpan w:val="3"/>
            <w:vAlign w:val="center"/>
          </w:tcPr>
          <w:p w14:paraId="269CD0E7"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Rapid urease test</w:t>
            </w:r>
          </w:p>
        </w:tc>
        <w:tc>
          <w:tcPr>
            <w:tcW w:w="996" w:type="dxa"/>
          </w:tcPr>
          <w:p w14:paraId="6906F9E5"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p>
        </w:tc>
      </w:tr>
      <w:tr w:rsidR="00AF44F3" w:rsidRPr="003945C7" w14:paraId="51A14D6F" w14:textId="77777777" w:rsidTr="00395BB9">
        <w:tc>
          <w:tcPr>
            <w:tcW w:w="2689" w:type="dxa"/>
          </w:tcPr>
          <w:p w14:paraId="5FEF586B"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Positive</w:t>
            </w:r>
          </w:p>
        </w:tc>
        <w:tc>
          <w:tcPr>
            <w:tcW w:w="2835" w:type="dxa"/>
          </w:tcPr>
          <w:p w14:paraId="7C1FFCE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31 (64.58)</w:t>
            </w:r>
          </w:p>
        </w:tc>
        <w:tc>
          <w:tcPr>
            <w:tcW w:w="2551" w:type="dxa"/>
          </w:tcPr>
          <w:p w14:paraId="72350ED0"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15 (15.01)</w:t>
            </w:r>
          </w:p>
        </w:tc>
        <w:tc>
          <w:tcPr>
            <w:tcW w:w="996" w:type="dxa"/>
            <w:vMerge w:val="restart"/>
            <w:vAlign w:val="center"/>
          </w:tcPr>
          <w:p w14:paraId="78864210" w14:textId="77777777" w:rsidR="00AF44F3" w:rsidRPr="003945C7" w:rsidRDefault="00AF44F3" w:rsidP="001765D0">
            <w:pPr>
              <w:adjustRightInd w:val="0"/>
              <w:snapToGrid w:val="0"/>
              <w:spacing w:line="360" w:lineRule="auto"/>
              <w:jc w:val="center"/>
              <w:rPr>
                <w:rFonts w:ascii="Book Antiqua" w:hAnsi="Book Antiqua" w:cs="Times New Roman"/>
                <w:color w:val="000000" w:themeColor="text1"/>
              </w:rPr>
            </w:pPr>
            <w:r w:rsidRPr="003945C7">
              <w:rPr>
                <w:rFonts w:ascii="Book Antiqua" w:hAnsi="Book Antiqua" w:cs="Times New Roman"/>
                <w:color w:val="000000" w:themeColor="text1"/>
              </w:rPr>
              <w:t>&lt;</w:t>
            </w:r>
            <w:r w:rsidRPr="003945C7">
              <w:rPr>
                <w:rFonts w:ascii="Book Antiqua" w:hAnsi="Book Antiqua" w:cs="Times New Roman"/>
                <w:color w:val="000000" w:themeColor="text1"/>
                <w:lang w:eastAsia="zh-CN"/>
              </w:rPr>
              <w:t xml:space="preserve"> </w:t>
            </w:r>
            <w:r w:rsidRPr="003945C7">
              <w:rPr>
                <w:rFonts w:ascii="Book Antiqua" w:hAnsi="Book Antiqua" w:cs="Times New Roman"/>
                <w:color w:val="000000" w:themeColor="text1"/>
              </w:rPr>
              <w:t>0.0001</w:t>
            </w:r>
          </w:p>
        </w:tc>
      </w:tr>
      <w:tr w:rsidR="00AF44F3" w:rsidRPr="003945C7" w14:paraId="1C8FAF27" w14:textId="77777777" w:rsidTr="00395BB9">
        <w:tc>
          <w:tcPr>
            <w:tcW w:w="2689" w:type="dxa"/>
          </w:tcPr>
          <w:p w14:paraId="34246B46" w14:textId="77777777" w:rsidR="00AF44F3" w:rsidRPr="003945C7" w:rsidRDefault="00AF44F3" w:rsidP="001765D0">
            <w:pPr>
              <w:adjustRightInd w:val="0"/>
              <w:snapToGrid w:val="0"/>
              <w:spacing w:line="360" w:lineRule="auto"/>
              <w:ind w:firstLineChars="100" w:firstLine="240"/>
              <w:rPr>
                <w:rFonts w:ascii="Book Antiqua" w:hAnsi="Book Antiqua" w:cs="Times New Roman"/>
                <w:color w:val="000000" w:themeColor="text1"/>
              </w:rPr>
            </w:pPr>
            <w:r w:rsidRPr="003945C7">
              <w:rPr>
                <w:rFonts w:ascii="Book Antiqua" w:hAnsi="Book Antiqua" w:cs="Times New Roman"/>
                <w:color w:val="000000" w:themeColor="text1"/>
              </w:rPr>
              <w:t>Negative</w:t>
            </w:r>
          </w:p>
        </w:tc>
        <w:tc>
          <w:tcPr>
            <w:tcW w:w="2835" w:type="dxa"/>
          </w:tcPr>
          <w:p w14:paraId="74342EFF"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17 (35.42)</w:t>
            </w:r>
          </w:p>
        </w:tc>
        <w:tc>
          <w:tcPr>
            <w:tcW w:w="2551" w:type="dxa"/>
          </w:tcPr>
          <w:p w14:paraId="10FBF349"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91 (85.05)</w:t>
            </w:r>
          </w:p>
        </w:tc>
        <w:tc>
          <w:tcPr>
            <w:tcW w:w="996" w:type="dxa"/>
            <w:vMerge/>
          </w:tcPr>
          <w:p w14:paraId="2CB0FABB" w14:textId="77777777" w:rsidR="00AF44F3" w:rsidRPr="003945C7" w:rsidRDefault="00AF44F3" w:rsidP="001765D0">
            <w:pPr>
              <w:adjustRightInd w:val="0"/>
              <w:snapToGrid w:val="0"/>
              <w:spacing w:line="360" w:lineRule="auto"/>
              <w:rPr>
                <w:rFonts w:ascii="Book Antiqua" w:hAnsi="Book Antiqua" w:cs="Times New Roman"/>
                <w:color w:val="000000" w:themeColor="text1"/>
              </w:rPr>
            </w:pPr>
          </w:p>
        </w:tc>
      </w:tr>
    </w:tbl>
    <w:p w14:paraId="4F3F2F21" w14:textId="45C2DA1F" w:rsidR="00AF44F3" w:rsidRPr="003945C7" w:rsidRDefault="00DF7B32" w:rsidP="001765D0">
      <w:pPr>
        <w:adjustRightInd w:val="0"/>
        <w:snapToGrid w:val="0"/>
        <w:spacing w:line="360" w:lineRule="auto"/>
        <w:jc w:val="both"/>
        <w:rPr>
          <w:rFonts w:ascii="Book Antiqua" w:hAnsi="Book Antiqua"/>
          <w:color w:val="000000" w:themeColor="text1"/>
          <w:lang w:eastAsia="zh-CN"/>
        </w:rPr>
      </w:pPr>
      <w:r w:rsidRPr="003945C7">
        <w:rPr>
          <w:rFonts w:ascii="Book Antiqua" w:hAnsi="Book Antiqua"/>
          <w:color w:val="000000" w:themeColor="text1"/>
        </w:rPr>
        <w:t>CC</w:t>
      </w:r>
      <w:r w:rsidRPr="003945C7">
        <w:rPr>
          <w:rFonts w:ascii="Book Antiqua" w:hAnsi="Book Antiqua"/>
          <w:color w:val="000000" w:themeColor="text1"/>
          <w:lang w:eastAsia="zh-CN"/>
        </w:rPr>
        <w:t xml:space="preserve">: </w:t>
      </w:r>
      <w:r w:rsidRPr="003945C7">
        <w:rPr>
          <w:rFonts w:ascii="Book Antiqua" w:hAnsi="Book Antiqua"/>
          <w:caps/>
          <w:color w:val="000000" w:themeColor="text1"/>
        </w:rPr>
        <w:t>h</w:t>
      </w:r>
      <w:r w:rsidRPr="003945C7">
        <w:rPr>
          <w:rFonts w:ascii="Book Antiqua" w:hAnsi="Book Antiqua"/>
          <w:color w:val="000000" w:themeColor="text1"/>
        </w:rPr>
        <w:t xml:space="preserve">omozygous wild-type genotype; </w:t>
      </w:r>
      <w:r w:rsidR="00AF44F3" w:rsidRPr="003945C7">
        <w:rPr>
          <w:rFonts w:ascii="Book Antiqua" w:hAnsi="Book Antiqua"/>
          <w:color w:val="000000" w:themeColor="text1"/>
        </w:rPr>
        <w:t>TT</w:t>
      </w:r>
      <w:r w:rsidR="00AF44F3" w:rsidRPr="003945C7">
        <w:rPr>
          <w:rFonts w:ascii="Book Antiqua" w:hAnsi="Book Antiqua"/>
          <w:color w:val="000000" w:themeColor="text1"/>
          <w:lang w:eastAsia="zh-CN"/>
        </w:rPr>
        <w:t xml:space="preserve">: </w:t>
      </w:r>
      <w:r w:rsidR="00AF44F3" w:rsidRPr="003945C7">
        <w:rPr>
          <w:rFonts w:ascii="Book Antiqua" w:hAnsi="Book Antiqua"/>
          <w:caps/>
          <w:color w:val="000000" w:themeColor="text1"/>
        </w:rPr>
        <w:t>h</w:t>
      </w:r>
      <w:r w:rsidR="00AF44F3" w:rsidRPr="003945C7">
        <w:rPr>
          <w:rFonts w:ascii="Book Antiqua" w:hAnsi="Book Antiqua"/>
          <w:color w:val="000000" w:themeColor="text1"/>
        </w:rPr>
        <w:t>omozygous variant genotype</w:t>
      </w:r>
      <w:r w:rsidR="00AF44F3" w:rsidRPr="003945C7">
        <w:rPr>
          <w:rFonts w:ascii="Book Antiqua" w:hAnsi="Book Antiqua"/>
          <w:color w:val="000000" w:themeColor="text1"/>
          <w:lang w:eastAsia="zh-CN"/>
        </w:rPr>
        <w:t>.</w:t>
      </w:r>
    </w:p>
    <w:p w14:paraId="45FFD529" w14:textId="5F36B2BF" w:rsidR="009B5689" w:rsidRPr="003945C7" w:rsidRDefault="00AF44F3" w:rsidP="001765D0">
      <w:pPr>
        <w:adjustRightInd w:val="0"/>
        <w:snapToGrid w:val="0"/>
        <w:spacing w:line="360" w:lineRule="auto"/>
        <w:rPr>
          <w:rFonts w:ascii="Book Antiqua" w:hAnsi="Book Antiqua"/>
          <w:b/>
          <w:color w:val="000000" w:themeColor="text1"/>
        </w:rPr>
      </w:pPr>
      <w:r w:rsidRPr="003945C7">
        <w:rPr>
          <w:lang w:eastAsia="zh-CN"/>
        </w:rPr>
        <w:br w:type="page"/>
      </w:r>
      <w:r w:rsidR="009B5689" w:rsidRPr="003945C7">
        <w:rPr>
          <w:rFonts w:ascii="Book Antiqua" w:hAnsi="Book Antiqua"/>
          <w:b/>
          <w:color w:val="000000" w:themeColor="text1"/>
        </w:rPr>
        <w:lastRenderedPageBreak/>
        <w:t>Table</w:t>
      </w:r>
      <w:r w:rsidR="009B5689" w:rsidRPr="003945C7">
        <w:rPr>
          <w:rFonts w:ascii="Book Antiqua" w:hAnsi="Book Antiqua"/>
          <w:b/>
          <w:color w:val="000000" w:themeColor="text1"/>
          <w:lang w:eastAsia="zh-CN"/>
        </w:rPr>
        <w:t xml:space="preserve"> 2</w:t>
      </w:r>
      <w:r w:rsidR="009B5689" w:rsidRPr="003945C7">
        <w:rPr>
          <w:rFonts w:ascii="Book Antiqua" w:hAnsi="Book Antiqua"/>
          <w:b/>
          <w:color w:val="000000" w:themeColor="text1"/>
        </w:rPr>
        <w:t xml:space="preserve"> </w:t>
      </w:r>
      <w:r w:rsidR="009B5689" w:rsidRPr="003945C7">
        <w:rPr>
          <w:rFonts w:ascii="Book Antiqua" w:hAnsi="Book Antiqua"/>
          <w:b/>
          <w:caps/>
          <w:color w:val="000000" w:themeColor="text1"/>
        </w:rPr>
        <w:t>l</w:t>
      </w:r>
      <w:r w:rsidR="009B5689" w:rsidRPr="003945C7">
        <w:rPr>
          <w:rFonts w:ascii="Book Antiqua" w:hAnsi="Book Antiqua"/>
          <w:b/>
          <w:color w:val="000000" w:themeColor="text1"/>
        </w:rPr>
        <w:t xml:space="preserve">aboratory parameters in the </w:t>
      </w:r>
      <w:r w:rsidR="00941CB4" w:rsidRPr="003945C7">
        <w:rPr>
          <w:rFonts w:ascii="Book Antiqua" w:hAnsi="Book Antiqua"/>
          <w:b/>
          <w:color w:val="000000" w:themeColor="text1"/>
        </w:rPr>
        <w:t xml:space="preserve">two </w:t>
      </w:r>
      <w:r w:rsidR="009B5689" w:rsidRPr="003945C7">
        <w:rPr>
          <w:rFonts w:ascii="Book Antiqua" w:hAnsi="Book Antiqua"/>
          <w:b/>
          <w:color w:val="000000" w:themeColor="text1"/>
        </w:rPr>
        <w:t>groups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431"/>
        <w:gridCol w:w="2195"/>
        <w:gridCol w:w="1222"/>
      </w:tblGrid>
      <w:tr w:rsidR="009B5689" w:rsidRPr="003945C7" w14:paraId="3CE561EA" w14:textId="77777777" w:rsidTr="00395BB9">
        <w:tc>
          <w:tcPr>
            <w:tcW w:w="2882" w:type="dxa"/>
            <w:tcBorders>
              <w:top w:val="single" w:sz="4" w:space="0" w:color="auto"/>
              <w:bottom w:val="single" w:sz="4" w:space="0" w:color="auto"/>
            </w:tcBorders>
          </w:tcPr>
          <w:p w14:paraId="02A16D60" w14:textId="77777777" w:rsidR="009B5689" w:rsidRPr="003945C7" w:rsidRDefault="009B5689" w:rsidP="00C431F1">
            <w:pPr>
              <w:adjustRightInd w:val="0"/>
              <w:snapToGrid w:val="0"/>
              <w:spacing w:line="360" w:lineRule="auto"/>
              <w:rPr>
                <w:rFonts w:ascii="Book Antiqua" w:hAnsi="Book Antiqua" w:cs="Times New Roman"/>
                <w:b/>
                <w:color w:val="000000" w:themeColor="text1"/>
              </w:rPr>
            </w:pPr>
            <w:r w:rsidRPr="003945C7">
              <w:rPr>
                <w:rFonts w:ascii="Book Antiqua" w:hAnsi="Book Antiqua" w:cs="Times New Roman"/>
                <w:b/>
                <w:color w:val="000000" w:themeColor="text1"/>
              </w:rPr>
              <w:t>Parameters</w:t>
            </w:r>
          </w:p>
        </w:tc>
        <w:tc>
          <w:tcPr>
            <w:tcW w:w="2431" w:type="dxa"/>
            <w:tcBorders>
              <w:top w:val="single" w:sz="4" w:space="0" w:color="auto"/>
              <w:bottom w:val="single" w:sz="4" w:space="0" w:color="auto"/>
            </w:tcBorders>
          </w:tcPr>
          <w:p w14:paraId="05EDA96F" w14:textId="16F8E5E3" w:rsidR="009B5689" w:rsidRPr="003945C7" w:rsidRDefault="009B5689" w:rsidP="001765D0">
            <w:pPr>
              <w:adjustRightInd w:val="0"/>
              <w:snapToGrid w:val="0"/>
              <w:spacing w:line="360" w:lineRule="auto"/>
              <w:jc w:val="center"/>
              <w:rPr>
                <w:rFonts w:ascii="Book Antiqua" w:hAnsi="Book Antiqua" w:cs="Times New Roman"/>
                <w:b/>
                <w:color w:val="000000" w:themeColor="text1"/>
              </w:rPr>
            </w:pPr>
            <w:r w:rsidRPr="003945C7">
              <w:rPr>
                <w:rFonts w:ascii="Book Antiqua" w:hAnsi="Book Antiqua" w:cs="Times New Roman"/>
                <w:b/>
                <w:color w:val="000000" w:themeColor="text1"/>
              </w:rPr>
              <w:t>Study group</w:t>
            </w:r>
            <w:r w:rsidR="00342DFC"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48</w:t>
            </w:r>
          </w:p>
          <w:p w14:paraId="0989CB97" w14:textId="6597E591" w:rsidR="009B5689" w:rsidRPr="003945C7" w:rsidRDefault="00342DFC" w:rsidP="001765D0">
            <w:pPr>
              <w:adjustRightInd w:val="0"/>
              <w:snapToGrid w:val="0"/>
              <w:spacing w:line="360" w:lineRule="auto"/>
              <w:jc w:val="center"/>
              <w:rPr>
                <w:rFonts w:ascii="Book Antiqua" w:hAnsi="Book Antiqua" w:cs="Times New Roman"/>
                <w:b/>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w:t>
            </w:r>
            <w:r w:rsidR="009B5689" w:rsidRPr="003945C7">
              <w:rPr>
                <w:rFonts w:ascii="Book Antiqua" w:hAnsi="Book Antiqua" w:cs="Times New Roman" w:hint="eastAsia"/>
                <w:b/>
                <w:color w:val="000000" w:themeColor="text1"/>
                <w:lang w:eastAsia="zh-CN"/>
              </w:rPr>
              <w:t xml:space="preserve"> </w:t>
            </w:r>
            <w:r w:rsidR="009B5689" w:rsidRPr="003945C7">
              <w:rPr>
                <w:rFonts w:ascii="Book Antiqua" w:hAnsi="Book Antiqua" w:cs="Times New Roman"/>
                <w:b/>
                <w:color w:val="000000" w:themeColor="text1"/>
              </w:rPr>
              <w:t>± SD (median)</w:t>
            </w:r>
          </w:p>
        </w:tc>
        <w:tc>
          <w:tcPr>
            <w:tcW w:w="2195" w:type="dxa"/>
            <w:tcBorders>
              <w:top w:val="single" w:sz="4" w:space="0" w:color="auto"/>
              <w:bottom w:val="single" w:sz="4" w:space="0" w:color="auto"/>
            </w:tcBorders>
          </w:tcPr>
          <w:p w14:paraId="0654162C" w14:textId="5F82C204" w:rsidR="009B5689" w:rsidRPr="003945C7" w:rsidRDefault="009B5689" w:rsidP="001765D0">
            <w:pPr>
              <w:adjustRightInd w:val="0"/>
              <w:snapToGrid w:val="0"/>
              <w:spacing w:line="360" w:lineRule="auto"/>
              <w:jc w:val="center"/>
              <w:rPr>
                <w:rFonts w:ascii="Book Antiqua" w:hAnsi="Book Antiqua" w:cs="Times New Roman"/>
                <w:b/>
                <w:color w:val="000000" w:themeColor="text1"/>
              </w:rPr>
            </w:pPr>
            <w:r w:rsidRPr="003945C7">
              <w:rPr>
                <w:rFonts w:ascii="Book Antiqua" w:hAnsi="Book Antiqua" w:cs="Times New Roman"/>
                <w:b/>
                <w:color w:val="000000" w:themeColor="text1"/>
              </w:rPr>
              <w:t>Control group</w:t>
            </w:r>
            <w:r w:rsidR="00342DFC"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107</w:t>
            </w:r>
          </w:p>
          <w:p w14:paraId="62E354A7" w14:textId="3659F72F" w:rsidR="009B5689" w:rsidRPr="003945C7" w:rsidRDefault="00342DFC" w:rsidP="001765D0">
            <w:pPr>
              <w:adjustRightInd w:val="0"/>
              <w:snapToGrid w:val="0"/>
              <w:spacing w:line="360" w:lineRule="auto"/>
              <w:jc w:val="center"/>
              <w:rPr>
                <w:rFonts w:ascii="Book Antiqua" w:hAnsi="Book Antiqua" w:cs="Times New Roman"/>
                <w:b/>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w:t>
            </w:r>
            <w:r w:rsidR="009B5689" w:rsidRPr="003945C7">
              <w:rPr>
                <w:rFonts w:ascii="Book Antiqua" w:hAnsi="Book Antiqua" w:cs="Times New Roman" w:hint="eastAsia"/>
                <w:b/>
                <w:color w:val="000000" w:themeColor="text1"/>
                <w:lang w:eastAsia="zh-CN"/>
              </w:rPr>
              <w:t xml:space="preserve"> </w:t>
            </w:r>
            <w:r w:rsidR="009B5689" w:rsidRPr="003945C7">
              <w:rPr>
                <w:rFonts w:ascii="Book Antiqua" w:hAnsi="Book Antiqua" w:cs="Times New Roman"/>
                <w:b/>
                <w:color w:val="000000" w:themeColor="text1"/>
              </w:rPr>
              <w:t>± SD (median)</w:t>
            </w:r>
          </w:p>
        </w:tc>
        <w:tc>
          <w:tcPr>
            <w:tcW w:w="1222" w:type="dxa"/>
            <w:tcBorders>
              <w:top w:val="single" w:sz="4" w:space="0" w:color="auto"/>
              <w:bottom w:val="single" w:sz="4" w:space="0" w:color="auto"/>
            </w:tcBorders>
          </w:tcPr>
          <w:p w14:paraId="46336639" w14:textId="77777777" w:rsidR="009B5689" w:rsidRPr="003945C7" w:rsidRDefault="009B5689" w:rsidP="00506B00">
            <w:pPr>
              <w:adjustRightInd w:val="0"/>
              <w:snapToGrid w:val="0"/>
              <w:spacing w:line="360" w:lineRule="auto"/>
              <w:jc w:val="center"/>
              <w:rPr>
                <w:rFonts w:ascii="Book Antiqua" w:hAnsi="Book Antiqua" w:cs="Times New Roman"/>
                <w:b/>
                <w:color w:val="000000" w:themeColor="text1"/>
              </w:rPr>
            </w:pPr>
            <w:r w:rsidRPr="003945C7">
              <w:rPr>
                <w:rFonts w:ascii="Book Antiqua" w:hAnsi="Book Antiqua" w:cs="Times New Roman"/>
                <w:b/>
                <w:i/>
                <w:caps/>
                <w:color w:val="000000" w:themeColor="text1"/>
              </w:rPr>
              <w:t>p</w:t>
            </w:r>
            <w:r w:rsidR="00506B00" w:rsidRPr="003945C7">
              <w:rPr>
                <w:rFonts w:ascii="Book Antiqua" w:hAnsi="Book Antiqua" w:cs="Times New Roman"/>
                <w:b/>
                <w:color w:val="000000" w:themeColor="text1"/>
              </w:rPr>
              <w:t xml:space="preserve"> </w:t>
            </w:r>
            <w:r w:rsidRPr="003945C7">
              <w:rPr>
                <w:rFonts w:ascii="Book Antiqua" w:hAnsi="Book Antiqua" w:cs="Times New Roman"/>
                <w:b/>
                <w:color w:val="000000" w:themeColor="text1"/>
              </w:rPr>
              <w:t>value</w:t>
            </w:r>
          </w:p>
        </w:tc>
      </w:tr>
      <w:tr w:rsidR="009B5689" w:rsidRPr="003945C7" w14:paraId="5C5FCB62" w14:textId="77777777" w:rsidTr="00395BB9">
        <w:tc>
          <w:tcPr>
            <w:tcW w:w="2882" w:type="dxa"/>
            <w:tcBorders>
              <w:top w:val="single" w:sz="4" w:space="0" w:color="auto"/>
            </w:tcBorders>
          </w:tcPr>
          <w:p w14:paraId="46EA133E" w14:textId="346C96D9"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Hemoglobin (g/d</w:t>
            </w:r>
            <w:r w:rsidR="00342DFC" w:rsidRPr="003945C7">
              <w:rPr>
                <w:rFonts w:ascii="Book Antiqua" w:hAnsi="Book Antiqua" w:cs="Times New Roman"/>
                <w:color w:val="000000" w:themeColor="text1"/>
              </w:rPr>
              <w:t>L</w:t>
            </w:r>
            <w:r w:rsidRPr="003945C7">
              <w:rPr>
                <w:rFonts w:ascii="Book Antiqua" w:hAnsi="Book Antiqua" w:cs="Times New Roman"/>
                <w:color w:val="000000" w:themeColor="text1"/>
              </w:rPr>
              <w:t xml:space="preserve">) </w:t>
            </w:r>
          </w:p>
        </w:tc>
        <w:tc>
          <w:tcPr>
            <w:tcW w:w="2431" w:type="dxa"/>
            <w:tcBorders>
              <w:top w:val="single" w:sz="4" w:space="0" w:color="auto"/>
            </w:tcBorders>
          </w:tcPr>
          <w:p w14:paraId="1CF10512"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13.70 ± 1.848 (13.35)</w:t>
            </w:r>
          </w:p>
        </w:tc>
        <w:tc>
          <w:tcPr>
            <w:tcW w:w="2195" w:type="dxa"/>
            <w:tcBorders>
              <w:top w:val="single" w:sz="4" w:space="0" w:color="auto"/>
            </w:tcBorders>
          </w:tcPr>
          <w:p w14:paraId="655C4B52"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13.45 ± 1.394 (13.50)</w:t>
            </w:r>
          </w:p>
        </w:tc>
        <w:tc>
          <w:tcPr>
            <w:tcW w:w="1222" w:type="dxa"/>
            <w:tcBorders>
              <w:top w:val="single" w:sz="4" w:space="0" w:color="auto"/>
            </w:tcBorders>
          </w:tcPr>
          <w:p w14:paraId="20C26314"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0.930</w:t>
            </w:r>
          </w:p>
        </w:tc>
      </w:tr>
      <w:tr w:rsidR="009B5689" w:rsidRPr="003945C7" w14:paraId="3B12FAE5" w14:textId="77777777" w:rsidTr="00395BB9">
        <w:tc>
          <w:tcPr>
            <w:tcW w:w="2882" w:type="dxa"/>
          </w:tcPr>
          <w:p w14:paraId="620A55A0"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Leucocytes (10³/µL) </w:t>
            </w:r>
          </w:p>
        </w:tc>
        <w:tc>
          <w:tcPr>
            <w:tcW w:w="2431" w:type="dxa"/>
          </w:tcPr>
          <w:p w14:paraId="4183D1F6"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7.950 ± 2.312 (7.81)</w:t>
            </w:r>
          </w:p>
        </w:tc>
        <w:tc>
          <w:tcPr>
            <w:tcW w:w="2195" w:type="dxa"/>
          </w:tcPr>
          <w:p w14:paraId="791AA75A"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7.133 ± 2.394 (6.69)</w:t>
            </w:r>
          </w:p>
        </w:tc>
        <w:tc>
          <w:tcPr>
            <w:tcW w:w="1222" w:type="dxa"/>
          </w:tcPr>
          <w:p w14:paraId="0E93117F"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bCs/>
                <w:color w:val="000000" w:themeColor="text1"/>
              </w:rPr>
              <w:t>0.011</w:t>
            </w:r>
          </w:p>
        </w:tc>
      </w:tr>
      <w:tr w:rsidR="009B5689" w:rsidRPr="003945C7" w14:paraId="69DE5F99" w14:textId="77777777" w:rsidTr="00395BB9">
        <w:tc>
          <w:tcPr>
            <w:tcW w:w="2882" w:type="dxa"/>
          </w:tcPr>
          <w:p w14:paraId="62300126"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Lymphocytes (10³/µL) </w:t>
            </w:r>
          </w:p>
        </w:tc>
        <w:tc>
          <w:tcPr>
            <w:tcW w:w="2431" w:type="dxa"/>
          </w:tcPr>
          <w:p w14:paraId="66A90677"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2.486 ± 0.6978 (2.51)</w:t>
            </w:r>
          </w:p>
        </w:tc>
        <w:tc>
          <w:tcPr>
            <w:tcW w:w="2195" w:type="dxa"/>
          </w:tcPr>
          <w:p w14:paraId="7D69E023"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2.461 ± 0.7779 (2.43)</w:t>
            </w:r>
          </w:p>
        </w:tc>
        <w:tc>
          <w:tcPr>
            <w:tcW w:w="1222" w:type="dxa"/>
          </w:tcPr>
          <w:p w14:paraId="61C8A7E8"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cs="Times New Roman"/>
                <w:bCs/>
                <w:color w:val="000000" w:themeColor="text1"/>
              </w:rPr>
              <w:t>0.593</w:t>
            </w:r>
          </w:p>
        </w:tc>
      </w:tr>
      <w:tr w:rsidR="009B5689" w:rsidRPr="003945C7" w14:paraId="07C0D2A4" w14:textId="77777777" w:rsidTr="00395BB9">
        <w:tc>
          <w:tcPr>
            <w:tcW w:w="2882" w:type="dxa"/>
          </w:tcPr>
          <w:p w14:paraId="13065524"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Neutrophils (10³/µL) </w:t>
            </w:r>
          </w:p>
        </w:tc>
        <w:tc>
          <w:tcPr>
            <w:tcW w:w="2431" w:type="dxa"/>
          </w:tcPr>
          <w:p w14:paraId="74FCF069"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4.455 ± 2.130 (3.925)</w:t>
            </w:r>
          </w:p>
        </w:tc>
        <w:tc>
          <w:tcPr>
            <w:tcW w:w="2195" w:type="dxa"/>
          </w:tcPr>
          <w:p w14:paraId="269FDE0A"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3.813 ± 2.222 (3.290)</w:t>
            </w:r>
          </w:p>
        </w:tc>
        <w:tc>
          <w:tcPr>
            <w:tcW w:w="1222" w:type="dxa"/>
          </w:tcPr>
          <w:p w14:paraId="5E15DCB4"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bCs/>
                <w:color w:val="000000" w:themeColor="text1"/>
              </w:rPr>
              <w:t>0.028</w:t>
            </w:r>
          </w:p>
        </w:tc>
      </w:tr>
      <w:tr w:rsidR="009B5689" w:rsidRPr="003945C7" w14:paraId="4BCC0365" w14:textId="77777777" w:rsidTr="00395BB9">
        <w:tc>
          <w:tcPr>
            <w:tcW w:w="2882" w:type="dxa"/>
          </w:tcPr>
          <w:p w14:paraId="0B5D8A9D"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Eosinophils (10³/µL) </w:t>
            </w:r>
          </w:p>
        </w:tc>
        <w:tc>
          <w:tcPr>
            <w:tcW w:w="2431" w:type="dxa"/>
          </w:tcPr>
          <w:p w14:paraId="1E9B62E2"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0.2894 ± 0.4060 (0.13)</w:t>
            </w:r>
          </w:p>
        </w:tc>
        <w:tc>
          <w:tcPr>
            <w:tcW w:w="2195" w:type="dxa"/>
          </w:tcPr>
          <w:p w14:paraId="4A2D3445"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0.2188 ± 0.2932 (0.11)</w:t>
            </w:r>
          </w:p>
        </w:tc>
        <w:tc>
          <w:tcPr>
            <w:tcW w:w="1222" w:type="dxa"/>
          </w:tcPr>
          <w:p w14:paraId="433B0F70"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cs="Times New Roman"/>
                <w:bCs/>
                <w:color w:val="000000" w:themeColor="text1"/>
              </w:rPr>
              <w:t>0.368</w:t>
            </w:r>
          </w:p>
        </w:tc>
      </w:tr>
      <w:tr w:rsidR="009B5689" w:rsidRPr="003945C7" w14:paraId="4F7B1163" w14:textId="77777777" w:rsidTr="00395BB9">
        <w:tc>
          <w:tcPr>
            <w:tcW w:w="2882" w:type="dxa"/>
          </w:tcPr>
          <w:p w14:paraId="6CAB0D02"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ESR (mm/h)</w:t>
            </w:r>
          </w:p>
        </w:tc>
        <w:tc>
          <w:tcPr>
            <w:tcW w:w="2431" w:type="dxa"/>
          </w:tcPr>
          <w:p w14:paraId="791F0554"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11.19 ± 9.546 (9.00)</w:t>
            </w:r>
          </w:p>
        </w:tc>
        <w:tc>
          <w:tcPr>
            <w:tcW w:w="2195" w:type="dxa"/>
          </w:tcPr>
          <w:p w14:paraId="361C4E3E"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9.327 ± 7.504 (7.00)</w:t>
            </w:r>
          </w:p>
        </w:tc>
        <w:tc>
          <w:tcPr>
            <w:tcW w:w="1222" w:type="dxa"/>
          </w:tcPr>
          <w:p w14:paraId="76F27B8F"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cs="Times New Roman"/>
                <w:bCs/>
                <w:color w:val="000000" w:themeColor="text1"/>
              </w:rPr>
              <w:t>0.172</w:t>
            </w:r>
          </w:p>
        </w:tc>
      </w:tr>
      <w:tr w:rsidR="009B5689" w:rsidRPr="003945C7" w14:paraId="39CB3C8A" w14:textId="77777777" w:rsidTr="00395BB9">
        <w:tc>
          <w:tcPr>
            <w:tcW w:w="2882" w:type="dxa"/>
          </w:tcPr>
          <w:p w14:paraId="3F56E74B"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 xml:space="preserve">Iron µmol/L) </w:t>
            </w:r>
          </w:p>
        </w:tc>
        <w:tc>
          <w:tcPr>
            <w:tcW w:w="2431" w:type="dxa"/>
          </w:tcPr>
          <w:p w14:paraId="03F40A68"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15.60 ± 6.941 (14.61)</w:t>
            </w:r>
          </w:p>
        </w:tc>
        <w:tc>
          <w:tcPr>
            <w:tcW w:w="2195" w:type="dxa"/>
          </w:tcPr>
          <w:p w14:paraId="443FE94F"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15.59 ± 7.060 (14.94)</w:t>
            </w:r>
          </w:p>
        </w:tc>
        <w:tc>
          <w:tcPr>
            <w:tcW w:w="1222" w:type="dxa"/>
          </w:tcPr>
          <w:p w14:paraId="62E65802"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cs="Times New Roman"/>
                <w:bCs/>
                <w:color w:val="000000" w:themeColor="text1"/>
              </w:rPr>
              <w:t>0.893</w:t>
            </w:r>
          </w:p>
        </w:tc>
      </w:tr>
      <w:tr w:rsidR="009B5689" w:rsidRPr="003945C7" w14:paraId="403047D2" w14:textId="77777777" w:rsidTr="00395BB9">
        <w:tc>
          <w:tcPr>
            <w:tcW w:w="2882" w:type="dxa"/>
          </w:tcPr>
          <w:p w14:paraId="44DE3E9E"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AST (U/L)</w:t>
            </w:r>
          </w:p>
        </w:tc>
        <w:tc>
          <w:tcPr>
            <w:tcW w:w="2431" w:type="dxa"/>
          </w:tcPr>
          <w:p w14:paraId="1D150DFD"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20.82 ± 6.756 (19.55)</w:t>
            </w:r>
          </w:p>
        </w:tc>
        <w:tc>
          <w:tcPr>
            <w:tcW w:w="2195" w:type="dxa"/>
          </w:tcPr>
          <w:p w14:paraId="4BC66D8A"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22.95 ± 11.07 (20.40)</w:t>
            </w:r>
          </w:p>
        </w:tc>
        <w:tc>
          <w:tcPr>
            <w:tcW w:w="1222" w:type="dxa"/>
          </w:tcPr>
          <w:p w14:paraId="16651DAE"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cs="Times New Roman"/>
                <w:bCs/>
                <w:color w:val="000000" w:themeColor="text1"/>
              </w:rPr>
              <w:t>0.291</w:t>
            </w:r>
          </w:p>
        </w:tc>
      </w:tr>
      <w:tr w:rsidR="009B5689" w:rsidRPr="003945C7" w14:paraId="6C4989C3" w14:textId="77777777" w:rsidTr="00395BB9">
        <w:tc>
          <w:tcPr>
            <w:tcW w:w="2882" w:type="dxa"/>
          </w:tcPr>
          <w:p w14:paraId="17401231"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ALT (U/L)</w:t>
            </w:r>
          </w:p>
        </w:tc>
        <w:tc>
          <w:tcPr>
            <w:tcW w:w="2431" w:type="dxa"/>
          </w:tcPr>
          <w:p w14:paraId="10069F8C"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bookmarkStart w:id="8" w:name="_Hlk58139020"/>
            <w:r w:rsidRPr="003945C7">
              <w:rPr>
                <w:rFonts w:ascii="Book Antiqua" w:hAnsi="Book Antiqua" w:cs="Times New Roman"/>
                <w:color w:val="000000" w:themeColor="text1"/>
              </w:rPr>
              <w:t xml:space="preserve">12.65 ± 3.960 </w:t>
            </w:r>
            <w:bookmarkEnd w:id="8"/>
            <w:r w:rsidRPr="003945C7">
              <w:rPr>
                <w:rFonts w:ascii="Book Antiqua" w:hAnsi="Book Antiqua" w:cs="Times New Roman"/>
                <w:color w:val="000000" w:themeColor="text1"/>
              </w:rPr>
              <w:t>(12.00)</w:t>
            </w:r>
          </w:p>
        </w:tc>
        <w:tc>
          <w:tcPr>
            <w:tcW w:w="2195" w:type="dxa"/>
          </w:tcPr>
          <w:p w14:paraId="692364BF"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bookmarkStart w:id="9" w:name="_Hlk58139033"/>
            <w:r w:rsidRPr="003945C7">
              <w:rPr>
                <w:rFonts w:ascii="Book Antiqua" w:hAnsi="Book Antiqua" w:cs="Times New Roman"/>
                <w:color w:val="000000" w:themeColor="text1"/>
              </w:rPr>
              <w:t xml:space="preserve">15.48 ± 11.55 </w:t>
            </w:r>
            <w:bookmarkEnd w:id="9"/>
            <w:r w:rsidRPr="003945C7">
              <w:rPr>
                <w:rFonts w:ascii="Book Antiqua" w:hAnsi="Book Antiqua" w:cs="Times New Roman"/>
                <w:color w:val="000000" w:themeColor="text1"/>
              </w:rPr>
              <w:t>(13.10)</w:t>
            </w:r>
          </w:p>
        </w:tc>
        <w:tc>
          <w:tcPr>
            <w:tcW w:w="1222" w:type="dxa"/>
          </w:tcPr>
          <w:p w14:paraId="0DDCD7A5" w14:textId="77777777" w:rsidR="009B5689" w:rsidRPr="003945C7" w:rsidRDefault="009B5689" w:rsidP="001765D0">
            <w:pPr>
              <w:adjustRightInd w:val="0"/>
              <w:snapToGrid w:val="0"/>
              <w:spacing w:line="360" w:lineRule="auto"/>
              <w:rPr>
                <w:rFonts w:ascii="Book Antiqua" w:hAnsi="Book Antiqua" w:cs="Times New Roman"/>
                <w:bCs/>
                <w:color w:val="000000" w:themeColor="text1"/>
              </w:rPr>
            </w:pPr>
            <w:r w:rsidRPr="003945C7">
              <w:rPr>
                <w:rFonts w:ascii="Book Antiqua" w:hAnsi="Book Antiqua"/>
                <w:bCs/>
                <w:color w:val="000000" w:themeColor="text1"/>
              </w:rPr>
              <w:t>0.044</w:t>
            </w:r>
          </w:p>
        </w:tc>
      </w:tr>
      <w:tr w:rsidR="009B5689" w:rsidRPr="003945C7" w14:paraId="18888862" w14:textId="77777777" w:rsidTr="00395BB9">
        <w:tc>
          <w:tcPr>
            <w:tcW w:w="2882" w:type="dxa"/>
          </w:tcPr>
          <w:p w14:paraId="5C370037"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GGT (U/L)</w:t>
            </w:r>
          </w:p>
        </w:tc>
        <w:tc>
          <w:tcPr>
            <w:tcW w:w="2431" w:type="dxa"/>
          </w:tcPr>
          <w:p w14:paraId="451019EB"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11.40 ± 3.331 (11.00)</w:t>
            </w:r>
          </w:p>
        </w:tc>
        <w:tc>
          <w:tcPr>
            <w:tcW w:w="2195" w:type="dxa"/>
          </w:tcPr>
          <w:p w14:paraId="15BF2158"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12.63 ± 4.308 (12.00)</w:t>
            </w:r>
          </w:p>
        </w:tc>
        <w:tc>
          <w:tcPr>
            <w:tcW w:w="1222" w:type="dxa"/>
          </w:tcPr>
          <w:p w14:paraId="606EDFB2"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0.053</w:t>
            </w:r>
          </w:p>
        </w:tc>
      </w:tr>
      <w:tr w:rsidR="009B5689" w:rsidRPr="003945C7" w14:paraId="516E11D5" w14:textId="77777777" w:rsidTr="00395BB9">
        <w:tc>
          <w:tcPr>
            <w:tcW w:w="2882" w:type="dxa"/>
          </w:tcPr>
          <w:p w14:paraId="48E4CD7A"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NLR</w:t>
            </w:r>
          </w:p>
        </w:tc>
        <w:tc>
          <w:tcPr>
            <w:tcW w:w="2431" w:type="dxa"/>
          </w:tcPr>
          <w:p w14:paraId="0CAB8BCD"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2.031 ± 1.478 (1.485)</w:t>
            </w:r>
          </w:p>
        </w:tc>
        <w:tc>
          <w:tcPr>
            <w:tcW w:w="2195" w:type="dxa"/>
          </w:tcPr>
          <w:p w14:paraId="2C1F0014"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1.756 ± 1.349 (1.320)</w:t>
            </w:r>
          </w:p>
        </w:tc>
        <w:tc>
          <w:tcPr>
            <w:tcW w:w="1222" w:type="dxa"/>
          </w:tcPr>
          <w:p w14:paraId="3C52D97B" w14:textId="77777777" w:rsidR="009B5689" w:rsidRPr="003945C7" w:rsidRDefault="009B5689" w:rsidP="001765D0">
            <w:pPr>
              <w:adjustRightInd w:val="0"/>
              <w:snapToGrid w:val="0"/>
              <w:spacing w:line="360" w:lineRule="auto"/>
              <w:rPr>
                <w:rFonts w:ascii="Book Antiqua" w:hAnsi="Book Antiqua" w:cs="Times New Roman"/>
                <w:color w:val="000000" w:themeColor="text1"/>
              </w:rPr>
            </w:pPr>
            <w:r w:rsidRPr="003945C7">
              <w:rPr>
                <w:rFonts w:ascii="Book Antiqua" w:hAnsi="Book Antiqua" w:cs="Times New Roman"/>
                <w:color w:val="000000" w:themeColor="text1"/>
              </w:rPr>
              <w:t>0.154</w:t>
            </w:r>
          </w:p>
        </w:tc>
      </w:tr>
    </w:tbl>
    <w:p w14:paraId="06AF0388" w14:textId="737BD0D4" w:rsidR="009B5689" w:rsidRPr="003945C7" w:rsidRDefault="009B5689" w:rsidP="001765D0">
      <w:pPr>
        <w:adjustRightInd w:val="0"/>
        <w:snapToGrid w:val="0"/>
        <w:spacing w:line="360" w:lineRule="auto"/>
        <w:jc w:val="both"/>
        <w:rPr>
          <w:rFonts w:ascii="Book Antiqua" w:hAnsi="Book Antiqua"/>
          <w:iCs/>
          <w:color w:val="000000" w:themeColor="text1"/>
          <w:vertAlign w:val="superscript"/>
          <w:lang w:eastAsia="zh-CN"/>
        </w:rPr>
      </w:pPr>
      <w:r w:rsidRPr="003945C7">
        <w:rPr>
          <w:rFonts w:ascii="Book Antiqua" w:hAnsi="Book Antiqua"/>
          <w:iCs/>
          <w:color w:val="000000" w:themeColor="text1"/>
        </w:rPr>
        <w:t>AST</w:t>
      </w:r>
      <w:r w:rsidRPr="003945C7">
        <w:rPr>
          <w:rFonts w:ascii="Book Antiqua" w:hAnsi="Book Antiqua" w:hint="eastAsia"/>
          <w:iCs/>
          <w:color w:val="000000" w:themeColor="text1"/>
          <w:lang w:eastAsia="zh-CN"/>
        </w:rPr>
        <w:t>:</w:t>
      </w:r>
      <w:r w:rsidRPr="003945C7">
        <w:rPr>
          <w:rFonts w:ascii="Book Antiqua" w:hAnsi="Book Antiqua"/>
          <w:iCs/>
          <w:color w:val="000000" w:themeColor="text1"/>
        </w:rPr>
        <w:t xml:space="preserve"> </w:t>
      </w:r>
      <w:hyperlink r:id="rId7" w:history="1">
        <w:r w:rsidRPr="003945C7">
          <w:rPr>
            <w:rFonts w:ascii="Book Antiqua" w:eastAsia="Times New Roman" w:hAnsi="Book Antiqua"/>
            <w:iCs/>
            <w:caps/>
            <w:color w:val="000000" w:themeColor="text1"/>
          </w:rPr>
          <w:t>a</w:t>
        </w:r>
        <w:r w:rsidRPr="003945C7">
          <w:rPr>
            <w:rFonts w:ascii="Book Antiqua" w:eastAsia="Times New Roman" w:hAnsi="Book Antiqua"/>
            <w:iCs/>
            <w:color w:val="000000" w:themeColor="text1"/>
          </w:rPr>
          <w:t>spartate aminotransferase</w:t>
        </w:r>
      </w:hyperlink>
      <w:r w:rsidRPr="003945C7">
        <w:rPr>
          <w:rFonts w:ascii="Book Antiqua" w:hAnsi="Book Antiqua" w:hint="eastAsia"/>
          <w:iCs/>
          <w:color w:val="000000" w:themeColor="text1"/>
          <w:lang w:eastAsia="zh-CN"/>
        </w:rPr>
        <w:t>;</w:t>
      </w:r>
      <w:r w:rsidRPr="003945C7">
        <w:rPr>
          <w:rFonts w:ascii="Book Antiqua" w:eastAsia="Times New Roman" w:hAnsi="Book Antiqua"/>
          <w:iCs/>
          <w:color w:val="000000" w:themeColor="text1"/>
        </w:rPr>
        <w:t xml:space="preserve"> ALT</w:t>
      </w:r>
      <w:r w:rsidRPr="003945C7">
        <w:rPr>
          <w:rFonts w:ascii="Book Antiqua" w:hAnsi="Book Antiqua" w:hint="eastAsia"/>
          <w:iCs/>
          <w:color w:val="000000" w:themeColor="text1"/>
          <w:lang w:eastAsia="zh-CN"/>
        </w:rPr>
        <w:t>:</w:t>
      </w:r>
      <w:r w:rsidRPr="003945C7">
        <w:rPr>
          <w:rFonts w:ascii="Book Antiqua" w:eastAsia="Times New Roman" w:hAnsi="Book Antiqua"/>
          <w:iCs/>
          <w:color w:val="000000" w:themeColor="text1"/>
        </w:rPr>
        <w:t xml:space="preserve"> </w:t>
      </w:r>
      <w:hyperlink r:id="rId8" w:history="1">
        <w:r w:rsidRPr="003945C7">
          <w:rPr>
            <w:rFonts w:ascii="Book Antiqua" w:eastAsia="Times New Roman" w:hAnsi="Book Antiqua"/>
            <w:iCs/>
            <w:caps/>
            <w:color w:val="000000" w:themeColor="text1"/>
          </w:rPr>
          <w:t>a</w:t>
        </w:r>
        <w:r w:rsidRPr="003945C7">
          <w:rPr>
            <w:rFonts w:ascii="Book Antiqua" w:eastAsia="Times New Roman" w:hAnsi="Book Antiqua"/>
            <w:iCs/>
            <w:color w:val="000000" w:themeColor="text1"/>
          </w:rPr>
          <w:t>lanine aminotransferase</w:t>
        </w:r>
        <w:r w:rsidRPr="003945C7">
          <w:rPr>
            <w:rFonts w:ascii="Book Antiqua" w:hAnsi="Book Antiqua" w:hint="eastAsia"/>
            <w:iCs/>
            <w:color w:val="000000" w:themeColor="text1"/>
            <w:lang w:eastAsia="zh-CN"/>
          </w:rPr>
          <w:t>;</w:t>
        </w:r>
        <w:r w:rsidRPr="003945C7">
          <w:rPr>
            <w:rFonts w:ascii="Book Antiqua" w:eastAsia="Times New Roman" w:hAnsi="Book Antiqua"/>
            <w:iCs/>
            <w:color w:val="000000" w:themeColor="text1"/>
          </w:rPr>
          <w:t xml:space="preserve"> </w:t>
        </w:r>
      </w:hyperlink>
      <w:r w:rsidRPr="003945C7">
        <w:rPr>
          <w:rFonts w:ascii="Book Antiqua" w:hAnsi="Book Antiqua"/>
          <w:iCs/>
          <w:color w:val="000000" w:themeColor="text1"/>
        </w:rPr>
        <w:t>ESR</w:t>
      </w:r>
      <w:r w:rsidRPr="003945C7">
        <w:rPr>
          <w:rFonts w:ascii="Book Antiqua" w:hAnsi="Book Antiqua" w:hint="eastAsia"/>
          <w:iCs/>
          <w:color w:val="000000" w:themeColor="text1"/>
          <w:lang w:eastAsia="zh-CN"/>
        </w:rPr>
        <w:t>:</w:t>
      </w:r>
      <w:r w:rsidRPr="003945C7">
        <w:rPr>
          <w:rFonts w:ascii="Book Antiqua" w:hAnsi="Book Antiqua"/>
          <w:iCs/>
          <w:color w:val="000000" w:themeColor="text1"/>
        </w:rPr>
        <w:t xml:space="preserve"> </w:t>
      </w:r>
      <w:r w:rsidRPr="003945C7">
        <w:rPr>
          <w:rFonts w:ascii="Book Antiqua" w:hAnsi="Book Antiqua"/>
          <w:iCs/>
          <w:caps/>
          <w:color w:val="000000" w:themeColor="text1"/>
        </w:rPr>
        <w:t>e</w:t>
      </w:r>
      <w:r w:rsidRPr="003945C7">
        <w:rPr>
          <w:rFonts w:ascii="Book Antiqua" w:hAnsi="Book Antiqua"/>
          <w:iCs/>
          <w:color w:val="000000" w:themeColor="text1"/>
        </w:rPr>
        <w:t>rythrocyte sedimentation rate</w:t>
      </w:r>
      <w:r w:rsidRPr="003945C7">
        <w:rPr>
          <w:rFonts w:ascii="Book Antiqua" w:hAnsi="Book Antiqua" w:hint="eastAsia"/>
          <w:iCs/>
          <w:color w:val="000000" w:themeColor="text1"/>
          <w:lang w:eastAsia="zh-CN"/>
        </w:rPr>
        <w:t>;</w:t>
      </w:r>
      <w:r w:rsidRPr="003945C7">
        <w:rPr>
          <w:rFonts w:ascii="Book Antiqua" w:hAnsi="Book Antiqua"/>
          <w:iCs/>
          <w:color w:val="000000" w:themeColor="text1"/>
        </w:rPr>
        <w:t xml:space="preserve"> GGT</w:t>
      </w:r>
      <w:r w:rsidRPr="003945C7">
        <w:rPr>
          <w:rFonts w:ascii="Book Antiqua" w:hAnsi="Book Antiqua" w:hint="eastAsia"/>
          <w:iCs/>
          <w:color w:val="000000" w:themeColor="text1"/>
          <w:lang w:eastAsia="zh-CN"/>
        </w:rPr>
        <w:t>:</w:t>
      </w:r>
      <w:r w:rsidRPr="003945C7">
        <w:rPr>
          <w:rFonts w:ascii="Book Antiqua" w:hAnsi="Book Antiqua"/>
          <w:iCs/>
          <w:color w:val="000000" w:themeColor="text1"/>
        </w:rPr>
        <w:t xml:space="preserve"> </w:t>
      </w:r>
      <w:r w:rsidRPr="003945C7">
        <w:rPr>
          <w:rFonts w:ascii="Book Antiqua" w:eastAsia="Times New Roman" w:hAnsi="Book Antiqua"/>
          <w:iCs/>
          <w:caps/>
          <w:color w:val="000000" w:themeColor="text1"/>
        </w:rPr>
        <w:t>g</w:t>
      </w:r>
      <w:r w:rsidRPr="003945C7">
        <w:rPr>
          <w:rFonts w:ascii="Book Antiqua" w:eastAsia="Times New Roman" w:hAnsi="Book Antiqua"/>
          <w:iCs/>
          <w:color w:val="000000" w:themeColor="text1"/>
        </w:rPr>
        <w:t>amma-glutamyl transpeptidase</w:t>
      </w:r>
      <w:r w:rsidRPr="003945C7">
        <w:rPr>
          <w:rFonts w:ascii="Book Antiqua" w:hAnsi="Book Antiqua" w:hint="eastAsia"/>
          <w:iCs/>
          <w:color w:val="000000" w:themeColor="text1"/>
          <w:lang w:eastAsia="zh-CN"/>
        </w:rPr>
        <w:t>;</w:t>
      </w:r>
      <w:r w:rsidRPr="003945C7">
        <w:rPr>
          <w:rFonts w:ascii="Book Antiqua" w:hAnsi="Book Antiqua"/>
          <w:iCs/>
          <w:color w:val="000000" w:themeColor="text1"/>
          <w:vertAlign w:val="superscript"/>
        </w:rPr>
        <w:t xml:space="preserve"> </w:t>
      </w:r>
      <w:r w:rsidRPr="003945C7">
        <w:rPr>
          <w:rFonts w:ascii="Book Antiqua" w:hAnsi="Book Antiqua"/>
          <w:iCs/>
          <w:color w:val="000000" w:themeColor="text1"/>
        </w:rPr>
        <w:t>NLR</w:t>
      </w:r>
      <w:r w:rsidRPr="003945C7">
        <w:rPr>
          <w:rFonts w:ascii="Book Antiqua" w:hAnsi="Book Antiqua" w:hint="eastAsia"/>
          <w:iCs/>
          <w:color w:val="000000" w:themeColor="text1"/>
          <w:lang w:eastAsia="zh-CN"/>
        </w:rPr>
        <w:t xml:space="preserve">: </w:t>
      </w:r>
      <w:r w:rsidRPr="003945C7">
        <w:rPr>
          <w:rFonts w:ascii="Book Antiqua" w:hAnsi="Book Antiqua"/>
          <w:iCs/>
          <w:caps/>
          <w:color w:val="000000" w:themeColor="text1"/>
        </w:rPr>
        <w:t>n</w:t>
      </w:r>
      <w:r w:rsidRPr="003945C7">
        <w:rPr>
          <w:rFonts w:ascii="Book Antiqua" w:hAnsi="Book Antiqua"/>
          <w:iCs/>
          <w:color w:val="000000" w:themeColor="text1"/>
        </w:rPr>
        <w:t>eutrophil/lymphocyte ratio, estimated significance value obtained from</w:t>
      </w:r>
      <w:r w:rsidR="00941CB4" w:rsidRPr="003945C7">
        <w:rPr>
          <w:rFonts w:ascii="Book Antiqua" w:hAnsi="Book Antiqua"/>
          <w:iCs/>
          <w:color w:val="000000" w:themeColor="text1"/>
        </w:rPr>
        <w:t xml:space="preserve"> the</w:t>
      </w:r>
      <w:r w:rsidRPr="003945C7">
        <w:rPr>
          <w:rFonts w:ascii="Book Antiqua" w:hAnsi="Book Antiqua"/>
          <w:iCs/>
          <w:color w:val="000000" w:themeColor="text1"/>
        </w:rPr>
        <w:t xml:space="preserve"> non-parametric Mann-Whitney test</w:t>
      </w:r>
      <w:r w:rsidRPr="003945C7">
        <w:rPr>
          <w:rFonts w:ascii="Book Antiqua" w:hAnsi="Book Antiqua" w:hint="eastAsia"/>
          <w:iCs/>
          <w:color w:val="000000" w:themeColor="text1"/>
          <w:lang w:eastAsia="zh-CN"/>
        </w:rPr>
        <w:t>.</w:t>
      </w:r>
    </w:p>
    <w:p w14:paraId="03272225" w14:textId="700742A2" w:rsidR="009B5689" w:rsidRPr="003945C7" w:rsidRDefault="009B5689" w:rsidP="001765D0">
      <w:pPr>
        <w:adjustRightInd w:val="0"/>
        <w:snapToGrid w:val="0"/>
        <w:spacing w:line="360" w:lineRule="auto"/>
        <w:jc w:val="both"/>
        <w:rPr>
          <w:rFonts w:ascii="Book Antiqua" w:hAnsi="Book Antiqua"/>
          <w:b/>
          <w:color w:val="000000" w:themeColor="text1"/>
        </w:rPr>
      </w:pPr>
      <w:r w:rsidRPr="003945C7">
        <w:rPr>
          <w:rFonts w:ascii="Book Antiqua" w:hAnsi="Book Antiqua"/>
          <w:b/>
          <w:color w:val="000000" w:themeColor="text1"/>
        </w:rPr>
        <w:lastRenderedPageBreak/>
        <w:t xml:space="preserve">Table </w:t>
      </w:r>
      <w:r w:rsidRPr="003945C7">
        <w:rPr>
          <w:rFonts w:ascii="Book Antiqua" w:hAnsi="Book Antiqua"/>
          <w:b/>
          <w:color w:val="000000" w:themeColor="text1"/>
          <w:lang w:eastAsia="zh-CN"/>
        </w:rPr>
        <w:t xml:space="preserve">3 </w:t>
      </w:r>
      <w:r w:rsidRPr="003945C7">
        <w:rPr>
          <w:rFonts w:ascii="Book Antiqua" w:hAnsi="Book Antiqua"/>
          <w:b/>
          <w:caps/>
          <w:color w:val="000000" w:themeColor="text1"/>
        </w:rPr>
        <w:t>c</w:t>
      </w:r>
      <w:r w:rsidRPr="003945C7">
        <w:rPr>
          <w:rFonts w:ascii="Book Antiqua" w:hAnsi="Book Antiqua"/>
          <w:b/>
          <w:color w:val="000000" w:themeColor="text1"/>
        </w:rPr>
        <w:t xml:space="preserve">orrelations between </w:t>
      </w:r>
      <w:r w:rsidRPr="003945C7">
        <w:rPr>
          <w:rFonts w:ascii="Book Antiqua" w:hAnsi="Book Antiqua"/>
          <w:b/>
          <w:iCs/>
          <w:color w:val="000000" w:themeColor="text1"/>
        </w:rPr>
        <w:t>TLR9</w:t>
      </w:r>
      <w:r w:rsidRPr="003945C7">
        <w:rPr>
          <w:rFonts w:ascii="Book Antiqua" w:hAnsi="Book Antiqua"/>
          <w:b/>
          <w:color w:val="000000" w:themeColor="text1"/>
        </w:rPr>
        <w:t xml:space="preserve"> rs352140 polymorphism and laboratory parameters in the </w:t>
      </w:r>
      <w:r w:rsidR="00DF7B32" w:rsidRPr="003945C7">
        <w:rPr>
          <w:rFonts w:ascii="Book Antiqua" w:hAnsi="Book Antiqua"/>
          <w:b/>
          <w:color w:val="000000" w:themeColor="text1"/>
        </w:rPr>
        <w:t xml:space="preserve">two </w:t>
      </w:r>
      <w:r w:rsidRPr="003945C7">
        <w:rPr>
          <w:rFonts w:ascii="Book Antiqua" w:hAnsi="Book Antiqua"/>
          <w:b/>
          <w:color w:val="000000" w:themeColor="text1"/>
        </w:rPr>
        <w:t>groups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695"/>
        <w:gridCol w:w="2694"/>
        <w:gridCol w:w="1258"/>
      </w:tblGrid>
      <w:tr w:rsidR="009B5689" w:rsidRPr="003945C7" w14:paraId="2A9DFB3A" w14:textId="77777777" w:rsidTr="001D72D9">
        <w:trPr>
          <w:trHeight w:val="683"/>
          <w:jc w:val="center"/>
        </w:trPr>
        <w:tc>
          <w:tcPr>
            <w:tcW w:w="2754" w:type="dxa"/>
            <w:tcBorders>
              <w:top w:val="single" w:sz="4" w:space="0" w:color="auto"/>
              <w:bottom w:val="single" w:sz="4" w:space="0" w:color="auto"/>
            </w:tcBorders>
            <w:shd w:val="clear" w:color="auto" w:fill="auto"/>
          </w:tcPr>
          <w:p w14:paraId="0F559F97" w14:textId="0E1518E8"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 xml:space="preserve">CC genotype of TLR9 </w:t>
            </w:r>
            <w:proofErr w:type="spellStart"/>
            <w:r w:rsidRPr="003945C7">
              <w:rPr>
                <w:rFonts w:ascii="Book Antiqua" w:hAnsi="Book Antiqua" w:cs="Times New Roman"/>
                <w:b/>
                <w:iCs/>
                <w:color w:val="000000" w:themeColor="text1"/>
              </w:rPr>
              <w:t>rs</w:t>
            </w:r>
            <w:proofErr w:type="spellEnd"/>
            <w:r w:rsidRPr="003945C7">
              <w:rPr>
                <w:rFonts w:ascii="Book Antiqua" w:hAnsi="Book Antiqua" w:cs="Times New Roman"/>
                <w:b/>
                <w:iCs/>
                <w:color w:val="000000" w:themeColor="text1"/>
              </w:rPr>
              <w:t xml:space="preserve"> 352140</w:t>
            </w:r>
            <w:r w:rsidR="00342DFC" w:rsidRPr="003945C7">
              <w:rPr>
                <w:rFonts w:ascii="Book Antiqua" w:hAnsi="Book Antiqua" w:cs="Times New Roman"/>
                <w:b/>
                <w:iCs/>
                <w:color w:val="000000" w:themeColor="text1"/>
              </w:rPr>
              <w:t>,</w:t>
            </w:r>
            <w:r w:rsidRPr="003945C7">
              <w:rPr>
                <w:rFonts w:ascii="Book Antiqua" w:hAnsi="Book Antiqua" w:cs="Times New Roman"/>
                <w:b/>
                <w:i/>
                <w:color w:val="000000" w:themeColor="text1"/>
              </w:rPr>
              <w:t xml:space="preserve"> 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35</w:t>
            </w:r>
          </w:p>
        </w:tc>
        <w:tc>
          <w:tcPr>
            <w:tcW w:w="2754" w:type="dxa"/>
            <w:tcBorders>
              <w:top w:val="single" w:sz="4" w:space="0" w:color="auto"/>
              <w:bottom w:val="single" w:sz="4" w:space="0" w:color="auto"/>
            </w:tcBorders>
            <w:shd w:val="clear" w:color="auto" w:fill="auto"/>
          </w:tcPr>
          <w:p w14:paraId="62D81589" w14:textId="125C8001"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Study group</w:t>
            </w:r>
            <w:r w:rsidR="00342DFC"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11</w:t>
            </w:r>
          </w:p>
          <w:p w14:paraId="16BF03A9" w14:textId="01A750A1" w:rsidR="009B5689" w:rsidRPr="003945C7" w:rsidRDefault="00342DFC"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w:t>
            </w:r>
            <w:r w:rsidR="009B5689" w:rsidRPr="003945C7">
              <w:rPr>
                <w:rFonts w:ascii="Book Antiqua" w:hAnsi="Book Antiqua" w:cs="Times New Roman" w:hint="eastAsia"/>
                <w:b/>
                <w:color w:val="000000" w:themeColor="text1"/>
                <w:lang w:eastAsia="zh-CN"/>
              </w:rPr>
              <w:t xml:space="preserve"> </w:t>
            </w:r>
            <w:r w:rsidR="009B5689" w:rsidRPr="003945C7">
              <w:rPr>
                <w:rFonts w:ascii="Book Antiqua" w:hAnsi="Book Antiqua" w:cs="Times New Roman"/>
                <w:b/>
                <w:color w:val="000000" w:themeColor="text1"/>
              </w:rPr>
              <w:t>± SD (median)</w:t>
            </w:r>
          </w:p>
        </w:tc>
        <w:tc>
          <w:tcPr>
            <w:tcW w:w="2753" w:type="dxa"/>
            <w:tcBorders>
              <w:top w:val="single" w:sz="4" w:space="0" w:color="auto"/>
              <w:bottom w:val="single" w:sz="4" w:space="0" w:color="auto"/>
            </w:tcBorders>
            <w:shd w:val="clear" w:color="auto" w:fill="auto"/>
          </w:tcPr>
          <w:p w14:paraId="38FC2A89" w14:textId="6E21F121"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Control group</w:t>
            </w:r>
            <w:r w:rsidR="00342DFC"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24</w:t>
            </w:r>
          </w:p>
          <w:p w14:paraId="3CF88FD4" w14:textId="272C775D" w:rsidR="009B5689" w:rsidRPr="003945C7" w:rsidRDefault="00342DFC"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w:t>
            </w:r>
            <w:r w:rsidR="009B5689" w:rsidRPr="003945C7">
              <w:rPr>
                <w:rFonts w:ascii="Book Antiqua" w:hAnsi="Book Antiqua" w:cs="Times New Roman" w:hint="eastAsia"/>
                <w:b/>
                <w:color w:val="000000" w:themeColor="text1"/>
                <w:lang w:eastAsia="zh-CN"/>
              </w:rPr>
              <w:t xml:space="preserve"> </w:t>
            </w:r>
            <w:r w:rsidR="009B5689" w:rsidRPr="003945C7">
              <w:rPr>
                <w:rFonts w:ascii="Book Antiqua" w:hAnsi="Book Antiqua" w:cs="Times New Roman"/>
                <w:b/>
                <w:color w:val="000000" w:themeColor="text1"/>
              </w:rPr>
              <w:t>± SD (median)</w:t>
            </w:r>
          </w:p>
        </w:tc>
        <w:tc>
          <w:tcPr>
            <w:tcW w:w="1275" w:type="dxa"/>
            <w:tcBorders>
              <w:top w:val="single" w:sz="4" w:space="0" w:color="auto"/>
              <w:bottom w:val="single" w:sz="4" w:space="0" w:color="auto"/>
            </w:tcBorders>
            <w:shd w:val="clear" w:color="auto" w:fill="auto"/>
          </w:tcPr>
          <w:p w14:paraId="26B28B7D" w14:textId="77777777"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i/>
                <w:caps/>
                <w:color w:val="000000" w:themeColor="text1"/>
              </w:rPr>
              <w:t>p</w:t>
            </w:r>
            <w:r w:rsidRPr="003945C7">
              <w:rPr>
                <w:rFonts w:ascii="Book Antiqua" w:hAnsi="Book Antiqua" w:cs="Times New Roman"/>
                <w:b/>
                <w:color w:val="000000" w:themeColor="text1"/>
              </w:rPr>
              <w:t>-value</w:t>
            </w:r>
          </w:p>
        </w:tc>
      </w:tr>
      <w:tr w:rsidR="009B5689" w:rsidRPr="003945C7" w14:paraId="76AE293E" w14:textId="77777777" w:rsidTr="00D766BF">
        <w:trPr>
          <w:trHeight w:val="451"/>
          <w:jc w:val="center"/>
        </w:trPr>
        <w:tc>
          <w:tcPr>
            <w:tcW w:w="2754" w:type="dxa"/>
            <w:tcBorders>
              <w:top w:val="single" w:sz="4" w:space="0" w:color="auto"/>
            </w:tcBorders>
          </w:tcPr>
          <w:p w14:paraId="09BB981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Hemoglobin (g/d</w:t>
            </w:r>
            <w:r w:rsidRPr="003945C7">
              <w:rPr>
                <w:rFonts w:ascii="Book Antiqua" w:hAnsi="Book Antiqua" w:cs="Times New Roman"/>
                <w:caps/>
                <w:color w:val="000000" w:themeColor="text1"/>
              </w:rPr>
              <w:t>l</w:t>
            </w:r>
            <w:r w:rsidRPr="003945C7">
              <w:rPr>
                <w:rFonts w:ascii="Book Antiqua" w:hAnsi="Book Antiqua" w:cs="Times New Roman"/>
                <w:color w:val="000000" w:themeColor="text1"/>
              </w:rPr>
              <w:t xml:space="preserve">) </w:t>
            </w:r>
          </w:p>
        </w:tc>
        <w:tc>
          <w:tcPr>
            <w:tcW w:w="2754" w:type="dxa"/>
            <w:tcBorders>
              <w:top w:val="single" w:sz="4" w:space="0" w:color="auto"/>
            </w:tcBorders>
          </w:tcPr>
          <w:p w14:paraId="7CC78BA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14.17 ± 3.300 (13.10)</w:t>
            </w:r>
          </w:p>
        </w:tc>
        <w:tc>
          <w:tcPr>
            <w:tcW w:w="2753" w:type="dxa"/>
            <w:tcBorders>
              <w:top w:val="single" w:sz="4" w:space="0" w:color="auto"/>
            </w:tcBorders>
          </w:tcPr>
          <w:p w14:paraId="0E44FD2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13.57 ± 1.600 (13.55)</w:t>
            </w:r>
          </w:p>
        </w:tc>
        <w:tc>
          <w:tcPr>
            <w:tcW w:w="1275" w:type="dxa"/>
            <w:tcBorders>
              <w:top w:val="single" w:sz="4" w:space="0" w:color="auto"/>
            </w:tcBorders>
          </w:tcPr>
          <w:p w14:paraId="07AF99D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lang w:eastAsia="zh-CN"/>
              </w:rPr>
            </w:pPr>
            <w:r w:rsidRPr="003945C7">
              <w:rPr>
                <w:rFonts w:ascii="Book Antiqua" w:hAnsi="Book Antiqua" w:cs="Times New Roman"/>
                <w:color w:val="000000" w:themeColor="text1"/>
              </w:rPr>
              <w:t>0.900</w:t>
            </w:r>
            <w:r w:rsidRPr="003945C7">
              <w:rPr>
                <w:rFonts w:ascii="Book Antiqua" w:hAnsi="Book Antiqua" w:cs="Times New Roman" w:hint="eastAsia"/>
                <w:color w:val="000000" w:themeColor="text1"/>
                <w:vertAlign w:val="superscript"/>
                <w:lang w:eastAsia="zh-CN"/>
              </w:rPr>
              <w:t>1</w:t>
            </w:r>
          </w:p>
        </w:tc>
      </w:tr>
      <w:tr w:rsidR="009B5689" w:rsidRPr="003945C7" w14:paraId="7F2A098B" w14:textId="77777777" w:rsidTr="00D766BF">
        <w:trPr>
          <w:trHeight w:val="451"/>
          <w:jc w:val="center"/>
        </w:trPr>
        <w:tc>
          <w:tcPr>
            <w:tcW w:w="2754" w:type="dxa"/>
          </w:tcPr>
          <w:p w14:paraId="127122B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Leucocytes (10³/µL) </w:t>
            </w:r>
          </w:p>
        </w:tc>
        <w:tc>
          <w:tcPr>
            <w:tcW w:w="2754" w:type="dxa"/>
          </w:tcPr>
          <w:p w14:paraId="194C9AD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9.076 ± 3.074 (9.76)</w:t>
            </w:r>
          </w:p>
        </w:tc>
        <w:tc>
          <w:tcPr>
            <w:tcW w:w="2753" w:type="dxa"/>
          </w:tcPr>
          <w:p w14:paraId="2ADC3EC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8.522 ± 2.787 (8.01)</w:t>
            </w:r>
          </w:p>
        </w:tc>
        <w:tc>
          <w:tcPr>
            <w:tcW w:w="1275" w:type="dxa"/>
          </w:tcPr>
          <w:p w14:paraId="5E6260D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0.557</w:t>
            </w:r>
            <w:r w:rsidRPr="003945C7">
              <w:rPr>
                <w:rFonts w:ascii="Book Antiqua" w:hAnsi="Book Antiqua" w:cs="Times New Roman" w:hint="eastAsia"/>
                <w:color w:val="000000" w:themeColor="text1"/>
                <w:vertAlign w:val="superscript"/>
                <w:lang w:eastAsia="zh-CN"/>
              </w:rPr>
              <w:t>1</w:t>
            </w:r>
          </w:p>
        </w:tc>
      </w:tr>
      <w:tr w:rsidR="009B5689" w:rsidRPr="003945C7" w14:paraId="627B4DC6" w14:textId="77777777" w:rsidTr="00D766BF">
        <w:trPr>
          <w:trHeight w:val="890"/>
          <w:jc w:val="center"/>
        </w:trPr>
        <w:tc>
          <w:tcPr>
            <w:tcW w:w="2754" w:type="dxa"/>
          </w:tcPr>
          <w:p w14:paraId="0ABD19D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Lymphocytes (10³/µL) </w:t>
            </w:r>
          </w:p>
        </w:tc>
        <w:tc>
          <w:tcPr>
            <w:tcW w:w="2754" w:type="dxa"/>
          </w:tcPr>
          <w:p w14:paraId="1395798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2.525 ± 0.6571 (2.500)</w:t>
            </w:r>
          </w:p>
        </w:tc>
        <w:tc>
          <w:tcPr>
            <w:tcW w:w="2753" w:type="dxa"/>
          </w:tcPr>
          <w:p w14:paraId="6863951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2.414 ± 0.844 (2.385)</w:t>
            </w:r>
          </w:p>
        </w:tc>
        <w:tc>
          <w:tcPr>
            <w:tcW w:w="1275" w:type="dxa"/>
          </w:tcPr>
          <w:p w14:paraId="4F5A9E6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0.704</w:t>
            </w:r>
          </w:p>
        </w:tc>
      </w:tr>
      <w:tr w:rsidR="009B5689" w:rsidRPr="003945C7" w14:paraId="4FBBA7D3" w14:textId="77777777" w:rsidTr="00D766BF">
        <w:trPr>
          <w:trHeight w:val="451"/>
          <w:jc w:val="center"/>
        </w:trPr>
        <w:tc>
          <w:tcPr>
            <w:tcW w:w="2754" w:type="dxa"/>
          </w:tcPr>
          <w:p w14:paraId="2F6390E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Neutrophils (10³/µL) </w:t>
            </w:r>
          </w:p>
        </w:tc>
        <w:tc>
          <w:tcPr>
            <w:tcW w:w="2754" w:type="dxa"/>
          </w:tcPr>
          <w:p w14:paraId="19BABDF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5.600 ± 2.727 (5.72)</w:t>
            </w:r>
          </w:p>
        </w:tc>
        <w:tc>
          <w:tcPr>
            <w:tcW w:w="2753" w:type="dxa"/>
          </w:tcPr>
          <w:p w14:paraId="2C15A01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5.151 ± 2.967 (4.49)</w:t>
            </w:r>
          </w:p>
        </w:tc>
        <w:tc>
          <w:tcPr>
            <w:tcW w:w="1275" w:type="dxa"/>
          </w:tcPr>
          <w:p w14:paraId="54AB6E8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0.709</w:t>
            </w:r>
            <w:r w:rsidRPr="003945C7">
              <w:rPr>
                <w:rFonts w:ascii="Book Antiqua" w:hAnsi="Book Antiqua" w:cs="Times New Roman" w:hint="eastAsia"/>
                <w:color w:val="000000" w:themeColor="text1"/>
                <w:vertAlign w:val="superscript"/>
                <w:lang w:eastAsia="zh-CN"/>
              </w:rPr>
              <w:t>1</w:t>
            </w:r>
          </w:p>
        </w:tc>
      </w:tr>
      <w:tr w:rsidR="009B5689" w:rsidRPr="003945C7" w14:paraId="1C3CE7CF" w14:textId="77777777" w:rsidTr="00D766BF">
        <w:trPr>
          <w:trHeight w:val="451"/>
          <w:jc w:val="center"/>
        </w:trPr>
        <w:tc>
          <w:tcPr>
            <w:tcW w:w="2754" w:type="dxa"/>
          </w:tcPr>
          <w:p w14:paraId="6D223CB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Eosinophils (10³/µL) </w:t>
            </w:r>
          </w:p>
        </w:tc>
        <w:tc>
          <w:tcPr>
            <w:tcW w:w="2754" w:type="dxa"/>
          </w:tcPr>
          <w:p w14:paraId="55811ED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0.1831 ± 0.1207 (0.18)</w:t>
            </w:r>
          </w:p>
        </w:tc>
        <w:tc>
          <w:tcPr>
            <w:tcW w:w="2753" w:type="dxa"/>
          </w:tcPr>
          <w:p w14:paraId="5589D60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0.2246 ± 0.2376 (0.11)</w:t>
            </w:r>
          </w:p>
        </w:tc>
        <w:tc>
          <w:tcPr>
            <w:tcW w:w="1275" w:type="dxa"/>
          </w:tcPr>
          <w:p w14:paraId="23E4D14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0.844</w:t>
            </w:r>
            <w:r w:rsidRPr="003945C7">
              <w:rPr>
                <w:rFonts w:ascii="Book Antiqua" w:hAnsi="Book Antiqua" w:cs="Times New Roman" w:hint="eastAsia"/>
                <w:color w:val="000000" w:themeColor="text1"/>
                <w:vertAlign w:val="superscript"/>
                <w:lang w:eastAsia="zh-CN"/>
              </w:rPr>
              <w:t>1</w:t>
            </w:r>
          </w:p>
        </w:tc>
      </w:tr>
      <w:tr w:rsidR="009B5689" w:rsidRPr="003945C7" w14:paraId="6F341213" w14:textId="77777777" w:rsidTr="00D766BF">
        <w:trPr>
          <w:trHeight w:val="438"/>
          <w:jc w:val="center"/>
        </w:trPr>
        <w:tc>
          <w:tcPr>
            <w:tcW w:w="2754" w:type="dxa"/>
          </w:tcPr>
          <w:p w14:paraId="6795BC5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ESR (mm/h)</w:t>
            </w:r>
          </w:p>
        </w:tc>
        <w:tc>
          <w:tcPr>
            <w:tcW w:w="2754" w:type="dxa"/>
          </w:tcPr>
          <w:p w14:paraId="7666AAF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15.64 ± 16.14 (11.00)</w:t>
            </w:r>
          </w:p>
        </w:tc>
        <w:tc>
          <w:tcPr>
            <w:tcW w:w="2753" w:type="dxa"/>
          </w:tcPr>
          <w:p w14:paraId="5BB9DEB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10.04 ± 11.13 (6.00)</w:t>
            </w:r>
          </w:p>
        </w:tc>
        <w:tc>
          <w:tcPr>
            <w:tcW w:w="1275" w:type="dxa"/>
          </w:tcPr>
          <w:p w14:paraId="04A2A8D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0.225</w:t>
            </w:r>
            <w:r w:rsidRPr="003945C7">
              <w:rPr>
                <w:rFonts w:ascii="Book Antiqua" w:hAnsi="Book Antiqua" w:cs="Times New Roman" w:hint="eastAsia"/>
                <w:color w:val="000000" w:themeColor="text1"/>
                <w:vertAlign w:val="superscript"/>
                <w:lang w:eastAsia="zh-CN"/>
              </w:rPr>
              <w:t>1</w:t>
            </w:r>
          </w:p>
        </w:tc>
      </w:tr>
      <w:tr w:rsidR="009B5689" w:rsidRPr="003945C7" w14:paraId="797C9111" w14:textId="77777777" w:rsidTr="00D766BF">
        <w:trPr>
          <w:trHeight w:val="451"/>
          <w:jc w:val="center"/>
        </w:trPr>
        <w:tc>
          <w:tcPr>
            <w:tcW w:w="2754" w:type="dxa"/>
          </w:tcPr>
          <w:p w14:paraId="3BA6582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Iron µmol/L) </w:t>
            </w:r>
          </w:p>
        </w:tc>
        <w:tc>
          <w:tcPr>
            <w:tcW w:w="2754" w:type="dxa"/>
          </w:tcPr>
          <w:p w14:paraId="7791276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17.35 ± 11.07 (12.52)</w:t>
            </w:r>
          </w:p>
        </w:tc>
        <w:tc>
          <w:tcPr>
            <w:tcW w:w="2753" w:type="dxa"/>
          </w:tcPr>
          <w:p w14:paraId="16A2C7E9"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16.72 ± 8.777 (13.91)</w:t>
            </w:r>
          </w:p>
        </w:tc>
        <w:tc>
          <w:tcPr>
            <w:tcW w:w="1275" w:type="dxa"/>
          </w:tcPr>
          <w:p w14:paraId="7DDBEF69"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0.872</w:t>
            </w:r>
            <w:r w:rsidRPr="003945C7">
              <w:rPr>
                <w:rFonts w:ascii="Book Antiqua" w:hAnsi="Book Antiqua" w:cs="Times New Roman" w:hint="eastAsia"/>
                <w:color w:val="000000" w:themeColor="text1"/>
                <w:vertAlign w:val="superscript"/>
                <w:lang w:eastAsia="zh-CN"/>
              </w:rPr>
              <w:t>1</w:t>
            </w:r>
          </w:p>
        </w:tc>
      </w:tr>
      <w:tr w:rsidR="009B5689" w:rsidRPr="003945C7" w14:paraId="682E0830" w14:textId="77777777" w:rsidTr="00D766BF">
        <w:trPr>
          <w:trHeight w:val="451"/>
          <w:jc w:val="center"/>
        </w:trPr>
        <w:tc>
          <w:tcPr>
            <w:tcW w:w="2754" w:type="dxa"/>
          </w:tcPr>
          <w:p w14:paraId="3AD6382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AST (U/L)</w:t>
            </w:r>
          </w:p>
        </w:tc>
        <w:tc>
          <w:tcPr>
            <w:tcW w:w="2754" w:type="dxa"/>
          </w:tcPr>
          <w:p w14:paraId="4736120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22.43 ± 6.421 (20.80)</w:t>
            </w:r>
          </w:p>
        </w:tc>
        <w:tc>
          <w:tcPr>
            <w:tcW w:w="2753" w:type="dxa"/>
          </w:tcPr>
          <w:p w14:paraId="005F78A9"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21.84 ± 6.481 (21.30)</w:t>
            </w:r>
          </w:p>
        </w:tc>
        <w:tc>
          <w:tcPr>
            <w:tcW w:w="1275" w:type="dxa"/>
          </w:tcPr>
          <w:p w14:paraId="69A4892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0.803</w:t>
            </w:r>
          </w:p>
        </w:tc>
      </w:tr>
      <w:tr w:rsidR="009B5689" w:rsidRPr="003945C7" w14:paraId="06F69615" w14:textId="77777777" w:rsidTr="00D766BF">
        <w:trPr>
          <w:trHeight w:val="438"/>
          <w:jc w:val="center"/>
        </w:trPr>
        <w:tc>
          <w:tcPr>
            <w:tcW w:w="2754" w:type="dxa"/>
          </w:tcPr>
          <w:p w14:paraId="48FD070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ALT (U/L)</w:t>
            </w:r>
          </w:p>
        </w:tc>
        <w:tc>
          <w:tcPr>
            <w:tcW w:w="2754" w:type="dxa"/>
          </w:tcPr>
          <w:p w14:paraId="2E049A5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13.64 ± 4.125 (13.20)</w:t>
            </w:r>
          </w:p>
        </w:tc>
        <w:tc>
          <w:tcPr>
            <w:tcW w:w="2753" w:type="dxa"/>
          </w:tcPr>
          <w:p w14:paraId="01A12DC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14.16 ± 6.511 (12.60)</w:t>
            </w:r>
          </w:p>
        </w:tc>
        <w:tc>
          <w:tcPr>
            <w:tcW w:w="1275" w:type="dxa"/>
          </w:tcPr>
          <w:p w14:paraId="1F65298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0.901</w:t>
            </w:r>
            <w:r w:rsidRPr="003945C7">
              <w:rPr>
                <w:rFonts w:ascii="Book Antiqua" w:hAnsi="Book Antiqua" w:cs="Times New Roman" w:hint="eastAsia"/>
                <w:color w:val="000000" w:themeColor="text1"/>
                <w:vertAlign w:val="superscript"/>
                <w:lang w:eastAsia="zh-CN"/>
              </w:rPr>
              <w:t>1</w:t>
            </w:r>
          </w:p>
        </w:tc>
      </w:tr>
      <w:tr w:rsidR="009B5689" w:rsidRPr="003945C7" w14:paraId="659F7C03" w14:textId="77777777" w:rsidTr="00D766BF">
        <w:trPr>
          <w:trHeight w:val="451"/>
          <w:jc w:val="center"/>
        </w:trPr>
        <w:tc>
          <w:tcPr>
            <w:tcW w:w="2754" w:type="dxa"/>
          </w:tcPr>
          <w:p w14:paraId="3CE85C8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GGT (U/L)</w:t>
            </w:r>
          </w:p>
        </w:tc>
        <w:tc>
          <w:tcPr>
            <w:tcW w:w="2754" w:type="dxa"/>
          </w:tcPr>
          <w:p w14:paraId="3932DF1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11.64 ± 3.443 (11.00)</w:t>
            </w:r>
          </w:p>
        </w:tc>
        <w:tc>
          <w:tcPr>
            <w:tcW w:w="2753" w:type="dxa"/>
          </w:tcPr>
          <w:p w14:paraId="6FA5DD2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12.38 ± 2.667 (12.00)</w:t>
            </w:r>
          </w:p>
        </w:tc>
        <w:tc>
          <w:tcPr>
            <w:tcW w:w="1275" w:type="dxa"/>
          </w:tcPr>
          <w:p w14:paraId="49232DC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0.169</w:t>
            </w:r>
            <w:r w:rsidRPr="003945C7">
              <w:rPr>
                <w:rFonts w:ascii="Book Antiqua" w:hAnsi="Book Antiqua" w:cs="Times New Roman" w:hint="eastAsia"/>
                <w:color w:val="000000" w:themeColor="text1"/>
                <w:vertAlign w:val="superscript"/>
                <w:lang w:eastAsia="zh-CN"/>
              </w:rPr>
              <w:t>1</w:t>
            </w:r>
          </w:p>
        </w:tc>
      </w:tr>
      <w:tr w:rsidR="009B5689" w:rsidRPr="003945C7" w14:paraId="0A652671" w14:textId="77777777" w:rsidTr="00504D7E">
        <w:trPr>
          <w:trHeight w:val="451"/>
          <w:jc w:val="center"/>
        </w:trPr>
        <w:tc>
          <w:tcPr>
            <w:tcW w:w="2754" w:type="dxa"/>
            <w:tcBorders>
              <w:bottom w:val="nil"/>
            </w:tcBorders>
          </w:tcPr>
          <w:p w14:paraId="326567B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NLR</w:t>
            </w:r>
          </w:p>
        </w:tc>
        <w:tc>
          <w:tcPr>
            <w:tcW w:w="2754" w:type="dxa"/>
            <w:tcBorders>
              <w:bottom w:val="nil"/>
            </w:tcBorders>
          </w:tcPr>
          <w:p w14:paraId="7747BAA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2.374 ± 1.426 (1.660)</w:t>
            </w:r>
          </w:p>
        </w:tc>
        <w:tc>
          <w:tcPr>
            <w:tcW w:w="2753" w:type="dxa"/>
            <w:tcBorders>
              <w:bottom w:val="nil"/>
            </w:tcBorders>
          </w:tcPr>
          <w:p w14:paraId="15D0923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2.620 ± 2.150 (1.845)</w:t>
            </w:r>
          </w:p>
        </w:tc>
        <w:tc>
          <w:tcPr>
            <w:tcW w:w="1275" w:type="dxa"/>
            <w:tcBorders>
              <w:bottom w:val="nil"/>
            </w:tcBorders>
          </w:tcPr>
          <w:p w14:paraId="7D85A05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0.859</w:t>
            </w:r>
            <w:r w:rsidRPr="003945C7">
              <w:rPr>
                <w:rFonts w:ascii="Book Antiqua" w:hAnsi="Book Antiqua" w:cs="Times New Roman" w:hint="eastAsia"/>
                <w:color w:val="000000" w:themeColor="text1"/>
                <w:vertAlign w:val="superscript"/>
                <w:lang w:eastAsia="zh-CN"/>
              </w:rPr>
              <w:t>1</w:t>
            </w:r>
          </w:p>
        </w:tc>
      </w:tr>
      <w:tr w:rsidR="009B5689" w:rsidRPr="003945C7" w14:paraId="3F0B9728" w14:textId="77777777" w:rsidTr="00504D7E">
        <w:trPr>
          <w:trHeight w:val="490"/>
          <w:jc w:val="center"/>
        </w:trPr>
        <w:tc>
          <w:tcPr>
            <w:tcW w:w="2754" w:type="dxa"/>
            <w:tcBorders>
              <w:top w:val="nil"/>
              <w:bottom w:val="nil"/>
            </w:tcBorders>
            <w:shd w:val="clear" w:color="auto" w:fill="auto"/>
          </w:tcPr>
          <w:p w14:paraId="658061D7" w14:textId="4880AD94"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 xml:space="preserve">CT genotype of TLR9 </w:t>
            </w:r>
            <w:proofErr w:type="spellStart"/>
            <w:r w:rsidRPr="003945C7">
              <w:rPr>
                <w:rFonts w:ascii="Book Antiqua" w:hAnsi="Book Antiqua" w:cs="Times New Roman"/>
                <w:b/>
                <w:iCs/>
                <w:color w:val="000000" w:themeColor="text1"/>
              </w:rPr>
              <w:t>rs</w:t>
            </w:r>
            <w:proofErr w:type="spellEnd"/>
            <w:r w:rsidRPr="003945C7">
              <w:rPr>
                <w:rFonts w:ascii="Book Antiqua" w:hAnsi="Book Antiqua" w:cs="Times New Roman"/>
                <w:b/>
                <w:iCs/>
                <w:color w:val="000000" w:themeColor="text1"/>
              </w:rPr>
              <w:t xml:space="preserve"> 352140</w:t>
            </w:r>
            <w:r w:rsidR="000C2094" w:rsidRPr="003945C7">
              <w:rPr>
                <w:rFonts w:ascii="Book Antiqua" w:hAnsi="Book Antiqua" w:cs="Times New Roman"/>
                <w:b/>
                <w:iCs/>
                <w:color w:val="000000" w:themeColor="text1"/>
              </w:rPr>
              <w:t>,</w:t>
            </w:r>
            <w:r w:rsidRPr="003945C7">
              <w:rPr>
                <w:rFonts w:ascii="Book Antiqua" w:hAnsi="Book Antiqua" w:cs="Times New Roman"/>
                <w:b/>
                <w:i/>
                <w:color w:val="000000" w:themeColor="text1"/>
              </w:rPr>
              <w:t xml:space="preserve"> 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84</w:t>
            </w:r>
          </w:p>
        </w:tc>
        <w:tc>
          <w:tcPr>
            <w:tcW w:w="2754" w:type="dxa"/>
            <w:tcBorders>
              <w:top w:val="nil"/>
              <w:bottom w:val="nil"/>
            </w:tcBorders>
            <w:shd w:val="clear" w:color="auto" w:fill="auto"/>
          </w:tcPr>
          <w:p w14:paraId="09365611" w14:textId="29BF6AF3"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Study group</w:t>
            </w:r>
            <w:r w:rsidR="000C2094"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21</w:t>
            </w:r>
          </w:p>
          <w:p w14:paraId="04907F4E" w14:textId="2F76A4B3" w:rsidR="009B5689" w:rsidRPr="003945C7" w:rsidRDefault="000C2094"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 ± SD (median)</w:t>
            </w:r>
          </w:p>
        </w:tc>
        <w:tc>
          <w:tcPr>
            <w:tcW w:w="2753" w:type="dxa"/>
            <w:tcBorders>
              <w:top w:val="nil"/>
              <w:bottom w:val="nil"/>
            </w:tcBorders>
            <w:shd w:val="clear" w:color="auto" w:fill="auto"/>
          </w:tcPr>
          <w:p w14:paraId="36707E7F" w14:textId="020CCFD5"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Control group</w:t>
            </w:r>
            <w:r w:rsidR="000C2094"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63</w:t>
            </w:r>
          </w:p>
          <w:p w14:paraId="14B1999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mean ± SD (median)</w:t>
            </w:r>
          </w:p>
        </w:tc>
        <w:tc>
          <w:tcPr>
            <w:tcW w:w="1275" w:type="dxa"/>
            <w:tcBorders>
              <w:top w:val="nil"/>
              <w:bottom w:val="nil"/>
            </w:tcBorders>
            <w:shd w:val="clear" w:color="auto" w:fill="auto"/>
          </w:tcPr>
          <w:p w14:paraId="7C5E0C5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i/>
                <w:caps/>
                <w:color w:val="000000" w:themeColor="text1"/>
              </w:rPr>
              <w:t>p</w:t>
            </w:r>
            <w:r w:rsidRPr="003945C7">
              <w:rPr>
                <w:rFonts w:ascii="Book Antiqua" w:hAnsi="Book Antiqua" w:cs="Times New Roman"/>
                <w:b/>
                <w:color w:val="000000" w:themeColor="text1"/>
              </w:rPr>
              <w:t>-value</w:t>
            </w:r>
          </w:p>
        </w:tc>
      </w:tr>
      <w:tr w:rsidR="009B5689" w:rsidRPr="003945C7" w14:paraId="213B20EB" w14:textId="77777777" w:rsidTr="00504D7E">
        <w:trPr>
          <w:trHeight w:val="451"/>
          <w:jc w:val="center"/>
        </w:trPr>
        <w:tc>
          <w:tcPr>
            <w:tcW w:w="2754" w:type="dxa"/>
            <w:tcBorders>
              <w:top w:val="nil"/>
            </w:tcBorders>
          </w:tcPr>
          <w:p w14:paraId="3AB2ACA1" w14:textId="408DC87D"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Hemoglobin (g/d</w:t>
            </w:r>
            <w:r w:rsidR="000C2094" w:rsidRPr="003945C7">
              <w:rPr>
                <w:rFonts w:ascii="Book Antiqua" w:hAnsi="Book Antiqua" w:cs="Times New Roman"/>
                <w:color w:val="000000" w:themeColor="text1"/>
              </w:rPr>
              <w:t>L</w:t>
            </w:r>
            <w:r w:rsidRPr="003945C7">
              <w:rPr>
                <w:rFonts w:ascii="Book Antiqua" w:hAnsi="Book Antiqua" w:cs="Times New Roman"/>
                <w:color w:val="000000" w:themeColor="text1"/>
              </w:rPr>
              <w:t xml:space="preserve">) </w:t>
            </w:r>
          </w:p>
        </w:tc>
        <w:tc>
          <w:tcPr>
            <w:tcW w:w="2754" w:type="dxa"/>
            <w:tcBorders>
              <w:top w:val="nil"/>
            </w:tcBorders>
          </w:tcPr>
          <w:p w14:paraId="739560D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13.37 ± 1.001 (13.00)</w:t>
            </w:r>
          </w:p>
        </w:tc>
        <w:tc>
          <w:tcPr>
            <w:tcW w:w="2753" w:type="dxa"/>
            <w:tcBorders>
              <w:top w:val="nil"/>
            </w:tcBorders>
          </w:tcPr>
          <w:p w14:paraId="44B04B4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13.49 ± 1.435 (13.70)</w:t>
            </w:r>
          </w:p>
        </w:tc>
        <w:tc>
          <w:tcPr>
            <w:tcW w:w="1275" w:type="dxa"/>
            <w:tcBorders>
              <w:top w:val="nil"/>
            </w:tcBorders>
          </w:tcPr>
          <w:p w14:paraId="3A45C24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0.435</w:t>
            </w:r>
            <w:r w:rsidRPr="003945C7">
              <w:rPr>
                <w:rFonts w:ascii="Book Antiqua" w:hAnsi="Book Antiqua" w:cs="Times New Roman" w:hint="eastAsia"/>
                <w:color w:val="000000" w:themeColor="text1"/>
                <w:vertAlign w:val="superscript"/>
                <w:lang w:eastAsia="zh-CN"/>
              </w:rPr>
              <w:t>1</w:t>
            </w:r>
          </w:p>
        </w:tc>
      </w:tr>
      <w:tr w:rsidR="009B5689" w:rsidRPr="003945C7" w14:paraId="35042F6E" w14:textId="77777777" w:rsidTr="00D766BF">
        <w:trPr>
          <w:trHeight w:val="451"/>
          <w:jc w:val="center"/>
        </w:trPr>
        <w:tc>
          <w:tcPr>
            <w:tcW w:w="2754" w:type="dxa"/>
          </w:tcPr>
          <w:p w14:paraId="746AAC4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Leucocytes (10³/µL) </w:t>
            </w:r>
          </w:p>
        </w:tc>
        <w:tc>
          <w:tcPr>
            <w:tcW w:w="2754" w:type="dxa"/>
          </w:tcPr>
          <w:p w14:paraId="3B5F7ED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7.580 ± 2.331 (7.55)</w:t>
            </w:r>
          </w:p>
        </w:tc>
        <w:tc>
          <w:tcPr>
            <w:tcW w:w="2753" w:type="dxa"/>
          </w:tcPr>
          <w:p w14:paraId="5991417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6.826 ± 2.262 (6.64)</w:t>
            </w:r>
          </w:p>
        </w:tc>
        <w:tc>
          <w:tcPr>
            <w:tcW w:w="1275" w:type="dxa"/>
          </w:tcPr>
          <w:p w14:paraId="348A344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0.075</w:t>
            </w:r>
            <w:r w:rsidRPr="003945C7">
              <w:rPr>
                <w:rFonts w:ascii="Book Antiqua" w:hAnsi="Book Antiqua" w:cs="Times New Roman" w:hint="eastAsia"/>
                <w:color w:val="000000" w:themeColor="text1"/>
                <w:vertAlign w:val="superscript"/>
                <w:lang w:eastAsia="zh-CN"/>
              </w:rPr>
              <w:t>1</w:t>
            </w:r>
          </w:p>
        </w:tc>
      </w:tr>
      <w:tr w:rsidR="009B5689" w:rsidRPr="003945C7" w14:paraId="1ADC9E8F" w14:textId="77777777" w:rsidTr="001D72D9">
        <w:trPr>
          <w:trHeight w:val="125"/>
          <w:jc w:val="center"/>
        </w:trPr>
        <w:tc>
          <w:tcPr>
            <w:tcW w:w="2754" w:type="dxa"/>
          </w:tcPr>
          <w:p w14:paraId="7C9C6C2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Lymphocytes (10³/µL) </w:t>
            </w:r>
          </w:p>
        </w:tc>
        <w:tc>
          <w:tcPr>
            <w:tcW w:w="2754" w:type="dxa"/>
          </w:tcPr>
          <w:p w14:paraId="17EEAC5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2.545 ± 0.6196 (2.56)</w:t>
            </w:r>
          </w:p>
        </w:tc>
        <w:tc>
          <w:tcPr>
            <w:tcW w:w="2753" w:type="dxa"/>
          </w:tcPr>
          <w:p w14:paraId="3A55CBF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2.546 ± 0.8016 (2.45)</w:t>
            </w:r>
          </w:p>
        </w:tc>
        <w:tc>
          <w:tcPr>
            <w:tcW w:w="1275" w:type="dxa"/>
          </w:tcPr>
          <w:p w14:paraId="087F689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0.713</w:t>
            </w:r>
            <w:r w:rsidRPr="003945C7">
              <w:rPr>
                <w:rFonts w:ascii="Book Antiqua" w:hAnsi="Book Antiqua" w:cs="Times New Roman" w:hint="eastAsia"/>
                <w:color w:val="000000" w:themeColor="text1"/>
                <w:vertAlign w:val="superscript"/>
                <w:lang w:eastAsia="zh-CN"/>
              </w:rPr>
              <w:t>1</w:t>
            </w:r>
          </w:p>
        </w:tc>
      </w:tr>
      <w:tr w:rsidR="009B5689" w:rsidRPr="003945C7" w14:paraId="3CF8D717" w14:textId="77777777" w:rsidTr="00D766BF">
        <w:trPr>
          <w:trHeight w:val="451"/>
          <w:jc w:val="center"/>
        </w:trPr>
        <w:tc>
          <w:tcPr>
            <w:tcW w:w="2754" w:type="dxa"/>
          </w:tcPr>
          <w:p w14:paraId="1CBB99C9"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Neutrophils (10³/µL) </w:t>
            </w:r>
          </w:p>
        </w:tc>
        <w:tc>
          <w:tcPr>
            <w:tcW w:w="2754" w:type="dxa"/>
          </w:tcPr>
          <w:p w14:paraId="6407729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4.032 ± 2.055 (3.85)</w:t>
            </w:r>
          </w:p>
        </w:tc>
        <w:tc>
          <w:tcPr>
            <w:tcW w:w="2753" w:type="dxa"/>
          </w:tcPr>
          <w:p w14:paraId="0CC3B1A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3.488 ± 1.898 (3.11)</w:t>
            </w:r>
          </w:p>
        </w:tc>
        <w:tc>
          <w:tcPr>
            <w:tcW w:w="1275" w:type="dxa"/>
          </w:tcPr>
          <w:p w14:paraId="4A83CA6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0.253</w:t>
            </w:r>
            <w:r w:rsidRPr="003945C7">
              <w:rPr>
                <w:rFonts w:ascii="Book Antiqua" w:hAnsi="Book Antiqua" w:cs="Times New Roman" w:hint="eastAsia"/>
                <w:color w:val="000000" w:themeColor="text1"/>
                <w:vertAlign w:val="superscript"/>
                <w:lang w:eastAsia="zh-CN"/>
              </w:rPr>
              <w:t>1</w:t>
            </w:r>
          </w:p>
        </w:tc>
      </w:tr>
      <w:tr w:rsidR="009B5689" w:rsidRPr="003945C7" w14:paraId="07E1DD61" w14:textId="77777777" w:rsidTr="00D766BF">
        <w:trPr>
          <w:trHeight w:val="451"/>
          <w:jc w:val="center"/>
        </w:trPr>
        <w:tc>
          <w:tcPr>
            <w:tcW w:w="2754" w:type="dxa"/>
          </w:tcPr>
          <w:p w14:paraId="316068F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Eosinophils (10³/µL) </w:t>
            </w:r>
          </w:p>
        </w:tc>
        <w:tc>
          <w:tcPr>
            <w:tcW w:w="2754" w:type="dxa"/>
          </w:tcPr>
          <w:p w14:paraId="5AA8B7B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0.272 ± 0.3047 (0.175)</w:t>
            </w:r>
          </w:p>
        </w:tc>
        <w:tc>
          <w:tcPr>
            <w:tcW w:w="2753" w:type="dxa"/>
          </w:tcPr>
          <w:p w14:paraId="159D6A8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0.218 ± 0.3075 (0.110)</w:t>
            </w:r>
          </w:p>
        </w:tc>
        <w:tc>
          <w:tcPr>
            <w:tcW w:w="1275" w:type="dxa"/>
          </w:tcPr>
          <w:p w14:paraId="530BD47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0.332</w:t>
            </w:r>
            <w:r w:rsidRPr="003945C7">
              <w:rPr>
                <w:rFonts w:ascii="Book Antiqua" w:hAnsi="Book Antiqua" w:cs="Times New Roman" w:hint="eastAsia"/>
                <w:color w:val="000000" w:themeColor="text1"/>
                <w:vertAlign w:val="superscript"/>
                <w:lang w:eastAsia="zh-CN"/>
              </w:rPr>
              <w:t>1</w:t>
            </w:r>
          </w:p>
        </w:tc>
      </w:tr>
      <w:tr w:rsidR="009B5689" w:rsidRPr="003945C7" w14:paraId="48FDFD64" w14:textId="77777777" w:rsidTr="00D766BF">
        <w:trPr>
          <w:trHeight w:val="438"/>
          <w:jc w:val="center"/>
        </w:trPr>
        <w:tc>
          <w:tcPr>
            <w:tcW w:w="2754" w:type="dxa"/>
          </w:tcPr>
          <w:p w14:paraId="7EF67C0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ESR (mm/h)</w:t>
            </w:r>
          </w:p>
        </w:tc>
        <w:tc>
          <w:tcPr>
            <w:tcW w:w="2754" w:type="dxa"/>
          </w:tcPr>
          <w:p w14:paraId="5101BFD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10.48 ± 6.668 (9.00)</w:t>
            </w:r>
          </w:p>
        </w:tc>
        <w:tc>
          <w:tcPr>
            <w:tcW w:w="2753" w:type="dxa"/>
          </w:tcPr>
          <w:p w14:paraId="4B2948B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8.841 ± 5.995 (7.00)</w:t>
            </w:r>
          </w:p>
        </w:tc>
        <w:tc>
          <w:tcPr>
            <w:tcW w:w="1275" w:type="dxa"/>
          </w:tcPr>
          <w:p w14:paraId="09D845E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0.288</w:t>
            </w:r>
            <w:r w:rsidRPr="003945C7">
              <w:rPr>
                <w:rFonts w:ascii="Book Antiqua" w:hAnsi="Book Antiqua" w:cs="Times New Roman" w:hint="eastAsia"/>
                <w:color w:val="000000" w:themeColor="text1"/>
                <w:vertAlign w:val="superscript"/>
                <w:lang w:eastAsia="zh-CN"/>
              </w:rPr>
              <w:t>1</w:t>
            </w:r>
          </w:p>
        </w:tc>
      </w:tr>
      <w:tr w:rsidR="009B5689" w:rsidRPr="003945C7" w14:paraId="0C4CEAB4" w14:textId="77777777" w:rsidTr="00D766BF">
        <w:trPr>
          <w:trHeight w:val="451"/>
          <w:jc w:val="center"/>
        </w:trPr>
        <w:tc>
          <w:tcPr>
            <w:tcW w:w="2754" w:type="dxa"/>
          </w:tcPr>
          <w:p w14:paraId="52EEBCB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Iron µmol/L) </w:t>
            </w:r>
          </w:p>
        </w:tc>
        <w:tc>
          <w:tcPr>
            <w:tcW w:w="2754" w:type="dxa"/>
          </w:tcPr>
          <w:p w14:paraId="2BC9CA9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14.84 ± 5.340 (15.00)</w:t>
            </w:r>
          </w:p>
        </w:tc>
        <w:tc>
          <w:tcPr>
            <w:tcW w:w="2753" w:type="dxa"/>
          </w:tcPr>
          <w:p w14:paraId="776CBE3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14.87 ± 5.832 (15.13)</w:t>
            </w:r>
          </w:p>
        </w:tc>
        <w:tc>
          <w:tcPr>
            <w:tcW w:w="1275" w:type="dxa"/>
          </w:tcPr>
          <w:p w14:paraId="21CB38C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0.985</w:t>
            </w:r>
          </w:p>
        </w:tc>
      </w:tr>
      <w:tr w:rsidR="009B5689" w:rsidRPr="003945C7" w14:paraId="2FA385C8" w14:textId="77777777" w:rsidTr="00D766BF">
        <w:trPr>
          <w:trHeight w:val="463"/>
          <w:jc w:val="center"/>
        </w:trPr>
        <w:tc>
          <w:tcPr>
            <w:tcW w:w="2754" w:type="dxa"/>
          </w:tcPr>
          <w:p w14:paraId="7DD4C3C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AST (U/L)</w:t>
            </w:r>
          </w:p>
        </w:tc>
        <w:tc>
          <w:tcPr>
            <w:tcW w:w="2754" w:type="dxa"/>
          </w:tcPr>
          <w:p w14:paraId="6667483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19.22 ± 4.518 (19.50)</w:t>
            </w:r>
          </w:p>
        </w:tc>
        <w:tc>
          <w:tcPr>
            <w:tcW w:w="2753" w:type="dxa"/>
          </w:tcPr>
          <w:p w14:paraId="234B26C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23.54 ± 13.10 (20.10)</w:t>
            </w:r>
          </w:p>
        </w:tc>
        <w:tc>
          <w:tcPr>
            <w:tcW w:w="1275" w:type="dxa"/>
          </w:tcPr>
          <w:p w14:paraId="151A5E6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0.174</w:t>
            </w:r>
            <w:r w:rsidRPr="003945C7">
              <w:rPr>
                <w:rFonts w:ascii="Book Antiqua" w:hAnsi="Book Antiqua" w:cs="Times New Roman" w:hint="eastAsia"/>
                <w:color w:val="000000" w:themeColor="text1"/>
                <w:vertAlign w:val="superscript"/>
                <w:lang w:eastAsia="zh-CN"/>
              </w:rPr>
              <w:t>1</w:t>
            </w:r>
          </w:p>
        </w:tc>
      </w:tr>
      <w:tr w:rsidR="009B5689" w:rsidRPr="003945C7" w14:paraId="5E710CA3" w14:textId="77777777" w:rsidTr="00D766BF">
        <w:trPr>
          <w:trHeight w:val="451"/>
          <w:jc w:val="center"/>
        </w:trPr>
        <w:tc>
          <w:tcPr>
            <w:tcW w:w="2754" w:type="dxa"/>
          </w:tcPr>
          <w:p w14:paraId="2F501BA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ALT (U/L)</w:t>
            </w:r>
          </w:p>
        </w:tc>
        <w:tc>
          <w:tcPr>
            <w:tcW w:w="2754" w:type="dxa"/>
          </w:tcPr>
          <w:p w14:paraId="2F40BE6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12.73 ± 3.659 (11.80)</w:t>
            </w:r>
          </w:p>
        </w:tc>
        <w:tc>
          <w:tcPr>
            <w:tcW w:w="2753" w:type="dxa"/>
          </w:tcPr>
          <w:p w14:paraId="61D4C01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15.93 ± 13.55 (13.10)</w:t>
            </w:r>
          </w:p>
        </w:tc>
        <w:tc>
          <w:tcPr>
            <w:tcW w:w="1275" w:type="dxa"/>
          </w:tcPr>
          <w:p w14:paraId="39D93FC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0.128</w:t>
            </w:r>
            <w:r w:rsidRPr="003945C7">
              <w:rPr>
                <w:rFonts w:ascii="Book Antiqua" w:hAnsi="Book Antiqua" w:cs="Times New Roman" w:hint="eastAsia"/>
                <w:color w:val="000000" w:themeColor="text1"/>
                <w:vertAlign w:val="superscript"/>
                <w:lang w:eastAsia="zh-CN"/>
              </w:rPr>
              <w:t>1</w:t>
            </w:r>
          </w:p>
        </w:tc>
      </w:tr>
      <w:tr w:rsidR="009B5689" w:rsidRPr="003945C7" w14:paraId="14E133C6" w14:textId="77777777" w:rsidTr="00D766BF">
        <w:trPr>
          <w:trHeight w:val="438"/>
          <w:jc w:val="center"/>
        </w:trPr>
        <w:tc>
          <w:tcPr>
            <w:tcW w:w="2754" w:type="dxa"/>
          </w:tcPr>
          <w:p w14:paraId="31FEA46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GGT (U/L)</w:t>
            </w:r>
          </w:p>
        </w:tc>
        <w:tc>
          <w:tcPr>
            <w:tcW w:w="2754" w:type="dxa"/>
          </w:tcPr>
          <w:p w14:paraId="10F5DF6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11.10 ± 3.646 (11.00)</w:t>
            </w:r>
          </w:p>
        </w:tc>
        <w:tc>
          <w:tcPr>
            <w:tcW w:w="2753" w:type="dxa"/>
          </w:tcPr>
          <w:p w14:paraId="43895AE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12.76 ± 4.950 (11.00)</w:t>
            </w:r>
          </w:p>
        </w:tc>
        <w:tc>
          <w:tcPr>
            <w:tcW w:w="1275" w:type="dxa"/>
          </w:tcPr>
          <w:p w14:paraId="0770FE8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0.094</w:t>
            </w:r>
            <w:r w:rsidRPr="003945C7">
              <w:rPr>
                <w:rFonts w:ascii="Book Antiqua" w:hAnsi="Book Antiqua" w:cs="Times New Roman" w:hint="eastAsia"/>
                <w:color w:val="000000" w:themeColor="text1"/>
                <w:vertAlign w:val="superscript"/>
                <w:lang w:eastAsia="zh-CN"/>
              </w:rPr>
              <w:t>1</w:t>
            </w:r>
          </w:p>
        </w:tc>
      </w:tr>
      <w:tr w:rsidR="009B5689" w:rsidRPr="003945C7" w14:paraId="37D862D0" w14:textId="77777777" w:rsidTr="00504D7E">
        <w:trPr>
          <w:trHeight w:val="451"/>
          <w:jc w:val="center"/>
        </w:trPr>
        <w:tc>
          <w:tcPr>
            <w:tcW w:w="2754" w:type="dxa"/>
            <w:tcBorders>
              <w:bottom w:val="nil"/>
            </w:tcBorders>
          </w:tcPr>
          <w:p w14:paraId="1E8BE549"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lastRenderedPageBreak/>
              <w:t>NLR</w:t>
            </w:r>
          </w:p>
        </w:tc>
        <w:tc>
          <w:tcPr>
            <w:tcW w:w="2754" w:type="dxa"/>
            <w:tcBorders>
              <w:bottom w:val="nil"/>
            </w:tcBorders>
          </w:tcPr>
          <w:p w14:paraId="77E7D76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1.664 ± 1.028 (1.330)</w:t>
            </w:r>
          </w:p>
        </w:tc>
        <w:tc>
          <w:tcPr>
            <w:tcW w:w="2753" w:type="dxa"/>
            <w:tcBorders>
              <w:bottom w:val="nil"/>
            </w:tcBorders>
          </w:tcPr>
          <w:p w14:paraId="143F082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1.489 ± 0.8915 (1.300)</w:t>
            </w:r>
          </w:p>
        </w:tc>
        <w:tc>
          <w:tcPr>
            <w:tcW w:w="1275" w:type="dxa"/>
            <w:tcBorders>
              <w:bottom w:val="nil"/>
            </w:tcBorders>
          </w:tcPr>
          <w:p w14:paraId="512948B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0.492</w:t>
            </w:r>
            <w:r w:rsidRPr="003945C7">
              <w:rPr>
                <w:rFonts w:ascii="Book Antiqua" w:hAnsi="Book Antiqua" w:cs="Times New Roman" w:hint="eastAsia"/>
                <w:color w:val="000000" w:themeColor="text1"/>
                <w:vertAlign w:val="superscript"/>
                <w:lang w:eastAsia="zh-CN"/>
              </w:rPr>
              <w:t>1</w:t>
            </w:r>
          </w:p>
        </w:tc>
      </w:tr>
      <w:tr w:rsidR="009B5689" w:rsidRPr="003945C7" w14:paraId="65F8CE77" w14:textId="77777777" w:rsidTr="00504D7E">
        <w:trPr>
          <w:trHeight w:val="473"/>
          <w:jc w:val="center"/>
        </w:trPr>
        <w:tc>
          <w:tcPr>
            <w:tcW w:w="2754" w:type="dxa"/>
            <w:tcBorders>
              <w:top w:val="nil"/>
              <w:bottom w:val="nil"/>
            </w:tcBorders>
            <w:shd w:val="clear" w:color="auto" w:fill="auto"/>
          </w:tcPr>
          <w:p w14:paraId="03538B7A" w14:textId="3A20637E"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 xml:space="preserve">TT genotype of TLR9 </w:t>
            </w:r>
            <w:proofErr w:type="spellStart"/>
            <w:r w:rsidRPr="003945C7">
              <w:rPr>
                <w:rFonts w:ascii="Book Antiqua" w:hAnsi="Book Antiqua" w:cs="Times New Roman"/>
                <w:b/>
                <w:iCs/>
                <w:color w:val="000000" w:themeColor="text1"/>
              </w:rPr>
              <w:t>rs</w:t>
            </w:r>
            <w:proofErr w:type="spellEnd"/>
            <w:r w:rsidRPr="003945C7">
              <w:rPr>
                <w:rFonts w:ascii="Book Antiqua" w:hAnsi="Book Antiqua" w:cs="Times New Roman"/>
                <w:b/>
                <w:iCs/>
                <w:color w:val="000000" w:themeColor="text1"/>
              </w:rPr>
              <w:t xml:space="preserve"> 352140</w:t>
            </w:r>
            <w:r w:rsidR="000C2094" w:rsidRPr="003945C7">
              <w:rPr>
                <w:rFonts w:ascii="Book Antiqua" w:hAnsi="Book Antiqua" w:cs="Times New Roman"/>
                <w:b/>
                <w:iCs/>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36</w:t>
            </w:r>
          </w:p>
        </w:tc>
        <w:tc>
          <w:tcPr>
            <w:tcW w:w="2754" w:type="dxa"/>
            <w:tcBorders>
              <w:top w:val="nil"/>
              <w:bottom w:val="nil"/>
            </w:tcBorders>
            <w:shd w:val="clear" w:color="auto" w:fill="auto"/>
          </w:tcPr>
          <w:p w14:paraId="371A667E" w14:textId="165392CE"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Study group</w:t>
            </w:r>
            <w:r w:rsidR="000C2094"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16</w:t>
            </w:r>
          </w:p>
          <w:p w14:paraId="0ADAB8D6" w14:textId="1F3393B2" w:rsidR="009B5689" w:rsidRPr="003945C7" w:rsidRDefault="000C2094"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 ± SD (median)</w:t>
            </w:r>
          </w:p>
        </w:tc>
        <w:tc>
          <w:tcPr>
            <w:tcW w:w="2753" w:type="dxa"/>
            <w:tcBorders>
              <w:top w:val="nil"/>
              <w:bottom w:val="nil"/>
            </w:tcBorders>
            <w:shd w:val="clear" w:color="auto" w:fill="auto"/>
          </w:tcPr>
          <w:p w14:paraId="03F191AF" w14:textId="15CFC643" w:rsidR="009B5689" w:rsidRPr="003945C7" w:rsidRDefault="009B5689" w:rsidP="001765D0">
            <w:pPr>
              <w:adjustRightInd w:val="0"/>
              <w:snapToGrid w:val="0"/>
              <w:spacing w:line="360" w:lineRule="auto"/>
              <w:jc w:val="both"/>
              <w:rPr>
                <w:rFonts w:ascii="Book Antiqua" w:hAnsi="Book Antiqua" w:cs="Times New Roman"/>
                <w:b/>
                <w:color w:val="000000" w:themeColor="text1"/>
              </w:rPr>
            </w:pPr>
            <w:r w:rsidRPr="003945C7">
              <w:rPr>
                <w:rFonts w:ascii="Book Antiqua" w:hAnsi="Book Antiqua" w:cs="Times New Roman"/>
                <w:b/>
                <w:color w:val="000000" w:themeColor="text1"/>
              </w:rPr>
              <w:t>Control group</w:t>
            </w:r>
            <w:r w:rsidR="000C2094" w:rsidRPr="003945C7">
              <w:rPr>
                <w:rFonts w:ascii="Book Antiqua" w:hAnsi="Book Antiqua" w:cs="Times New Roman"/>
                <w:b/>
                <w:color w:val="000000" w:themeColor="text1"/>
              </w:rPr>
              <w:t>,</w:t>
            </w:r>
            <w:r w:rsidRPr="003945C7">
              <w:rPr>
                <w:rFonts w:ascii="Book Antiqua" w:hAnsi="Book Antiqua" w:cs="Times New Roman"/>
                <w:b/>
                <w:color w:val="000000" w:themeColor="text1"/>
              </w:rPr>
              <w:t xml:space="preserve"> </w:t>
            </w:r>
            <w:r w:rsidRPr="003945C7">
              <w:rPr>
                <w:rFonts w:ascii="Book Antiqua" w:hAnsi="Book Antiqua" w:cs="Times New Roman"/>
                <w:b/>
                <w:i/>
                <w:color w:val="000000" w:themeColor="text1"/>
              </w:rPr>
              <w:t>n</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w:t>
            </w:r>
            <w:r w:rsidRPr="003945C7">
              <w:rPr>
                <w:rFonts w:ascii="Book Antiqua" w:hAnsi="Book Antiqua" w:cs="Times New Roman" w:hint="eastAsia"/>
                <w:b/>
                <w:color w:val="000000" w:themeColor="text1"/>
                <w:lang w:eastAsia="zh-CN"/>
              </w:rPr>
              <w:t xml:space="preserve"> </w:t>
            </w:r>
            <w:r w:rsidRPr="003945C7">
              <w:rPr>
                <w:rFonts w:ascii="Book Antiqua" w:hAnsi="Book Antiqua" w:cs="Times New Roman"/>
                <w:b/>
                <w:color w:val="000000" w:themeColor="text1"/>
              </w:rPr>
              <w:t>20</w:t>
            </w:r>
          </w:p>
          <w:p w14:paraId="656E92EE" w14:textId="5EF5C1D8" w:rsidR="009B5689" w:rsidRPr="003945C7" w:rsidRDefault="000C2094"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M</w:t>
            </w:r>
            <w:r w:rsidR="009B5689" w:rsidRPr="003945C7">
              <w:rPr>
                <w:rFonts w:ascii="Book Antiqua" w:hAnsi="Book Antiqua" w:cs="Times New Roman"/>
                <w:b/>
                <w:color w:val="000000" w:themeColor="text1"/>
              </w:rPr>
              <w:t>ean ± SD (median)</w:t>
            </w:r>
          </w:p>
        </w:tc>
        <w:tc>
          <w:tcPr>
            <w:tcW w:w="1275" w:type="dxa"/>
            <w:tcBorders>
              <w:top w:val="nil"/>
              <w:bottom w:val="nil"/>
            </w:tcBorders>
            <w:shd w:val="clear" w:color="auto" w:fill="auto"/>
          </w:tcPr>
          <w:p w14:paraId="5E07A2A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i/>
                <w:caps/>
                <w:color w:val="000000" w:themeColor="text1"/>
              </w:rPr>
              <w:t>p</w:t>
            </w:r>
            <w:r w:rsidRPr="003945C7">
              <w:rPr>
                <w:rFonts w:ascii="Book Antiqua" w:hAnsi="Book Antiqua" w:cs="Times New Roman"/>
                <w:b/>
                <w:color w:val="000000" w:themeColor="text1"/>
              </w:rPr>
              <w:t>-value</w:t>
            </w:r>
          </w:p>
        </w:tc>
      </w:tr>
      <w:tr w:rsidR="009B5689" w:rsidRPr="003945C7" w14:paraId="0E3E87A7" w14:textId="77777777" w:rsidTr="00504D7E">
        <w:trPr>
          <w:trHeight w:val="451"/>
          <w:jc w:val="center"/>
        </w:trPr>
        <w:tc>
          <w:tcPr>
            <w:tcW w:w="2754" w:type="dxa"/>
            <w:tcBorders>
              <w:top w:val="nil"/>
            </w:tcBorders>
          </w:tcPr>
          <w:p w14:paraId="1515A29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Hemoglobin (g/d</w:t>
            </w:r>
            <w:r w:rsidRPr="003945C7">
              <w:rPr>
                <w:rFonts w:ascii="Book Antiqua" w:hAnsi="Book Antiqua" w:cs="Times New Roman"/>
                <w:caps/>
                <w:color w:val="000000" w:themeColor="text1"/>
              </w:rPr>
              <w:t>l</w:t>
            </w:r>
            <w:r w:rsidRPr="003945C7">
              <w:rPr>
                <w:rFonts w:ascii="Book Antiqua" w:hAnsi="Book Antiqua" w:cs="Times New Roman"/>
                <w:color w:val="000000" w:themeColor="text1"/>
              </w:rPr>
              <w:t xml:space="preserve">) </w:t>
            </w:r>
          </w:p>
        </w:tc>
        <w:tc>
          <w:tcPr>
            <w:tcW w:w="2754" w:type="dxa"/>
            <w:tcBorders>
              <w:top w:val="nil"/>
            </w:tcBorders>
          </w:tcPr>
          <w:p w14:paraId="7A0B6241"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13.80 ± 1.332 (13.50)</w:t>
            </w:r>
          </w:p>
        </w:tc>
        <w:tc>
          <w:tcPr>
            <w:tcW w:w="2753" w:type="dxa"/>
            <w:tcBorders>
              <w:top w:val="nil"/>
            </w:tcBorders>
          </w:tcPr>
          <w:p w14:paraId="21C54AE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13.16 ± 0.9517 (13.20)</w:t>
            </w:r>
          </w:p>
        </w:tc>
        <w:tc>
          <w:tcPr>
            <w:tcW w:w="1275" w:type="dxa"/>
            <w:tcBorders>
              <w:top w:val="nil"/>
            </w:tcBorders>
          </w:tcPr>
          <w:p w14:paraId="28D854E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0.101</w:t>
            </w:r>
          </w:p>
        </w:tc>
      </w:tr>
      <w:tr w:rsidR="009B5689" w:rsidRPr="003945C7" w14:paraId="734671EE" w14:textId="77777777" w:rsidTr="00D766BF">
        <w:trPr>
          <w:trHeight w:val="451"/>
          <w:jc w:val="center"/>
        </w:trPr>
        <w:tc>
          <w:tcPr>
            <w:tcW w:w="2754" w:type="dxa"/>
          </w:tcPr>
          <w:p w14:paraId="0FE6C1B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Leucocytes (10³/µL) </w:t>
            </w:r>
          </w:p>
        </w:tc>
        <w:tc>
          <w:tcPr>
            <w:tcW w:w="2754" w:type="dxa"/>
          </w:tcPr>
          <w:p w14:paraId="22A1B41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7.660 ± 1.410 (7.510)</w:t>
            </w:r>
          </w:p>
        </w:tc>
        <w:tc>
          <w:tcPr>
            <w:tcW w:w="2753" w:type="dxa"/>
          </w:tcPr>
          <w:p w14:paraId="3085A0F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6.434 ± 1.618 (6.045)</w:t>
            </w:r>
          </w:p>
        </w:tc>
        <w:tc>
          <w:tcPr>
            <w:tcW w:w="1275" w:type="dxa"/>
          </w:tcPr>
          <w:p w14:paraId="117C940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0.022</w:t>
            </w:r>
          </w:p>
        </w:tc>
      </w:tr>
      <w:tr w:rsidR="009B5689" w:rsidRPr="003945C7" w14:paraId="04F93BC5" w14:textId="77777777" w:rsidTr="00D766BF">
        <w:trPr>
          <w:trHeight w:val="70"/>
          <w:jc w:val="center"/>
        </w:trPr>
        <w:tc>
          <w:tcPr>
            <w:tcW w:w="2754" w:type="dxa"/>
          </w:tcPr>
          <w:p w14:paraId="708D9E8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Lymphocytes (10³/µL) </w:t>
            </w:r>
          </w:p>
        </w:tc>
        <w:tc>
          <w:tcPr>
            <w:tcW w:w="2754" w:type="dxa"/>
          </w:tcPr>
          <w:p w14:paraId="0408D1C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2.383 ± 0.8418 (2.305)</w:t>
            </w:r>
          </w:p>
        </w:tc>
        <w:tc>
          <w:tcPr>
            <w:tcW w:w="2753" w:type="dxa"/>
          </w:tcPr>
          <w:p w14:paraId="6163B20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2.254 ± 0.5870 (2.210)</w:t>
            </w:r>
          </w:p>
        </w:tc>
        <w:tc>
          <w:tcPr>
            <w:tcW w:w="1275" w:type="dxa"/>
          </w:tcPr>
          <w:p w14:paraId="48B28DD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0.590</w:t>
            </w:r>
          </w:p>
        </w:tc>
      </w:tr>
      <w:tr w:rsidR="009B5689" w:rsidRPr="003945C7" w14:paraId="249B0C6C" w14:textId="77777777" w:rsidTr="00D766BF">
        <w:trPr>
          <w:trHeight w:val="451"/>
          <w:jc w:val="center"/>
        </w:trPr>
        <w:tc>
          <w:tcPr>
            <w:tcW w:w="2754" w:type="dxa"/>
          </w:tcPr>
          <w:p w14:paraId="687697E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Neutrophils (10³/µL) </w:t>
            </w:r>
          </w:p>
        </w:tc>
        <w:tc>
          <w:tcPr>
            <w:tcW w:w="2754" w:type="dxa"/>
          </w:tcPr>
          <w:p w14:paraId="28AF7B7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4.221 ± 1.537 (3.865)</w:t>
            </w:r>
          </w:p>
        </w:tc>
        <w:tc>
          <w:tcPr>
            <w:tcW w:w="2753" w:type="dxa"/>
          </w:tcPr>
          <w:p w14:paraId="6F20AE0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3.232 ± 1.472 (2.745)</w:t>
            </w:r>
          </w:p>
        </w:tc>
        <w:tc>
          <w:tcPr>
            <w:tcW w:w="1275" w:type="dxa"/>
          </w:tcPr>
          <w:p w14:paraId="53C0C038"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b/>
                <w:color w:val="000000" w:themeColor="text1"/>
              </w:rPr>
              <w:t>0.029</w:t>
            </w:r>
            <w:r w:rsidRPr="003945C7">
              <w:rPr>
                <w:rFonts w:ascii="Book Antiqua" w:hAnsi="Book Antiqua" w:cs="Times New Roman" w:hint="eastAsia"/>
                <w:color w:val="000000" w:themeColor="text1"/>
                <w:vertAlign w:val="superscript"/>
                <w:lang w:eastAsia="zh-CN"/>
              </w:rPr>
              <w:t>1</w:t>
            </w:r>
          </w:p>
        </w:tc>
      </w:tr>
      <w:tr w:rsidR="009B5689" w:rsidRPr="003945C7" w14:paraId="70A1DCA1" w14:textId="77777777" w:rsidTr="00D766BF">
        <w:trPr>
          <w:trHeight w:val="451"/>
          <w:jc w:val="center"/>
        </w:trPr>
        <w:tc>
          <w:tcPr>
            <w:tcW w:w="2754" w:type="dxa"/>
          </w:tcPr>
          <w:p w14:paraId="6B384A2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Eosinophils (10³/µL) </w:t>
            </w:r>
          </w:p>
        </w:tc>
        <w:tc>
          <w:tcPr>
            <w:tcW w:w="2754" w:type="dxa"/>
          </w:tcPr>
          <w:p w14:paraId="69826A00"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0.3844 ± 0.5999 (0.110)</w:t>
            </w:r>
          </w:p>
        </w:tc>
        <w:tc>
          <w:tcPr>
            <w:tcW w:w="2753" w:type="dxa"/>
          </w:tcPr>
          <w:p w14:paraId="4B29711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0.2145 ± 0.3203 (0.175)</w:t>
            </w:r>
          </w:p>
        </w:tc>
        <w:tc>
          <w:tcPr>
            <w:tcW w:w="1275" w:type="dxa"/>
          </w:tcPr>
          <w:p w14:paraId="0FE5740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0.786</w:t>
            </w:r>
            <w:r w:rsidRPr="003945C7">
              <w:rPr>
                <w:rFonts w:ascii="Book Antiqua" w:hAnsi="Book Antiqua" w:cs="Times New Roman" w:hint="eastAsia"/>
                <w:color w:val="000000" w:themeColor="text1"/>
                <w:vertAlign w:val="superscript"/>
                <w:lang w:eastAsia="zh-CN"/>
              </w:rPr>
              <w:t>1</w:t>
            </w:r>
          </w:p>
        </w:tc>
      </w:tr>
      <w:tr w:rsidR="009B5689" w:rsidRPr="003945C7" w14:paraId="678FE534" w14:textId="77777777" w:rsidTr="00D766BF">
        <w:trPr>
          <w:trHeight w:val="438"/>
          <w:jc w:val="center"/>
        </w:trPr>
        <w:tc>
          <w:tcPr>
            <w:tcW w:w="2754" w:type="dxa"/>
          </w:tcPr>
          <w:p w14:paraId="0C99F863"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ESR (mm/h)</w:t>
            </w:r>
          </w:p>
        </w:tc>
        <w:tc>
          <w:tcPr>
            <w:tcW w:w="2754" w:type="dxa"/>
          </w:tcPr>
          <w:p w14:paraId="09DAB70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9.063 ± 5.709 (8.50)</w:t>
            </w:r>
          </w:p>
        </w:tc>
        <w:tc>
          <w:tcPr>
            <w:tcW w:w="2753" w:type="dxa"/>
          </w:tcPr>
          <w:p w14:paraId="26AC187B"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10.00 ± 6.720 (7.00)</w:t>
            </w:r>
          </w:p>
        </w:tc>
        <w:tc>
          <w:tcPr>
            <w:tcW w:w="1275" w:type="dxa"/>
          </w:tcPr>
          <w:p w14:paraId="3333DC1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0.747</w:t>
            </w:r>
            <w:r w:rsidRPr="003945C7">
              <w:rPr>
                <w:rFonts w:ascii="Book Antiqua" w:hAnsi="Book Antiqua" w:cs="Times New Roman" w:hint="eastAsia"/>
                <w:color w:val="000000" w:themeColor="text1"/>
                <w:vertAlign w:val="superscript"/>
                <w:lang w:eastAsia="zh-CN"/>
              </w:rPr>
              <w:t>1</w:t>
            </w:r>
          </w:p>
        </w:tc>
      </w:tr>
      <w:tr w:rsidR="009B5689" w:rsidRPr="003945C7" w14:paraId="508D2A44" w14:textId="77777777" w:rsidTr="00D766BF">
        <w:trPr>
          <w:trHeight w:val="451"/>
          <w:jc w:val="center"/>
        </w:trPr>
        <w:tc>
          <w:tcPr>
            <w:tcW w:w="2754" w:type="dxa"/>
          </w:tcPr>
          <w:p w14:paraId="1658DD3A"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 xml:space="preserve">Iron µmol/L) </w:t>
            </w:r>
          </w:p>
        </w:tc>
        <w:tc>
          <w:tcPr>
            <w:tcW w:w="2754" w:type="dxa"/>
          </w:tcPr>
          <w:p w14:paraId="6A2BABA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15.39 ± 5.304 (14.45)</w:t>
            </w:r>
          </w:p>
        </w:tc>
        <w:tc>
          <w:tcPr>
            <w:tcW w:w="2753" w:type="dxa"/>
          </w:tcPr>
          <w:p w14:paraId="2865C8C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16.50 ± 8.347 (13.36)</w:t>
            </w:r>
          </w:p>
        </w:tc>
        <w:tc>
          <w:tcPr>
            <w:tcW w:w="1275" w:type="dxa"/>
          </w:tcPr>
          <w:p w14:paraId="63D3D48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0.646</w:t>
            </w:r>
          </w:p>
        </w:tc>
      </w:tr>
      <w:tr w:rsidR="009B5689" w:rsidRPr="003945C7" w14:paraId="768A9886" w14:textId="77777777" w:rsidTr="00D766BF">
        <w:trPr>
          <w:trHeight w:val="451"/>
          <w:jc w:val="center"/>
        </w:trPr>
        <w:tc>
          <w:tcPr>
            <w:tcW w:w="2754" w:type="dxa"/>
          </w:tcPr>
          <w:p w14:paraId="529B49C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AST (U/L)</w:t>
            </w:r>
          </w:p>
        </w:tc>
        <w:tc>
          <w:tcPr>
            <w:tcW w:w="2754" w:type="dxa"/>
          </w:tcPr>
          <w:p w14:paraId="2A69E6F4"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21.82 ± 9.044 (20.25)</w:t>
            </w:r>
          </w:p>
        </w:tc>
        <w:tc>
          <w:tcPr>
            <w:tcW w:w="2753" w:type="dxa"/>
          </w:tcPr>
          <w:p w14:paraId="3BCDF70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22.44 ± 8.341 (21.50)</w:t>
            </w:r>
          </w:p>
        </w:tc>
        <w:tc>
          <w:tcPr>
            <w:tcW w:w="1275" w:type="dxa"/>
          </w:tcPr>
          <w:p w14:paraId="678BBAC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0.831</w:t>
            </w:r>
          </w:p>
        </w:tc>
      </w:tr>
      <w:tr w:rsidR="009B5689" w:rsidRPr="003945C7" w14:paraId="3325FF29" w14:textId="77777777" w:rsidTr="00D766BF">
        <w:trPr>
          <w:trHeight w:val="451"/>
          <w:jc w:val="center"/>
        </w:trPr>
        <w:tc>
          <w:tcPr>
            <w:tcW w:w="2754" w:type="dxa"/>
          </w:tcPr>
          <w:p w14:paraId="3E0A3A2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ALT (U/L)</w:t>
            </w:r>
          </w:p>
        </w:tc>
        <w:tc>
          <w:tcPr>
            <w:tcW w:w="2754" w:type="dxa"/>
          </w:tcPr>
          <w:p w14:paraId="2965AC2E"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11.88 ± 4.311 (10.20)</w:t>
            </w:r>
          </w:p>
        </w:tc>
        <w:tc>
          <w:tcPr>
            <w:tcW w:w="2753" w:type="dxa"/>
          </w:tcPr>
          <w:p w14:paraId="3C8B3B8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15.65 ± 9.539 (13.35)</w:t>
            </w:r>
          </w:p>
        </w:tc>
        <w:tc>
          <w:tcPr>
            <w:tcW w:w="1275" w:type="dxa"/>
          </w:tcPr>
          <w:p w14:paraId="4477633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0.107</w:t>
            </w:r>
            <w:r w:rsidRPr="003945C7">
              <w:rPr>
                <w:rFonts w:ascii="Book Antiqua" w:hAnsi="Book Antiqua" w:cs="Times New Roman" w:hint="eastAsia"/>
                <w:color w:val="000000" w:themeColor="text1"/>
                <w:vertAlign w:val="superscript"/>
                <w:lang w:eastAsia="zh-CN"/>
              </w:rPr>
              <w:t>1</w:t>
            </w:r>
          </w:p>
        </w:tc>
      </w:tr>
      <w:tr w:rsidR="009B5689" w:rsidRPr="003945C7" w14:paraId="73B9461F" w14:textId="77777777" w:rsidTr="00D766BF">
        <w:trPr>
          <w:trHeight w:val="438"/>
          <w:jc w:val="center"/>
        </w:trPr>
        <w:tc>
          <w:tcPr>
            <w:tcW w:w="2754" w:type="dxa"/>
          </w:tcPr>
          <w:p w14:paraId="53BA9AFD"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GGT (U/L)</w:t>
            </w:r>
          </w:p>
        </w:tc>
        <w:tc>
          <w:tcPr>
            <w:tcW w:w="2754" w:type="dxa"/>
          </w:tcPr>
          <w:p w14:paraId="38D8C69C"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11.63 ± 2.986 (11.00)</w:t>
            </w:r>
          </w:p>
        </w:tc>
        <w:tc>
          <w:tcPr>
            <w:tcW w:w="2753" w:type="dxa"/>
          </w:tcPr>
          <w:p w14:paraId="6F481B5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12.50 ± 3.846 (12.50)</w:t>
            </w:r>
          </w:p>
        </w:tc>
        <w:tc>
          <w:tcPr>
            <w:tcW w:w="1275" w:type="dxa"/>
          </w:tcPr>
          <w:p w14:paraId="3C4D1206"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0.642</w:t>
            </w:r>
            <w:r w:rsidRPr="003945C7">
              <w:rPr>
                <w:rFonts w:ascii="Book Antiqua" w:hAnsi="Book Antiqua" w:cs="Times New Roman" w:hint="eastAsia"/>
                <w:color w:val="000000" w:themeColor="text1"/>
                <w:vertAlign w:val="superscript"/>
                <w:lang w:eastAsia="zh-CN"/>
              </w:rPr>
              <w:t>1</w:t>
            </w:r>
          </w:p>
        </w:tc>
      </w:tr>
      <w:tr w:rsidR="009B5689" w:rsidRPr="003945C7" w14:paraId="787A30FA" w14:textId="77777777" w:rsidTr="00D766BF">
        <w:trPr>
          <w:trHeight w:val="463"/>
          <w:jc w:val="center"/>
        </w:trPr>
        <w:tc>
          <w:tcPr>
            <w:tcW w:w="2754" w:type="dxa"/>
          </w:tcPr>
          <w:p w14:paraId="25C3FA37"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NLR</w:t>
            </w:r>
          </w:p>
        </w:tc>
        <w:tc>
          <w:tcPr>
            <w:tcW w:w="2754" w:type="dxa"/>
          </w:tcPr>
          <w:p w14:paraId="6A62D9A2"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2.276 ± 1.933 (1.555)</w:t>
            </w:r>
          </w:p>
        </w:tc>
        <w:tc>
          <w:tcPr>
            <w:tcW w:w="2753" w:type="dxa"/>
          </w:tcPr>
          <w:p w14:paraId="6D440AE5"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1.559 ± 0.8576 (1.130)</w:t>
            </w:r>
          </w:p>
        </w:tc>
        <w:tc>
          <w:tcPr>
            <w:tcW w:w="1275" w:type="dxa"/>
          </w:tcPr>
          <w:p w14:paraId="6662D45F" w14:textId="77777777" w:rsidR="009B5689" w:rsidRPr="003945C7" w:rsidRDefault="009B5689" w:rsidP="001765D0">
            <w:pPr>
              <w:adjustRightInd w:val="0"/>
              <w:snapToGrid w:val="0"/>
              <w:spacing w:line="360" w:lineRule="auto"/>
              <w:jc w:val="both"/>
              <w:rPr>
                <w:rFonts w:ascii="Book Antiqua" w:hAnsi="Book Antiqua" w:cs="Times New Roman"/>
                <w:color w:val="000000" w:themeColor="text1"/>
              </w:rPr>
            </w:pPr>
            <w:r w:rsidRPr="003945C7">
              <w:rPr>
                <w:rFonts w:ascii="Book Antiqua" w:hAnsi="Book Antiqua" w:cs="Times New Roman"/>
                <w:color w:val="000000" w:themeColor="text1"/>
              </w:rPr>
              <w:t>0.232</w:t>
            </w:r>
            <w:r w:rsidRPr="003945C7">
              <w:rPr>
                <w:rFonts w:ascii="Book Antiqua" w:hAnsi="Book Antiqua" w:cs="Times New Roman" w:hint="eastAsia"/>
                <w:color w:val="000000" w:themeColor="text1"/>
                <w:vertAlign w:val="superscript"/>
                <w:lang w:eastAsia="zh-CN"/>
              </w:rPr>
              <w:t>1</w:t>
            </w:r>
          </w:p>
        </w:tc>
      </w:tr>
    </w:tbl>
    <w:p w14:paraId="375306F6" w14:textId="77777777" w:rsidR="00504D7E" w:rsidRPr="003945C7" w:rsidRDefault="009B5689" w:rsidP="001765D0">
      <w:pPr>
        <w:adjustRightInd w:val="0"/>
        <w:snapToGrid w:val="0"/>
        <w:spacing w:line="360" w:lineRule="auto"/>
        <w:jc w:val="both"/>
        <w:rPr>
          <w:rFonts w:ascii="Book Antiqua" w:hAnsi="Book Antiqua"/>
          <w:iCs/>
          <w:color w:val="000000" w:themeColor="text1"/>
          <w:lang w:eastAsia="zh-CN"/>
        </w:rPr>
      </w:pPr>
      <w:r w:rsidRPr="003945C7">
        <w:rPr>
          <w:rFonts w:ascii="Book Antiqua" w:hAnsi="Book Antiqua" w:hint="eastAsia"/>
          <w:iCs/>
          <w:color w:val="000000" w:themeColor="text1"/>
          <w:vertAlign w:val="superscript"/>
          <w:lang w:eastAsia="zh-CN"/>
        </w:rPr>
        <w:t>1</w:t>
      </w:r>
      <w:r w:rsidRPr="003945C7">
        <w:rPr>
          <w:rFonts w:ascii="Book Antiqua" w:hAnsi="Book Antiqua"/>
          <w:iCs/>
          <w:color w:val="000000" w:themeColor="text1"/>
        </w:rPr>
        <w:t>Mann-Whitney test</w:t>
      </w:r>
      <w:r w:rsidRPr="003945C7">
        <w:rPr>
          <w:rFonts w:ascii="Book Antiqua" w:hAnsi="Book Antiqua" w:hint="eastAsia"/>
          <w:iCs/>
          <w:color w:val="000000" w:themeColor="text1"/>
          <w:lang w:eastAsia="zh-CN"/>
        </w:rPr>
        <w:t xml:space="preserve">. </w:t>
      </w:r>
    </w:p>
    <w:p w14:paraId="02B5D951" w14:textId="02F845B5" w:rsidR="00B01FB0" w:rsidRPr="003945C7" w:rsidRDefault="00C02CC3" w:rsidP="001765D0">
      <w:pPr>
        <w:adjustRightInd w:val="0"/>
        <w:snapToGrid w:val="0"/>
        <w:spacing w:line="360" w:lineRule="auto"/>
        <w:jc w:val="both"/>
        <w:rPr>
          <w:rFonts w:ascii="Book Antiqua" w:hAnsi="Book Antiqua"/>
          <w:iCs/>
          <w:color w:val="000000" w:themeColor="text1"/>
        </w:rPr>
      </w:pPr>
      <w:r w:rsidRPr="003945C7">
        <w:rPr>
          <w:rFonts w:ascii="Book Antiqua" w:eastAsia="Times New Roman" w:hAnsi="Book Antiqua"/>
          <w:iCs/>
          <w:color w:val="000000" w:themeColor="text1"/>
        </w:rPr>
        <w:t>ALT</w:t>
      </w:r>
      <w:r w:rsidRPr="003945C7">
        <w:rPr>
          <w:rFonts w:ascii="Book Antiqua" w:hAnsi="Book Antiqua" w:hint="eastAsia"/>
          <w:iCs/>
          <w:color w:val="000000" w:themeColor="text1"/>
          <w:lang w:eastAsia="zh-CN"/>
        </w:rPr>
        <w:t>:</w:t>
      </w:r>
      <w:r w:rsidRPr="003945C7">
        <w:rPr>
          <w:rFonts w:ascii="Book Antiqua" w:eastAsia="Times New Roman" w:hAnsi="Book Antiqua"/>
          <w:iCs/>
          <w:color w:val="000000" w:themeColor="text1"/>
        </w:rPr>
        <w:t xml:space="preserve"> </w:t>
      </w:r>
      <w:hyperlink r:id="rId9" w:history="1">
        <w:r w:rsidRPr="003945C7">
          <w:rPr>
            <w:rFonts w:ascii="Book Antiqua" w:eastAsia="Times New Roman" w:hAnsi="Book Antiqua"/>
            <w:iCs/>
            <w:caps/>
            <w:color w:val="000000" w:themeColor="text1"/>
          </w:rPr>
          <w:t>a</w:t>
        </w:r>
        <w:r w:rsidRPr="003945C7">
          <w:rPr>
            <w:rFonts w:ascii="Book Antiqua" w:eastAsia="Times New Roman" w:hAnsi="Book Antiqua"/>
            <w:iCs/>
            <w:color w:val="000000" w:themeColor="text1"/>
          </w:rPr>
          <w:t>lanine aminotransferase</w:t>
        </w:r>
      </w:hyperlink>
      <w:r w:rsidRPr="003945C7">
        <w:rPr>
          <w:rFonts w:ascii="Book Antiqua" w:eastAsia="Times New Roman" w:hAnsi="Book Antiqua"/>
          <w:iCs/>
          <w:color w:val="000000" w:themeColor="text1"/>
        </w:rPr>
        <w:t xml:space="preserve">; </w:t>
      </w:r>
      <w:r w:rsidR="009B5689" w:rsidRPr="003945C7">
        <w:rPr>
          <w:rFonts w:ascii="Book Antiqua" w:hAnsi="Book Antiqua"/>
          <w:iCs/>
          <w:color w:val="000000" w:themeColor="text1"/>
        </w:rPr>
        <w:t>AST</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hyperlink r:id="rId10" w:history="1">
        <w:r w:rsidR="009B5689" w:rsidRPr="003945C7">
          <w:rPr>
            <w:rFonts w:ascii="Book Antiqua" w:eastAsia="Times New Roman" w:hAnsi="Book Antiqua"/>
            <w:iCs/>
            <w:caps/>
            <w:color w:val="000000" w:themeColor="text1"/>
          </w:rPr>
          <w:t>a</w:t>
        </w:r>
        <w:r w:rsidR="009B5689" w:rsidRPr="003945C7">
          <w:rPr>
            <w:rFonts w:ascii="Book Antiqua" w:eastAsia="Times New Roman" w:hAnsi="Book Antiqua"/>
            <w:iCs/>
            <w:color w:val="000000" w:themeColor="text1"/>
          </w:rPr>
          <w:t>spartate aminotransferase</w:t>
        </w:r>
      </w:hyperlink>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CC</w:t>
      </w:r>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w:t>
      </w:r>
      <w:r w:rsidR="009B5689" w:rsidRPr="003945C7">
        <w:rPr>
          <w:rFonts w:ascii="Book Antiqua" w:eastAsia="Times New Roman" w:hAnsi="Book Antiqua"/>
          <w:iCs/>
          <w:caps/>
          <w:color w:val="000000" w:themeColor="text1"/>
        </w:rPr>
        <w:t>h</w:t>
      </w:r>
      <w:r w:rsidR="009B5689" w:rsidRPr="003945C7">
        <w:rPr>
          <w:rFonts w:ascii="Book Antiqua" w:eastAsia="Times New Roman" w:hAnsi="Book Antiqua"/>
          <w:iCs/>
          <w:color w:val="000000" w:themeColor="text1"/>
        </w:rPr>
        <w:t xml:space="preserve">omozygous CC genotype of </w:t>
      </w:r>
      <w:r w:rsidR="009B5689" w:rsidRPr="003945C7">
        <w:rPr>
          <w:rFonts w:ascii="Book Antiqua" w:hAnsi="Book Antiqua"/>
          <w:iCs/>
          <w:color w:val="000000" w:themeColor="text1"/>
        </w:rPr>
        <w:t>TLR9 rs352140 polymorphism</w:t>
      </w:r>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CT</w:t>
      </w:r>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w:t>
      </w:r>
      <w:r w:rsidR="009B5689" w:rsidRPr="003945C7">
        <w:rPr>
          <w:rFonts w:ascii="Book Antiqua" w:eastAsia="Times New Roman" w:hAnsi="Book Antiqua"/>
          <w:iCs/>
          <w:caps/>
          <w:color w:val="000000" w:themeColor="text1"/>
        </w:rPr>
        <w:t>h</w:t>
      </w:r>
      <w:r w:rsidR="009B5689" w:rsidRPr="003945C7">
        <w:rPr>
          <w:rFonts w:ascii="Book Antiqua" w:eastAsia="Times New Roman" w:hAnsi="Book Antiqua"/>
          <w:iCs/>
          <w:color w:val="000000" w:themeColor="text1"/>
        </w:rPr>
        <w:t xml:space="preserve">eterozygous CT genotype of </w:t>
      </w:r>
      <w:r w:rsidR="009B5689" w:rsidRPr="003945C7">
        <w:rPr>
          <w:rFonts w:ascii="Book Antiqua" w:hAnsi="Book Antiqua"/>
          <w:iCs/>
          <w:color w:val="000000" w:themeColor="text1"/>
        </w:rPr>
        <w:t>TLR9 rs352140 polymorphism</w:t>
      </w:r>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w:t>
      </w:r>
      <w:r w:rsidR="009B5689" w:rsidRPr="003945C7">
        <w:rPr>
          <w:rFonts w:ascii="Book Antiqua" w:hAnsi="Book Antiqua"/>
          <w:iCs/>
          <w:color w:val="000000" w:themeColor="text1"/>
        </w:rPr>
        <w:t>ESR</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r w:rsidR="009B5689" w:rsidRPr="003945C7">
        <w:rPr>
          <w:rFonts w:ascii="Book Antiqua" w:hAnsi="Book Antiqua"/>
          <w:iCs/>
          <w:caps/>
          <w:color w:val="000000" w:themeColor="text1"/>
        </w:rPr>
        <w:t>e</w:t>
      </w:r>
      <w:r w:rsidR="009B5689" w:rsidRPr="003945C7">
        <w:rPr>
          <w:rFonts w:ascii="Book Antiqua" w:hAnsi="Book Antiqua"/>
          <w:iCs/>
          <w:color w:val="000000" w:themeColor="text1"/>
        </w:rPr>
        <w:t>rythrocyte sedimentation rate</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GGT</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r w:rsidR="009B5689" w:rsidRPr="003945C7">
        <w:rPr>
          <w:rFonts w:ascii="Book Antiqua" w:eastAsia="Times New Roman" w:hAnsi="Book Antiqua"/>
          <w:iCs/>
          <w:caps/>
          <w:color w:val="000000" w:themeColor="text1"/>
        </w:rPr>
        <w:t>g</w:t>
      </w:r>
      <w:r w:rsidR="009B5689" w:rsidRPr="003945C7">
        <w:rPr>
          <w:rFonts w:ascii="Book Antiqua" w:eastAsia="Times New Roman" w:hAnsi="Book Antiqua"/>
          <w:iCs/>
          <w:color w:val="000000" w:themeColor="text1"/>
        </w:rPr>
        <w:t>amma-glutamyl transpeptidase</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vertAlign w:val="superscript"/>
        </w:rPr>
        <w:t xml:space="preserve"> </w:t>
      </w:r>
      <w:r w:rsidR="009B5689" w:rsidRPr="003945C7">
        <w:rPr>
          <w:rFonts w:ascii="Book Antiqua" w:hAnsi="Book Antiqua"/>
          <w:iCs/>
          <w:color w:val="000000" w:themeColor="text1"/>
        </w:rPr>
        <w:t>NLR</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r w:rsidR="009B5689" w:rsidRPr="003945C7">
        <w:rPr>
          <w:rFonts w:ascii="Book Antiqua" w:hAnsi="Book Antiqua"/>
          <w:iCs/>
          <w:caps/>
          <w:color w:val="000000" w:themeColor="text1"/>
        </w:rPr>
        <w:t>n</w:t>
      </w:r>
      <w:r w:rsidR="009B5689" w:rsidRPr="003945C7">
        <w:rPr>
          <w:rFonts w:ascii="Book Antiqua" w:hAnsi="Book Antiqua"/>
          <w:iCs/>
          <w:color w:val="000000" w:themeColor="text1"/>
        </w:rPr>
        <w:t>eutrophil/lymphocyte ratio</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r w:rsidR="009B5689" w:rsidRPr="003945C7">
        <w:rPr>
          <w:rFonts w:ascii="Book Antiqua" w:eastAsia="Times New Roman" w:hAnsi="Book Antiqua"/>
          <w:iCs/>
          <w:color w:val="000000" w:themeColor="text1"/>
        </w:rPr>
        <w:t>TT</w:t>
      </w:r>
      <w:r w:rsidR="009B5689" w:rsidRPr="003945C7">
        <w:rPr>
          <w:rFonts w:ascii="Book Antiqua" w:hAnsi="Book Antiqua" w:hint="eastAsia"/>
          <w:iCs/>
          <w:color w:val="000000" w:themeColor="text1"/>
          <w:lang w:eastAsia="zh-CN"/>
        </w:rPr>
        <w:t>:</w:t>
      </w:r>
      <w:r w:rsidR="009B5689" w:rsidRPr="003945C7">
        <w:rPr>
          <w:rFonts w:ascii="Book Antiqua" w:eastAsia="Times New Roman" w:hAnsi="Book Antiqua"/>
          <w:iCs/>
          <w:color w:val="000000" w:themeColor="text1"/>
        </w:rPr>
        <w:t xml:space="preserve"> </w:t>
      </w:r>
      <w:r w:rsidR="009B5689" w:rsidRPr="003945C7">
        <w:rPr>
          <w:rFonts w:ascii="Book Antiqua" w:eastAsia="Times New Roman" w:hAnsi="Book Antiqua"/>
          <w:iCs/>
          <w:caps/>
          <w:color w:val="000000" w:themeColor="text1"/>
        </w:rPr>
        <w:t>h</w:t>
      </w:r>
      <w:r w:rsidR="009B5689" w:rsidRPr="003945C7">
        <w:rPr>
          <w:rFonts w:ascii="Book Antiqua" w:eastAsia="Times New Roman" w:hAnsi="Book Antiqua"/>
          <w:iCs/>
          <w:color w:val="000000" w:themeColor="text1"/>
        </w:rPr>
        <w:t xml:space="preserve">omozygous TT genotype of </w:t>
      </w:r>
      <w:r w:rsidR="009B5689" w:rsidRPr="003945C7">
        <w:rPr>
          <w:rFonts w:ascii="Book Antiqua" w:hAnsi="Book Antiqua"/>
          <w:iCs/>
          <w:color w:val="000000" w:themeColor="text1"/>
        </w:rPr>
        <w:t>TLR9 rs352140 polymorphism, estimated significance value obtained from non-parametric</w:t>
      </w:r>
      <w:r w:rsidR="009B5689" w:rsidRPr="003945C7">
        <w:rPr>
          <w:rFonts w:ascii="Book Antiqua" w:hAnsi="Book Antiqua" w:hint="eastAsia"/>
          <w:iCs/>
          <w:color w:val="000000" w:themeColor="text1"/>
          <w:lang w:eastAsia="zh-CN"/>
        </w:rPr>
        <w:t>.</w:t>
      </w:r>
      <w:r w:rsidR="009B5689" w:rsidRPr="003945C7">
        <w:rPr>
          <w:rFonts w:ascii="Book Antiqua" w:hAnsi="Book Antiqua"/>
          <w:iCs/>
          <w:color w:val="000000" w:themeColor="text1"/>
        </w:rPr>
        <w:t xml:space="preserve"> </w:t>
      </w:r>
    </w:p>
    <w:p w14:paraId="0996DBC4" w14:textId="77777777" w:rsidR="00B01FB0" w:rsidRPr="003945C7" w:rsidRDefault="00B01FB0">
      <w:pPr>
        <w:rPr>
          <w:rFonts w:ascii="Book Antiqua" w:hAnsi="Book Antiqua"/>
          <w:iCs/>
          <w:color w:val="000000" w:themeColor="text1"/>
        </w:rPr>
      </w:pPr>
      <w:r w:rsidRPr="003945C7">
        <w:rPr>
          <w:rFonts w:ascii="Book Antiqua" w:hAnsi="Book Antiqua"/>
          <w:iCs/>
          <w:color w:val="000000" w:themeColor="text1"/>
        </w:rPr>
        <w:br w:type="page"/>
      </w:r>
    </w:p>
    <w:p w14:paraId="2DF78B88" w14:textId="77777777" w:rsidR="00B01FB0" w:rsidRPr="003945C7" w:rsidRDefault="00B01FB0" w:rsidP="00B01FB0">
      <w:pPr>
        <w:jc w:val="center"/>
        <w:rPr>
          <w:rFonts w:ascii="Book Antiqua" w:hAnsi="Book Antiqua"/>
          <w:lang w:eastAsia="zh-CN"/>
        </w:rPr>
      </w:pPr>
    </w:p>
    <w:p w14:paraId="0CB0A7BE" w14:textId="77777777" w:rsidR="00B01FB0" w:rsidRPr="003945C7" w:rsidRDefault="00B01FB0" w:rsidP="00B01FB0">
      <w:pPr>
        <w:jc w:val="center"/>
        <w:rPr>
          <w:rFonts w:ascii="Book Antiqua" w:hAnsi="Book Antiqua"/>
          <w:lang w:eastAsia="zh-CN"/>
        </w:rPr>
      </w:pPr>
    </w:p>
    <w:p w14:paraId="701FD480" w14:textId="77777777" w:rsidR="00B01FB0" w:rsidRPr="003945C7" w:rsidRDefault="00B01FB0" w:rsidP="00B01FB0">
      <w:pPr>
        <w:jc w:val="center"/>
        <w:rPr>
          <w:rFonts w:ascii="Book Antiqua" w:hAnsi="Book Antiqua"/>
          <w:lang w:eastAsia="zh-CN"/>
        </w:rPr>
      </w:pPr>
    </w:p>
    <w:p w14:paraId="10282059" w14:textId="77777777" w:rsidR="00B01FB0" w:rsidRPr="003945C7" w:rsidRDefault="00B01FB0" w:rsidP="00B01FB0">
      <w:pPr>
        <w:jc w:val="center"/>
        <w:rPr>
          <w:rFonts w:ascii="Book Antiqua" w:hAnsi="Book Antiqua"/>
          <w:lang w:eastAsia="zh-CN"/>
        </w:rPr>
      </w:pPr>
    </w:p>
    <w:p w14:paraId="6E6DB4E5" w14:textId="77777777" w:rsidR="00B01FB0" w:rsidRPr="003945C7" w:rsidRDefault="00B01FB0" w:rsidP="00B01FB0">
      <w:pPr>
        <w:jc w:val="center"/>
        <w:rPr>
          <w:rFonts w:ascii="Book Antiqua" w:hAnsi="Book Antiqua"/>
          <w:lang w:eastAsia="zh-CN"/>
        </w:rPr>
      </w:pPr>
    </w:p>
    <w:p w14:paraId="01C1A8BC" w14:textId="464371E0" w:rsidR="00B01FB0" w:rsidRPr="003945C7" w:rsidRDefault="00B01FB0" w:rsidP="00B01FB0">
      <w:pPr>
        <w:jc w:val="center"/>
        <w:rPr>
          <w:rFonts w:ascii="Book Antiqua" w:hAnsi="Book Antiqua"/>
          <w:lang w:eastAsia="zh-CN"/>
        </w:rPr>
      </w:pPr>
      <w:r w:rsidRPr="003945C7">
        <w:rPr>
          <w:rFonts w:ascii="Book Antiqua" w:hAnsi="Book Antiqua"/>
          <w:noProof/>
          <w:lang w:eastAsia="zh-CN"/>
        </w:rPr>
        <w:drawing>
          <wp:inline distT="0" distB="0" distL="0" distR="0" wp14:anchorId="796C75FA" wp14:editId="55F5802F">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7D72EB5E" w14:textId="77777777" w:rsidR="00B01FB0" w:rsidRPr="003945C7" w:rsidRDefault="00B01FB0" w:rsidP="00B01FB0">
      <w:pPr>
        <w:jc w:val="center"/>
        <w:rPr>
          <w:rFonts w:ascii="Book Antiqua" w:hAnsi="Book Antiqua"/>
          <w:lang w:eastAsia="zh-CN"/>
        </w:rPr>
      </w:pPr>
    </w:p>
    <w:p w14:paraId="3CBC6266" w14:textId="77777777" w:rsidR="00B01FB0" w:rsidRPr="003945C7" w:rsidRDefault="00B01FB0" w:rsidP="00B01FB0">
      <w:pPr>
        <w:autoSpaceDE w:val="0"/>
        <w:autoSpaceDN w:val="0"/>
        <w:adjustRightInd w:val="0"/>
        <w:jc w:val="center"/>
        <w:rPr>
          <w:rFonts w:ascii="Book Antiqua" w:eastAsia="Garamond-Bold" w:hAnsi="Book Antiqua" w:cs="Garamond-Bold"/>
          <w:b/>
          <w:bCs/>
          <w:color w:val="000000"/>
          <w:sz w:val="28"/>
          <w:szCs w:val="28"/>
        </w:rPr>
      </w:pPr>
      <w:r w:rsidRPr="003945C7">
        <w:rPr>
          <w:rFonts w:ascii="Book Antiqua" w:eastAsia="TimesNewRomanPSMT" w:hAnsi="Book Antiqua" w:cs="TimesNewRomanPSMT"/>
          <w:color w:val="000000"/>
          <w:sz w:val="28"/>
          <w:szCs w:val="28"/>
        </w:rPr>
        <w:t xml:space="preserve">Published by </w:t>
      </w:r>
      <w:proofErr w:type="spellStart"/>
      <w:r w:rsidRPr="003945C7">
        <w:rPr>
          <w:rFonts w:ascii="Book Antiqua" w:eastAsia="Garamond-Bold" w:hAnsi="Book Antiqua" w:cs="Garamond-Bold"/>
          <w:b/>
          <w:bCs/>
          <w:color w:val="000000"/>
          <w:sz w:val="28"/>
          <w:szCs w:val="28"/>
        </w:rPr>
        <w:t>Baishideng</w:t>
      </w:r>
      <w:proofErr w:type="spellEnd"/>
      <w:r w:rsidRPr="003945C7">
        <w:rPr>
          <w:rFonts w:ascii="Book Antiqua" w:eastAsia="Garamond-Bold" w:hAnsi="Book Antiqua" w:cs="Garamond-Bold"/>
          <w:b/>
          <w:bCs/>
          <w:color w:val="000000"/>
          <w:sz w:val="28"/>
          <w:szCs w:val="28"/>
        </w:rPr>
        <w:t xml:space="preserve"> Publishing Group Inc</w:t>
      </w:r>
    </w:p>
    <w:p w14:paraId="2217A72B" w14:textId="77777777" w:rsidR="00B01FB0" w:rsidRPr="003945C7" w:rsidRDefault="00B01FB0" w:rsidP="00B01FB0">
      <w:pPr>
        <w:autoSpaceDE w:val="0"/>
        <w:autoSpaceDN w:val="0"/>
        <w:adjustRightInd w:val="0"/>
        <w:jc w:val="center"/>
        <w:rPr>
          <w:rFonts w:ascii="Book Antiqua" w:eastAsia="TimesNewRomanPSMT" w:hAnsi="Book Antiqua" w:cs="Garamond"/>
          <w:color w:val="000000"/>
          <w:sz w:val="28"/>
          <w:szCs w:val="28"/>
        </w:rPr>
      </w:pPr>
      <w:r w:rsidRPr="003945C7">
        <w:rPr>
          <w:rFonts w:ascii="Book Antiqua" w:eastAsia="TimesNewRomanPSMT" w:hAnsi="Book Antiqua" w:cs="Garamond"/>
          <w:color w:val="000000"/>
          <w:sz w:val="28"/>
          <w:szCs w:val="28"/>
        </w:rPr>
        <w:t>7041 Koll Center Parkway, Suite 160, Pleasanton, CA 94566, USA</w:t>
      </w:r>
    </w:p>
    <w:p w14:paraId="0074D45F" w14:textId="77777777" w:rsidR="00B01FB0" w:rsidRPr="003945C7" w:rsidRDefault="00B01FB0" w:rsidP="00B01FB0">
      <w:pPr>
        <w:autoSpaceDE w:val="0"/>
        <w:autoSpaceDN w:val="0"/>
        <w:adjustRightInd w:val="0"/>
        <w:jc w:val="center"/>
        <w:rPr>
          <w:rFonts w:ascii="Book Antiqua" w:eastAsia="TimesNewRomanPSMT" w:hAnsi="Book Antiqua" w:cs="Garamond"/>
          <w:color w:val="000000"/>
          <w:sz w:val="28"/>
          <w:szCs w:val="28"/>
        </w:rPr>
      </w:pPr>
      <w:r w:rsidRPr="003945C7">
        <w:rPr>
          <w:rFonts w:ascii="Book Antiqua" w:eastAsia="Garamond-Bold" w:hAnsi="Book Antiqua" w:cs="Garamond-Bold"/>
          <w:b/>
          <w:bCs/>
          <w:color w:val="000000"/>
          <w:sz w:val="28"/>
          <w:szCs w:val="28"/>
        </w:rPr>
        <w:t xml:space="preserve">Telephone: </w:t>
      </w:r>
      <w:r w:rsidRPr="003945C7">
        <w:rPr>
          <w:rFonts w:ascii="Book Antiqua" w:eastAsia="TimesNewRomanPSMT" w:hAnsi="Book Antiqua" w:cs="Garamond"/>
          <w:color w:val="000000"/>
          <w:sz w:val="28"/>
          <w:szCs w:val="28"/>
        </w:rPr>
        <w:t>+1-925-3991568</w:t>
      </w:r>
    </w:p>
    <w:p w14:paraId="1D03F962" w14:textId="77777777" w:rsidR="00B01FB0" w:rsidRPr="003945C7" w:rsidRDefault="00B01FB0" w:rsidP="00B01FB0">
      <w:pPr>
        <w:autoSpaceDE w:val="0"/>
        <w:autoSpaceDN w:val="0"/>
        <w:adjustRightInd w:val="0"/>
        <w:jc w:val="center"/>
        <w:rPr>
          <w:rFonts w:ascii="Book Antiqua" w:eastAsia="TimesNewRomanPSMT" w:hAnsi="Book Antiqua" w:cs="Garamond"/>
          <w:color w:val="D56400"/>
          <w:sz w:val="28"/>
          <w:szCs w:val="28"/>
        </w:rPr>
      </w:pPr>
      <w:r w:rsidRPr="003945C7">
        <w:rPr>
          <w:rFonts w:ascii="Book Antiqua" w:eastAsia="Garamond-Bold" w:hAnsi="Book Antiqua" w:cs="Garamond-Bold"/>
          <w:b/>
          <w:bCs/>
          <w:color w:val="000000"/>
          <w:sz w:val="28"/>
          <w:szCs w:val="28"/>
        </w:rPr>
        <w:t xml:space="preserve">E-mail: </w:t>
      </w:r>
      <w:r w:rsidRPr="003945C7">
        <w:rPr>
          <w:rFonts w:ascii="Book Antiqua" w:eastAsia="TimesNewRomanPSMT" w:hAnsi="Book Antiqua" w:cs="Garamond"/>
          <w:color w:val="D56400"/>
          <w:sz w:val="28"/>
          <w:szCs w:val="28"/>
        </w:rPr>
        <w:t>bpgoffice@wjgnet.com</w:t>
      </w:r>
    </w:p>
    <w:p w14:paraId="3C82F946" w14:textId="77777777" w:rsidR="00B01FB0" w:rsidRPr="003945C7" w:rsidRDefault="00B01FB0" w:rsidP="00B01FB0">
      <w:pPr>
        <w:autoSpaceDE w:val="0"/>
        <w:autoSpaceDN w:val="0"/>
        <w:adjustRightInd w:val="0"/>
        <w:jc w:val="center"/>
        <w:rPr>
          <w:rFonts w:ascii="Book Antiqua" w:eastAsia="TimesNewRomanPSMT" w:hAnsi="Book Antiqua" w:cs="Garamond"/>
          <w:color w:val="D56400"/>
          <w:sz w:val="28"/>
          <w:szCs w:val="28"/>
        </w:rPr>
      </w:pPr>
      <w:r w:rsidRPr="003945C7">
        <w:rPr>
          <w:rFonts w:ascii="Book Antiqua" w:eastAsia="Garamond-Bold" w:hAnsi="Book Antiqua" w:cs="Garamond-Bold"/>
          <w:b/>
          <w:bCs/>
          <w:color w:val="000000"/>
          <w:sz w:val="28"/>
          <w:szCs w:val="28"/>
        </w:rPr>
        <w:t xml:space="preserve">Help Desk: </w:t>
      </w:r>
      <w:r w:rsidRPr="003945C7">
        <w:rPr>
          <w:rFonts w:ascii="Book Antiqua" w:eastAsia="TimesNewRomanPSMT" w:hAnsi="Book Antiqua" w:cs="Garamond"/>
          <w:color w:val="D56400"/>
          <w:sz w:val="28"/>
          <w:szCs w:val="28"/>
        </w:rPr>
        <w:t>https://www.f6publishing.com/helpdesk</w:t>
      </w:r>
    </w:p>
    <w:p w14:paraId="07A1BB27" w14:textId="77777777" w:rsidR="00B01FB0" w:rsidRPr="003945C7" w:rsidRDefault="00B01FB0" w:rsidP="00B01FB0">
      <w:pPr>
        <w:jc w:val="center"/>
        <w:rPr>
          <w:rFonts w:ascii="Book Antiqua" w:hAnsi="Book Antiqua"/>
          <w:lang w:eastAsia="zh-CN"/>
        </w:rPr>
      </w:pPr>
      <w:r w:rsidRPr="003945C7">
        <w:rPr>
          <w:rFonts w:ascii="Book Antiqua" w:eastAsia="TimesNewRomanPSMT" w:hAnsi="Book Antiqua" w:cs="Garamond"/>
          <w:color w:val="D56400"/>
          <w:sz w:val="28"/>
          <w:szCs w:val="28"/>
        </w:rPr>
        <w:t>https://www.wjgnet.com</w:t>
      </w:r>
    </w:p>
    <w:p w14:paraId="62957253" w14:textId="77777777" w:rsidR="00B01FB0" w:rsidRPr="003945C7" w:rsidRDefault="00B01FB0" w:rsidP="00B01FB0">
      <w:pPr>
        <w:jc w:val="center"/>
        <w:rPr>
          <w:rFonts w:ascii="Book Antiqua" w:hAnsi="Book Antiqua"/>
          <w:lang w:eastAsia="zh-CN"/>
        </w:rPr>
      </w:pPr>
    </w:p>
    <w:p w14:paraId="1A4FCBF9" w14:textId="77777777" w:rsidR="00B01FB0" w:rsidRPr="003945C7" w:rsidRDefault="00B01FB0" w:rsidP="00B01FB0">
      <w:pPr>
        <w:jc w:val="center"/>
        <w:rPr>
          <w:rFonts w:ascii="Book Antiqua" w:hAnsi="Book Antiqua"/>
          <w:lang w:eastAsia="zh-CN"/>
        </w:rPr>
      </w:pPr>
    </w:p>
    <w:p w14:paraId="0250BF91" w14:textId="77777777" w:rsidR="00B01FB0" w:rsidRPr="003945C7" w:rsidRDefault="00B01FB0" w:rsidP="00B01FB0">
      <w:pPr>
        <w:jc w:val="center"/>
        <w:rPr>
          <w:rFonts w:ascii="Book Antiqua" w:hAnsi="Book Antiqua"/>
          <w:lang w:eastAsia="zh-CN"/>
        </w:rPr>
      </w:pPr>
    </w:p>
    <w:p w14:paraId="6ED1C250" w14:textId="6D821591" w:rsidR="00B01FB0" w:rsidRPr="003945C7" w:rsidRDefault="00B01FB0" w:rsidP="00B01FB0">
      <w:pPr>
        <w:jc w:val="center"/>
        <w:rPr>
          <w:rFonts w:ascii="Book Antiqua" w:hAnsi="Book Antiqua"/>
          <w:lang w:eastAsia="zh-CN"/>
        </w:rPr>
      </w:pPr>
      <w:r w:rsidRPr="003945C7">
        <w:rPr>
          <w:rFonts w:ascii="Book Antiqua" w:hAnsi="Book Antiqua"/>
          <w:noProof/>
          <w:lang w:eastAsia="zh-CN"/>
        </w:rPr>
        <w:drawing>
          <wp:inline distT="0" distB="0" distL="0" distR="0" wp14:anchorId="50F6FA92" wp14:editId="29DF1053">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00187074" w14:textId="77777777" w:rsidR="00B01FB0" w:rsidRPr="003945C7" w:rsidRDefault="00B01FB0" w:rsidP="00B01FB0">
      <w:pPr>
        <w:jc w:val="center"/>
        <w:rPr>
          <w:rFonts w:ascii="Book Antiqua" w:hAnsi="Book Antiqua"/>
          <w:lang w:eastAsia="zh-CN"/>
        </w:rPr>
      </w:pPr>
    </w:p>
    <w:p w14:paraId="449EC039" w14:textId="77777777" w:rsidR="00B01FB0" w:rsidRPr="003945C7" w:rsidRDefault="00B01FB0" w:rsidP="00B01FB0">
      <w:pPr>
        <w:jc w:val="center"/>
        <w:rPr>
          <w:rFonts w:ascii="Book Antiqua" w:hAnsi="Book Antiqua"/>
          <w:lang w:eastAsia="zh-CN"/>
        </w:rPr>
      </w:pPr>
    </w:p>
    <w:p w14:paraId="19411963" w14:textId="77777777" w:rsidR="00B01FB0" w:rsidRPr="003945C7" w:rsidRDefault="00B01FB0" w:rsidP="00B01FB0">
      <w:pPr>
        <w:jc w:val="center"/>
        <w:rPr>
          <w:rFonts w:ascii="Book Antiqua" w:hAnsi="Book Antiqua"/>
          <w:lang w:eastAsia="zh-CN"/>
        </w:rPr>
      </w:pPr>
    </w:p>
    <w:p w14:paraId="7177A16F" w14:textId="77777777" w:rsidR="00B01FB0" w:rsidRPr="003945C7" w:rsidRDefault="00B01FB0" w:rsidP="00B01FB0">
      <w:pPr>
        <w:jc w:val="center"/>
        <w:rPr>
          <w:rFonts w:ascii="Book Antiqua" w:hAnsi="Book Antiqua"/>
          <w:lang w:eastAsia="zh-CN"/>
        </w:rPr>
      </w:pPr>
    </w:p>
    <w:p w14:paraId="1579218D" w14:textId="77777777" w:rsidR="00B01FB0" w:rsidRPr="003945C7" w:rsidRDefault="00B01FB0" w:rsidP="00B01FB0">
      <w:pPr>
        <w:jc w:val="center"/>
        <w:rPr>
          <w:rFonts w:ascii="Book Antiqua" w:hAnsi="Book Antiqua"/>
          <w:lang w:eastAsia="zh-CN"/>
        </w:rPr>
      </w:pPr>
    </w:p>
    <w:p w14:paraId="6308EC5F" w14:textId="77777777" w:rsidR="00B01FB0" w:rsidRPr="003945C7" w:rsidRDefault="00B01FB0" w:rsidP="00B01FB0">
      <w:pPr>
        <w:jc w:val="center"/>
        <w:rPr>
          <w:rFonts w:ascii="Book Antiqua" w:hAnsi="Book Antiqua"/>
          <w:lang w:eastAsia="zh-CN"/>
        </w:rPr>
      </w:pPr>
    </w:p>
    <w:p w14:paraId="6860E3A8" w14:textId="77777777" w:rsidR="00B01FB0" w:rsidRPr="003945C7" w:rsidRDefault="00B01FB0" w:rsidP="00B01FB0">
      <w:pPr>
        <w:jc w:val="center"/>
        <w:rPr>
          <w:rFonts w:ascii="Book Antiqua" w:hAnsi="Book Antiqua"/>
          <w:lang w:eastAsia="zh-CN"/>
        </w:rPr>
      </w:pPr>
    </w:p>
    <w:p w14:paraId="680A9A7E" w14:textId="77777777" w:rsidR="00B01FB0" w:rsidRPr="003945C7" w:rsidRDefault="00B01FB0" w:rsidP="00B01FB0">
      <w:pPr>
        <w:jc w:val="center"/>
        <w:rPr>
          <w:rFonts w:ascii="Book Antiqua" w:hAnsi="Book Antiqua"/>
          <w:lang w:eastAsia="zh-CN"/>
        </w:rPr>
      </w:pPr>
    </w:p>
    <w:p w14:paraId="79D5B447" w14:textId="77777777" w:rsidR="00B01FB0" w:rsidRPr="003945C7" w:rsidRDefault="00B01FB0" w:rsidP="00B01FB0">
      <w:pPr>
        <w:jc w:val="center"/>
        <w:rPr>
          <w:rFonts w:ascii="Book Antiqua" w:hAnsi="Book Antiqua"/>
          <w:lang w:eastAsia="zh-CN"/>
        </w:rPr>
      </w:pPr>
    </w:p>
    <w:p w14:paraId="16720633" w14:textId="77777777" w:rsidR="00B01FB0" w:rsidRPr="003945C7" w:rsidRDefault="00B01FB0" w:rsidP="00B01FB0">
      <w:pPr>
        <w:jc w:val="right"/>
        <w:rPr>
          <w:rFonts w:ascii="Book Antiqua" w:hAnsi="Book Antiqua"/>
          <w:color w:val="000000" w:themeColor="text1"/>
          <w:lang w:eastAsia="zh-CN"/>
        </w:rPr>
      </w:pPr>
    </w:p>
    <w:p w14:paraId="2F64967D" w14:textId="77777777" w:rsidR="00B01FB0" w:rsidRDefault="00B01FB0" w:rsidP="00B01FB0">
      <w:pPr>
        <w:jc w:val="center"/>
        <w:rPr>
          <w:rFonts w:ascii="Book Antiqua" w:hAnsi="Book Antiqua"/>
          <w:color w:val="000000" w:themeColor="text1"/>
          <w:lang w:eastAsia="zh-CN"/>
        </w:rPr>
      </w:pPr>
      <w:r w:rsidRPr="003945C7">
        <w:rPr>
          <w:rFonts w:ascii="Book Antiqua" w:eastAsia="BookAntiqua-Bold" w:hAnsi="Book Antiqua" w:cs="BookAntiqua-Bold"/>
          <w:b/>
          <w:bCs/>
          <w:color w:val="000000" w:themeColor="text1"/>
        </w:rPr>
        <w:t xml:space="preserve">© 2021 </w:t>
      </w:r>
      <w:proofErr w:type="spellStart"/>
      <w:r w:rsidRPr="003945C7">
        <w:rPr>
          <w:rFonts w:ascii="Book Antiqua" w:eastAsia="BookAntiqua-Bold" w:hAnsi="Book Antiqua" w:cs="BookAntiqua-Bold"/>
          <w:b/>
          <w:bCs/>
          <w:color w:val="000000" w:themeColor="text1"/>
        </w:rPr>
        <w:t>Baishideng</w:t>
      </w:r>
      <w:proofErr w:type="spellEnd"/>
      <w:r w:rsidRPr="003945C7">
        <w:rPr>
          <w:rFonts w:ascii="Book Antiqua" w:eastAsia="BookAntiqua-Bold" w:hAnsi="Book Antiqua" w:cs="BookAntiqua-Bold"/>
          <w:b/>
          <w:bCs/>
          <w:color w:val="000000" w:themeColor="text1"/>
        </w:rPr>
        <w:t xml:space="preserve"> Publishing Group Inc. All rights reserved.</w:t>
      </w:r>
      <w:r w:rsidRPr="003945C7">
        <w:rPr>
          <w:rFonts w:ascii="Book Antiqua" w:hAnsi="Book Antiqua"/>
          <w:color w:val="000000" w:themeColor="text1"/>
          <w:lang w:eastAsia="zh-CN"/>
        </w:rPr>
        <w:fldChar w:fldCharType="begin"/>
      </w:r>
      <w:r w:rsidRPr="003945C7">
        <w:rPr>
          <w:rFonts w:ascii="Book Antiqua" w:hAnsi="Book Antiqua"/>
          <w:color w:val="000000" w:themeColor="text1"/>
          <w:lang w:eastAsia="zh-CN"/>
        </w:rPr>
        <w:instrText xml:space="preserve"> ADDIN EN.REFLIST </w:instrText>
      </w:r>
      <w:r w:rsidRPr="003945C7">
        <w:rPr>
          <w:rFonts w:ascii="Book Antiqua" w:hAnsi="Book Antiqua"/>
          <w:color w:val="000000" w:themeColor="text1"/>
          <w:lang w:eastAsia="zh-CN"/>
        </w:rPr>
        <w:fldChar w:fldCharType="end"/>
      </w:r>
    </w:p>
    <w:p w14:paraId="18013FC6" w14:textId="77777777" w:rsidR="00AF44F3" w:rsidRPr="00B01FB0" w:rsidRDefault="00AF44F3" w:rsidP="001765D0">
      <w:pPr>
        <w:adjustRightInd w:val="0"/>
        <w:snapToGrid w:val="0"/>
        <w:spacing w:line="360" w:lineRule="auto"/>
        <w:jc w:val="both"/>
        <w:rPr>
          <w:rFonts w:ascii="Book Antiqua" w:hAnsi="Book Antiqua"/>
          <w:iCs/>
          <w:color w:val="000000" w:themeColor="text1"/>
          <w:vertAlign w:val="superscript"/>
          <w:lang w:eastAsia="zh-CN"/>
        </w:rPr>
      </w:pPr>
    </w:p>
    <w:sectPr w:rsidR="00AF44F3" w:rsidRPr="00B01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DA57" w14:textId="77777777" w:rsidR="00A656C0" w:rsidRDefault="00A656C0" w:rsidP="009B5689">
      <w:r>
        <w:separator/>
      </w:r>
    </w:p>
  </w:endnote>
  <w:endnote w:type="continuationSeparator" w:id="0">
    <w:p w14:paraId="44D9E580" w14:textId="77777777" w:rsidR="00A656C0" w:rsidRDefault="00A656C0" w:rsidP="009B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04336"/>
      <w:docPartObj>
        <w:docPartGallery w:val="Page Numbers (Bottom of Page)"/>
        <w:docPartUnique/>
      </w:docPartObj>
    </w:sdtPr>
    <w:sdtEndPr/>
    <w:sdtContent>
      <w:sdt>
        <w:sdtPr>
          <w:id w:val="98381352"/>
          <w:docPartObj>
            <w:docPartGallery w:val="Page Numbers (Top of Page)"/>
            <w:docPartUnique/>
          </w:docPartObj>
        </w:sdtPr>
        <w:sdtEndPr/>
        <w:sdtContent>
          <w:p w14:paraId="6FE777FD" w14:textId="77777777" w:rsidR="00395BB9" w:rsidRDefault="00395BB9" w:rsidP="009B5689">
            <w:pPr>
              <w:pStyle w:val="a6"/>
              <w:jc w:val="right"/>
            </w:pPr>
            <w:r w:rsidRPr="009B5689">
              <w:rPr>
                <w:rFonts w:ascii="Book Antiqua" w:hAnsi="Book Antiqua"/>
                <w:sz w:val="24"/>
                <w:szCs w:val="24"/>
                <w:lang w:val="zh-CN" w:eastAsia="zh-CN"/>
              </w:rPr>
              <w:t xml:space="preserve"> </w:t>
            </w:r>
            <w:r w:rsidRPr="00C431F1">
              <w:rPr>
                <w:rFonts w:ascii="Book Antiqua" w:hAnsi="Book Antiqua"/>
                <w:sz w:val="24"/>
                <w:szCs w:val="24"/>
              </w:rPr>
              <w:fldChar w:fldCharType="begin"/>
            </w:r>
            <w:r w:rsidRPr="00C431F1">
              <w:rPr>
                <w:rFonts w:ascii="Book Antiqua" w:hAnsi="Book Antiqua"/>
                <w:sz w:val="24"/>
                <w:szCs w:val="24"/>
              </w:rPr>
              <w:instrText>PAGE</w:instrText>
            </w:r>
            <w:r w:rsidRPr="00C431F1">
              <w:rPr>
                <w:rFonts w:ascii="Book Antiqua" w:hAnsi="Book Antiqua"/>
                <w:sz w:val="24"/>
                <w:szCs w:val="24"/>
              </w:rPr>
              <w:fldChar w:fldCharType="separate"/>
            </w:r>
            <w:r w:rsidR="001D72D9" w:rsidRPr="00C431F1">
              <w:rPr>
                <w:rFonts w:ascii="Book Antiqua" w:hAnsi="Book Antiqua"/>
                <w:noProof/>
                <w:sz w:val="24"/>
                <w:szCs w:val="24"/>
              </w:rPr>
              <w:t>30</w:t>
            </w:r>
            <w:r w:rsidRPr="00C431F1">
              <w:rPr>
                <w:rFonts w:ascii="Book Antiqua" w:hAnsi="Book Antiqua"/>
                <w:sz w:val="24"/>
                <w:szCs w:val="24"/>
              </w:rPr>
              <w:fldChar w:fldCharType="end"/>
            </w:r>
            <w:r w:rsidRPr="00342DFC">
              <w:rPr>
                <w:rFonts w:ascii="Book Antiqua" w:hAnsi="Book Antiqua"/>
                <w:sz w:val="24"/>
                <w:szCs w:val="24"/>
                <w:lang w:val="zh-CN" w:eastAsia="zh-CN"/>
              </w:rPr>
              <w:t xml:space="preserve"> / </w:t>
            </w:r>
            <w:r w:rsidRPr="00C431F1">
              <w:rPr>
                <w:rFonts w:ascii="Book Antiqua" w:hAnsi="Book Antiqua"/>
                <w:sz w:val="24"/>
                <w:szCs w:val="24"/>
              </w:rPr>
              <w:fldChar w:fldCharType="begin"/>
            </w:r>
            <w:r w:rsidRPr="00C431F1">
              <w:rPr>
                <w:rFonts w:ascii="Book Antiqua" w:hAnsi="Book Antiqua"/>
                <w:sz w:val="24"/>
                <w:szCs w:val="24"/>
              </w:rPr>
              <w:instrText>NUMPAGES</w:instrText>
            </w:r>
            <w:r w:rsidRPr="00C431F1">
              <w:rPr>
                <w:rFonts w:ascii="Book Antiqua" w:hAnsi="Book Antiqua"/>
                <w:sz w:val="24"/>
                <w:szCs w:val="24"/>
              </w:rPr>
              <w:fldChar w:fldCharType="separate"/>
            </w:r>
            <w:r w:rsidR="001D72D9" w:rsidRPr="00C431F1">
              <w:rPr>
                <w:rFonts w:ascii="Book Antiqua" w:hAnsi="Book Antiqua"/>
                <w:noProof/>
                <w:sz w:val="24"/>
                <w:szCs w:val="24"/>
              </w:rPr>
              <w:t>30</w:t>
            </w:r>
            <w:r w:rsidRPr="00C431F1">
              <w:rPr>
                <w:rFonts w:ascii="Book Antiqua" w:hAnsi="Book Antiqua"/>
                <w:sz w:val="24"/>
                <w:szCs w:val="24"/>
              </w:rPr>
              <w:fldChar w:fldCharType="end"/>
            </w:r>
          </w:p>
        </w:sdtContent>
      </w:sdt>
    </w:sdtContent>
  </w:sdt>
  <w:p w14:paraId="1DF325F0" w14:textId="77777777" w:rsidR="00395BB9" w:rsidRDefault="00395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8043" w14:textId="77777777" w:rsidR="00A656C0" w:rsidRDefault="00A656C0" w:rsidP="009B5689">
      <w:r>
        <w:separator/>
      </w:r>
    </w:p>
  </w:footnote>
  <w:footnote w:type="continuationSeparator" w:id="0">
    <w:p w14:paraId="64820F9C" w14:textId="77777777" w:rsidR="00A656C0" w:rsidRDefault="00A656C0" w:rsidP="009B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65"/>
    <w:rsid w:val="0003394C"/>
    <w:rsid w:val="000C2094"/>
    <w:rsid w:val="000C420A"/>
    <w:rsid w:val="0016260C"/>
    <w:rsid w:val="001765D0"/>
    <w:rsid w:val="00193FD3"/>
    <w:rsid w:val="001A2556"/>
    <w:rsid w:val="001B6ACB"/>
    <w:rsid w:val="001C29AC"/>
    <w:rsid w:val="001D72D9"/>
    <w:rsid w:val="001D761B"/>
    <w:rsid w:val="00223A70"/>
    <w:rsid w:val="002617EF"/>
    <w:rsid w:val="00270C4B"/>
    <w:rsid w:val="002A2546"/>
    <w:rsid w:val="002D741C"/>
    <w:rsid w:val="00316470"/>
    <w:rsid w:val="00317F1A"/>
    <w:rsid w:val="00323F2C"/>
    <w:rsid w:val="00326574"/>
    <w:rsid w:val="00333C7A"/>
    <w:rsid w:val="00334A5C"/>
    <w:rsid w:val="00342DFC"/>
    <w:rsid w:val="003634AA"/>
    <w:rsid w:val="003945C7"/>
    <w:rsid w:val="00395BB9"/>
    <w:rsid w:val="003A5057"/>
    <w:rsid w:val="003A5CDB"/>
    <w:rsid w:val="003C56DB"/>
    <w:rsid w:val="003C57B3"/>
    <w:rsid w:val="003F1876"/>
    <w:rsid w:val="0041339E"/>
    <w:rsid w:val="0044340A"/>
    <w:rsid w:val="004F3A44"/>
    <w:rsid w:val="00503654"/>
    <w:rsid w:val="00504D7E"/>
    <w:rsid w:val="00506B00"/>
    <w:rsid w:val="00513975"/>
    <w:rsid w:val="00517828"/>
    <w:rsid w:val="00524639"/>
    <w:rsid w:val="005617D2"/>
    <w:rsid w:val="00583102"/>
    <w:rsid w:val="005B4603"/>
    <w:rsid w:val="006625AB"/>
    <w:rsid w:val="0068344B"/>
    <w:rsid w:val="006A6A95"/>
    <w:rsid w:val="006B4F92"/>
    <w:rsid w:val="006B639F"/>
    <w:rsid w:val="006F4C49"/>
    <w:rsid w:val="007224EE"/>
    <w:rsid w:val="00722A89"/>
    <w:rsid w:val="00753082"/>
    <w:rsid w:val="007B6388"/>
    <w:rsid w:val="007D52D7"/>
    <w:rsid w:val="007D751A"/>
    <w:rsid w:val="007E2426"/>
    <w:rsid w:val="008010FD"/>
    <w:rsid w:val="00812DD6"/>
    <w:rsid w:val="00824E82"/>
    <w:rsid w:val="00827049"/>
    <w:rsid w:val="008563F9"/>
    <w:rsid w:val="009117A1"/>
    <w:rsid w:val="00941CB4"/>
    <w:rsid w:val="009468E6"/>
    <w:rsid w:val="00994FDC"/>
    <w:rsid w:val="009B5689"/>
    <w:rsid w:val="00A26F4E"/>
    <w:rsid w:val="00A4186E"/>
    <w:rsid w:val="00A438BD"/>
    <w:rsid w:val="00A656C0"/>
    <w:rsid w:val="00A664EE"/>
    <w:rsid w:val="00A77B3E"/>
    <w:rsid w:val="00A925B9"/>
    <w:rsid w:val="00A93BA8"/>
    <w:rsid w:val="00AA2216"/>
    <w:rsid w:val="00AB0324"/>
    <w:rsid w:val="00AB58E8"/>
    <w:rsid w:val="00AB7CF3"/>
    <w:rsid w:val="00AF44F3"/>
    <w:rsid w:val="00B01FB0"/>
    <w:rsid w:val="00B06968"/>
    <w:rsid w:val="00B1068A"/>
    <w:rsid w:val="00BA2FE9"/>
    <w:rsid w:val="00BC75C7"/>
    <w:rsid w:val="00BD4B38"/>
    <w:rsid w:val="00BF623D"/>
    <w:rsid w:val="00C02CC3"/>
    <w:rsid w:val="00C0472F"/>
    <w:rsid w:val="00C14208"/>
    <w:rsid w:val="00C36BCC"/>
    <w:rsid w:val="00C431F1"/>
    <w:rsid w:val="00C60A5B"/>
    <w:rsid w:val="00C725EF"/>
    <w:rsid w:val="00CA2A55"/>
    <w:rsid w:val="00CD09C3"/>
    <w:rsid w:val="00CD12FF"/>
    <w:rsid w:val="00CE3F25"/>
    <w:rsid w:val="00D37F4B"/>
    <w:rsid w:val="00D50D31"/>
    <w:rsid w:val="00D766BF"/>
    <w:rsid w:val="00D97386"/>
    <w:rsid w:val="00D97EE8"/>
    <w:rsid w:val="00DF0518"/>
    <w:rsid w:val="00DF7B32"/>
    <w:rsid w:val="00E26C52"/>
    <w:rsid w:val="00E348AD"/>
    <w:rsid w:val="00E62416"/>
    <w:rsid w:val="00ED0C68"/>
    <w:rsid w:val="00ED46AC"/>
    <w:rsid w:val="00EF32FD"/>
    <w:rsid w:val="00F052D6"/>
    <w:rsid w:val="00F33D59"/>
    <w:rsid w:val="00F44987"/>
    <w:rsid w:val="00F4560A"/>
    <w:rsid w:val="00F87008"/>
    <w:rsid w:val="00F9177A"/>
    <w:rsid w:val="00F969CA"/>
    <w:rsid w:val="00FC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627D7"/>
  <w15:docId w15:val="{3A9A41ED-681D-4571-A0B0-05DB190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deparagrafimplicit1">
    <w:name w:val="Fontdeparagrafimplicit1"/>
    <w:basedOn w:val="a0"/>
  </w:style>
  <w:style w:type="character" w:customStyle="1" w:styleId="acopre">
    <w:name w:val="acopre"/>
    <w:basedOn w:val="a0"/>
  </w:style>
  <w:style w:type="table" w:styleId="a3">
    <w:name w:val="Table Grid"/>
    <w:basedOn w:val="a1"/>
    <w:uiPriority w:val="39"/>
    <w:rsid w:val="00AF44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56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B5689"/>
    <w:rPr>
      <w:sz w:val="18"/>
      <w:szCs w:val="18"/>
    </w:rPr>
  </w:style>
  <w:style w:type="paragraph" w:styleId="a6">
    <w:name w:val="footer"/>
    <w:basedOn w:val="a"/>
    <w:link w:val="a7"/>
    <w:uiPriority w:val="99"/>
    <w:rsid w:val="009B5689"/>
    <w:pPr>
      <w:tabs>
        <w:tab w:val="center" w:pos="4153"/>
        <w:tab w:val="right" w:pos="8306"/>
      </w:tabs>
      <w:snapToGrid w:val="0"/>
    </w:pPr>
    <w:rPr>
      <w:sz w:val="18"/>
      <w:szCs w:val="18"/>
    </w:rPr>
  </w:style>
  <w:style w:type="character" w:customStyle="1" w:styleId="a7">
    <w:name w:val="页脚 字符"/>
    <w:basedOn w:val="a0"/>
    <w:link w:val="a6"/>
    <w:uiPriority w:val="99"/>
    <w:rsid w:val="009B5689"/>
    <w:rPr>
      <w:sz w:val="18"/>
      <w:szCs w:val="18"/>
    </w:rPr>
  </w:style>
  <w:style w:type="paragraph" w:styleId="a8">
    <w:name w:val="Balloon Text"/>
    <w:basedOn w:val="a"/>
    <w:link w:val="a9"/>
    <w:semiHidden/>
    <w:unhideWhenUsed/>
    <w:rsid w:val="009117A1"/>
    <w:rPr>
      <w:sz w:val="18"/>
      <w:szCs w:val="18"/>
    </w:rPr>
  </w:style>
  <w:style w:type="character" w:customStyle="1" w:styleId="a9">
    <w:name w:val="批注框文本 字符"/>
    <w:basedOn w:val="a0"/>
    <w:link w:val="a8"/>
    <w:semiHidden/>
    <w:rsid w:val="00911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3080">
      <w:bodyDiv w:val="1"/>
      <w:marLeft w:val="0"/>
      <w:marRight w:val="0"/>
      <w:marTop w:val="0"/>
      <w:marBottom w:val="0"/>
      <w:divBdr>
        <w:top w:val="none" w:sz="0" w:space="0" w:color="auto"/>
        <w:left w:val="none" w:sz="0" w:space="0" w:color="auto"/>
        <w:bottom w:val="none" w:sz="0" w:space="0" w:color="auto"/>
        <w:right w:val="none" w:sz="0" w:space="0" w:color="auto"/>
      </w:divBdr>
    </w:div>
    <w:div w:id="1084568763">
      <w:bodyDiv w:val="1"/>
      <w:marLeft w:val="0"/>
      <w:marRight w:val="0"/>
      <w:marTop w:val="0"/>
      <w:marBottom w:val="0"/>
      <w:divBdr>
        <w:top w:val="none" w:sz="0" w:space="0" w:color="auto"/>
        <w:left w:val="none" w:sz="0" w:space="0" w:color="auto"/>
        <w:bottom w:val="none" w:sz="0" w:space="0" w:color="auto"/>
        <w:right w:val="none" w:sz="0" w:space="0" w:color="auto"/>
      </w:divBdr>
    </w:div>
    <w:div w:id="1140880652">
      <w:bodyDiv w:val="1"/>
      <w:marLeft w:val="0"/>
      <w:marRight w:val="0"/>
      <w:marTop w:val="0"/>
      <w:marBottom w:val="0"/>
      <w:divBdr>
        <w:top w:val="none" w:sz="0" w:space="0" w:color="auto"/>
        <w:left w:val="none" w:sz="0" w:space="0" w:color="auto"/>
        <w:bottom w:val="none" w:sz="0" w:space="0" w:color="auto"/>
        <w:right w:val="none" w:sz="0" w:space="0" w:color="auto"/>
      </w:divBdr>
    </w:div>
    <w:div w:id="162098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anine_transamina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spartate_transaminase"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en.wikipedia.org/wiki/Aspartate_transaminase" TargetMode="External"/><Relationship Id="rId4" Type="http://schemas.openxmlformats.org/officeDocument/2006/relationships/footnotes" Target="footnotes.xml"/><Relationship Id="rId9" Type="http://schemas.openxmlformats.org/officeDocument/2006/relationships/hyperlink" Target="https://en.wikipedia.org/wiki/Alanine_transamin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30</Pages>
  <Words>7768</Words>
  <Characters>44278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16</cp:revision>
  <dcterms:created xsi:type="dcterms:W3CDTF">2021-07-10T21:28:00Z</dcterms:created>
  <dcterms:modified xsi:type="dcterms:W3CDTF">2021-08-05T04:16:00Z</dcterms:modified>
</cp:coreProperties>
</file>