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118A1"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 xml:space="preserve">Name of Journal: </w:t>
      </w:r>
      <w:r w:rsidRPr="00BE0C08">
        <w:rPr>
          <w:rFonts w:ascii="Book Antiqua" w:eastAsia="Book Antiqua" w:hAnsi="Book Antiqua" w:cs="Book Antiqua"/>
          <w:i/>
          <w:color w:val="000000"/>
        </w:rPr>
        <w:t>World Journal of Clinical Cases</w:t>
      </w:r>
    </w:p>
    <w:p w14:paraId="5CFAB95E"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 xml:space="preserve">Manuscript NO: </w:t>
      </w:r>
      <w:r w:rsidRPr="00BE0C08">
        <w:rPr>
          <w:rFonts w:ascii="Book Antiqua" w:eastAsia="Book Antiqua" w:hAnsi="Book Antiqua" w:cs="Book Antiqua"/>
          <w:color w:val="000000"/>
        </w:rPr>
        <w:t>66121</w:t>
      </w:r>
    </w:p>
    <w:p w14:paraId="19A64609"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 xml:space="preserve">Manuscript Type: </w:t>
      </w:r>
      <w:r w:rsidRPr="00BE0C08">
        <w:rPr>
          <w:rFonts w:ascii="Book Antiqua" w:eastAsia="Book Antiqua" w:hAnsi="Book Antiqua" w:cs="Book Antiqua"/>
          <w:color w:val="000000"/>
        </w:rPr>
        <w:t>CASE REPORT</w:t>
      </w:r>
    </w:p>
    <w:p w14:paraId="1AD9768D" w14:textId="77777777" w:rsidR="00A77B3E" w:rsidRPr="00BE0C08" w:rsidRDefault="00A77B3E" w:rsidP="00AD4096">
      <w:pPr>
        <w:adjustRightInd w:val="0"/>
        <w:snapToGrid w:val="0"/>
        <w:spacing w:line="360" w:lineRule="auto"/>
        <w:jc w:val="both"/>
        <w:rPr>
          <w:rFonts w:ascii="Book Antiqua" w:hAnsi="Book Antiqua"/>
        </w:rPr>
      </w:pPr>
    </w:p>
    <w:p w14:paraId="23A5CA4E"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Mixed neuroendocrine carcinoma of the gastric stump: A case report</w:t>
      </w:r>
    </w:p>
    <w:p w14:paraId="2A4EC5F7" w14:textId="77777777" w:rsidR="00A77B3E" w:rsidRPr="00BE0C08" w:rsidRDefault="00A77B3E" w:rsidP="00AD4096">
      <w:pPr>
        <w:adjustRightInd w:val="0"/>
        <w:snapToGrid w:val="0"/>
        <w:spacing w:line="360" w:lineRule="auto"/>
        <w:jc w:val="both"/>
        <w:rPr>
          <w:rFonts w:ascii="Book Antiqua" w:hAnsi="Book Antiqua"/>
        </w:rPr>
      </w:pPr>
    </w:p>
    <w:p w14:paraId="2B0D4DFA" w14:textId="4B89AA66" w:rsidR="00A77B3E" w:rsidRPr="00BE0C08" w:rsidRDefault="00AD4096" w:rsidP="00AD4096">
      <w:pPr>
        <w:adjustRightInd w:val="0"/>
        <w:snapToGrid w:val="0"/>
        <w:spacing w:line="360" w:lineRule="auto"/>
        <w:jc w:val="both"/>
        <w:rPr>
          <w:rFonts w:ascii="Book Antiqua" w:hAnsi="Book Antiqua"/>
          <w:lang w:eastAsia="zh-CN"/>
        </w:rPr>
      </w:pPr>
      <w:r w:rsidRPr="00BE0C08">
        <w:rPr>
          <w:rFonts w:ascii="Book Antiqua" w:eastAsia="Book Antiqua" w:hAnsi="Book Antiqua" w:cs="Book Antiqua"/>
          <w:color w:val="000000"/>
        </w:rPr>
        <w:t>Z</w:t>
      </w:r>
      <w:r w:rsidRPr="00BE0C08">
        <w:rPr>
          <w:rFonts w:ascii="Book Antiqua" w:hAnsi="Book Antiqua" w:cs="Book Antiqua"/>
          <w:color w:val="000000"/>
          <w:lang w:eastAsia="zh-CN"/>
        </w:rPr>
        <w:t>hu</w:t>
      </w:r>
      <w:r w:rsidRPr="00BE0C08">
        <w:rPr>
          <w:rFonts w:ascii="Book Antiqua" w:eastAsia="Book Antiqua" w:hAnsi="Book Antiqua" w:cs="Book Antiqua"/>
          <w:color w:val="000000"/>
        </w:rPr>
        <w:t xml:space="preserve"> H </w:t>
      </w:r>
      <w:r w:rsidRPr="00BE0C08">
        <w:rPr>
          <w:rFonts w:ascii="Book Antiqua" w:eastAsia="Book Antiqua" w:hAnsi="Book Antiqua" w:cs="Book Antiqua"/>
          <w:i/>
          <w:iCs/>
          <w:color w:val="000000"/>
        </w:rPr>
        <w:t>et al</w:t>
      </w:r>
      <w:r w:rsidRPr="00BE0C08">
        <w:rPr>
          <w:rFonts w:ascii="Book Antiqua" w:eastAsia="Book Antiqua" w:hAnsi="Book Antiqua" w:cs="Book Antiqua"/>
          <w:color w:val="000000"/>
        </w:rPr>
        <w:t>. M</w:t>
      </w:r>
      <w:r w:rsidR="009868C2" w:rsidRPr="00BE0C08">
        <w:rPr>
          <w:rFonts w:ascii="Book Antiqua" w:eastAsia="Book Antiqua" w:hAnsi="Book Antiqua" w:cs="Book Antiqua"/>
          <w:color w:val="000000"/>
        </w:rPr>
        <w:t>ixed neuroendocrine gastric stump cancer</w:t>
      </w:r>
    </w:p>
    <w:p w14:paraId="387540F8" w14:textId="77777777" w:rsidR="00A77B3E" w:rsidRPr="00BE0C08" w:rsidRDefault="00A77B3E" w:rsidP="00AD4096">
      <w:pPr>
        <w:adjustRightInd w:val="0"/>
        <w:snapToGrid w:val="0"/>
        <w:spacing w:line="360" w:lineRule="auto"/>
        <w:jc w:val="both"/>
        <w:rPr>
          <w:rFonts w:ascii="Book Antiqua" w:hAnsi="Book Antiqua"/>
        </w:rPr>
      </w:pPr>
    </w:p>
    <w:p w14:paraId="054A3912"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Hui Zhu, Ming-Yuan Zhang, Wei-Liang Sun, Gun Chen</w:t>
      </w:r>
    </w:p>
    <w:p w14:paraId="0B7C2C40" w14:textId="77777777" w:rsidR="00A77B3E" w:rsidRPr="00BE0C08" w:rsidRDefault="00A77B3E" w:rsidP="00AD4096">
      <w:pPr>
        <w:adjustRightInd w:val="0"/>
        <w:snapToGrid w:val="0"/>
        <w:spacing w:line="360" w:lineRule="auto"/>
        <w:jc w:val="both"/>
        <w:rPr>
          <w:rFonts w:ascii="Book Antiqua" w:hAnsi="Book Antiqua"/>
        </w:rPr>
      </w:pPr>
    </w:p>
    <w:p w14:paraId="35BA5C62"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Hui Zhu, Ming-Yuan Zhang, Wei-Liang Sun, </w:t>
      </w:r>
      <w:r w:rsidRPr="00BE0C08">
        <w:rPr>
          <w:rFonts w:ascii="Book Antiqua" w:eastAsia="Book Antiqua" w:hAnsi="Book Antiqua" w:cs="Book Antiqua"/>
          <w:color w:val="000000"/>
        </w:rPr>
        <w:t>Gastrointestinal Surgery Department, The Affiliated People's Hospital of Ningbo University, Ningbo 315000, Zhejiang Province, China</w:t>
      </w:r>
    </w:p>
    <w:p w14:paraId="4976D9DE" w14:textId="77777777" w:rsidR="00A77B3E" w:rsidRPr="00BE0C08" w:rsidRDefault="00A77B3E" w:rsidP="00AD4096">
      <w:pPr>
        <w:adjustRightInd w:val="0"/>
        <w:snapToGrid w:val="0"/>
        <w:spacing w:line="360" w:lineRule="auto"/>
        <w:jc w:val="both"/>
        <w:rPr>
          <w:rFonts w:ascii="Book Antiqua" w:hAnsi="Book Antiqua"/>
        </w:rPr>
      </w:pPr>
    </w:p>
    <w:p w14:paraId="6F90F150" w14:textId="2A62BDF4"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Gun Chen, </w:t>
      </w:r>
      <w:r w:rsidRPr="00BE0C08">
        <w:rPr>
          <w:rFonts w:ascii="Book Antiqua" w:eastAsia="Book Antiqua" w:hAnsi="Book Antiqua" w:cs="Book Antiqua"/>
          <w:color w:val="000000"/>
        </w:rPr>
        <w:t>Pathologic Department, The Affiliated People's Hospital of Ningbo University, Ningbo 315000, Zhejiang</w:t>
      </w:r>
      <w:r w:rsidR="005701A8" w:rsidRPr="00BE0C08">
        <w:rPr>
          <w:rFonts w:ascii="Book Antiqua" w:eastAsia="Book Antiqua" w:hAnsi="Book Antiqua" w:cs="Book Antiqua"/>
          <w:color w:val="000000"/>
        </w:rPr>
        <w:t xml:space="preserve"> Province</w:t>
      </w:r>
      <w:r w:rsidRPr="00BE0C08">
        <w:rPr>
          <w:rFonts w:ascii="Book Antiqua" w:eastAsia="Book Antiqua" w:hAnsi="Book Antiqua" w:cs="Book Antiqua"/>
          <w:color w:val="000000"/>
        </w:rPr>
        <w:t>, China</w:t>
      </w:r>
    </w:p>
    <w:p w14:paraId="268677D6" w14:textId="77777777" w:rsidR="00A77B3E" w:rsidRPr="00BE0C08" w:rsidRDefault="00A77B3E" w:rsidP="00AD4096">
      <w:pPr>
        <w:adjustRightInd w:val="0"/>
        <w:snapToGrid w:val="0"/>
        <w:spacing w:line="360" w:lineRule="auto"/>
        <w:jc w:val="both"/>
        <w:rPr>
          <w:rFonts w:ascii="Book Antiqua" w:hAnsi="Book Antiqua"/>
        </w:rPr>
      </w:pPr>
    </w:p>
    <w:p w14:paraId="0FB00444"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Author contributions: </w:t>
      </w:r>
      <w:r w:rsidRPr="00BE0C08">
        <w:rPr>
          <w:rFonts w:ascii="Book Antiqua" w:eastAsia="Book Antiqua" w:hAnsi="Book Antiqua" w:cs="Book Antiqua"/>
          <w:color w:val="000000"/>
        </w:rPr>
        <w:t>Zhu H and Sun WL performed the surgery, reviewed the literature, and contributed to manuscript drafting; Chen G performed the pathological work; Zhang MY designed the study and was responsible for manuscript drafting and analysis.</w:t>
      </w:r>
    </w:p>
    <w:p w14:paraId="6EA06F08" w14:textId="77777777" w:rsidR="00A77B3E" w:rsidRPr="00BE0C08" w:rsidRDefault="00A77B3E" w:rsidP="00AD4096">
      <w:pPr>
        <w:adjustRightInd w:val="0"/>
        <w:snapToGrid w:val="0"/>
        <w:spacing w:line="360" w:lineRule="auto"/>
        <w:jc w:val="both"/>
        <w:rPr>
          <w:rFonts w:ascii="Book Antiqua" w:hAnsi="Book Antiqua"/>
        </w:rPr>
      </w:pPr>
    </w:p>
    <w:p w14:paraId="1BD066F1"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Corresponding author: Ming-Yuan Zhang, MD, Chief Doctor, </w:t>
      </w:r>
      <w:r w:rsidRPr="00BE0C08">
        <w:rPr>
          <w:rFonts w:ascii="Book Antiqua" w:eastAsia="Book Antiqua" w:hAnsi="Book Antiqua" w:cs="Book Antiqua"/>
          <w:color w:val="000000"/>
        </w:rPr>
        <w:t>Gastrointestinal Surgery Department, The Affiliated People's Hospital of Ningbo University, No. 251 East Baizhang Road, Yinzhou District, Ningbo 315000, Zhejiang Province, China. michael2052@163.com</w:t>
      </w:r>
    </w:p>
    <w:p w14:paraId="2509E7B8" w14:textId="77777777" w:rsidR="00A77B3E" w:rsidRPr="00BE0C08" w:rsidRDefault="00A77B3E" w:rsidP="00AD4096">
      <w:pPr>
        <w:adjustRightInd w:val="0"/>
        <w:snapToGrid w:val="0"/>
        <w:spacing w:line="360" w:lineRule="auto"/>
        <w:jc w:val="both"/>
        <w:rPr>
          <w:rFonts w:ascii="Book Antiqua" w:hAnsi="Book Antiqua"/>
        </w:rPr>
      </w:pPr>
    </w:p>
    <w:p w14:paraId="080B5237"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Received: </w:t>
      </w:r>
      <w:r w:rsidRPr="00BE0C08">
        <w:rPr>
          <w:rFonts w:ascii="Book Antiqua" w:eastAsia="Book Antiqua" w:hAnsi="Book Antiqua" w:cs="Book Antiqua"/>
          <w:color w:val="000000"/>
        </w:rPr>
        <w:t>March 31, 2021</w:t>
      </w:r>
    </w:p>
    <w:p w14:paraId="355DCFB0"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Revised: </w:t>
      </w:r>
      <w:r w:rsidRPr="00BE0C08">
        <w:rPr>
          <w:rFonts w:ascii="Book Antiqua" w:eastAsia="Book Antiqua" w:hAnsi="Book Antiqua" w:cs="Book Antiqua"/>
          <w:color w:val="000000"/>
        </w:rPr>
        <w:t>May 6, 2021</w:t>
      </w:r>
    </w:p>
    <w:p w14:paraId="6AF56641" w14:textId="321E29A4"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lastRenderedPageBreak/>
        <w:t xml:space="preserve">Accepted: </w:t>
      </w:r>
      <w:r w:rsidR="00323DA1" w:rsidRPr="00BE0C08">
        <w:rPr>
          <w:rFonts w:ascii="Book Antiqua" w:eastAsia="Book Antiqua" w:hAnsi="Book Antiqua" w:cs="Book Antiqua"/>
          <w:color w:val="000000"/>
        </w:rPr>
        <w:t>August 19, 2021</w:t>
      </w:r>
    </w:p>
    <w:p w14:paraId="6360CB37" w14:textId="17C2CECE"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Published online:</w:t>
      </w:r>
      <w:r w:rsidRPr="00BE0C08">
        <w:rPr>
          <w:rFonts w:ascii="Book Antiqua" w:eastAsia="Book Antiqua" w:hAnsi="Book Antiqua" w:cs="Book Antiqua"/>
          <w:color w:val="000000"/>
        </w:rPr>
        <w:t xml:space="preserve"> </w:t>
      </w:r>
      <w:r w:rsidR="005644C2" w:rsidRPr="00BE0C08">
        <w:rPr>
          <w:rFonts w:ascii="Book Antiqua" w:eastAsia="Book Antiqua" w:hAnsi="Book Antiqua" w:cs="Book Antiqua"/>
          <w:color w:val="000000"/>
        </w:rPr>
        <w:t>September 26, 2021</w:t>
      </w:r>
    </w:p>
    <w:p w14:paraId="1360E3B6" w14:textId="77777777" w:rsidR="00A77B3E" w:rsidRPr="00BE0C08" w:rsidRDefault="00A77B3E" w:rsidP="00AD4096">
      <w:pPr>
        <w:adjustRightInd w:val="0"/>
        <w:snapToGrid w:val="0"/>
        <w:spacing w:line="360" w:lineRule="auto"/>
        <w:jc w:val="both"/>
        <w:rPr>
          <w:rFonts w:ascii="Book Antiqua" w:hAnsi="Book Antiqua"/>
        </w:rPr>
        <w:sectPr w:rsidR="00A77B3E" w:rsidRPr="00BE0C08">
          <w:footerReference w:type="default" r:id="rId8"/>
          <w:pgSz w:w="12240" w:h="15840"/>
          <w:pgMar w:top="1440" w:right="1440" w:bottom="1440" w:left="1440" w:header="720" w:footer="720" w:gutter="0"/>
          <w:cols w:space="720"/>
          <w:docGrid w:linePitch="360"/>
        </w:sectPr>
      </w:pPr>
    </w:p>
    <w:p w14:paraId="070C71B8"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Abstract</w:t>
      </w:r>
    </w:p>
    <w:p w14:paraId="037366F4"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BACKGROUND</w:t>
      </w:r>
    </w:p>
    <w:p w14:paraId="5022E19C" w14:textId="2BB30FDC"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Gastric stump cancer, also known as gastric remnant cancer (GRC), is one of the main complications of postgastrectomy syndrome, which usually</w:t>
      </w:r>
      <w:r w:rsidR="00993431" w:rsidRPr="00BE0C08">
        <w:rPr>
          <w:rFonts w:ascii="Book Antiqua" w:eastAsia="Book Antiqua" w:hAnsi="Book Antiqua" w:cs="Book Antiqua"/>
          <w:color w:val="000000"/>
        </w:rPr>
        <w:t xml:space="preserve"> </w:t>
      </w:r>
      <w:r w:rsidRPr="00BE0C08">
        <w:rPr>
          <w:rFonts w:ascii="Book Antiqua" w:eastAsia="Book Antiqua" w:hAnsi="Book Antiqua" w:cs="Book Antiqua"/>
          <w:color w:val="000000"/>
        </w:rPr>
        <w:t>occurs following Billroth II reconstruction. The predominant histological subtype of GRC is adenocarcinoma, whereas neuroendocrine carcinoma is relatively rare. In particular, there are few recently reported cases of mixed neuroendocrine carcinoma (MNEC) in the English literature. Here, we present an extremely rare case of MNEC of the gastric stump.</w:t>
      </w:r>
    </w:p>
    <w:p w14:paraId="65360166" w14:textId="77777777" w:rsidR="00A77B3E" w:rsidRPr="00BE0C08" w:rsidRDefault="00A77B3E" w:rsidP="00AD4096">
      <w:pPr>
        <w:adjustRightInd w:val="0"/>
        <w:snapToGrid w:val="0"/>
        <w:spacing w:line="360" w:lineRule="auto"/>
        <w:jc w:val="both"/>
        <w:rPr>
          <w:rFonts w:ascii="Book Antiqua" w:hAnsi="Book Antiqua"/>
        </w:rPr>
      </w:pPr>
    </w:p>
    <w:p w14:paraId="63E09D30"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CASE SUMMARY</w:t>
      </w:r>
    </w:p>
    <w:p w14:paraId="3AFB334C" w14:textId="428DB5D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A 59-year-old patient presented to our department owing to chronic constipation. He had undergone subtotal gastric resection 35 years prior to admission because of benign peptic ulcer. After admission, the patient underwent several tests, and gastroendoscopy showed evidence of Billroth II gastrectomy and local thickening of the gastric stump mucosa at the gastrojejunostomy site, with bile reflux; pathological biopsy revealed adenocarcinoma. He was then diagnosed with GRC and underwent total gastrectomy, D2 Lymphadenectomy, and esophagojejunal Roux-en-Y reconstruction. Histopathological examination of the specimen identified MNEC comprising </w:t>
      </w:r>
      <w:r w:rsidR="00993431" w:rsidRPr="00BE0C08">
        <w:rPr>
          <w:rFonts w:ascii="Book Antiqua" w:eastAsia="Book Antiqua" w:hAnsi="Book Antiqua" w:cs="Book Antiqua"/>
          <w:color w:val="000000"/>
        </w:rPr>
        <w:t>MNEC</w:t>
      </w:r>
      <w:r w:rsidRPr="00BE0C08">
        <w:rPr>
          <w:rFonts w:ascii="Book Antiqua" w:eastAsia="Book Antiqua" w:hAnsi="Book Antiqua" w:cs="Book Antiqua"/>
          <w:color w:val="000000"/>
        </w:rPr>
        <w:t xml:space="preserve"> (60%), adenocarcinoma (30%), and squamous cell carcinoma (10%). Postoperative adjuvant chemotherapy was initiated on September 17, 2020. Taxol plus cisplatin was administered for only one cycle because of severe liver function damage, and the regimen was changed to etoposide plus cisplatin on October 10, 2020 for five cycles. The patient recovered, with no recurrence after 6 mo of follow-up.</w:t>
      </w:r>
    </w:p>
    <w:p w14:paraId="51EBC3EC" w14:textId="77777777" w:rsidR="00A77B3E" w:rsidRPr="00BE0C08" w:rsidRDefault="00A77B3E" w:rsidP="00AD4096">
      <w:pPr>
        <w:adjustRightInd w:val="0"/>
        <w:snapToGrid w:val="0"/>
        <w:spacing w:line="360" w:lineRule="auto"/>
        <w:jc w:val="both"/>
        <w:rPr>
          <w:rFonts w:ascii="Book Antiqua" w:hAnsi="Book Antiqua"/>
        </w:rPr>
      </w:pPr>
    </w:p>
    <w:p w14:paraId="5CC8225A"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CONCLUSION</w:t>
      </w:r>
    </w:p>
    <w:p w14:paraId="04DACCF0" w14:textId="022FDD8A" w:rsidR="00A77B3E" w:rsidRPr="00BE0C08" w:rsidRDefault="0099343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Gastric MNECs (GMNECs)</w:t>
      </w:r>
      <w:r w:rsidR="00901B81" w:rsidRPr="00BE0C08">
        <w:rPr>
          <w:rFonts w:ascii="Book Antiqua" w:eastAsia="Book Antiqua" w:hAnsi="Book Antiqua" w:cs="Book Antiqua"/>
          <w:color w:val="000000"/>
        </w:rPr>
        <w:t xml:space="preserve"> is a rare type of GRC.</w:t>
      </w:r>
      <w:r w:rsidR="00901B81" w:rsidRPr="00BE0C08">
        <w:rPr>
          <w:rFonts w:ascii="Book Antiqua" w:eastAsia="Book Antiqua" w:hAnsi="Book Antiqua" w:cs="Book Antiqua"/>
          <w:color w:val="000000"/>
          <w:shd w:val="clear" w:color="auto" w:fill="FFFFFF"/>
        </w:rPr>
        <w:t xml:space="preserve"> This study presented the unusual occurrence of </w:t>
      </w:r>
      <w:r w:rsidR="00901B81" w:rsidRPr="00BE0C08">
        <w:rPr>
          <w:rFonts w:ascii="Book Antiqua" w:eastAsia="Book Antiqua" w:hAnsi="Book Antiqua" w:cs="Book Antiqua"/>
          <w:color w:val="000000"/>
        </w:rPr>
        <w:t>GMNEC</w:t>
      </w:r>
      <w:r w:rsidR="00901B81" w:rsidRPr="00BE0C08">
        <w:rPr>
          <w:rFonts w:ascii="Book Antiqua" w:eastAsia="Book Antiqua" w:hAnsi="Book Antiqua" w:cs="Book Antiqua"/>
          <w:color w:val="000000"/>
          <w:shd w:val="clear" w:color="auto" w:fill="FFFFFF"/>
        </w:rPr>
        <w:t xml:space="preserve"> in the gastric stump. This case will contribute to improvements in our understanding of the carcinogenesis, biology, pathology, and behavior of G</w:t>
      </w:r>
      <w:r w:rsidR="00901B81" w:rsidRPr="00BE0C08">
        <w:rPr>
          <w:rFonts w:ascii="Book Antiqua" w:eastAsia="Book Antiqua" w:hAnsi="Book Antiqua" w:cs="Book Antiqua"/>
          <w:color w:val="000000"/>
        </w:rPr>
        <w:t xml:space="preserve">MNEC </w:t>
      </w:r>
      <w:r w:rsidR="00901B81" w:rsidRPr="00BE0C08">
        <w:rPr>
          <w:rFonts w:ascii="Book Antiqua" w:eastAsia="Book Antiqua" w:hAnsi="Book Antiqua" w:cs="Book Antiqua"/>
          <w:color w:val="000000"/>
          <w:shd w:val="clear" w:color="auto" w:fill="FFFFFF"/>
        </w:rPr>
        <w:t>and GRC.</w:t>
      </w:r>
    </w:p>
    <w:p w14:paraId="58F4B86D" w14:textId="77777777" w:rsidR="00A77B3E" w:rsidRPr="00BE0C08" w:rsidRDefault="00A77B3E" w:rsidP="00AD4096">
      <w:pPr>
        <w:adjustRightInd w:val="0"/>
        <w:snapToGrid w:val="0"/>
        <w:spacing w:line="360" w:lineRule="auto"/>
        <w:jc w:val="both"/>
        <w:rPr>
          <w:rFonts w:ascii="Book Antiqua" w:hAnsi="Book Antiqua"/>
        </w:rPr>
      </w:pPr>
    </w:p>
    <w:p w14:paraId="3F541200"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Key Words: </w:t>
      </w:r>
      <w:r w:rsidRPr="00BE0C08">
        <w:rPr>
          <w:rFonts w:ascii="Book Antiqua" w:eastAsia="Book Antiqua" w:hAnsi="Book Antiqua" w:cs="Book Antiqua"/>
          <w:color w:val="000000"/>
        </w:rPr>
        <w:t>Gastric remnant cancer; Gastric mixed neuroendocrine carcinoma; Surgery; Gastric stump; Billroth II; Case report</w:t>
      </w:r>
    </w:p>
    <w:p w14:paraId="59C2183F" w14:textId="77777777" w:rsidR="00CA5BB4" w:rsidRDefault="00CA5BB4" w:rsidP="00CA5BB4">
      <w:pPr>
        <w:spacing w:line="360" w:lineRule="auto"/>
        <w:jc w:val="both"/>
        <w:rPr>
          <w:lang w:eastAsia="zh-CN"/>
        </w:rPr>
      </w:pPr>
    </w:p>
    <w:p w14:paraId="06291756" w14:textId="77777777" w:rsidR="00CA5BB4" w:rsidRPr="00026CB8" w:rsidRDefault="00CA5BB4" w:rsidP="00CA5BB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7437321" w14:textId="77777777" w:rsidR="00A77B3E" w:rsidRPr="00BE0C08" w:rsidRDefault="00A77B3E" w:rsidP="00AD4096">
      <w:pPr>
        <w:adjustRightInd w:val="0"/>
        <w:snapToGrid w:val="0"/>
        <w:spacing w:line="360" w:lineRule="auto"/>
        <w:jc w:val="both"/>
        <w:rPr>
          <w:rFonts w:ascii="Book Antiqua" w:hAnsi="Book Antiqua"/>
        </w:rPr>
      </w:pPr>
    </w:p>
    <w:p w14:paraId="44D80ADD" w14:textId="464DA67F" w:rsidR="004C3DC7" w:rsidRDefault="004C3DC7" w:rsidP="00AD4096">
      <w:pPr>
        <w:adjustRightInd w:val="0"/>
        <w:snapToGrid w:val="0"/>
        <w:spacing w:line="360" w:lineRule="auto"/>
        <w:jc w:val="both"/>
        <w:rPr>
          <w:rFonts w:ascii="Book Antiqua" w:hAnsi="Book Antiqua" w:cs="Book Antiqua"/>
          <w:color w:val="000000"/>
          <w:lang w:eastAsia="zh-CN"/>
        </w:rPr>
      </w:pPr>
      <w:r w:rsidRPr="004C3DC7">
        <w:rPr>
          <w:rFonts w:ascii="Book Antiqua" w:hAnsi="Book Antiqua" w:cs="Book Antiqua" w:hint="eastAsia"/>
          <w:b/>
          <w:color w:val="000000"/>
          <w:lang w:eastAsia="zh-CN"/>
        </w:rPr>
        <w:t xml:space="preserve">Citation: </w:t>
      </w:r>
      <w:r w:rsidR="00901B81" w:rsidRPr="00BE0C08">
        <w:rPr>
          <w:rFonts w:ascii="Book Antiqua" w:eastAsia="Book Antiqua" w:hAnsi="Book Antiqua" w:cs="Book Antiqua"/>
          <w:color w:val="000000"/>
        </w:rPr>
        <w:t xml:space="preserve">Zhu H, Zhang MY, Sun WL, Chen G. Mixed neuroendocrine carcinoma of the gastric stump: A case report. </w:t>
      </w:r>
      <w:r w:rsidR="00901B81" w:rsidRPr="00BE0C08">
        <w:rPr>
          <w:rFonts w:ascii="Book Antiqua" w:eastAsia="Book Antiqua" w:hAnsi="Book Antiqua" w:cs="Book Antiqua"/>
          <w:i/>
          <w:iCs/>
          <w:color w:val="000000"/>
        </w:rPr>
        <w:t>World J Clin Cases</w:t>
      </w:r>
      <w:r w:rsidR="00901B81" w:rsidRPr="00BE0C08">
        <w:rPr>
          <w:rFonts w:ascii="Book Antiqua" w:eastAsia="Book Antiqua" w:hAnsi="Book Antiqua" w:cs="Book Antiqua"/>
          <w:color w:val="000000"/>
        </w:rPr>
        <w:t xml:space="preserve"> 2021; </w:t>
      </w:r>
      <w:r w:rsidR="00974671" w:rsidRPr="00BE0C08">
        <w:rPr>
          <w:rFonts w:ascii="Book Antiqua" w:eastAsia="Book Antiqua" w:hAnsi="Book Antiqua" w:cs="Book Antiqua"/>
          <w:color w:val="000000"/>
        </w:rPr>
        <w:t xml:space="preserve">9(27): </w:t>
      </w:r>
      <w:r w:rsidRPr="004C3DC7">
        <w:rPr>
          <w:rFonts w:ascii="Book Antiqua" w:eastAsia="Book Antiqua" w:hAnsi="Book Antiqua" w:cs="Book Antiqua"/>
          <w:color w:val="000000"/>
        </w:rPr>
        <w:t>8090-8096</w:t>
      </w:r>
      <w:r w:rsidR="00974671" w:rsidRPr="00BE0C08">
        <w:rPr>
          <w:rFonts w:ascii="Book Antiqua" w:eastAsia="Book Antiqua" w:hAnsi="Book Antiqua" w:cs="Book Antiqua"/>
          <w:color w:val="000000"/>
        </w:rPr>
        <w:t xml:space="preserve">  </w:t>
      </w:r>
    </w:p>
    <w:p w14:paraId="51B8E23C" w14:textId="77777777" w:rsidR="004C3DC7" w:rsidRDefault="00974671" w:rsidP="00AD4096">
      <w:pPr>
        <w:adjustRightInd w:val="0"/>
        <w:snapToGrid w:val="0"/>
        <w:spacing w:line="360" w:lineRule="auto"/>
        <w:jc w:val="both"/>
        <w:rPr>
          <w:rFonts w:ascii="Book Antiqua" w:hAnsi="Book Antiqua" w:cs="Book Antiqua"/>
          <w:color w:val="000000"/>
          <w:lang w:eastAsia="zh-CN"/>
        </w:rPr>
      </w:pPr>
      <w:r w:rsidRPr="004C3DC7">
        <w:rPr>
          <w:rFonts w:ascii="Book Antiqua" w:eastAsia="Book Antiqua" w:hAnsi="Book Antiqua" w:cs="Book Antiqua"/>
          <w:b/>
          <w:color w:val="000000"/>
        </w:rPr>
        <w:t>URL:</w:t>
      </w:r>
      <w:r w:rsidRPr="00BE0C08">
        <w:rPr>
          <w:rFonts w:ascii="Book Antiqua" w:eastAsia="Book Antiqua" w:hAnsi="Book Antiqua" w:cs="Book Antiqua"/>
          <w:color w:val="000000"/>
        </w:rPr>
        <w:t xml:space="preserve"> https://www.wjgnet.com/2307-8960/full/v9/i27/</w:t>
      </w:r>
      <w:r w:rsidR="004C3DC7" w:rsidRPr="004C3DC7">
        <w:rPr>
          <w:rFonts w:ascii="Book Antiqua" w:eastAsia="Book Antiqua" w:hAnsi="Book Antiqua" w:cs="Book Antiqua"/>
          <w:color w:val="000000"/>
        </w:rPr>
        <w:t>8090</w:t>
      </w:r>
      <w:r w:rsidRPr="00BE0C08">
        <w:rPr>
          <w:rFonts w:ascii="Book Antiqua" w:eastAsia="Book Antiqua" w:hAnsi="Book Antiqua" w:cs="Book Antiqua"/>
          <w:color w:val="000000"/>
        </w:rPr>
        <w:t xml:space="preserve">.htm  </w:t>
      </w:r>
    </w:p>
    <w:p w14:paraId="11A46666" w14:textId="3CCBF6F5" w:rsidR="00A77B3E" w:rsidRPr="00BE0C08" w:rsidRDefault="00974671" w:rsidP="00AD4096">
      <w:pPr>
        <w:adjustRightInd w:val="0"/>
        <w:snapToGrid w:val="0"/>
        <w:spacing w:line="360" w:lineRule="auto"/>
        <w:jc w:val="both"/>
        <w:rPr>
          <w:rFonts w:ascii="Book Antiqua" w:hAnsi="Book Antiqua"/>
        </w:rPr>
      </w:pPr>
      <w:r w:rsidRPr="004C3DC7">
        <w:rPr>
          <w:rFonts w:ascii="Book Antiqua" w:eastAsia="Book Antiqua" w:hAnsi="Book Antiqua" w:cs="Book Antiqua"/>
          <w:b/>
          <w:color w:val="000000"/>
        </w:rPr>
        <w:t>DOI:</w:t>
      </w:r>
      <w:r w:rsidRPr="00BE0C08">
        <w:rPr>
          <w:rFonts w:ascii="Book Antiqua" w:eastAsia="Book Antiqua" w:hAnsi="Book Antiqua" w:cs="Book Antiqua"/>
          <w:color w:val="000000"/>
        </w:rPr>
        <w:t xml:space="preserve"> https://dx.doi.org/10.12998/wjcc.v9.i27.</w:t>
      </w:r>
      <w:r w:rsidR="004C3DC7" w:rsidRPr="004C3DC7">
        <w:rPr>
          <w:rFonts w:ascii="Book Antiqua" w:eastAsia="Book Antiqua" w:hAnsi="Book Antiqua" w:cs="Book Antiqua"/>
          <w:color w:val="000000"/>
        </w:rPr>
        <w:t>8090</w:t>
      </w:r>
    </w:p>
    <w:p w14:paraId="6AF90D60" w14:textId="77777777" w:rsidR="00A77B3E" w:rsidRPr="00BE0C08" w:rsidRDefault="00A77B3E" w:rsidP="00AD4096">
      <w:pPr>
        <w:adjustRightInd w:val="0"/>
        <w:snapToGrid w:val="0"/>
        <w:spacing w:line="360" w:lineRule="auto"/>
        <w:jc w:val="both"/>
        <w:rPr>
          <w:rFonts w:ascii="Book Antiqua" w:hAnsi="Book Antiqua"/>
        </w:rPr>
      </w:pPr>
    </w:p>
    <w:p w14:paraId="6F831029"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Core Tip: </w:t>
      </w:r>
      <w:r w:rsidRPr="00BE0C08">
        <w:rPr>
          <w:rFonts w:ascii="Book Antiqua" w:eastAsia="Book Antiqua" w:hAnsi="Book Antiqua" w:cs="Book Antiqua"/>
          <w:color w:val="000000"/>
        </w:rPr>
        <w:t>The predominant type of gastric remnant cancer is adenocarcinoma, whereas neuroendocrine carcinoma is particularly rare. Currently, there are few previous reports of gastric mixed neuroendocrine carcinomas (GMNECs). The information provided in this report will improve our understanding of the carcinogenesis, biology, and behavior of GMNEC and gastric remnant cancer.</w:t>
      </w:r>
    </w:p>
    <w:p w14:paraId="120FF181" w14:textId="77777777" w:rsidR="00A77B3E" w:rsidRPr="00BE0C08" w:rsidRDefault="00A77B3E" w:rsidP="00AD4096">
      <w:pPr>
        <w:adjustRightInd w:val="0"/>
        <w:snapToGrid w:val="0"/>
        <w:spacing w:line="360" w:lineRule="auto"/>
        <w:jc w:val="both"/>
        <w:rPr>
          <w:rFonts w:ascii="Book Antiqua" w:hAnsi="Book Antiqua"/>
        </w:rPr>
      </w:pPr>
    </w:p>
    <w:p w14:paraId="08B0980A"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aps/>
          <w:color w:val="000000"/>
          <w:u w:val="single"/>
        </w:rPr>
        <w:t>INTRODUCTION</w:t>
      </w:r>
    </w:p>
    <w:p w14:paraId="79C5779E" w14:textId="5F175A2A"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Gastric remnant cancer (GRC) is a well-known disease worldwide, first described by Balfour</w:t>
      </w:r>
      <w:r w:rsidRPr="00BE0C08">
        <w:rPr>
          <w:rFonts w:ascii="Book Antiqua" w:eastAsia="Book Antiqua" w:hAnsi="Book Antiqua" w:cs="Book Antiqua"/>
          <w:color w:val="000000"/>
          <w:vertAlign w:val="superscript"/>
        </w:rPr>
        <w:t>[1]</w:t>
      </w:r>
      <w:r w:rsidRPr="00BE0C08">
        <w:rPr>
          <w:rFonts w:ascii="Book Antiqua" w:eastAsia="Book Antiqua" w:hAnsi="Book Antiqua" w:cs="Book Antiqua"/>
          <w:color w:val="000000"/>
        </w:rPr>
        <w:t xml:space="preserve"> in 1922. GRC was summarized as gastric carcinoma originating in the gastric stump after surgery</w:t>
      </w:r>
      <w:r w:rsidR="007E654C" w:rsidRPr="00BE0C08">
        <w:rPr>
          <w:rFonts w:ascii="Book Antiqua" w:hAnsi="Book Antiqua" w:cs="Book Antiqua"/>
          <w:color w:val="000000"/>
          <w:lang w:eastAsia="zh-CN"/>
        </w:rPr>
        <w:t xml:space="preserve">, </w:t>
      </w:r>
      <w:r w:rsidRPr="00BE0C08">
        <w:rPr>
          <w:rFonts w:ascii="Book Antiqua" w:eastAsia="Book Antiqua" w:hAnsi="Book Antiqua" w:cs="Book Antiqua"/>
          <w:color w:val="000000"/>
        </w:rPr>
        <w:t>including partial or subtotal gastrectomy</w:t>
      </w:r>
      <w:r w:rsidR="007E654C" w:rsidRPr="00BE0C08">
        <w:rPr>
          <w:rFonts w:ascii="Book Antiqua" w:eastAsia="Book Antiqua" w:hAnsi="Book Antiqua" w:cs="Book Antiqua"/>
          <w:color w:val="000000"/>
        </w:rPr>
        <w:t xml:space="preserve"> (SG)</w:t>
      </w:r>
      <w:r w:rsidRPr="00BE0C08">
        <w:rPr>
          <w:rFonts w:ascii="Book Antiqua" w:eastAsia="Book Antiqua" w:hAnsi="Book Antiqua" w:cs="Book Antiqua"/>
          <w:color w:val="000000"/>
        </w:rPr>
        <w:t>, especially following Billroth II reconstruction</w:t>
      </w:r>
      <w:r w:rsidRPr="00BE0C08">
        <w:rPr>
          <w:rFonts w:ascii="Book Antiqua" w:eastAsia="Book Antiqua" w:hAnsi="Book Antiqua" w:cs="Book Antiqua"/>
          <w:color w:val="000000"/>
          <w:vertAlign w:val="superscript"/>
        </w:rPr>
        <w:t>[2,3]</w:t>
      </w:r>
      <w:r w:rsidRPr="00BE0C08">
        <w:rPr>
          <w:rFonts w:ascii="Book Antiqua" w:eastAsia="Book Antiqua" w:hAnsi="Book Antiqua" w:cs="Book Antiqua"/>
          <w:color w:val="000000"/>
        </w:rPr>
        <w:t>. GRC typically develops at least 5 years after gastric surgery for benign peptic ulcer disease or malignant gastric cancer</w:t>
      </w:r>
      <w:r w:rsidRPr="00BE0C08">
        <w:rPr>
          <w:rFonts w:ascii="Book Antiqua" w:eastAsia="Book Antiqua" w:hAnsi="Book Antiqua" w:cs="Book Antiqua"/>
          <w:color w:val="000000"/>
          <w:vertAlign w:val="superscript"/>
        </w:rPr>
        <w:t>[4]</w:t>
      </w:r>
      <w:r w:rsidRPr="00BE0C08">
        <w:rPr>
          <w:rFonts w:ascii="Book Antiqua" w:eastAsia="Book Antiqua" w:hAnsi="Book Antiqua" w:cs="Book Antiqua"/>
          <w:color w:val="000000"/>
        </w:rPr>
        <w:t>. The predominant histological subtype of GRC is adenocarcinoma</w:t>
      </w:r>
      <w:r w:rsidRPr="00BE0C08">
        <w:rPr>
          <w:rFonts w:ascii="Book Antiqua" w:eastAsia="Book Antiqua" w:hAnsi="Book Antiqua" w:cs="Book Antiqua"/>
          <w:color w:val="000000"/>
          <w:vertAlign w:val="superscript"/>
        </w:rPr>
        <w:t>[5]</w:t>
      </w:r>
      <w:r w:rsidRPr="00BE0C08">
        <w:rPr>
          <w:rFonts w:ascii="Book Antiqua" w:eastAsia="Book Antiqua" w:hAnsi="Book Antiqua" w:cs="Book Antiqua"/>
          <w:color w:val="000000"/>
        </w:rPr>
        <w:t>, whereas there are few previous reports of adenoneuroendocrine carcinomas, especially gastric mixed neuroendocrine carcinoma (</w:t>
      </w:r>
      <w:r w:rsidR="00993431" w:rsidRPr="00BE0C08">
        <w:rPr>
          <w:rFonts w:ascii="Book Antiqua" w:eastAsia="Book Antiqua" w:hAnsi="Book Antiqua" w:cs="Book Antiqua"/>
          <w:color w:val="000000"/>
        </w:rPr>
        <w:t>G</w:t>
      </w:r>
      <w:r w:rsidRPr="00BE0C08">
        <w:rPr>
          <w:rFonts w:ascii="Book Antiqua" w:eastAsia="Book Antiqua" w:hAnsi="Book Antiqua" w:cs="Book Antiqua"/>
          <w:color w:val="000000"/>
        </w:rPr>
        <w:t xml:space="preserve">MNEC). Here, we present a 59-year-old patient with GMNEC. </w:t>
      </w:r>
    </w:p>
    <w:p w14:paraId="278AED40" w14:textId="77777777" w:rsidR="00A77B3E" w:rsidRPr="00BE0C08" w:rsidRDefault="00A77B3E" w:rsidP="00AD4096">
      <w:pPr>
        <w:adjustRightInd w:val="0"/>
        <w:snapToGrid w:val="0"/>
        <w:spacing w:line="360" w:lineRule="auto"/>
        <w:jc w:val="both"/>
        <w:rPr>
          <w:rFonts w:ascii="Book Antiqua" w:hAnsi="Book Antiqua"/>
        </w:rPr>
      </w:pPr>
    </w:p>
    <w:p w14:paraId="17BC65AD"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aps/>
          <w:color w:val="000000"/>
          <w:u w:val="single"/>
        </w:rPr>
        <w:t>CASE PRESENTATION</w:t>
      </w:r>
    </w:p>
    <w:p w14:paraId="319564E2"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i/>
          <w:color w:val="000000"/>
        </w:rPr>
        <w:t>Chief complaints</w:t>
      </w:r>
    </w:p>
    <w:p w14:paraId="4B4BED12"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A 59-year-old patient presented to our department on August 14, 2020 because of chronic constipation.</w:t>
      </w:r>
    </w:p>
    <w:p w14:paraId="3AD2A381" w14:textId="77777777" w:rsidR="00A77B3E" w:rsidRPr="00BE0C08" w:rsidRDefault="00A77B3E" w:rsidP="00AD4096">
      <w:pPr>
        <w:adjustRightInd w:val="0"/>
        <w:snapToGrid w:val="0"/>
        <w:spacing w:line="360" w:lineRule="auto"/>
        <w:jc w:val="both"/>
        <w:rPr>
          <w:rFonts w:ascii="Book Antiqua" w:hAnsi="Book Antiqua"/>
        </w:rPr>
      </w:pPr>
    </w:p>
    <w:p w14:paraId="3DD76F25"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i/>
          <w:color w:val="000000"/>
        </w:rPr>
        <w:t>History of present illness</w:t>
      </w:r>
    </w:p>
    <w:p w14:paraId="0CCFABC5"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The patient had suffered from chronic constipation for 3 mo without other symptoms.</w:t>
      </w:r>
    </w:p>
    <w:p w14:paraId="15FD696E" w14:textId="77777777" w:rsidR="00A77B3E" w:rsidRPr="00BE0C08" w:rsidRDefault="00A77B3E" w:rsidP="00AD4096">
      <w:pPr>
        <w:adjustRightInd w:val="0"/>
        <w:snapToGrid w:val="0"/>
        <w:spacing w:line="360" w:lineRule="auto"/>
        <w:jc w:val="both"/>
        <w:rPr>
          <w:rFonts w:ascii="Book Antiqua" w:hAnsi="Book Antiqua"/>
        </w:rPr>
      </w:pPr>
    </w:p>
    <w:p w14:paraId="35C251AA"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i/>
          <w:color w:val="000000"/>
        </w:rPr>
        <w:t>History of past illness</w:t>
      </w:r>
    </w:p>
    <w:p w14:paraId="7AC3C324"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The patient had undergone subtotal gastric resection 35 years prior to admission because of benign peptic ulcer bleeding. He had no history of other severe systemic diseases. </w:t>
      </w:r>
    </w:p>
    <w:p w14:paraId="43223ADB" w14:textId="77777777" w:rsidR="00A77B3E" w:rsidRPr="00BE0C08" w:rsidRDefault="00A77B3E" w:rsidP="00AD4096">
      <w:pPr>
        <w:adjustRightInd w:val="0"/>
        <w:snapToGrid w:val="0"/>
        <w:spacing w:line="360" w:lineRule="auto"/>
        <w:jc w:val="both"/>
        <w:rPr>
          <w:rFonts w:ascii="Book Antiqua" w:hAnsi="Book Antiqua"/>
        </w:rPr>
      </w:pPr>
    </w:p>
    <w:p w14:paraId="1338CA4A"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i/>
          <w:color w:val="000000"/>
        </w:rPr>
        <w:t>Personal and family history</w:t>
      </w:r>
    </w:p>
    <w:p w14:paraId="04B52D7D"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He had a 40-year history of smoking and drinking, and a family history of pancreatic cancer. He had no history of congenital or allergic diseases.</w:t>
      </w:r>
    </w:p>
    <w:p w14:paraId="359EB528" w14:textId="77777777" w:rsidR="00A77B3E" w:rsidRPr="00BE0C08" w:rsidRDefault="00A77B3E" w:rsidP="00AD4096">
      <w:pPr>
        <w:adjustRightInd w:val="0"/>
        <w:snapToGrid w:val="0"/>
        <w:spacing w:line="360" w:lineRule="auto"/>
        <w:jc w:val="both"/>
        <w:rPr>
          <w:rFonts w:ascii="Book Antiqua" w:hAnsi="Book Antiqua"/>
        </w:rPr>
      </w:pPr>
    </w:p>
    <w:p w14:paraId="24988178"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i/>
          <w:color w:val="000000"/>
        </w:rPr>
        <w:t>Physical examination</w:t>
      </w:r>
    </w:p>
    <w:p w14:paraId="09ABAC71"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After admission, the patient's vital signs were normal, and there were no abnormalities observed on physical examination (</w:t>
      </w:r>
      <w:r w:rsidRPr="00BE0C08">
        <w:rPr>
          <w:rFonts w:ascii="Book Antiqua" w:eastAsia="Book Antiqua" w:hAnsi="Book Antiqua" w:cs="Book Antiqua"/>
          <w:i/>
          <w:iCs/>
          <w:color w:val="000000"/>
        </w:rPr>
        <w:t>e.g.</w:t>
      </w:r>
      <w:r w:rsidRPr="00BE0C08">
        <w:rPr>
          <w:rFonts w:ascii="Book Antiqua" w:eastAsia="Book Antiqua" w:hAnsi="Book Antiqua" w:cs="Book Antiqua"/>
          <w:color w:val="000000"/>
        </w:rPr>
        <w:t xml:space="preserve">, palpation). </w:t>
      </w:r>
    </w:p>
    <w:p w14:paraId="1A032858" w14:textId="77777777" w:rsidR="00A77B3E" w:rsidRPr="00BE0C08" w:rsidRDefault="00A77B3E" w:rsidP="00AD4096">
      <w:pPr>
        <w:adjustRightInd w:val="0"/>
        <w:snapToGrid w:val="0"/>
        <w:spacing w:line="360" w:lineRule="auto"/>
        <w:jc w:val="both"/>
        <w:rPr>
          <w:rFonts w:ascii="Book Antiqua" w:hAnsi="Book Antiqua"/>
        </w:rPr>
      </w:pPr>
    </w:p>
    <w:p w14:paraId="062F81C7"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i/>
          <w:color w:val="000000"/>
        </w:rPr>
        <w:t>Laboratory examinations</w:t>
      </w:r>
    </w:p>
    <w:p w14:paraId="67925F8B"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All laboratory test results, including routine bloodwork, biochemical tests, and tumor markers, were within normal limits.</w:t>
      </w:r>
    </w:p>
    <w:p w14:paraId="756856CC" w14:textId="77777777" w:rsidR="00A77B3E" w:rsidRPr="00BE0C08" w:rsidRDefault="00A77B3E" w:rsidP="00AD4096">
      <w:pPr>
        <w:adjustRightInd w:val="0"/>
        <w:snapToGrid w:val="0"/>
        <w:spacing w:line="360" w:lineRule="auto"/>
        <w:jc w:val="both"/>
        <w:rPr>
          <w:rFonts w:ascii="Book Antiqua" w:hAnsi="Book Antiqua"/>
        </w:rPr>
      </w:pPr>
    </w:p>
    <w:p w14:paraId="3ED6C140"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i/>
          <w:color w:val="000000"/>
        </w:rPr>
        <w:t>Imaging examinations</w:t>
      </w:r>
    </w:p>
    <w:p w14:paraId="4FC098E1"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Abdominal computed tomography (CT) revealed thickening of the gastric wall at the lesser curvature (Figure 1). He then underwent gastroendoscopy, which showed evidence of Billroth II gastrectomy with Braun anastomosis and local thickening of the gastric stump mucosa at the gastrojejunostomy site with bile reflux. Additionally, pathological analysis of a biopsy sample revealed moderately differentiated adenocarcinoma.</w:t>
      </w:r>
    </w:p>
    <w:p w14:paraId="2AB5C768" w14:textId="77777777" w:rsidR="00A77B3E" w:rsidRPr="00BE0C08" w:rsidRDefault="00A77B3E" w:rsidP="00AD4096">
      <w:pPr>
        <w:adjustRightInd w:val="0"/>
        <w:snapToGrid w:val="0"/>
        <w:spacing w:line="360" w:lineRule="auto"/>
        <w:jc w:val="both"/>
        <w:rPr>
          <w:rFonts w:ascii="Book Antiqua" w:hAnsi="Book Antiqua"/>
        </w:rPr>
      </w:pPr>
    </w:p>
    <w:p w14:paraId="1AAFA831"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aps/>
          <w:color w:val="000000"/>
          <w:u w:val="single"/>
        </w:rPr>
        <w:t>FINAL DIAGNOSIS</w:t>
      </w:r>
    </w:p>
    <w:p w14:paraId="5FD4173F" w14:textId="046C418D"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According to the pathological analysis of the biopsy specimen, the final diagnosis was gastric stump cancer.</w:t>
      </w:r>
    </w:p>
    <w:p w14:paraId="668CB59C" w14:textId="77777777" w:rsidR="00A77B3E" w:rsidRPr="00BE0C08" w:rsidRDefault="00A77B3E" w:rsidP="00AD4096">
      <w:pPr>
        <w:adjustRightInd w:val="0"/>
        <w:snapToGrid w:val="0"/>
        <w:spacing w:line="360" w:lineRule="auto"/>
        <w:jc w:val="both"/>
        <w:rPr>
          <w:rFonts w:ascii="Book Antiqua" w:hAnsi="Book Antiqua"/>
        </w:rPr>
      </w:pPr>
    </w:p>
    <w:p w14:paraId="3F2006D3"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aps/>
          <w:color w:val="000000"/>
          <w:u w:val="single"/>
        </w:rPr>
        <w:t>TREATMENT</w:t>
      </w:r>
    </w:p>
    <w:p w14:paraId="4AB2AEBC" w14:textId="6310991F"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The patient underwent open total gastrectomy</w:t>
      </w:r>
      <w:r w:rsidR="007E654C" w:rsidRPr="00BE0C08">
        <w:rPr>
          <w:rFonts w:ascii="Book Antiqua" w:eastAsia="Book Antiqua" w:hAnsi="Book Antiqua" w:cs="Book Antiqua"/>
          <w:color w:val="000000"/>
        </w:rPr>
        <w:t xml:space="preserve"> (TG)</w:t>
      </w:r>
      <w:r w:rsidRPr="00BE0C08">
        <w:rPr>
          <w:rFonts w:ascii="Book Antiqua" w:eastAsia="Book Antiqua" w:hAnsi="Book Antiqua" w:cs="Book Antiqua"/>
          <w:color w:val="000000"/>
        </w:rPr>
        <w:t>, D2 Lymphadenectomy, and esophagojejunal Roux-en-Y reconstruction. The surgery required 220 min, with only 30 mL of blood loss, and no postoperative complications occurred. The patient was discharged from the hospital 12 d after surgery after the drainage catheters were removed.</w:t>
      </w:r>
    </w:p>
    <w:p w14:paraId="43E63338" w14:textId="4575C93B" w:rsidR="00A77B3E" w:rsidRPr="00BE0C08" w:rsidRDefault="00901B81" w:rsidP="00AD4096">
      <w:pPr>
        <w:adjustRightInd w:val="0"/>
        <w:snapToGrid w:val="0"/>
        <w:spacing w:line="360" w:lineRule="auto"/>
        <w:ind w:firstLineChars="200" w:firstLine="480"/>
        <w:jc w:val="both"/>
        <w:rPr>
          <w:rFonts w:ascii="Book Antiqua" w:hAnsi="Book Antiqua"/>
        </w:rPr>
      </w:pPr>
      <w:r w:rsidRPr="00BE0C08">
        <w:rPr>
          <w:rFonts w:ascii="Book Antiqua" w:eastAsia="Book Antiqua" w:hAnsi="Book Antiqua" w:cs="Book Antiqua"/>
          <w:color w:val="000000"/>
        </w:rPr>
        <w:t>Histopathological examination of the specimen showed that it was an MNEC comprising neuroendocrine carcinoma (60%), adenocarcinoma (30%), and squamous cell carcinoma (10%). The tumor was poorly differentiated, with necrosis, (Figure 2) and had infiltrated the subserosal level without perineural invasion. Tumor emboli were present in the lymphatic vessels, none of the lymph nodes showed metastases (0/16), and the surgical margins were clear. Accordingly, the tumor-node-metastasis (TNM) classification was T3N0M0 (IIA). The immunohistochemical results were as follows: MLH1 (+), MSH2 (+), MSH6 (+), PMS2 (+), CEA (+), CA 19-9 (+), E-cadherin (+), Ki67 (80%), P16 (+), CDX2 (−), Her2 (−), P53 (−), EGFR (−), P16 (+), LcA (−), CK (+), TTF-1 (−), CgA (neuroendocrine carcinoma +), Syn (neuroendocrine carcinoma +), CD56 (neuroendocrine carcinoma +), CK7 (adenocarcinoma +), CK20 (adenocarcinoma +), villin (adenocarcinoma +), P40 (squamous cell carcinoma +), CK5/6 (squamous cell carcinoma +), and P63 (squamous cell carcinoma +). Together, these results confirmed the diagnosis of GMNEC (Figure 3).</w:t>
      </w:r>
    </w:p>
    <w:p w14:paraId="7147CBC6" w14:textId="77777777" w:rsidR="00A77B3E" w:rsidRPr="00BE0C08" w:rsidRDefault="00A77B3E" w:rsidP="00AD4096">
      <w:pPr>
        <w:adjustRightInd w:val="0"/>
        <w:snapToGrid w:val="0"/>
        <w:spacing w:line="360" w:lineRule="auto"/>
        <w:jc w:val="both"/>
        <w:rPr>
          <w:rFonts w:ascii="Book Antiqua" w:hAnsi="Book Antiqua"/>
        </w:rPr>
      </w:pPr>
    </w:p>
    <w:p w14:paraId="6A61625D"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aps/>
          <w:color w:val="000000"/>
          <w:u w:val="single"/>
        </w:rPr>
        <w:t>OUTCOME AND FOLLOW-UP</w:t>
      </w:r>
    </w:p>
    <w:p w14:paraId="3507784E"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Postoperative adjuvant chemotherapy was initiated on September 17, 2020. Taxol plus cisplatin was administered for only one cycle because of severe liver function damage, and the regimen was changed to etoposide plus cisplatin on October 10, 2020, for five cycles. The patient experienced mild side effects, such as vomiting, during chemotherapy, but no dose reduction was necessary. He has been followed-up for 6 mo without recurrence.</w:t>
      </w:r>
    </w:p>
    <w:p w14:paraId="7A9F1F1A" w14:textId="77777777" w:rsidR="00A77B3E" w:rsidRPr="00BE0C08" w:rsidRDefault="00A77B3E" w:rsidP="00AD4096">
      <w:pPr>
        <w:adjustRightInd w:val="0"/>
        <w:snapToGrid w:val="0"/>
        <w:spacing w:line="360" w:lineRule="auto"/>
        <w:jc w:val="both"/>
        <w:rPr>
          <w:rFonts w:ascii="Book Antiqua" w:hAnsi="Book Antiqua"/>
        </w:rPr>
      </w:pPr>
    </w:p>
    <w:p w14:paraId="45790F52"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aps/>
          <w:color w:val="000000"/>
          <w:u w:val="single"/>
        </w:rPr>
        <w:t>DISCUSSION</w:t>
      </w:r>
    </w:p>
    <w:p w14:paraId="504DA5C3" w14:textId="784DF27E"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GMNECs are a rare type of malignant tumor in the digestive system</w:t>
      </w:r>
      <w:r w:rsidRPr="00BE0C08">
        <w:rPr>
          <w:rFonts w:ascii="Book Antiqua" w:eastAsia="Book Antiqua" w:hAnsi="Book Antiqua" w:cs="Book Antiqua"/>
          <w:color w:val="000000"/>
          <w:vertAlign w:val="superscript"/>
        </w:rPr>
        <w:t>[6]</w:t>
      </w:r>
      <w:r w:rsidRPr="00BE0C08">
        <w:rPr>
          <w:rFonts w:ascii="Book Antiqua" w:eastAsia="Book Antiqua" w:hAnsi="Book Antiqua" w:cs="Book Antiqua"/>
          <w:color w:val="000000"/>
        </w:rPr>
        <w:t xml:space="preserve">. Mak </w:t>
      </w:r>
      <w:r w:rsidRPr="00BE0C08">
        <w:rPr>
          <w:rFonts w:ascii="Book Antiqua" w:eastAsia="Book Antiqua" w:hAnsi="Book Antiqua" w:cs="Book Antiqua"/>
          <w:i/>
          <w:iCs/>
          <w:color w:val="000000"/>
        </w:rPr>
        <w:t>et al</w:t>
      </w:r>
      <w:r w:rsidR="00993431" w:rsidRPr="00BE0C08">
        <w:rPr>
          <w:rFonts w:ascii="Book Antiqua" w:eastAsia="Book Antiqua" w:hAnsi="Book Antiqua" w:cs="Book Antiqua"/>
          <w:color w:val="000000"/>
          <w:vertAlign w:val="superscript"/>
        </w:rPr>
        <w:t xml:space="preserve">[7] </w:t>
      </w:r>
      <w:r w:rsidRPr="00BE0C08">
        <w:rPr>
          <w:rFonts w:ascii="Book Antiqua" w:eastAsia="Book Antiqua" w:hAnsi="Book Antiqua" w:cs="Book Antiqua"/>
          <w:color w:val="000000"/>
        </w:rPr>
        <w:t xml:space="preserve">reported that the occurrence rate of GRC ranged from 0.9%–12.9%, and the pooled prevalence of GRC was 2.6%. GMNEC is a particularly rare type </w:t>
      </w:r>
      <w:r w:rsidRPr="00BE0C08">
        <w:rPr>
          <w:rFonts w:ascii="Book Antiqua" w:eastAsia="Book Antiqua" w:hAnsi="Book Antiqua" w:cs="Book Antiqua"/>
          <w:color w:val="000000"/>
          <w:shd w:val="clear" w:color="auto" w:fill="FFFFFF"/>
        </w:rPr>
        <w:t>that exhibits aggressive behavior and a poor prognosis, and it accounts for 0.1%</w:t>
      </w:r>
      <w:r w:rsidRPr="00BE0C08">
        <w:rPr>
          <w:rFonts w:ascii="Book Antiqua" w:eastAsia="Book Antiqua" w:hAnsi="Book Antiqua" w:cs="Book Antiqua"/>
          <w:color w:val="000000"/>
        </w:rPr>
        <w:t>–</w:t>
      </w:r>
      <w:r w:rsidRPr="00BE0C08">
        <w:rPr>
          <w:rFonts w:ascii="Book Antiqua" w:eastAsia="Book Antiqua" w:hAnsi="Book Antiqua" w:cs="Book Antiqua"/>
          <w:color w:val="000000"/>
          <w:shd w:val="clear" w:color="auto" w:fill="FFFFFF"/>
        </w:rPr>
        <w:t>0.6% of all gastric carcinomas</w:t>
      </w:r>
      <w:r w:rsidRPr="00BE0C08">
        <w:rPr>
          <w:rFonts w:ascii="Book Antiqua" w:eastAsia="Book Antiqua" w:hAnsi="Book Antiqua" w:cs="Book Antiqua"/>
          <w:color w:val="000000"/>
          <w:vertAlign w:val="superscript"/>
        </w:rPr>
        <w:t>[8]</w:t>
      </w:r>
      <w:r w:rsidRPr="00BE0C08">
        <w:rPr>
          <w:rFonts w:ascii="Book Antiqua" w:eastAsia="Book Antiqua" w:hAnsi="Book Antiqua" w:cs="Book Antiqua"/>
          <w:color w:val="000000"/>
        </w:rPr>
        <w:t>. Following a PubMed literature search, we identified no cases with similar histopathological findings before July 15, 2014</w:t>
      </w:r>
      <w:r w:rsidRPr="00BE0C08">
        <w:rPr>
          <w:rFonts w:ascii="Book Antiqua" w:eastAsia="Book Antiqua" w:hAnsi="Book Antiqua" w:cs="Book Antiqua"/>
          <w:color w:val="000000"/>
          <w:vertAlign w:val="superscript"/>
        </w:rPr>
        <w:t>[5]</w:t>
      </w:r>
      <w:r w:rsidRPr="00BE0C08">
        <w:rPr>
          <w:rFonts w:ascii="Book Antiqua" w:eastAsia="Book Antiqua" w:hAnsi="Book Antiqua" w:cs="Book Antiqua"/>
          <w:color w:val="000000"/>
        </w:rPr>
        <w:t>. Although GRC develops at least 5 years after primary gastrectomy, it is typically considered a separate clinical entity</w:t>
      </w:r>
      <w:r w:rsidRPr="00BE0C08">
        <w:rPr>
          <w:rFonts w:ascii="Book Antiqua" w:eastAsia="Book Antiqua" w:hAnsi="Book Antiqua" w:cs="Book Antiqua"/>
          <w:color w:val="000000"/>
          <w:vertAlign w:val="superscript"/>
        </w:rPr>
        <w:t>[1]</w:t>
      </w:r>
      <w:r w:rsidRPr="00BE0C08">
        <w:rPr>
          <w:rFonts w:ascii="Book Antiqua" w:eastAsia="Book Antiqua" w:hAnsi="Book Antiqua" w:cs="Book Antiqua"/>
          <w:color w:val="000000"/>
        </w:rPr>
        <w:t xml:space="preserve">. </w:t>
      </w:r>
    </w:p>
    <w:p w14:paraId="4DDD1609" w14:textId="0C5D528E" w:rsidR="00A77B3E" w:rsidRPr="00BE0C08" w:rsidRDefault="00901B81" w:rsidP="00AD4096">
      <w:pPr>
        <w:adjustRightInd w:val="0"/>
        <w:snapToGrid w:val="0"/>
        <w:spacing w:line="360" w:lineRule="auto"/>
        <w:ind w:firstLineChars="200" w:firstLine="480"/>
        <w:jc w:val="both"/>
        <w:rPr>
          <w:rFonts w:ascii="Book Antiqua" w:hAnsi="Book Antiqua"/>
        </w:rPr>
      </w:pPr>
      <w:r w:rsidRPr="00BE0C08">
        <w:rPr>
          <w:rFonts w:ascii="Book Antiqua" w:eastAsia="Book Antiqua" w:hAnsi="Book Antiqua" w:cs="Book Antiqua"/>
          <w:color w:val="000000"/>
        </w:rPr>
        <w:t xml:space="preserve">The carcinogenesis of GRC </w:t>
      </w:r>
      <w:r w:rsidRPr="00BE0C08">
        <w:rPr>
          <w:rFonts w:ascii="Book Antiqua" w:eastAsia="Book Antiqua" w:hAnsi="Book Antiqua" w:cs="Book Antiqua"/>
          <w:color w:val="000000"/>
          <w:shd w:val="clear" w:color="auto" w:fill="FFFFFF"/>
        </w:rPr>
        <w:t>is closely related to chronic duodenogastric reflux of bile or pancreatic juice</w:t>
      </w:r>
      <w:r w:rsidR="00993431" w:rsidRPr="00BE0C08">
        <w:rPr>
          <w:rFonts w:ascii="Book Antiqua" w:hAnsi="Book Antiqua" w:cs="Book Antiqua"/>
          <w:color w:val="000000"/>
          <w:shd w:val="clear" w:color="auto" w:fill="FFFFFF"/>
          <w:lang w:eastAsia="zh-CN"/>
        </w:rPr>
        <w:t xml:space="preserve">, </w:t>
      </w:r>
      <w:r w:rsidRPr="00BE0C08">
        <w:rPr>
          <w:rFonts w:ascii="Book Antiqua" w:eastAsia="Book Antiqua" w:hAnsi="Book Antiqua" w:cs="Book Antiqua"/>
          <w:color w:val="000000"/>
          <w:shd w:val="clear" w:color="auto" w:fill="FFFFFF"/>
        </w:rPr>
        <w:t>sometimes it also related to hypochlorhydria second to denervation after vagotomy</w:t>
      </w:r>
      <w:r w:rsidRPr="00BE0C08">
        <w:rPr>
          <w:rFonts w:ascii="Book Antiqua" w:eastAsia="Book Antiqua" w:hAnsi="Book Antiqua" w:cs="Book Antiqua"/>
          <w:color w:val="000000"/>
          <w:vertAlign w:val="superscript"/>
        </w:rPr>
        <w:t>[9-11]</w:t>
      </w:r>
      <w:r w:rsidRPr="00BE0C08">
        <w:rPr>
          <w:rFonts w:ascii="Book Antiqua" w:eastAsia="Book Antiqua" w:hAnsi="Book Antiqua" w:cs="Book Antiqua"/>
          <w:color w:val="000000"/>
          <w:shd w:val="clear" w:color="auto" w:fill="FFFFFF"/>
        </w:rPr>
        <w:t xml:space="preserve">. In the present case, the Braun </w:t>
      </w:r>
      <w:r w:rsidRPr="00BE0C08">
        <w:rPr>
          <w:rFonts w:ascii="Book Antiqua" w:eastAsia="Book Antiqua" w:hAnsi="Book Antiqua" w:cs="Book Antiqua"/>
          <w:color w:val="000000"/>
        </w:rPr>
        <w:t xml:space="preserve">anastomosis site was only approximately 5 centimeters away from the gastrojejunostomy site, which explains why a large amount of </w:t>
      </w:r>
      <w:r w:rsidRPr="00BE0C08">
        <w:rPr>
          <w:rFonts w:ascii="Book Antiqua" w:eastAsia="Book Antiqua" w:hAnsi="Book Antiqua" w:cs="Book Antiqua"/>
          <w:color w:val="000000"/>
          <w:shd w:val="clear" w:color="auto" w:fill="FFFFFF"/>
        </w:rPr>
        <w:t xml:space="preserve">bile and pancreatic juice refluxed. The </w:t>
      </w:r>
      <w:r w:rsidRPr="00BE0C08">
        <w:rPr>
          <w:rFonts w:ascii="Book Antiqua" w:eastAsia="Book Antiqua" w:hAnsi="Book Antiqua" w:cs="Book Antiqua"/>
          <w:color w:val="000000"/>
        </w:rPr>
        <w:t xml:space="preserve">carcinogenesis of GMNECs is likely </w:t>
      </w:r>
      <w:r w:rsidRPr="00BE0C08">
        <w:rPr>
          <w:rFonts w:ascii="Book Antiqua" w:eastAsia="Book Antiqua" w:hAnsi="Book Antiqua" w:cs="Book Antiqua"/>
          <w:color w:val="000000"/>
          <w:shd w:val="clear" w:color="auto" w:fill="FFFFFF"/>
        </w:rPr>
        <w:t>closely related to this reflux.</w:t>
      </w:r>
    </w:p>
    <w:p w14:paraId="79D7404D" w14:textId="77777777" w:rsidR="007E654C" w:rsidRPr="00BE0C08" w:rsidRDefault="00901B81" w:rsidP="00AD4096">
      <w:pPr>
        <w:adjustRightInd w:val="0"/>
        <w:snapToGrid w:val="0"/>
        <w:spacing w:line="360" w:lineRule="auto"/>
        <w:ind w:firstLineChars="200" w:firstLine="480"/>
        <w:jc w:val="both"/>
        <w:rPr>
          <w:rFonts w:ascii="Book Antiqua" w:eastAsia="Book Antiqua" w:hAnsi="Book Antiqua" w:cs="Book Antiqua"/>
          <w:color w:val="000000"/>
          <w:shd w:val="clear" w:color="auto" w:fill="FFFFFF"/>
        </w:rPr>
      </w:pPr>
      <w:r w:rsidRPr="00BE0C08">
        <w:rPr>
          <w:rFonts w:ascii="Book Antiqua" w:eastAsia="Book Antiqua" w:hAnsi="Book Antiqua" w:cs="Book Antiqua"/>
          <w:color w:val="000000"/>
          <w:shd w:val="clear" w:color="auto" w:fill="FFFFFF"/>
        </w:rPr>
        <w:t xml:space="preserve">The Japanese histological classification of gastric carcinoma defines </w:t>
      </w:r>
      <w:r w:rsidRPr="00BE0C08">
        <w:rPr>
          <w:rFonts w:ascii="Book Antiqua" w:eastAsia="Book Antiqua" w:hAnsi="Book Antiqua" w:cs="Book Antiqua"/>
          <w:color w:val="000000"/>
        </w:rPr>
        <w:t>neuroendocrine</w:t>
      </w:r>
      <w:r w:rsidRPr="00BE0C08">
        <w:rPr>
          <w:rFonts w:ascii="Book Antiqua" w:eastAsia="Book Antiqua" w:hAnsi="Book Antiqua" w:cs="Book Antiqua"/>
          <w:color w:val="000000"/>
          <w:shd w:val="clear" w:color="auto" w:fill="FFFFFF"/>
        </w:rPr>
        <w:t xml:space="preserve"> carcinoma as a specific type. In 1993, Rindi </w:t>
      </w:r>
      <w:r w:rsidRPr="00BE0C08">
        <w:rPr>
          <w:rFonts w:ascii="Book Antiqua" w:eastAsia="Book Antiqua" w:hAnsi="Book Antiqua" w:cs="Book Antiqua"/>
          <w:i/>
          <w:iCs/>
          <w:color w:val="000000"/>
          <w:shd w:val="clear" w:color="auto" w:fill="FFFFFF"/>
        </w:rPr>
        <w:t>et al</w:t>
      </w:r>
      <w:r w:rsidR="007E654C" w:rsidRPr="00BE0C08">
        <w:rPr>
          <w:rFonts w:ascii="Book Antiqua" w:eastAsia="Book Antiqua" w:hAnsi="Book Antiqua" w:cs="Book Antiqua"/>
          <w:color w:val="000000"/>
          <w:vertAlign w:val="superscript"/>
        </w:rPr>
        <w:t>[12]</w:t>
      </w:r>
      <w:r w:rsidRPr="00BE0C08">
        <w:rPr>
          <w:rFonts w:ascii="Book Antiqua" w:eastAsia="Book Antiqua" w:hAnsi="Book Antiqua" w:cs="Book Antiqua"/>
          <w:color w:val="000000"/>
          <w:shd w:val="clear" w:color="auto" w:fill="FFFFFF"/>
        </w:rPr>
        <w:t xml:space="preserve"> raised a classification system for gastric </w:t>
      </w:r>
      <w:r w:rsidRPr="00BE0C08">
        <w:rPr>
          <w:rFonts w:ascii="Book Antiqua" w:eastAsia="Book Antiqua" w:hAnsi="Book Antiqua" w:cs="Book Antiqua"/>
          <w:color w:val="000000"/>
        </w:rPr>
        <w:t>neuroendocrine</w:t>
      </w:r>
      <w:r w:rsidRPr="00BE0C08">
        <w:rPr>
          <w:rFonts w:ascii="Book Antiqua" w:eastAsia="Book Antiqua" w:hAnsi="Book Antiqua" w:cs="Book Antiqua"/>
          <w:color w:val="000000"/>
          <w:shd w:val="clear" w:color="auto" w:fill="FFFFFF"/>
        </w:rPr>
        <w:t xml:space="preserve"> carcinoma in which cancers were divided into three types according to their underlying etiology, pathophysiology, and presentation</w:t>
      </w:r>
      <w:r w:rsidRPr="00BE0C08">
        <w:rPr>
          <w:rFonts w:ascii="Book Antiqua" w:eastAsia="Book Antiqua" w:hAnsi="Book Antiqua" w:cs="Book Antiqua"/>
          <w:color w:val="000000"/>
        </w:rPr>
        <w:t>, as follows:</w:t>
      </w:r>
      <w:r w:rsidRPr="00BE0C08">
        <w:rPr>
          <w:rFonts w:ascii="Book Antiqua" w:eastAsia="Book Antiqua" w:hAnsi="Book Antiqua" w:cs="Book Antiqua"/>
          <w:color w:val="000000"/>
          <w:shd w:val="clear" w:color="auto" w:fill="FFFFFF"/>
        </w:rPr>
        <w:t xml:space="preserve"> </w:t>
      </w:r>
      <w:r w:rsidR="007E654C" w:rsidRPr="00BE0C08">
        <w:rPr>
          <w:rFonts w:ascii="Book Antiqua" w:eastAsia="Book Antiqua" w:hAnsi="Book Antiqua" w:cs="Book Antiqua"/>
          <w:color w:val="000000"/>
          <w:shd w:val="clear" w:color="auto" w:fill="FFFFFF"/>
        </w:rPr>
        <w:t>(</w:t>
      </w:r>
      <w:r w:rsidRPr="00BE0C08">
        <w:rPr>
          <w:rFonts w:ascii="Book Antiqua" w:eastAsia="Book Antiqua" w:hAnsi="Book Antiqua" w:cs="Book Antiqua"/>
          <w:color w:val="000000"/>
          <w:shd w:val="clear" w:color="auto" w:fill="FFFFFF"/>
        </w:rPr>
        <w:t xml:space="preserve">1) </w:t>
      </w:r>
      <w:r w:rsidR="007E654C" w:rsidRPr="00BE0C08">
        <w:rPr>
          <w:rFonts w:ascii="Book Antiqua" w:eastAsia="Book Antiqua" w:hAnsi="Book Antiqua" w:cs="Book Antiqua"/>
          <w:color w:val="000000"/>
          <w:shd w:val="clear" w:color="auto" w:fill="FFFFFF"/>
        </w:rPr>
        <w:t>A</w:t>
      </w:r>
      <w:r w:rsidRPr="00BE0C08">
        <w:rPr>
          <w:rFonts w:ascii="Book Antiqua" w:eastAsia="Book Antiqua" w:hAnsi="Book Antiqua" w:cs="Book Antiqua"/>
          <w:color w:val="000000"/>
          <w:shd w:val="clear" w:color="auto" w:fill="FFFFFF"/>
        </w:rPr>
        <w:t xml:space="preserve">ssociated with chronic atrophic gastritis and hypergastrinemia; </w:t>
      </w:r>
      <w:r w:rsidR="007E654C" w:rsidRPr="00BE0C08">
        <w:rPr>
          <w:rFonts w:ascii="Book Antiqua" w:eastAsia="Book Antiqua" w:hAnsi="Book Antiqua" w:cs="Book Antiqua"/>
          <w:color w:val="000000"/>
          <w:shd w:val="clear" w:color="auto" w:fill="FFFFFF"/>
        </w:rPr>
        <w:t>(</w:t>
      </w:r>
      <w:r w:rsidRPr="00BE0C08">
        <w:rPr>
          <w:rFonts w:ascii="Book Antiqua" w:eastAsia="Book Antiqua" w:hAnsi="Book Antiqua" w:cs="Book Antiqua"/>
          <w:color w:val="000000"/>
          <w:shd w:val="clear" w:color="auto" w:fill="FFFFFF"/>
        </w:rPr>
        <w:t xml:space="preserve">2) </w:t>
      </w:r>
      <w:r w:rsidR="007E654C" w:rsidRPr="00BE0C08">
        <w:rPr>
          <w:rFonts w:ascii="Book Antiqua" w:eastAsia="Book Antiqua" w:hAnsi="Book Antiqua" w:cs="Book Antiqua"/>
          <w:color w:val="000000"/>
          <w:shd w:val="clear" w:color="auto" w:fill="FFFFFF"/>
        </w:rPr>
        <w:t>A</w:t>
      </w:r>
      <w:r w:rsidRPr="00BE0C08">
        <w:rPr>
          <w:rFonts w:ascii="Book Antiqua" w:eastAsia="Book Antiqua" w:hAnsi="Book Antiqua" w:cs="Book Antiqua"/>
          <w:color w:val="000000"/>
          <w:shd w:val="clear" w:color="auto" w:fill="FFFFFF"/>
        </w:rPr>
        <w:t xml:space="preserve">ssociated with multiple endocrine neoplasia type 1, Zollinger–Ellison syndrome, and hypergastrinemia; and </w:t>
      </w:r>
      <w:r w:rsidR="007E654C" w:rsidRPr="00BE0C08">
        <w:rPr>
          <w:rFonts w:ascii="Book Antiqua" w:eastAsia="Book Antiqua" w:hAnsi="Book Antiqua" w:cs="Book Antiqua"/>
          <w:color w:val="000000"/>
          <w:shd w:val="clear" w:color="auto" w:fill="FFFFFF"/>
        </w:rPr>
        <w:t>(</w:t>
      </w:r>
      <w:r w:rsidRPr="00BE0C08">
        <w:rPr>
          <w:rFonts w:ascii="Book Antiqua" w:eastAsia="Book Antiqua" w:hAnsi="Book Antiqua" w:cs="Book Antiqua"/>
          <w:color w:val="000000"/>
          <w:shd w:val="clear" w:color="auto" w:fill="FFFFFF"/>
        </w:rPr>
        <w:t xml:space="preserve">3) </w:t>
      </w:r>
      <w:r w:rsidR="007E654C" w:rsidRPr="00BE0C08">
        <w:rPr>
          <w:rFonts w:ascii="Book Antiqua" w:eastAsia="Book Antiqua" w:hAnsi="Book Antiqua" w:cs="Book Antiqua"/>
          <w:color w:val="000000"/>
          <w:shd w:val="clear" w:color="auto" w:fill="FFFFFF"/>
        </w:rPr>
        <w:t>G</w:t>
      </w:r>
      <w:r w:rsidRPr="00BE0C08">
        <w:rPr>
          <w:rFonts w:ascii="Book Antiqua" w:eastAsia="Book Antiqua" w:hAnsi="Book Antiqua" w:cs="Book Antiqua"/>
          <w:color w:val="000000"/>
          <w:shd w:val="clear" w:color="auto" w:fill="FFFFFF"/>
        </w:rPr>
        <w:t xml:space="preserve">astrin-independent and sporadic in occurrence, which is considered to be the most invasive gastric </w:t>
      </w:r>
      <w:r w:rsidRPr="00BE0C08">
        <w:rPr>
          <w:rFonts w:ascii="Book Antiqua" w:eastAsia="Book Antiqua" w:hAnsi="Book Antiqua" w:cs="Book Antiqua"/>
          <w:color w:val="000000"/>
        </w:rPr>
        <w:t xml:space="preserve">neuroendocrine tumor. In our study, there was no optimal strategy for tumor classification because of its rarity and heterogenous components according to </w:t>
      </w:r>
      <w:r w:rsidRPr="00BE0C08">
        <w:rPr>
          <w:rFonts w:ascii="Book Antiqua" w:eastAsia="Book Antiqua" w:hAnsi="Book Antiqua" w:cs="Book Antiqua"/>
          <w:color w:val="000000"/>
          <w:shd w:val="clear" w:color="auto" w:fill="FFFFFF"/>
        </w:rPr>
        <w:t>histological examination and immunohistochemical staining.</w:t>
      </w:r>
    </w:p>
    <w:p w14:paraId="6218BD47" w14:textId="77777777" w:rsidR="007E654C" w:rsidRPr="00BE0C08" w:rsidRDefault="00901B81" w:rsidP="00AD4096">
      <w:pPr>
        <w:adjustRightInd w:val="0"/>
        <w:snapToGrid w:val="0"/>
        <w:spacing w:line="360" w:lineRule="auto"/>
        <w:ind w:firstLineChars="200" w:firstLine="480"/>
        <w:jc w:val="both"/>
        <w:rPr>
          <w:rFonts w:ascii="Book Antiqua" w:hAnsi="Book Antiqua"/>
        </w:rPr>
      </w:pPr>
      <w:r w:rsidRPr="00BE0C08">
        <w:rPr>
          <w:rFonts w:ascii="Book Antiqua" w:eastAsia="Book Antiqua" w:hAnsi="Book Antiqua" w:cs="Book Antiqua"/>
          <w:color w:val="000000"/>
          <w:shd w:val="clear" w:color="auto" w:fill="FFFFFF"/>
        </w:rPr>
        <w:t xml:space="preserve">For patients with </w:t>
      </w:r>
      <w:r w:rsidRPr="00BE0C08">
        <w:rPr>
          <w:rFonts w:ascii="Book Antiqua" w:eastAsia="Book Antiqua" w:hAnsi="Book Antiqua" w:cs="Book Antiqua"/>
          <w:color w:val="000000"/>
        </w:rPr>
        <w:t>gastric neuroendocrine carcinoma, radical gastrectomy with regional lymph node dissection should be considered a priority. Cazzo and de Saito</w:t>
      </w:r>
      <w:r w:rsidR="007E654C" w:rsidRPr="00BE0C08">
        <w:rPr>
          <w:rFonts w:ascii="Book Antiqua" w:eastAsia="Book Antiqua" w:hAnsi="Book Antiqua" w:cs="Book Antiqua"/>
          <w:color w:val="000000"/>
          <w:vertAlign w:val="superscript"/>
        </w:rPr>
        <w:t>[5]</w:t>
      </w:r>
      <w:r w:rsidRPr="00BE0C08">
        <w:rPr>
          <w:rFonts w:ascii="Book Antiqua" w:eastAsia="Book Antiqua" w:hAnsi="Book Antiqua" w:cs="Book Antiqua"/>
          <w:color w:val="000000"/>
        </w:rPr>
        <w:t xml:space="preserve"> reported that there is no optimal strategy for the management of GMNECs because of their rarity and complicated pathological characteristics. Therefore, the most aggressive component should be taken into account when treatment options are considered. TG is a widely accepted approach for treating GRC. </w:t>
      </w:r>
      <w:r w:rsidRPr="00BE0C08">
        <w:rPr>
          <w:rFonts w:ascii="Book Antiqua" w:eastAsia="Book Antiqua" w:hAnsi="Book Antiqua" w:cs="Book Antiqua"/>
          <w:color w:val="000000"/>
          <w:shd w:val="clear" w:color="auto" w:fill="FFFFFF"/>
        </w:rPr>
        <w:t xml:space="preserve">Ma </w:t>
      </w:r>
      <w:r w:rsidRPr="00BE0C08">
        <w:rPr>
          <w:rFonts w:ascii="Book Antiqua" w:eastAsia="Book Antiqua" w:hAnsi="Book Antiqua" w:cs="Book Antiqua"/>
          <w:i/>
          <w:iCs/>
          <w:color w:val="000000"/>
          <w:shd w:val="clear" w:color="auto" w:fill="FFFFFF"/>
        </w:rPr>
        <w:t>et al</w:t>
      </w:r>
      <w:r w:rsidRPr="00BE0C08">
        <w:rPr>
          <w:rFonts w:ascii="Book Antiqua" w:eastAsia="Book Antiqua" w:hAnsi="Book Antiqua" w:cs="Book Antiqua"/>
          <w:color w:val="000000"/>
          <w:vertAlign w:val="superscript"/>
        </w:rPr>
        <w:t>[13]</w:t>
      </w:r>
      <w:r w:rsidRPr="00BE0C08">
        <w:rPr>
          <w:rFonts w:ascii="Book Antiqua" w:eastAsia="Book Antiqua" w:hAnsi="Book Antiqua" w:cs="Book Antiqua"/>
          <w:color w:val="000000"/>
          <w:shd w:val="clear" w:color="auto" w:fill="FFFFFF"/>
        </w:rPr>
        <w:t xml:space="preserve"> </w:t>
      </w:r>
      <w:r w:rsidRPr="00BE0C08">
        <w:rPr>
          <w:rFonts w:ascii="Book Antiqua" w:eastAsia="Book Antiqua" w:hAnsi="Book Antiqua" w:cs="Book Antiqua"/>
          <w:color w:val="000000"/>
        </w:rPr>
        <w:t xml:space="preserve">reported that SG was a suitable alternative surgical procedure for GRC located at the anastomotic site after distal gastrectomy for benign diseases. Of 45 patients, 21 patients underwent SG with lymph node dissection. A similar rate of postoperative complications was observed between the two groups, similar to the findings reported by Hosokawa </w:t>
      </w:r>
      <w:r w:rsidRPr="00BE0C08">
        <w:rPr>
          <w:rFonts w:ascii="Book Antiqua" w:eastAsia="Book Antiqua" w:hAnsi="Book Antiqua" w:cs="Book Antiqua"/>
          <w:i/>
          <w:iCs/>
          <w:color w:val="000000"/>
        </w:rPr>
        <w:t>et al</w:t>
      </w:r>
      <w:r w:rsidRPr="00BE0C08">
        <w:rPr>
          <w:rFonts w:ascii="Book Antiqua" w:eastAsia="Book Antiqua" w:hAnsi="Book Antiqua" w:cs="Book Antiqua"/>
          <w:color w:val="000000"/>
          <w:vertAlign w:val="superscript"/>
        </w:rPr>
        <w:t>[14]</w:t>
      </w:r>
      <w:r w:rsidRPr="00BE0C08">
        <w:rPr>
          <w:rFonts w:ascii="Book Antiqua" w:eastAsia="Book Antiqua" w:hAnsi="Book Antiqua" w:cs="Book Antiqua"/>
          <w:color w:val="000000"/>
        </w:rPr>
        <w:t xml:space="preserve"> and Irino </w:t>
      </w:r>
      <w:r w:rsidRPr="00BE0C08">
        <w:rPr>
          <w:rFonts w:ascii="Book Antiqua" w:eastAsia="Book Antiqua" w:hAnsi="Book Antiqua" w:cs="Book Antiqua"/>
          <w:i/>
          <w:iCs/>
          <w:color w:val="000000"/>
        </w:rPr>
        <w:t>et al</w:t>
      </w:r>
      <w:r w:rsidRPr="00BE0C08">
        <w:rPr>
          <w:rFonts w:ascii="Book Antiqua" w:eastAsia="Book Antiqua" w:hAnsi="Book Antiqua" w:cs="Book Antiqua"/>
          <w:color w:val="000000"/>
          <w:vertAlign w:val="superscript"/>
        </w:rPr>
        <w:t>[15]</w:t>
      </w:r>
      <w:r w:rsidRPr="00BE0C08">
        <w:rPr>
          <w:rFonts w:ascii="Book Antiqua" w:eastAsia="Book Antiqua" w:hAnsi="Book Antiqua" w:cs="Book Antiqua"/>
          <w:color w:val="000000"/>
        </w:rPr>
        <w:t>. The short-term outcomes and long-term prognosis of SG are comparable to those of TG. In the present study, we performed TG with lymph node dissection (similar to radical gastrectomy) because the patient strongly desired that his entire stomach be removed.</w:t>
      </w:r>
    </w:p>
    <w:p w14:paraId="5ED0FFAD" w14:textId="6247FFA1" w:rsidR="00A77B3E" w:rsidRPr="00BE0C08" w:rsidRDefault="00901B81" w:rsidP="00AD4096">
      <w:pPr>
        <w:adjustRightInd w:val="0"/>
        <w:snapToGrid w:val="0"/>
        <w:spacing w:line="360" w:lineRule="auto"/>
        <w:ind w:firstLineChars="200" w:firstLine="480"/>
        <w:jc w:val="both"/>
        <w:rPr>
          <w:rFonts w:ascii="Book Antiqua" w:hAnsi="Book Antiqua"/>
        </w:rPr>
      </w:pPr>
      <w:r w:rsidRPr="00BE0C08">
        <w:rPr>
          <w:rFonts w:ascii="Book Antiqua" w:eastAsia="Book Antiqua" w:hAnsi="Book Antiqua" w:cs="Book Antiqua"/>
          <w:color w:val="000000"/>
        </w:rPr>
        <w:t>After surgery, adjuvant chemotherapy should also be provided</w:t>
      </w:r>
      <w:r w:rsidRPr="00BE0C08">
        <w:rPr>
          <w:rFonts w:ascii="Book Antiqua" w:eastAsia="Book Antiqua" w:hAnsi="Book Antiqua" w:cs="Book Antiqua"/>
          <w:color w:val="000000"/>
          <w:vertAlign w:val="superscript"/>
        </w:rPr>
        <w:t>[11,16,17]</w:t>
      </w:r>
      <w:r w:rsidRPr="00BE0C08">
        <w:rPr>
          <w:rFonts w:ascii="Book Antiqua" w:eastAsia="Book Antiqua" w:hAnsi="Book Antiqua" w:cs="Book Antiqua"/>
          <w:color w:val="000000"/>
        </w:rPr>
        <w:t xml:space="preserve">. However, </w:t>
      </w:r>
      <w:r w:rsidRPr="00BE0C08">
        <w:rPr>
          <w:rFonts w:ascii="Book Antiqua" w:eastAsia="Book Antiqua" w:hAnsi="Book Antiqua" w:cs="Book Antiqua"/>
          <w:color w:val="000000"/>
          <w:shd w:val="clear" w:color="auto" w:fill="FFFFFF"/>
        </w:rPr>
        <w:t xml:space="preserve">there is no standardized chemotherapy for </w:t>
      </w:r>
      <w:r w:rsidRPr="00BE0C08">
        <w:rPr>
          <w:rFonts w:ascii="Book Antiqua" w:eastAsia="Book Antiqua" w:hAnsi="Book Antiqua" w:cs="Book Antiqua"/>
          <w:color w:val="000000"/>
        </w:rPr>
        <w:t>GMNECs because of the rarity of these tumors</w:t>
      </w:r>
      <w:r w:rsidRPr="00BE0C08">
        <w:rPr>
          <w:rFonts w:ascii="Book Antiqua" w:eastAsia="Book Antiqua" w:hAnsi="Book Antiqua" w:cs="Book Antiqua"/>
          <w:color w:val="000000"/>
          <w:shd w:val="clear" w:color="auto" w:fill="FFFFFF"/>
        </w:rPr>
        <w:t>. For extra-pulmonary high-grade NEC</w:t>
      </w:r>
      <w:r w:rsidRPr="00BE0C08">
        <w:rPr>
          <w:rFonts w:ascii="Book Antiqua" w:eastAsia="Book Antiqua" w:hAnsi="Book Antiqua" w:cs="Book Antiqua"/>
          <w:color w:val="000000"/>
        </w:rPr>
        <w:t>s,</w:t>
      </w:r>
      <w:r w:rsidR="007E654C" w:rsidRPr="00BE0C08">
        <w:rPr>
          <w:rFonts w:ascii="Book Antiqua" w:eastAsia="Book Antiqua" w:hAnsi="Book Antiqua" w:cs="Book Antiqua"/>
          <w:color w:val="000000"/>
        </w:rPr>
        <w:t xml:space="preserve"> </w:t>
      </w:r>
      <w:r w:rsidRPr="00BE0C08">
        <w:rPr>
          <w:rFonts w:ascii="Book Antiqua" w:eastAsia="Book Antiqua" w:hAnsi="Book Antiqua" w:cs="Book Antiqua"/>
          <w:color w:val="000000"/>
          <w:shd w:val="clear" w:color="auto" w:fill="FFFFFF"/>
        </w:rPr>
        <w:t>EP regimen</w:t>
      </w:r>
      <w:r w:rsidR="007E654C" w:rsidRPr="00BE0C08">
        <w:rPr>
          <w:rFonts w:ascii="Book Antiqua" w:hAnsi="Book Antiqua" w:cs="Book Antiqua"/>
          <w:color w:val="000000"/>
          <w:shd w:val="clear" w:color="auto" w:fill="FFFFFF"/>
          <w:lang w:eastAsia="zh-CN"/>
        </w:rPr>
        <w:t xml:space="preserve">, </w:t>
      </w:r>
      <w:r w:rsidRPr="00BE0C08">
        <w:rPr>
          <w:rFonts w:ascii="Book Antiqua" w:eastAsia="Book Antiqua" w:hAnsi="Book Antiqua" w:cs="Book Antiqua"/>
          <w:color w:val="000000"/>
          <w:shd w:val="clear" w:color="auto" w:fill="FFFFFF"/>
        </w:rPr>
        <w:t>which combined with etoposide and cisplatin, is always suggested as first-line treatment</w:t>
      </w:r>
      <w:r w:rsidRPr="00BE0C08">
        <w:rPr>
          <w:rFonts w:ascii="Book Antiqua" w:eastAsia="Book Antiqua" w:hAnsi="Book Antiqua" w:cs="Book Antiqua"/>
          <w:color w:val="000000"/>
          <w:vertAlign w:val="superscript"/>
        </w:rPr>
        <w:t>[18]</w:t>
      </w:r>
      <w:r w:rsidRPr="00BE0C08">
        <w:rPr>
          <w:rFonts w:ascii="Book Antiqua" w:eastAsia="Book Antiqua" w:hAnsi="Book Antiqua" w:cs="Book Antiqua"/>
          <w:color w:val="000000"/>
          <w:shd w:val="clear" w:color="auto" w:fill="FFFFFF"/>
        </w:rPr>
        <w:t xml:space="preserve">. In the present study, we chose </w:t>
      </w:r>
      <w:r w:rsidRPr="00BE0C08">
        <w:rPr>
          <w:rFonts w:ascii="Book Antiqua" w:eastAsia="Book Antiqua" w:hAnsi="Book Antiqua" w:cs="Book Antiqua"/>
          <w:color w:val="000000"/>
        </w:rPr>
        <w:t xml:space="preserve">taxol plus cisplatin (TP regimen) as the first-line chemotherapy, but because of severe liver function damage after the first cycle, we </w:t>
      </w:r>
      <w:r w:rsidRPr="00BE0C08">
        <w:rPr>
          <w:rFonts w:ascii="Book Antiqua" w:eastAsia="Book Antiqua" w:hAnsi="Book Antiqua" w:cs="Book Antiqua"/>
          <w:color w:val="000000"/>
          <w:shd w:val="clear" w:color="auto" w:fill="FFFFFF"/>
        </w:rPr>
        <w:t xml:space="preserve">decided to treat this patient with the EP regimen as an alternative first-line </w:t>
      </w:r>
      <w:r w:rsidRPr="00BE0C08">
        <w:rPr>
          <w:rFonts w:ascii="Book Antiqua" w:eastAsia="Book Antiqua" w:hAnsi="Book Antiqua" w:cs="Book Antiqua"/>
          <w:color w:val="000000"/>
        </w:rPr>
        <w:t xml:space="preserve">therapy. The patient experienced mild side effects during treatment, with no cancer recurrence. </w:t>
      </w:r>
      <w:r w:rsidRPr="00BE0C08">
        <w:rPr>
          <w:rFonts w:ascii="Book Antiqua" w:eastAsia="Book Antiqua" w:hAnsi="Book Antiqua" w:cs="Book Antiqua"/>
          <w:color w:val="000000"/>
          <w:shd w:val="clear" w:color="auto" w:fill="FFFFFF"/>
        </w:rPr>
        <w:t xml:space="preserve">Although the survival rate of patients with resectable small cell lung cancer has been improved by radiotherapy, the role of radiotherapy in the treatment of </w:t>
      </w:r>
      <w:r w:rsidRPr="00BE0C08">
        <w:rPr>
          <w:rFonts w:ascii="Book Antiqua" w:eastAsia="Book Antiqua" w:hAnsi="Book Antiqua" w:cs="Book Antiqua"/>
          <w:color w:val="000000"/>
        </w:rPr>
        <w:t>GMNEC</w:t>
      </w:r>
      <w:r w:rsidRPr="00BE0C08">
        <w:rPr>
          <w:rFonts w:ascii="Book Antiqua" w:eastAsia="Book Antiqua" w:hAnsi="Book Antiqua" w:cs="Book Antiqua"/>
          <w:color w:val="000000"/>
          <w:shd w:val="clear" w:color="auto" w:fill="FFFFFF"/>
        </w:rPr>
        <w:t>s remains controversial</w:t>
      </w:r>
      <w:r w:rsidRPr="00BE0C08">
        <w:rPr>
          <w:rFonts w:ascii="Book Antiqua" w:eastAsia="Book Antiqua" w:hAnsi="Book Antiqua" w:cs="Book Antiqua"/>
          <w:color w:val="000000"/>
          <w:vertAlign w:val="superscript"/>
        </w:rPr>
        <w:t>[11]</w:t>
      </w:r>
      <w:r w:rsidRPr="00BE0C08">
        <w:rPr>
          <w:rFonts w:ascii="Book Antiqua" w:eastAsia="Book Antiqua" w:hAnsi="Book Antiqua" w:cs="Book Antiqua"/>
          <w:color w:val="000000"/>
          <w:shd w:val="clear" w:color="auto" w:fill="FFFFFF"/>
        </w:rPr>
        <w:t>.</w:t>
      </w:r>
    </w:p>
    <w:p w14:paraId="5B492C62" w14:textId="77777777" w:rsidR="007E654C" w:rsidRPr="00BE0C08" w:rsidRDefault="00901B81" w:rsidP="00AD4096">
      <w:pPr>
        <w:adjustRightInd w:val="0"/>
        <w:snapToGrid w:val="0"/>
        <w:spacing w:line="360" w:lineRule="auto"/>
        <w:ind w:firstLineChars="200" w:firstLine="480"/>
        <w:jc w:val="both"/>
        <w:rPr>
          <w:rFonts w:ascii="Book Antiqua" w:hAnsi="Book Antiqua"/>
        </w:rPr>
      </w:pPr>
      <w:r w:rsidRPr="00BE0C08">
        <w:rPr>
          <w:rFonts w:ascii="Book Antiqua" w:eastAsia="Book Antiqua" w:hAnsi="Book Antiqua" w:cs="Book Antiqua"/>
          <w:color w:val="000000"/>
          <w:shd w:val="clear" w:color="auto" w:fill="FFFFFF"/>
        </w:rPr>
        <w:t xml:space="preserve">The prognosis or </w:t>
      </w:r>
      <w:r w:rsidRPr="00BE0C08">
        <w:rPr>
          <w:rFonts w:ascii="Book Antiqua" w:eastAsia="Book Antiqua" w:hAnsi="Book Antiqua" w:cs="Book Antiqua"/>
          <w:color w:val="000000"/>
        </w:rPr>
        <w:t>GMNEC</w:t>
      </w:r>
      <w:r w:rsidRPr="00BE0C08">
        <w:rPr>
          <w:rFonts w:ascii="Book Antiqua" w:eastAsia="Book Antiqua" w:hAnsi="Book Antiqua" w:cs="Book Antiqua"/>
          <w:color w:val="000000"/>
          <w:shd w:val="clear" w:color="auto" w:fill="FFFFFF"/>
        </w:rPr>
        <w:t>s is not well-defined</w:t>
      </w:r>
      <w:r w:rsidRPr="00BE0C08">
        <w:rPr>
          <w:rFonts w:ascii="Book Antiqua" w:eastAsia="Book Antiqua" w:hAnsi="Book Antiqua" w:cs="Book Antiqua"/>
          <w:color w:val="000000"/>
          <w:vertAlign w:val="superscript"/>
        </w:rPr>
        <w:t>[5,19]</w:t>
      </w:r>
      <w:r w:rsidRPr="00BE0C08">
        <w:rPr>
          <w:rFonts w:ascii="Book Antiqua" w:eastAsia="Book Antiqua" w:hAnsi="Book Antiqua" w:cs="Book Antiqua"/>
          <w:color w:val="000000"/>
          <w:shd w:val="clear" w:color="auto" w:fill="FFFFFF"/>
        </w:rPr>
        <w:t>. Compared with benign primary gastric diseases, malignant disease is much more aggressive, according to the TNM classification, which can reflect the outcomes of GRC. A lower TNM stage is associated with a higher 5-year survival rate</w:t>
      </w:r>
      <w:r w:rsidRPr="00BE0C08">
        <w:rPr>
          <w:rFonts w:ascii="Book Antiqua" w:eastAsia="Book Antiqua" w:hAnsi="Book Antiqua" w:cs="Book Antiqua"/>
          <w:color w:val="000000"/>
          <w:vertAlign w:val="superscript"/>
        </w:rPr>
        <w:t>[20]</w:t>
      </w:r>
      <w:r w:rsidRPr="00BE0C08">
        <w:rPr>
          <w:rFonts w:ascii="Book Antiqua" w:eastAsia="Book Antiqua" w:hAnsi="Book Antiqua" w:cs="Book Antiqua"/>
          <w:color w:val="000000"/>
        </w:rPr>
        <w:t xml:space="preserve">. However, Mak </w:t>
      </w:r>
      <w:r w:rsidRPr="00BE0C08">
        <w:rPr>
          <w:rFonts w:ascii="Book Antiqua" w:eastAsia="Book Antiqua" w:hAnsi="Book Antiqua" w:cs="Book Antiqua"/>
          <w:i/>
          <w:iCs/>
          <w:color w:val="000000"/>
        </w:rPr>
        <w:t>et al</w:t>
      </w:r>
      <w:r w:rsidR="007E654C" w:rsidRPr="00BE0C08">
        <w:rPr>
          <w:rFonts w:ascii="Book Antiqua" w:eastAsia="Book Antiqua" w:hAnsi="Book Antiqua" w:cs="Book Antiqua"/>
          <w:color w:val="000000"/>
          <w:vertAlign w:val="superscript"/>
        </w:rPr>
        <w:t>[7]</w:t>
      </w:r>
      <w:r w:rsidRPr="00BE0C08">
        <w:rPr>
          <w:rFonts w:ascii="Book Antiqua" w:eastAsia="Book Antiqua" w:hAnsi="Book Antiqua" w:cs="Book Antiqua"/>
          <w:color w:val="000000"/>
        </w:rPr>
        <w:t xml:space="preserve"> reported that the 5-year survival rate of GRC patients with primary gastric carcinoma was higher than that for patients with benign diseases. The present data indicate that high-grade GMNECs appear to lead to a better prognosis than pure neuroendocrine carcinomas, whereas the overall prognosis of intermediate-grade MNECs is poorly understood</w:t>
      </w:r>
      <w:r w:rsidRPr="00BE0C08">
        <w:rPr>
          <w:rFonts w:ascii="Book Antiqua" w:eastAsia="Book Antiqua" w:hAnsi="Book Antiqua" w:cs="Book Antiqua"/>
          <w:color w:val="000000"/>
          <w:vertAlign w:val="superscript"/>
        </w:rPr>
        <w:t>[5,6,21]</w:t>
      </w:r>
      <w:r w:rsidRPr="00BE0C08">
        <w:rPr>
          <w:rFonts w:ascii="Book Antiqua" w:eastAsia="Book Antiqua" w:hAnsi="Book Antiqua" w:cs="Book Antiqua"/>
          <w:color w:val="000000"/>
        </w:rPr>
        <w:t>. Furthermore, low-grade GMNECs, especially presenting as the linitis plastica form, are associated with a poor prognosis as most patients die within 10 mo after surgery</w:t>
      </w:r>
      <w:r w:rsidRPr="00BE0C08">
        <w:rPr>
          <w:rFonts w:ascii="Book Antiqua" w:eastAsia="Book Antiqua" w:hAnsi="Book Antiqua" w:cs="Book Antiqua"/>
          <w:color w:val="000000"/>
          <w:vertAlign w:val="superscript"/>
        </w:rPr>
        <w:t>[5]</w:t>
      </w:r>
      <w:r w:rsidRPr="00BE0C08">
        <w:rPr>
          <w:rFonts w:ascii="Book Antiqua" w:eastAsia="Book Antiqua" w:hAnsi="Book Antiqua" w:cs="Book Antiqua"/>
          <w:color w:val="000000"/>
        </w:rPr>
        <w:t xml:space="preserve">. </w:t>
      </w:r>
      <w:r w:rsidRPr="00BE0C08">
        <w:rPr>
          <w:rFonts w:ascii="Book Antiqua" w:eastAsia="Book Antiqua" w:hAnsi="Book Antiqua" w:cs="Book Antiqua"/>
          <w:color w:val="000000"/>
          <w:shd w:val="clear" w:color="auto" w:fill="FFFFFF"/>
        </w:rPr>
        <w:t xml:space="preserve">Veits </w:t>
      </w:r>
      <w:r w:rsidRPr="00BE0C08">
        <w:rPr>
          <w:rFonts w:ascii="Book Antiqua" w:eastAsia="Book Antiqua" w:hAnsi="Book Antiqua" w:cs="Book Antiqua"/>
          <w:i/>
          <w:iCs/>
          <w:color w:val="000000"/>
          <w:shd w:val="clear" w:color="auto" w:fill="FFFFFF"/>
        </w:rPr>
        <w:t>et al</w:t>
      </w:r>
      <w:r w:rsidRPr="00BE0C08">
        <w:rPr>
          <w:rFonts w:ascii="Book Antiqua" w:eastAsia="Book Antiqua" w:hAnsi="Book Antiqua" w:cs="Book Antiqua"/>
          <w:color w:val="000000"/>
          <w:vertAlign w:val="superscript"/>
        </w:rPr>
        <w:t xml:space="preserve">[21]  </w:t>
      </w:r>
      <w:r w:rsidRPr="00BE0C08">
        <w:rPr>
          <w:rFonts w:ascii="Book Antiqua" w:eastAsia="Book Antiqua" w:hAnsi="Book Antiqua" w:cs="Book Antiqua"/>
          <w:color w:val="000000"/>
          <w:shd w:val="clear" w:color="auto" w:fill="FFFFFF"/>
        </w:rPr>
        <w:t xml:space="preserve">reported </w:t>
      </w:r>
      <w:r w:rsidRPr="00BE0C08">
        <w:rPr>
          <w:rFonts w:ascii="Book Antiqua" w:eastAsia="Book Antiqua" w:hAnsi="Book Antiqua" w:cs="Book Antiqua"/>
          <w:color w:val="000000"/>
        </w:rPr>
        <w:t>that the prognosis of GMNECs is very poor (overall survival: &lt; 6 mo</w:t>
      </w:r>
      <w:r w:rsidRPr="00BE0C08">
        <w:rPr>
          <w:rFonts w:ascii="Book Antiqua" w:eastAsia="Book Antiqua" w:hAnsi="Book Antiqua" w:cs="Book Antiqua"/>
          <w:color w:val="000000"/>
          <w:shd w:val="clear" w:color="auto" w:fill="FFFFFF"/>
        </w:rPr>
        <w:t>)</w:t>
      </w:r>
      <w:r w:rsidRPr="00BE0C08">
        <w:rPr>
          <w:rFonts w:ascii="Book Antiqua" w:eastAsia="Book Antiqua" w:hAnsi="Book Antiqua" w:cs="Book Antiqua"/>
          <w:color w:val="000000"/>
        </w:rPr>
        <w:t xml:space="preserve">. </w:t>
      </w:r>
      <w:r w:rsidRPr="00BE0C08">
        <w:rPr>
          <w:rFonts w:ascii="Book Antiqua" w:eastAsia="Book Antiqua" w:hAnsi="Book Antiqua" w:cs="Book Antiqua"/>
          <w:color w:val="000000"/>
          <w:shd w:val="clear" w:color="auto" w:fill="FFFFFF"/>
        </w:rPr>
        <w:t xml:space="preserve">Ma </w:t>
      </w:r>
      <w:r w:rsidRPr="00BE0C08">
        <w:rPr>
          <w:rFonts w:ascii="Book Antiqua" w:eastAsia="Book Antiqua" w:hAnsi="Book Antiqua" w:cs="Book Antiqua"/>
          <w:i/>
          <w:iCs/>
          <w:color w:val="000000"/>
          <w:shd w:val="clear" w:color="auto" w:fill="FFFFFF"/>
        </w:rPr>
        <w:t>et al</w:t>
      </w:r>
      <w:r w:rsidRPr="00BE0C08">
        <w:rPr>
          <w:rFonts w:ascii="Book Antiqua" w:eastAsia="Book Antiqua" w:hAnsi="Book Antiqua" w:cs="Book Antiqua"/>
          <w:color w:val="000000"/>
          <w:vertAlign w:val="superscript"/>
        </w:rPr>
        <w:t>[11]</w:t>
      </w:r>
      <w:r w:rsidRPr="00BE0C08">
        <w:rPr>
          <w:rFonts w:ascii="Book Antiqua" w:eastAsia="Book Antiqua" w:hAnsi="Book Antiqua" w:cs="Book Antiqua"/>
          <w:color w:val="000000"/>
          <w:shd w:val="clear" w:color="auto" w:fill="FFFFFF"/>
        </w:rPr>
        <w:t xml:space="preserve"> reported a similar case of GMNEC in 2018. The tumor classification was T3N0M0 (stage IIIA), and the patient died 31 mo after surgery because of disease progression.</w:t>
      </w:r>
      <w:r w:rsidRPr="00BE0C08">
        <w:rPr>
          <w:rFonts w:ascii="Book Antiqua" w:eastAsia="Book Antiqua" w:hAnsi="Book Antiqua" w:cs="Book Antiqua"/>
          <w:b/>
          <w:bCs/>
          <w:color w:val="000000"/>
          <w:shd w:val="clear" w:color="auto" w:fill="FFFFFF"/>
        </w:rPr>
        <w:t xml:space="preserve"> </w:t>
      </w:r>
      <w:r w:rsidRPr="00BE0C08">
        <w:rPr>
          <w:rFonts w:ascii="Book Antiqua" w:eastAsia="Book Antiqua" w:hAnsi="Book Antiqua" w:cs="Book Antiqua"/>
          <w:color w:val="000000"/>
        </w:rPr>
        <w:t>Our patient with GMNEC is still alive, without recurrence.</w:t>
      </w:r>
    </w:p>
    <w:p w14:paraId="39CE2D2B" w14:textId="2840DC1E" w:rsidR="00A77B3E" w:rsidRPr="00BE0C08" w:rsidRDefault="00901B81" w:rsidP="00AD4096">
      <w:pPr>
        <w:adjustRightInd w:val="0"/>
        <w:snapToGrid w:val="0"/>
        <w:spacing w:line="360" w:lineRule="auto"/>
        <w:ind w:firstLineChars="200" w:firstLine="480"/>
        <w:jc w:val="both"/>
        <w:rPr>
          <w:rFonts w:ascii="Book Antiqua" w:hAnsi="Book Antiqua"/>
        </w:rPr>
      </w:pPr>
      <w:r w:rsidRPr="00BE0C08">
        <w:rPr>
          <w:rFonts w:ascii="Book Antiqua" w:eastAsia="Book Antiqua" w:hAnsi="Book Antiqua" w:cs="Book Antiqua"/>
          <w:color w:val="000000"/>
        </w:rPr>
        <w:t>There are limitations to our study. This was a single case of a rare type of carcinoma, and with the short follow-up of 6 mo, further studies are needed to better understand the carcinogenesis, behavior, and treatment of this disease.</w:t>
      </w:r>
    </w:p>
    <w:p w14:paraId="35A7AA15" w14:textId="77777777" w:rsidR="00A77B3E" w:rsidRPr="00BE0C08" w:rsidRDefault="00A77B3E" w:rsidP="00AD4096">
      <w:pPr>
        <w:adjustRightInd w:val="0"/>
        <w:snapToGrid w:val="0"/>
        <w:spacing w:line="360" w:lineRule="auto"/>
        <w:jc w:val="both"/>
        <w:rPr>
          <w:rFonts w:ascii="Book Antiqua" w:hAnsi="Book Antiqua"/>
        </w:rPr>
      </w:pPr>
    </w:p>
    <w:p w14:paraId="7C34AAD6"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aps/>
          <w:color w:val="000000"/>
          <w:u w:val="single"/>
        </w:rPr>
        <w:t>CONCLUSION</w:t>
      </w:r>
    </w:p>
    <w:p w14:paraId="0B8AD153"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GMNECs are a rare type of GRC.</w:t>
      </w:r>
      <w:r w:rsidRPr="00BE0C08">
        <w:rPr>
          <w:rFonts w:ascii="Book Antiqua" w:eastAsia="Book Antiqua" w:hAnsi="Book Antiqua" w:cs="Book Antiqua"/>
          <w:color w:val="000000"/>
          <w:shd w:val="clear" w:color="auto" w:fill="FFFFFF"/>
        </w:rPr>
        <w:t xml:space="preserve"> Our study presented the particularly unusual occurrence of </w:t>
      </w:r>
      <w:r w:rsidRPr="00BE0C08">
        <w:rPr>
          <w:rFonts w:ascii="Book Antiqua" w:eastAsia="Book Antiqua" w:hAnsi="Book Antiqua" w:cs="Book Antiqua"/>
          <w:color w:val="000000"/>
        </w:rPr>
        <w:t>GMNEC</w:t>
      </w:r>
      <w:r w:rsidRPr="00BE0C08">
        <w:rPr>
          <w:rFonts w:ascii="Book Antiqua" w:eastAsia="Book Antiqua" w:hAnsi="Book Antiqua" w:cs="Book Antiqua"/>
          <w:color w:val="000000"/>
          <w:shd w:val="clear" w:color="auto" w:fill="FFFFFF"/>
        </w:rPr>
        <w:t xml:space="preserve"> in the remnant stomach following gastrectomy  surgery with Billroth II reconstruction. This case will contribute to improvements in our understandings of the carcinogenesis, biology, behavior,pathology, and  treatment of G</w:t>
      </w:r>
      <w:r w:rsidRPr="00BE0C08">
        <w:rPr>
          <w:rFonts w:ascii="Book Antiqua" w:eastAsia="Book Antiqua" w:hAnsi="Book Antiqua" w:cs="Book Antiqua"/>
          <w:color w:val="000000"/>
        </w:rPr>
        <w:t xml:space="preserve">MNEC </w:t>
      </w:r>
      <w:r w:rsidRPr="00BE0C08">
        <w:rPr>
          <w:rFonts w:ascii="Book Antiqua" w:eastAsia="Book Antiqua" w:hAnsi="Book Antiqua" w:cs="Book Antiqua"/>
          <w:color w:val="000000"/>
          <w:shd w:val="clear" w:color="auto" w:fill="FFFFFF"/>
        </w:rPr>
        <w:t>and GRC.</w:t>
      </w:r>
    </w:p>
    <w:p w14:paraId="678D211C" w14:textId="77777777" w:rsidR="00A77B3E" w:rsidRPr="00BE0C08" w:rsidRDefault="00A77B3E" w:rsidP="00AD4096">
      <w:pPr>
        <w:adjustRightInd w:val="0"/>
        <w:snapToGrid w:val="0"/>
        <w:spacing w:line="360" w:lineRule="auto"/>
        <w:jc w:val="both"/>
        <w:rPr>
          <w:rFonts w:ascii="Book Antiqua" w:hAnsi="Book Antiqua"/>
        </w:rPr>
      </w:pPr>
    </w:p>
    <w:p w14:paraId="2C3C25B6"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aps/>
          <w:color w:val="000000"/>
          <w:u w:val="single"/>
        </w:rPr>
        <w:t>ACKNOWLEDGEMENTS</w:t>
      </w:r>
    </w:p>
    <w:p w14:paraId="1A7F783C" w14:textId="6213DC3A"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shd w:val="clear" w:color="auto" w:fill="FFFFFF"/>
        </w:rPr>
        <w:t>We thank all of our colleagues at the Department of Gastrointestinal Surgery and the Department of Pathology, the Affiliated People's Hospital of Ningbo University.</w:t>
      </w:r>
    </w:p>
    <w:p w14:paraId="2734435B" w14:textId="77777777" w:rsidR="00A77B3E" w:rsidRPr="00BE0C08" w:rsidRDefault="00A77B3E" w:rsidP="00AD4096">
      <w:pPr>
        <w:adjustRightInd w:val="0"/>
        <w:snapToGrid w:val="0"/>
        <w:spacing w:line="360" w:lineRule="auto"/>
        <w:ind w:firstLine="390"/>
        <w:jc w:val="both"/>
        <w:rPr>
          <w:rFonts w:ascii="Book Antiqua" w:hAnsi="Book Antiqua"/>
        </w:rPr>
      </w:pPr>
    </w:p>
    <w:p w14:paraId="1B08BE52"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REFERENCES</w:t>
      </w:r>
    </w:p>
    <w:p w14:paraId="397A1579" w14:textId="3379FF7F"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 </w:t>
      </w:r>
      <w:r w:rsidRPr="00BE0C08">
        <w:rPr>
          <w:rFonts w:ascii="Book Antiqua" w:eastAsia="Book Antiqua" w:hAnsi="Book Antiqua" w:cs="Book Antiqua"/>
          <w:b/>
          <w:bCs/>
          <w:color w:val="000000"/>
        </w:rPr>
        <w:t>Balfour DC</w:t>
      </w:r>
      <w:r w:rsidRPr="00BE0C08">
        <w:rPr>
          <w:rFonts w:ascii="Book Antiqua" w:eastAsia="Book Antiqua" w:hAnsi="Book Antiqua" w:cs="Book Antiqua"/>
          <w:color w:val="000000"/>
        </w:rPr>
        <w:t>. F</w:t>
      </w:r>
      <w:r w:rsidR="00AD4096" w:rsidRPr="00BE0C08">
        <w:rPr>
          <w:rFonts w:ascii="Book Antiqua" w:eastAsia="Book Antiqua" w:hAnsi="Book Antiqua" w:cs="Book Antiqua"/>
          <w:color w:val="000000"/>
        </w:rPr>
        <w:t>actors influencing the life expectancy of patients operated on for gastric ulcer</w:t>
      </w:r>
      <w:r w:rsidRPr="00BE0C08">
        <w:rPr>
          <w:rFonts w:ascii="Book Antiqua" w:eastAsia="Book Antiqua" w:hAnsi="Book Antiqua" w:cs="Book Antiqua"/>
          <w:color w:val="000000"/>
        </w:rPr>
        <w:t xml:space="preserve">. </w:t>
      </w:r>
      <w:r w:rsidRPr="00BE0C08">
        <w:rPr>
          <w:rFonts w:ascii="Book Antiqua" w:eastAsia="Book Antiqua" w:hAnsi="Book Antiqua" w:cs="Book Antiqua"/>
          <w:i/>
          <w:iCs/>
          <w:color w:val="000000"/>
        </w:rPr>
        <w:t>Ann Surg</w:t>
      </w:r>
      <w:r w:rsidRPr="00BE0C08">
        <w:rPr>
          <w:rFonts w:ascii="Book Antiqua" w:eastAsia="Book Antiqua" w:hAnsi="Book Antiqua" w:cs="Book Antiqua"/>
          <w:color w:val="000000"/>
        </w:rPr>
        <w:t xml:space="preserve"> 1922; </w:t>
      </w:r>
      <w:r w:rsidRPr="00BE0C08">
        <w:rPr>
          <w:rFonts w:ascii="Book Antiqua" w:eastAsia="Book Antiqua" w:hAnsi="Book Antiqua" w:cs="Book Antiqua"/>
          <w:b/>
          <w:bCs/>
          <w:color w:val="000000"/>
        </w:rPr>
        <w:t>76</w:t>
      </w:r>
      <w:r w:rsidRPr="00BE0C08">
        <w:rPr>
          <w:rFonts w:ascii="Book Antiqua" w:eastAsia="Book Antiqua" w:hAnsi="Book Antiqua" w:cs="Book Antiqua"/>
          <w:color w:val="000000"/>
        </w:rPr>
        <w:t>: 405-408 [PMID: 17864703 DOI: 10.1097/00000658-192209000-00014]</w:t>
      </w:r>
    </w:p>
    <w:p w14:paraId="1B9699F4" w14:textId="2FE6E642"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2 </w:t>
      </w:r>
      <w:r w:rsidRPr="00BE0C08">
        <w:rPr>
          <w:rFonts w:ascii="Book Antiqua" w:eastAsia="Book Antiqua" w:hAnsi="Book Antiqua" w:cs="Book Antiqua"/>
          <w:b/>
          <w:bCs/>
          <w:color w:val="000000"/>
        </w:rPr>
        <w:t>Japanese Gastric Cancer Association</w:t>
      </w:r>
      <w:r w:rsidRPr="00BE0C08">
        <w:rPr>
          <w:rFonts w:ascii="Book Antiqua" w:eastAsia="Book Antiqua" w:hAnsi="Book Antiqua" w:cs="Book Antiqua"/>
          <w:color w:val="000000"/>
        </w:rPr>
        <w:t xml:space="preserve">. Japanese gastric cancer treatment guidelines 2010 (ver. 3). </w:t>
      </w:r>
      <w:r w:rsidRPr="00BE0C08">
        <w:rPr>
          <w:rFonts w:ascii="Book Antiqua" w:eastAsia="Book Antiqua" w:hAnsi="Book Antiqua" w:cs="Book Antiqua"/>
          <w:i/>
          <w:iCs/>
          <w:color w:val="000000"/>
        </w:rPr>
        <w:t>Gastric Cancer</w:t>
      </w:r>
      <w:r w:rsidRPr="00BE0C08">
        <w:rPr>
          <w:rFonts w:ascii="Book Antiqua" w:eastAsia="Book Antiqua" w:hAnsi="Book Antiqua" w:cs="Book Antiqua"/>
          <w:color w:val="000000"/>
        </w:rPr>
        <w:t xml:space="preserve"> 2011; </w:t>
      </w:r>
      <w:r w:rsidRPr="00BE0C08">
        <w:rPr>
          <w:rFonts w:ascii="Book Antiqua" w:eastAsia="Book Antiqua" w:hAnsi="Book Antiqua" w:cs="Book Antiqua"/>
          <w:b/>
          <w:bCs/>
          <w:color w:val="000000"/>
        </w:rPr>
        <w:t>14</w:t>
      </w:r>
      <w:r w:rsidRPr="00BE0C08">
        <w:rPr>
          <w:rFonts w:ascii="Book Antiqua" w:eastAsia="Book Antiqua" w:hAnsi="Book Antiqua" w:cs="Book Antiqua"/>
          <w:color w:val="000000"/>
        </w:rPr>
        <w:t>: 113-123 [PMID: 21573742 DOI: 10.1007/s10120-011-0042-4]</w:t>
      </w:r>
    </w:p>
    <w:p w14:paraId="7B9CD4B1" w14:textId="6BAB7A14"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3 </w:t>
      </w:r>
      <w:r w:rsidRPr="00BE0C08">
        <w:rPr>
          <w:rFonts w:ascii="Book Antiqua" w:eastAsia="Book Antiqua" w:hAnsi="Book Antiqua" w:cs="Book Antiqua"/>
          <w:b/>
          <w:bCs/>
          <w:color w:val="000000"/>
        </w:rPr>
        <w:t>Kondo K</w:t>
      </w:r>
      <w:r w:rsidRPr="00BE0C08">
        <w:rPr>
          <w:rFonts w:ascii="Book Antiqua" w:eastAsia="Book Antiqua" w:hAnsi="Book Antiqua" w:cs="Book Antiqua"/>
          <w:color w:val="000000"/>
        </w:rPr>
        <w:t xml:space="preserve">. Duodenogastric reflux and gastric stump carcinoma. </w:t>
      </w:r>
      <w:r w:rsidRPr="00BE0C08">
        <w:rPr>
          <w:rFonts w:ascii="Book Antiqua" w:eastAsia="Book Antiqua" w:hAnsi="Book Antiqua" w:cs="Book Antiqua"/>
          <w:i/>
          <w:iCs/>
          <w:color w:val="000000"/>
        </w:rPr>
        <w:t>Gastric Cancer</w:t>
      </w:r>
      <w:r w:rsidRPr="00BE0C08">
        <w:rPr>
          <w:rFonts w:ascii="Book Antiqua" w:eastAsia="Book Antiqua" w:hAnsi="Book Antiqua" w:cs="Book Antiqua"/>
          <w:color w:val="000000"/>
        </w:rPr>
        <w:t xml:space="preserve"> 2002; </w:t>
      </w:r>
      <w:r w:rsidRPr="00BE0C08">
        <w:rPr>
          <w:rFonts w:ascii="Book Antiqua" w:eastAsia="Book Antiqua" w:hAnsi="Book Antiqua" w:cs="Book Antiqua"/>
          <w:b/>
          <w:bCs/>
          <w:color w:val="000000"/>
        </w:rPr>
        <w:t>5</w:t>
      </w:r>
      <w:r w:rsidRPr="00BE0C08">
        <w:rPr>
          <w:rFonts w:ascii="Book Antiqua" w:eastAsia="Book Antiqua" w:hAnsi="Book Antiqua" w:cs="Book Antiqua"/>
          <w:color w:val="000000"/>
        </w:rPr>
        <w:t xml:space="preserve">: 16-22 [PMID: 12021855 DOI: </w:t>
      </w:r>
      <w:r w:rsidR="00DC045A" w:rsidRPr="00BE0C08">
        <w:rPr>
          <w:rFonts w:ascii="Book Antiqua" w:eastAsia="Book Antiqua" w:hAnsi="Book Antiqua" w:cs="Book Antiqua"/>
          <w:color w:val="000000"/>
        </w:rPr>
        <w:t>10.1007/s101200200002</w:t>
      </w:r>
      <w:r w:rsidRPr="00BE0C08">
        <w:rPr>
          <w:rFonts w:ascii="Book Antiqua" w:eastAsia="Book Antiqua" w:hAnsi="Book Antiqua" w:cs="Book Antiqua"/>
          <w:color w:val="000000"/>
        </w:rPr>
        <w:t>]</w:t>
      </w:r>
    </w:p>
    <w:p w14:paraId="4A988D33" w14:textId="771FD989"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4 </w:t>
      </w:r>
      <w:r w:rsidRPr="00BE0C08">
        <w:rPr>
          <w:rFonts w:ascii="Book Antiqua" w:eastAsia="Book Antiqua" w:hAnsi="Book Antiqua" w:cs="Book Antiqua"/>
          <w:b/>
          <w:bCs/>
          <w:color w:val="000000"/>
        </w:rPr>
        <w:t>Kung CY</w:t>
      </w:r>
      <w:r w:rsidRPr="00BE0C08">
        <w:rPr>
          <w:rFonts w:ascii="Book Antiqua" w:eastAsia="Book Antiqua" w:hAnsi="Book Antiqua" w:cs="Book Antiqua"/>
          <w:color w:val="000000"/>
        </w:rPr>
        <w:t xml:space="preserve">, Fang WL, Wang RF, Liu CA, Li AFY, Wu CW, Shyr YM, Chou SC, Huang KH. Prognosis and clinicopathologic features in patients with gastric stump cancer after curative surgery. </w:t>
      </w:r>
      <w:r w:rsidRPr="00BE0C08">
        <w:rPr>
          <w:rFonts w:ascii="Book Antiqua" w:eastAsia="Book Antiqua" w:hAnsi="Book Antiqua" w:cs="Book Antiqua"/>
          <w:i/>
          <w:iCs/>
          <w:color w:val="000000"/>
        </w:rPr>
        <w:t>Curr Oncol</w:t>
      </w:r>
      <w:r w:rsidRPr="00BE0C08">
        <w:rPr>
          <w:rFonts w:ascii="Book Antiqua" w:eastAsia="Book Antiqua" w:hAnsi="Book Antiqua" w:cs="Book Antiqua"/>
          <w:color w:val="000000"/>
        </w:rPr>
        <w:t xml:space="preserve"> 2020; </w:t>
      </w:r>
      <w:r w:rsidRPr="00BE0C08">
        <w:rPr>
          <w:rFonts w:ascii="Book Antiqua" w:eastAsia="Book Antiqua" w:hAnsi="Book Antiqua" w:cs="Book Antiqua"/>
          <w:b/>
          <w:bCs/>
          <w:color w:val="000000"/>
        </w:rPr>
        <w:t>27</w:t>
      </w:r>
      <w:r w:rsidRPr="00BE0C08">
        <w:rPr>
          <w:rFonts w:ascii="Book Antiqua" w:eastAsia="Book Antiqua" w:hAnsi="Book Antiqua" w:cs="Book Antiqua"/>
          <w:color w:val="000000"/>
        </w:rPr>
        <w:t>: e259-e264 [PMID: 32669931 DOI: 10.3747/co.27.6017]</w:t>
      </w:r>
    </w:p>
    <w:p w14:paraId="596DC3F4" w14:textId="1BE955EE"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5 </w:t>
      </w:r>
      <w:r w:rsidRPr="00BE0C08">
        <w:rPr>
          <w:rFonts w:ascii="Book Antiqua" w:eastAsia="Book Antiqua" w:hAnsi="Book Antiqua" w:cs="Book Antiqua"/>
          <w:b/>
          <w:bCs/>
          <w:color w:val="000000"/>
        </w:rPr>
        <w:t>Cazzo E</w:t>
      </w:r>
      <w:r w:rsidRPr="00BE0C08">
        <w:rPr>
          <w:rFonts w:ascii="Book Antiqua" w:eastAsia="Book Antiqua" w:hAnsi="Book Antiqua" w:cs="Book Antiqua"/>
          <w:color w:val="000000"/>
        </w:rPr>
        <w:t xml:space="preserve">, de Saito HP. Mixed adenoneuroendocrine carcinoma of the gastric stump following Billroth II gastrectomy: case report and review of the literature. </w:t>
      </w:r>
      <w:r w:rsidRPr="00BE0C08">
        <w:rPr>
          <w:rFonts w:ascii="Book Antiqua" w:eastAsia="Book Antiqua" w:hAnsi="Book Antiqua" w:cs="Book Antiqua"/>
          <w:i/>
          <w:iCs/>
          <w:color w:val="000000"/>
        </w:rPr>
        <w:t>Sao Paulo Med J</w:t>
      </w:r>
      <w:r w:rsidRPr="00BE0C08">
        <w:rPr>
          <w:rFonts w:ascii="Book Antiqua" w:eastAsia="Book Antiqua" w:hAnsi="Book Antiqua" w:cs="Book Antiqua"/>
          <w:color w:val="000000"/>
        </w:rPr>
        <w:t xml:space="preserve"> 2016; </w:t>
      </w:r>
      <w:r w:rsidRPr="00BE0C08">
        <w:rPr>
          <w:rFonts w:ascii="Book Antiqua" w:eastAsia="Book Antiqua" w:hAnsi="Book Antiqua" w:cs="Book Antiqua"/>
          <w:b/>
          <w:bCs/>
          <w:color w:val="000000"/>
        </w:rPr>
        <w:t>134</w:t>
      </w:r>
      <w:r w:rsidRPr="00BE0C08">
        <w:rPr>
          <w:rFonts w:ascii="Book Antiqua" w:eastAsia="Book Antiqua" w:hAnsi="Book Antiqua" w:cs="Book Antiqua"/>
          <w:color w:val="000000"/>
        </w:rPr>
        <w:t>: 84-87 [PMID: 25885489 DOI: 10.1590/1516-3180.2013.9080911]</w:t>
      </w:r>
    </w:p>
    <w:p w14:paraId="63034D17" w14:textId="46A15F8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6 </w:t>
      </w:r>
      <w:r w:rsidRPr="00BE0C08">
        <w:rPr>
          <w:rFonts w:ascii="Book Antiqua" w:eastAsia="Book Antiqua" w:hAnsi="Book Antiqua" w:cs="Book Antiqua"/>
          <w:b/>
          <w:bCs/>
          <w:color w:val="000000"/>
        </w:rPr>
        <w:t>La Rosa S</w:t>
      </w:r>
      <w:r w:rsidRPr="00BE0C08">
        <w:rPr>
          <w:rFonts w:ascii="Book Antiqua" w:eastAsia="Book Antiqua" w:hAnsi="Book Antiqua" w:cs="Book Antiqua"/>
          <w:color w:val="000000"/>
        </w:rPr>
        <w:t xml:space="preserve">, Marando A, Sessa F, Capella C. Mixed Adenoneuroendocrine Carcinomas (MANECs) of the Gastrointestinal Tract: An Update. </w:t>
      </w:r>
      <w:r w:rsidRPr="00BE0C08">
        <w:rPr>
          <w:rFonts w:ascii="Book Antiqua" w:eastAsia="Book Antiqua" w:hAnsi="Book Antiqua" w:cs="Book Antiqua"/>
          <w:i/>
          <w:iCs/>
          <w:color w:val="000000"/>
        </w:rPr>
        <w:t>Cancers (Basel)</w:t>
      </w:r>
      <w:r w:rsidRPr="00BE0C08">
        <w:rPr>
          <w:rFonts w:ascii="Book Antiqua" w:eastAsia="Book Antiqua" w:hAnsi="Book Antiqua" w:cs="Book Antiqua"/>
          <w:color w:val="000000"/>
        </w:rPr>
        <w:t xml:space="preserve"> 2012; </w:t>
      </w:r>
      <w:r w:rsidRPr="00BE0C08">
        <w:rPr>
          <w:rFonts w:ascii="Book Antiqua" w:eastAsia="Book Antiqua" w:hAnsi="Book Antiqua" w:cs="Book Antiqua"/>
          <w:b/>
          <w:bCs/>
          <w:color w:val="000000"/>
        </w:rPr>
        <w:t>4</w:t>
      </w:r>
      <w:r w:rsidRPr="00BE0C08">
        <w:rPr>
          <w:rFonts w:ascii="Book Antiqua" w:eastAsia="Book Antiqua" w:hAnsi="Book Antiqua" w:cs="Book Antiqua"/>
          <w:color w:val="000000"/>
        </w:rPr>
        <w:t>: 11-30 [PMID: 24213223 DOI: 10.3390/cancers4010011]</w:t>
      </w:r>
    </w:p>
    <w:p w14:paraId="10B16950" w14:textId="37DA8B4B"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7 </w:t>
      </w:r>
      <w:r w:rsidRPr="00BE0C08">
        <w:rPr>
          <w:rFonts w:ascii="Book Antiqua" w:eastAsia="Book Antiqua" w:hAnsi="Book Antiqua" w:cs="Book Antiqua"/>
          <w:b/>
          <w:bCs/>
          <w:color w:val="000000"/>
        </w:rPr>
        <w:t>Mak TK</w:t>
      </w:r>
      <w:r w:rsidRPr="00BE0C08">
        <w:rPr>
          <w:rFonts w:ascii="Book Antiqua" w:eastAsia="Book Antiqua" w:hAnsi="Book Antiqua" w:cs="Book Antiqua"/>
          <w:color w:val="000000"/>
        </w:rPr>
        <w:t xml:space="preserve">, Guan B, Peng J, Chong TH, Wang C, Huang S, Yang J. Prevalence and characteristics of gastric remnant cancer: A systematic review and meta-analysis. </w:t>
      </w:r>
      <w:r w:rsidRPr="00BE0C08">
        <w:rPr>
          <w:rFonts w:ascii="Book Antiqua" w:eastAsia="Book Antiqua" w:hAnsi="Book Antiqua" w:cs="Book Antiqua"/>
          <w:i/>
          <w:iCs/>
          <w:color w:val="000000"/>
        </w:rPr>
        <w:t>Asian J Surg</w:t>
      </w:r>
      <w:r w:rsidRPr="00BE0C08">
        <w:rPr>
          <w:rFonts w:ascii="Book Antiqua" w:eastAsia="Book Antiqua" w:hAnsi="Book Antiqua" w:cs="Book Antiqua"/>
          <w:color w:val="000000"/>
        </w:rPr>
        <w:t xml:space="preserve"> 2021; </w:t>
      </w:r>
      <w:r w:rsidRPr="00BE0C08">
        <w:rPr>
          <w:rFonts w:ascii="Book Antiqua" w:eastAsia="Book Antiqua" w:hAnsi="Book Antiqua" w:cs="Book Antiqua"/>
          <w:b/>
          <w:bCs/>
          <w:color w:val="000000"/>
        </w:rPr>
        <w:t>44</w:t>
      </w:r>
      <w:r w:rsidRPr="00BE0C08">
        <w:rPr>
          <w:rFonts w:ascii="Book Antiqua" w:eastAsia="Book Antiqua" w:hAnsi="Book Antiqua" w:cs="Book Antiqua"/>
          <w:color w:val="000000"/>
        </w:rPr>
        <w:t>: 11-17 [PMID: 32253109 DOI: 10.1016/j.asjsur.2020.03.012]</w:t>
      </w:r>
    </w:p>
    <w:p w14:paraId="0121E281" w14:textId="561EA080"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8 </w:t>
      </w:r>
      <w:r w:rsidRPr="00BE0C08">
        <w:rPr>
          <w:rFonts w:ascii="Book Antiqua" w:eastAsia="Book Antiqua" w:hAnsi="Book Antiqua" w:cs="Book Antiqua"/>
          <w:b/>
          <w:bCs/>
          <w:color w:val="000000"/>
        </w:rPr>
        <w:t>Kang SH</w:t>
      </w:r>
      <w:r w:rsidRPr="00BE0C08">
        <w:rPr>
          <w:rFonts w:ascii="Book Antiqua" w:eastAsia="Book Antiqua" w:hAnsi="Book Antiqua" w:cs="Book Antiqua"/>
          <w:color w:val="000000"/>
        </w:rPr>
        <w:t xml:space="preserve">, Kim KH, Seo SH, An MS, Ha TK, Park HK, Bae KB, Choi CS, Oh SH, Choi YK. Neuroendocrine carcinoma of the stomach: A case report. </w:t>
      </w:r>
      <w:r w:rsidRPr="00BE0C08">
        <w:rPr>
          <w:rFonts w:ascii="Book Antiqua" w:eastAsia="Book Antiqua" w:hAnsi="Book Antiqua" w:cs="Book Antiqua"/>
          <w:i/>
          <w:iCs/>
          <w:color w:val="000000"/>
        </w:rPr>
        <w:t>World J Gastrointest Surg</w:t>
      </w:r>
      <w:r w:rsidRPr="00BE0C08">
        <w:rPr>
          <w:rFonts w:ascii="Book Antiqua" w:eastAsia="Book Antiqua" w:hAnsi="Book Antiqua" w:cs="Book Antiqua"/>
          <w:color w:val="000000"/>
        </w:rPr>
        <w:t xml:space="preserve"> 2014; </w:t>
      </w:r>
      <w:r w:rsidRPr="00BE0C08">
        <w:rPr>
          <w:rFonts w:ascii="Book Antiqua" w:eastAsia="Book Antiqua" w:hAnsi="Book Antiqua" w:cs="Book Antiqua"/>
          <w:b/>
          <w:bCs/>
          <w:color w:val="000000"/>
        </w:rPr>
        <w:t>6</w:t>
      </w:r>
      <w:r w:rsidRPr="00BE0C08">
        <w:rPr>
          <w:rFonts w:ascii="Book Antiqua" w:eastAsia="Book Antiqua" w:hAnsi="Book Antiqua" w:cs="Book Antiqua"/>
          <w:color w:val="000000"/>
        </w:rPr>
        <w:t>: 77-79 [PMID: 24829627 DOI: 10.4240/wjgs.v6.i4.77]</w:t>
      </w:r>
    </w:p>
    <w:p w14:paraId="0BFB2A6F" w14:textId="700029AF"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9 </w:t>
      </w:r>
      <w:r w:rsidRPr="00BE0C08">
        <w:rPr>
          <w:rFonts w:ascii="Book Antiqua" w:eastAsia="Book Antiqua" w:hAnsi="Book Antiqua" w:cs="Book Antiqua"/>
          <w:b/>
          <w:bCs/>
          <w:color w:val="000000"/>
        </w:rPr>
        <w:t>Hu X</w:t>
      </w:r>
      <w:r w:rsidRPr="00BE0C08">
        <w:rPr>
          <w:rFonts w:ascii="Book Antiqua" w:eastAsia="Book Antiqua" w:hAnsi="Book Antiqua" w:cs="Book Antiqua"/>
          <w:color w:val="000000"/>
        </w:rPr>
        <w:t xml:space="preserve">, Tian DY, Cao L, Yu Y. Progression and prognosis of gastric stump cancer. </w:t>
      </w:r>
      <w:r w:rsidRPr="00BE0C08">
        <w:rPr>
          <w:rFonts w:ascii="Book Antiqua" w:eastAsia="Book Antiqua" w:hAnsi="Book Antiqua" w:cs="Book Antiqua"/>
          <w:i/>
          <w:iCs/>
          <w:color w:val="000000"/>
        </w:rPr>
        <w:t>J Surg Oncol</w:t>
      </w:r>
      <w:r w:rsidRPr="00BE0C08">
        <w:rPr>
          <w:rFonts w:ascii="Book Antiqua" w:eastAsia="Book Antiqua" w:hAnsi="Book Antiqua" w:cs="Book Antiqua"/>
          <w:color w:val="000000"/>
        </w:rPr>
        <w:t xml:space="preserve"> 2009; </w:t>
      </w:r>
      <w:r w:rsidRPr="00BE0C08">
        <w:rPr>
          <w:rFonts w:ascii="Book Antiqua" w:eastAsia="Book Antiqua" w:hAnsi="Book Antiqua" w:cs="Book Antiqua"/>
          <w:b/>
          <w:bCs/>
          <w:color w:val="000000"/>
        </w:rPr>
        <w:t>100</w:t>
      </w:r>
      <w:r w:rsidRPr="00BE0C08">
        <w:rPr>
          <w:rFonts w:ascii="Book Antiqua" w:eastAsia="Book Antiqua" w:hAnsi="Book Antiqua" w:cs="Book Antiqua"/>
          <w:color w:val="000000"/>
        </w:rPr>
        <w:t>: 472-476 [PMID: 19697396 DOI: 10.1002/jso.21370]</w:t>
      </w:r>
    </w:p>
    <w:p w14:paraId="3D97A750" w14:textId="514C20F3"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10 </w:t>
      </w:r>
      <w:r w:rsidRPr="00BE0C08">
        <w:rPr>
          <w:rFonts w:ascii="Book Antiqua" w:eastAsia="Book Antiqua" w:hAnsi="Book Antiqua" w:cs="Book Antiqua"/>
          <w:b/>
          <w:bCs/>
          <w:color w:val="000000"/>
        </w:rPr>
        <w:t>Tanigawa N</w:t>
      </w:r>
      <w:r w:rsidRPr="00BE0C08">
        <w:rPr>
          <w:rFonts w:ascii="Book Antiqua" w:eastAsia="Book Antiqua" w:hAnsi="Book Antiqua" w:cs="Book Antiqua"/>
          <w:color w:val="000000"/>
        </w:rPr>
        <w:t xml:space="preserve">, Nomura E, Niki M, Shinohara H, Nishiguchi K, Okuzawa M, Toyoda M, Morita S. Clinical study to identify specific characteristics of cancer newly developed in the remnant stomach. </w:t>
      </w:r>
      <w:r w:rsidRPr="00BE0C08">
        <w:rPr>
          <w:rFonts w:ascii="Book Antiqua" w:eastAsia="Book Antiqua" w:hAnsi="Book Antiqua" w:cs="Book Antiqua"/>
          <w:i/>
          <w:iCs/>
          <w:color w:val="000000"/>
        </w:rPr>
        <w:t>Gastric Cancer</w:t>
      </w:r>
      <w:r w:rsidRPr="00BE0C08">
        <w:rPr>
          <w:rFonts w:ascii="Book Antiqua" w:eastAsia="Book Antiqua" w:hAnsi="Book Antiqua" w:cs="Book Antiqua"/>
          <w:color w:val="000000"/>
        </w:rPr>
        <w:t xml:space="preserve"> 2002; </w:t>
      </w:r>
      <w:r w:rsidRPr="00BE0C08">
        <w:rPr>
          <w:rFonts w:ascii="Book Antiqua" w:eastAsia="Book Antiqua" w:hAnsi="Book Antiqua" w:cs="Book Antiqua"/>
          <w:b/>
          <w:bCs/>
          <w:color w:val="000000"/>
        </w:rPr>
        <w:t>5</w:t>
      </w:r>
      <w:r w:rsidRPr="00BE0C08">
        <w:rPr>
          <w:rFonts w:ascii="Book Antiqua" w:eastAsia="Book Antiqua" w:hAnsi="Book Antiqua" w:cs="Book Antiqua"/>
          <w:color w:val="000000"/>
        </w:rPr>
        <w:t>: 23-28 [PMID: 12021856 DOI: 10.1007/s101200200003]</w:t>
      </w:r>
    </w:p>
    <w:p w14:paraId="7DFA75DF" w14:textId="7098E636"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11 </w:t>
      </w:r>
      <w:r w:rsidRPr="00BE0C08">
        <w:rPr>
          <w:rFonts w:ascii="Book Antiqua" w:eastAsia="Book Antiqua" w:hAnsi="Book Antiqua" w:cs="Book Antiqua"/>
          <w:b/>
          <w:bCs/>
          <w:color w:val="000000"/>
        </w:rPr>
        <w:t>Ma FH</w:t>
      </w:r>
      <w:r w:rsidRPr="00BE0C08">
        <w:rPr>
          <w:rFonts w:ascii="Book Antiqua" w:eastAsia="Book Antiqua" w:hAnsi="Book Antiqua" w:cs="Book Antiqua"/>
          <w:color w:val="000000"/>
        </w:rPr>
        <w:t xml:space="preserve">, Xue LY, Chen YT, Xie YB, Zhong YX, Xu Q, Tian YT. Neuroendocrine carcinoma of the gastric stump: A case report and literature review. </w:t>
      </w:r>
      <w:r w:rsidRPr="00BE0C08">
        <w:rPr>
          <w:rFonts w:ascii="Book Antiqua" w:eastAsia="Book Antiqua" w:hAnsi="Book Antiqua" w:cs="Book Antiqua"/>
          <w:i/>
          <w:iCs/>
          <w:color w:val="000000"/>
        </w:rPr>
        <w:t>World J Gastroenterol</w:t>
      </w:r>
      <w:r w:rsidRPr="00BE0C08">
        <w:rPr>
          <w:rFonts w:ascii="Book Antiqua" w:eastAsia="Book Antiqua" w:hAnsi="Book Antiqua" w:cs="Book Antiqua"/>
          <w:color w:val="000000"/>
        </w:rPr>
        <w:t xml:space="preserve"> 2018; </w:t>
      </w:r>
      <w:r w:rsidRPr="00BE0C08">
        <w:rPr>
          <w:rFonts w:ascii="Book Antiqua" w:eastAsia="Book Antiqua" w:hAnsi="Book Antiqua" w:cs="Book Antiqua"/>
          <w:b/>
          <w:bCs/>
          <w:color w:val="000000"/>
        </w:rPr>
        <w:t>24</w:t>
      </w:r>
      <w:r w:rsidRPr="00BE0C08">
        <w:rPr>
          <w:rFonts w:ascii="Book Antiqua" w:eastAsia="Book Antiqua" w:hAnsi="Book Antiqua" w:cs="Book Antiqua"/>
          <w:color w:val="000000"/>
        </w:rPr>
        <w:t>: 543-548 [PMID: 29398875 DOI: 10.3748/wjg.v24.i4.543]</w:t>
      </w:r>
    </w:p>
    <w:p w14:paraId="0C88F163" w14:textId="0312FFA1"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12 </w:t>
      </w:r>
      <w:r w:rsidRPr="00BE0C08">
        <w:rPr>
          <w:rFonts w:ascii="Book Antiqua" w:eastAsia="Book Antiqua" w:hAnsi="Book Antiqua" w:cs="Book Antiqua"/>
          <w:b/>
          <w:bCs/>
          <w:color w:val="000000"/>
        </w:rPr>
        <w:t>Rindi G</w:t>
      </w:r>
      <w:r w:rsidRPr="00BE0C08">
        <w:rPr>
          <w:rFonts w:ascii="Book Antiqua" w:eastAsia="Book Antiqua" w:hAnsi="Book Antiqua" w:cs="Book Antiqua"/>
          <w:color w:val="000000"/>
        </w:rPr>
        <w:t xml:space="preserve">, Luinetti O, Cornaggia M, Capella C, Solcia E. Three subtypes of gastric argyrophil carcinoid and the gastric neuroendocrine carcinoma: a clinicopathologic study. </w:t>
      </w:r>
      <w:r w:rsidRPr="00BE0C08">
        <w:rPr>
          <w:rFonts w:ascii="Book Antiqua" w:eastAsia="Book Antiqua" w:hAnsi="Book Antiqua" w:cs="Book Antiqua"/>
          <w:i/>
          <w:iCs/>
          <w:color w:val="000000"/>
        </w:rPr>
        <w:t>Gastroenterology</w:t>
      </w:r>
      <w:r w:rsidRPr="00BE0C08">
        <w:rPr>
          <w:rFonts w:ascii="Book Antiqua" w:eastAsia="Book Antiqua" w:hAnsi="Book Antiqua" w:cs="Book Antiqua"/>
          <w:color w:val="000000"/>
        </w:rPr>
        <w:t xml:space="preserve"> 1993; </w:t>
      </w:r>
      <w:r w:rsidRPr="00BE0C08">
        <w:rPr>
          <w:rFonts w:ascii="Book Antiqua" w:eastAsia="Book Antiqua" w:hAnsi="Book Antiqua" w:cs="Book Antiqua"/>
          <w:b/>
          <w:bCs/>
          <w:color w:val="000000"/>
        </w:rPr>
        <w:t>104</w:t>
      </w:r>
      <w:r w:rsidRPr="00BE0C08">
        <w:rPr>
          <w:rFonts w:ascii="Book Antiqua" w:eastAsia="Book Antiqua" w:hAnsi="Book Antiqua" w:cs="Book Antiqua"/>
          <w:color w:val="000000"/>
        </w:rPr>
        <w:t xml:space="preserve">: 994-1006 [PMID: 7681798 DOI: </w:t>
      </w:r>
      <w:r w:rsidR="00DC045A" w:rsidRPr="00BE0C08">
        <w:rPr>
          <w:rFonts w:ascii="Book Antiqua" w:eastAsia="Book Antiqua" w:hAnsi="Book Antiqua" w:cs="Book Antiqua"/>
          <w:color w:val="000000"/>
        </w:rPr>
        <w:t>10.1016/0016-5085(93)90266-f</w:t>
      </w:r>
      <w:r w:rsidRPr="00BE0C08">
        <w:rPr>
          <w:rFonts w:ascii="Book Antiqua" w:eastAsia="Book Antiqua" w:hAnsi="Book Antiqua" w:cs="Book Antiqua"/>
          <w:color w:val="000000"/>
        </w:rPr>
        <w:t>]</w:t>
      </w:r>
    </w:p>
    <w:p w14:paraId="7CA122BA" w14:textId="765F6384"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13 </w:t>
      </w:r>
      <w:r w:rsidRPr="00BE0C08">
        <w:rPr>
          <w:rFonts w:ascii="Book Antiqua" w:eastAsia="Book Antiqua" w:hAnsi="Book Antiqua" w:cs="Book Antiqua"/>
          <w:b/>
          <w:bCs/>
          <w:color w:val="000000"/>
        </w:rPr>
        <w:t>Ma F</w:t>
      </w:r>
      <w:r w:rsidRPr="00BE0C08">
        <w:rPr>
          <w:rFonts w:ascii="Book Antiqua" w:eastAsia="Book Antiqua" w:hAnsi="Book Antiqua" w:cs="Book Antiqua"/>
          <w:color w:val="000000"/>
        </w:rPr>
        <w:t xml:space="preserve">, Li Y, Li W, Kang W, Liu H, Ma S, Wang B, Xie Y, Zhong Y, Chen Y, Xue L, Tian Y. Is subtotal gastrectomy feasible for the treatment of gastric stump cancer located at the anastomotic site after distal gastrectomy for benign lesions? </w:t>
      </w:r>
      <w:r w:rsidRPr="00BE0C08">
        <w:rPr>
          <w:rFonts w:ascii="Book Antiqua" w:eastAsia="Book Antiqua" w:hAnsi="Book Antiqua" w:cs="Book Antiqua"/>
          <w:i/>
          <w:iCs/>
          <w:color w:val="000000"/>
        </w:rPr>
        <w:t>World J Surg Oncol</w:t>
      </w:r>
      <w:r w:rsidRPr="00BE0C08">
        <w:rPr>
          <w:rFonts w:ascii="Book Antiqua" w:eastAsia="Book Antiqua" w:hAnsi="Book Antiqua" w:cs="Book Antiqua"/>
          <w:color w:val="000000"/>
        </w:rPr>
        <w:t xml:space="preserve"> 2020; </w:t>
      </w:r>
      <w:r w:rsidRPr="00BE0C08">
        <w:rPr>
          <w:rFonts w:ascii="Book Antiqua" w:eastAsia="Book Antiqua" w:hAnsi="Book Antiqua" w:cs="Book Antiqua"/>
          <w:b/>
          <w:bCs/>
          <w:color w:val="000000"/>
        </w:rPr>
        <w:t>18</w:t>
      </w:r>
      <w:r w:rsidRPr="00BE0C08">
        <w:rPr>
          <w:rFonts w:ascii="Book Antiqua" w:eastAsia="Book Antiqua" w:hAnsi="Book Antiqua" w:cs="Book Antiqua"/>
          <w:color w:val="000000"/>
        </w:rPr>
        <w:t>: 43 [PMID: 32106866 DOI: 10.1186/s12957-020-01821-y]</w:t>
      </w:r>
    </w:p>
    <w:p w14:paraId="4CBE2983" w14:textId="4479A59B"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14 </w:t>
      </w:r>
      <w:r w:rsidRPr="00BE0C08">
        <w:rPr>
          <w:rFonts w:ascii="Book Antiqua" w:eastAsia="Book Antiqua" w:hAnsi="Book Antiqua" w:cs="Book Antiqua"/>
          <w:b/>
          <w:bCs/>
          <w:color w:val="000000"/>
        </w:rPr>
        <w:t>Hosokawa Y</w:t>
      </w:r>
      <w:r w:rsidRPr="00BE0C08">
        <w:rPr>
          <w:rFonts w:ascii="Book Antiqua" w:eastAsia="Book Antiqua" w:hAnsi="Book Antiqua" w:cs="Book Antiqua"/>
          <w:color w:val="000000"/>
        </w:rPr>
        <w:t xml:space="preserve">, Konishi M, Sahara Y, Kinoshita T, Takahashi S, Gotohda N, Kato Y, Kinoshita T. Limited subtotal gastrectomy for early remnant gastric cancer. </w:t>
      </w:r>
      <w:r w:rsidRPr="00BE0C08">
        <w:rPr>
          <w:rFonts w:ascii="Book Antiqua" w:eastAsia="Book Antiqua" w:hAnsi="Book Antiqua" w:cs="Book Antiqua"/>
          <w:i/>
          <w:iCs/>
          <w:color w:val="000000"/>
        </w:rPr>
        <w:t>Gastric Cancer</w:t>
      </w:r>
      <w:r w:rsidRPr="00BE0C08">
        <w:rPr>
          <w:rFonts w:ascii="Book Antiqua" w:eastAsia="Book Antiqua" w:hAnsi="Book Antiqua" w:cs="Book Antiqua"/>
          <w:color w:val="000000"/>
        </w:rPr>
        <w:t xml:space="preserve"> 2014; </w:t>
      </w:r>
      <w:r w:rsidRPr="00BE0C08">
        <w:rPr>
          <w:rFonts w:ascii="Book Antiqua" w:eastAsia="Book Antiqua" w:hAnsi="Book Antiqua" w:cs="Book Antiqua"/>
          <w:b/>
          <w:bCs/>
          <w:color w:val="000000"/>
        </w:rPr>
        <w:t>17</w:t>
      </w:r>
      <w:r w:rsidRPr="00BE0C08">
        <w:rPr>
          <w:rFonts w:ascii="Book Antiqua" w:eastAsia="Book Antiqua" w:hAnsi="Book Antiqua" w:cs="Book Antiqua"/>
          <w:color w:val="000000"/>
        </w:rPr>
        <w:t>: 332-336 [PMID: 23832238 DOI: 10.1007/s10120-013-0280-8]</w:t>
      </w:r>
    </w:p>
    <w:p w14:paraId="364B6ED1" w14:textId="09D2FF75"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15 </w:t>
      </w:r>
      <w:r w:rsidRPr="00BE0C08">
        <w:rPr>
          <w:rFonts w:ascii="Book Antiqua" w:eastAsia="Book Antiqua" w:hAnsi="Book Antiqua" w:cs="Book Antiqua"/>
          <w:b/>
          <w:bCs/>
          <w:color w:val="000000"/>
        </w:rPr>
        <w:t>Irino T</w:t>
      </w:r>
      <w:r w:rsidRPr="00BE0C08">
        <w:rPr>
          <w:rFonts w:ascii="Book Antiqua" w:eastAsia="Book Antiqua" w:hAnsi="Book Antiqua" w:cs="Book Antiqua"/>
          <w:color w:val="000000"/>
        </w:rPr>
        <w:t xml:space="preserve">, Hiki N, Nunobe S, Ohashi M, Tanimura S, Sano T, Yamaguchi T. Subtotal gastrectomy with limited lymph node dissection is a feasible treatment option for patients with early gastric stump cancer. </w:t>
      </w:r>
      <w:r w:rsidRPr="00BE0C08">
        <w:rPr>
          <w:rFonts w:ascii="Book Antiqua" w:eastAsia="Book Antiqua" w:hAnsi="Book Antiqua" w:cs="Book Antiqua"/>
          <w:i/>
          <w:iCs/>
          <w:color w:val="000000"/>
        </w:rPr>
        <w:t>J Gastrointest Surg</w:t>
      </w:r>
      <w:r w:rsidRPr="00BE0C08">
        <w:rPr>
          <w:rFonts w:ascii="Book Antiqua" w:eastAsia="Book Antiqua" w:hAnsi="Book Antiqua" w:cs="Book Antiqua"/>
          <w:color w:val="000000"/>
        </w:rPr>
        <w:t xml:space="preserve"> 2014; </w:t>
      </w:r>
      <w:r w:rsidRPr="00BE0C08">
        <w:rPr>
          <w:rFonts w:ascii="Book Antiqua" w:eastAsia="Book Antiqua" w:hAnsi="Book Antiqua" w:cs="Book Antiqua"/>
          <w:b/>
          <w:bCs/>
          <w:color w:val="000000"/>
        </w:rPr>
        <w:t>18</w:t>
      </w:r>
      <w:r w:rsidRPr="00BE0C08">
        <w:rPr>
          <w:rFonts w:ascii="Book Antiqua" w:eastAsia="Book Antiqua" w:hAnsi="Book Antiqua" w:cs="Book Antiqua"/>
          <w:color w:val="000000"/>
        </w:rPr>
        <w:t>: 1429-1433 [PMID: 24944156 DOI: 10.1007/s11605-014-2576-3]</w:t>
      </w:r>
    </w:p>
    <w:p w14:paraId="06E714CE" w14:textId="7E9EDE4D"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16 </w:t>
      </w:r>
      <w:r w:rsidRPr="00BE0C08">
        <w:rPr>
          <w:rFonts w:ascii="Book Antiqua" w:eastAsia="Book Antiqua" w:hAnsi="Book Antiqua" w:cs="Book Antiqua"/>
          <w:b/>
          <w:bCs/>
          <w:color w:val="000000"/>
        </w:rPr>
        <w:t>Zhang M</w:t>
      </w:r>
      <w:r w:rsidRPr="00BE0C08">
        <w:rPr>
          <w:rFonts w:ascii="Book Antiqua" w:eastAsia="Book Antiqua" w:hAnsi="Book Antiqua" w:cs="Book Antiqua"/>
          <w:color w:val="000000"/>
        </w:rPr>
        <w:t xml:space="preserve">, Zhao P, Shi X, Zhao A, Zhang L, Zhou L. Clinicopathological features and prognosis of gastroenteropancreatic neuroendocrine neoplasms in a Chinese population: a large, retrospective single-centre study. </w:t>
      </w:r>
      <w:r w:rsidRPr="00BE0C08">
        <w:rPr>
          <w:rFonts w:ascii="Book Antiqua" w:eastAsia="Book Antiqua" w:hAnsi="Book Antiqua" w:cs="Book Antiqua"/>
          <w:i/>
          <w:iCs/>
          <w:color w:val="000000"/>
        </w:rPr>
        <w:t>BMC Endocr Disord</w:t>
      </w:r>
      <w:r w:rsidRPr="00BE0C08">
        <w:rPr>
          <w:rFonts w:ascii="Book Antiqua" w:eastAsia="Book Antiqua" w:hAnsi="Book Antiqua" w:cs="Book Antiqua"/>
          <w:color w:val="000000"/>
        </w:rPr>
        <w:t xml:space="preserve"> 2017; </w:t>
      </w:r>
      <w:r w:rsidRPr="00BE0C08">
        <w:rPr>
          <w:rFonts w:ascii="Book Antiqua" w:eastAsia="Book Antiqua" w:hAnsi="Book Antiqua" w:cs="Book Antiqua"/>
          <w:b/>
          <w:bCs/>
          <w:color w:val="000000"/>
        </w:rPr>
        <w:t>17</w:t>
      </w:r>
      <w:r w:rsidRPr="00BE0C08">
        <w:rPr>
          <w:rFonts w:ascii="Book Antiqua" w:eastAsia="Book Antiqua" w:hAnsi="Book Antiqua" w:cs="Book Antiqua"/>
          <w:color w:val="000000"/>
        </w:rPr>
        <w:t>: 39 [PMID: 28705205 DOI: 10.1186/s12902-017-0190-6]</w:t>
      </w:r>
    </w:p>
    <w:p w14:paraId="6A15E43F" w14:textId="2FC33605"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17 </w:t>
      </w:r>
      <w:r w:rsidRPr="00BE0C08">
        <w:rPr>
          <w:rFonts w:ascii="Book Antiqua" w:eastAsia="Book Antiqua" w:hAnsi="Book Antiqua" w:cs="Book Antiqua"/>
          <w:b/>
          <w:bCs/>
          <w:color w:val="000000"/>
        </w:rPr>
        <w:t>Xie JW</w:t>
      </w:r>
      <w:r w:rsidRPr="00BE0C08">
        <w:rPr>
          <w:rFonts w:ascii="Book Antiqua" w:eastAsia="Book Antiqua" w:hAnsi="Book Antiqua" w:cs="Book Antiqua"/>
          <w:color w:val="000000"/>
        </w:rPr>
        <w:t xml:space="preserve">, Sun YQ, Feng CY, Zheng CH, Li P, Wang JB, Lin JX, Lu J, Chen QY, Cao LL, Lin M, Tu RH, Yang YH, Huang CM. Evaluation of clinicopathological factors related to the prognosis of gastric neuroendocrine carcinoma. </w:t>
      </w:r>
      <w:r w:rsidRPr="00BE0C08">
        <w:rPr>
          <w:rFonts w:ascii="Book Antiqua" w:eastAsia="Book Antiqua" w:hAnsi="Book Antiqua" w:cs="Book Antiqua"/>
          <w:i/>
          <w:iCs/>
          <w:color w:val="000000"/>
        </w:rPr>
        <w:t>Eur J Surg Oncol</w:t>
      </w:r>
      <w:r w:rsidRPr="00BE0C08">
        <w:rPr>
          <w:rFonts w:ascii="Book Antiqua" w:eastAsia="Book Antiqua" w:hAnsi="Book Antiqua" w:cs="Book Antiqua"/>
          <w:color w:val="000000"/>
        </w:rPr>
        <w:t xml:space="preserve"> 2016; </w:t>
      </w:r>
      <w:r w:rsidRPr="00BE0C08">
        <w:rPr>
          <w:rFonts w:ascii="Book Antiqua" w:eastAsia="Book Antiqua" w:hAnsi="Book Antiqua" w:cs="Book Antiqua"/>
          <w:b/>
          <w:bCs/>
          <w:color w:val="000000"/>
        </w:rPr>
        <w:t>42</w:t>
      </w:r>
      <w:r w:rsidRPr="00BE0C08">
        <w:rPr>
          <w:rFonts w:ascii="Book Antiqua" w:eastAsia="Book Antiqua" w:hAnsi="Book Antiqua" w:cs="Book Antiqua"/>
          <w:color w:val="000000"/>
        </w:rPr>
        <w:t>: 1464-1470 [PMID: 27570115 DOI: 10.1016/j.ejso.2016.08.004]</w:t>
      </w:r>
    </w:p>
    <w:p w14:paraId="64E234AE" w14:textId="6EFC3601"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18 </w:t>
      </w:r>
      <w:r w:rsidRPr="00BE0C08">
        <w:rPr>
          <w:rFonts w:ascii="Book Antiqua" w:eastAsia="Book Antiqua" w:hAnsi="Book Antiqua" w:cs="Book Antiqua"/>
          <w:b/>
          <w:bCs/>
          <w:color w:val="000000"/>
        </w:rPr>
        <w:t>Okita NT</w:t>
      </w:r>
      <w:r w:rsidRPr="00BE0C08">
        <w:rPr>
          <w:rFonts w:ascii="Book Antiqua" w:eastAsia="Book Antiqua" w:hAnsi="Book Antiqua" w:cs="Book Antiqua"/>
          <w:color w:val="000000"/>
        </w:rPr>
        <w:t xml:space="preserve">, Kato K, Takahari D, Hirashima Y, Nakajima TE, Matsubara J, Hamaguchi T, Yamada Y, Shimada Y, Taniguchi H, Shirao K. Neuroendocrine tumors of the stomach: chemotherapy with cisplatin plus irinotecan is effective for gastric poorly-differentiated neuroendocrine carcinoma. </w:t>
      </w:r>
      <w:r w:rsidRPr="00BE0C08">
        <w:rPr>
          <w:rFonts w:ascii="Book Antiqua" w:eastAsia="Book Antiqua" w:hAnsi="Book Antiqua" w:cs="Book Antiqua"/>
          <w:i/>
          <w:iCs/>
          <w:color w:val="000000"/>
        </w:rPr>
        <w:t>Gastric Cancer</w:t>
      </w:r>
      <w:r w:rsidRPr="00BE0C08">
        <w:rPr>
          <w:rFonts w:ascii="Book Antiqua" w:eastAsia="Book Antiqua" w:hAnsi="Book Antiqua" w:cs="Book Antiqua"/>
          <w:color w:val="000000"/>
        </w:rPr>
        <w:t xml:space="preserve"> 2011; </w:t>
      </w:r>
      <w:r w:rsidRPr="00BE0C08">
        <w:rPr>
          <w:rFonts w:ascii="Book Antiqua" w:eastAsia="Book Antiqua" w:hAnsi="Book Antiqua" w:cs="Book Antiqua"/>
          <w:b/>
          <w:bCs/>
          <w:color w:val="000000"/>
        </w:rPr>
        <w:t>14</w:t>
      </w:r>
      <w:r w:rsidRPr="00BE0C08">
        <w:rPr>
          <w:rFonts w:ascii="Book Antiqua" w:eastAsia="Book Antiqua" w:hAnsi="Book Antiqua" w:cs="Book Antiqua"/>
          <w:color w:val="000000"/>
        </w:rPr>
        <w:t>: 161-165 [PMID: 21327441 DOI: 10.1007/s10120-011-0025-5]</w:t>
      </w:r>
    </w:p>
    <w:p w14:paraId="550BD159" w14:textId="5CB0BC8C"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19 </w:t>
      </w:r>
      <w:r w:rsidRPr="00BE0C08">
        <w:rPr>
          <w:rFonts w:ascii="Book Antiqua" w:eastAsia="Book Antiqua" w:hAnsi="Book Antiqua" w:cs="Book Antiqua"/>
          <w:b/>
          <w:bCs/>
          <w:color w:val="000000"/>
        </w:rPr>
        <w:t>Lee EJ</w:t>
      </w:r>
      <w:r w:rsidRPr="00BE0C08">
        <w:rPr>
          <w:rFonts w:ascii="Book Antiqua" w:eastAsia="Book Antiqua" w:hAnsi="Book Antiqua" w:cs="Book Antiqua"/>
          <w:color w:val="000000"/>
        </w:rPr>
        <w:t xml:space="preserve">, Park SM, Maeng L, Lee A, Kim KM. Composite glandular-endocrine cell carcinomas of the stomach: clinicopathologic and methylation study. </w:t>
      </w:r>
      <w:r w:rsidRPr="00BE0C08">
        <w:rPr>
          <w:rFonts w:ascii="Book Antiqua" w:eastAsia="Book Antiqua" w:hAnsi="Book Antiqua" w:cs="Book Antiqua"/>
          <w:i/>
          <w:iCs/>
          <w:color w:val="000000"/>
        </w:rPr>
        <w:t>APMIS</w:t>
      </w:r>
      <w:r w:rsidRPr="00BE0C08">
        <w:rPr>
          <w:rFonts w:ascii="Book Antiqua" w:eastAsia="Book Antiqua" w:hAnsi="Book Antiqua" w:cs="Book Antiqua"/>
          <w:color w:val="000000"/>
        </w:rPr>
        <w:t xml:space="preserve"> 2005; </w:t>
      </w:r>
      <w:r w:rsidRPr="00BE0C08">
        <w:rPr>
          <w:rFonts w:ascii="Book Antiqua" w:eastAsia="Book Antiqua" w:hAnsi="Book Antiqua" w:cs="Book Antiqua"/>
          <w:b/>
          <w:bCs/>
          <w:color w:val="000000"/>
        </w:rPr>
        <w:t>113</w:t>
      </w:r>
      <w:r w:rsidRPr="00BE0C08">
        <w:rPr>
          <w:rFonts w:ascii="Book Antiqua" w:eastAsia="Book Antiqua" w:hAnsi="Book Antiqua" w:cs="Book Antiqua"/>
          <w:color w:val="000000"/>
        </w:rPr>
        <w:t>: 569-576 [PMID: 16218931 DOI: 10.1111/j.1600-0463.2005.apm_190.x]</w:t>
      </w:r>
    </w:p>
    <w:p w14:paraId="2352EEF1" w14:textId="77777777" w:rsidR="007E654C" w:rsidRPr="00BE0C08" w:rsidRDefault="007E654C" w:rsidP="00AD4096">
      <w:pPr>
        <w:adjustRightInd w:val="0"/>
        <w:snapToGrid w:val="0"/>
        <w:spacing w:line="360" w:lineRule="auto"/>
        <w:jc w:val="both"/>
        <w:rPr>
          <w:rFonts w:ascii="Book Antiqua" w:eastAsia="Book Antiqua" w:hAnsi="Book Antiqua" w:cs="Book Antiqua"/>
          <w:color w:val="000000"/>
        </w:rPr>
      </w:pPr>
      <w:r w:rsidRPr="00BE0C08">
        <w:rPr>
          <w:rFonts w:ascii="Book Antiqua" w:eastAsia="Book Antiqua" w:hAnsi="Book Antiqua" w:cs="Book Antiqua"/>
          <w:color w:val="000000"/>
        </w:rPr>
        <w:t xml:space="preserve">20 </w:t>
      </w:r>
      <w:r w:rsidRPr="00BE0C08">
        <w:rPr>
          <w:rFonts w:ascii="Book Antiqua" w:eastAsia="Book Antiqua" w:hAnsi="Book Antiqua" w:cs="Book Antiqua"/>
          <w:b/>
          <w:bCs/>
          <w:color w:val="000000"/>
        </w:rPr>
        <w:t>Sasako M</w:t>
      </w:r>
      <w:r w:rsidRPr="00BE0C08">
        <w:rPr>
          <w:rFonts w:ascii="Book Antiqua" w:eastAsia="Book Antiqua" w:hAnsi="Book Antiqua" w:cs="Book Antiqua"/>
          <w:color w:val="000000"/>
        </w:rPr>
        <w:t xml:space="preserve">, Sano T, Yamamoto S, Kurokawa Y, Nashimoto A, Kurita A, Hiratsuka M, Tsujinaka T, Kinoshita T, Arai K, Yamamura Y, Okajima K; Japan Clinical Oncology Group. D2 lymphadenectomy alone or with para-aortic nodal dissection for gastric cancer. </w:t>
      </w:r>
      <w:r w:rsidRPr="00BE0C08">
        <w:rPr>
          <w:rFonts w:ascii="Book Antiqua" w:eastAsia="Book Antiqua" w:hAnsi="Book Antiqua" w:cs="Book Antiqua"/>
          <w:i/>
          <w:iCs/>
          <w:color w:val="000000"/>
        </w:rPr>
        <w:t>N Engl J Med</w:t>
      </w:r>
      <w:r w:rsidRPr="00BE0C08">
        <w:rPr>
          <w:rFonts w:ascii="Book Antiqua" w:eastAsia="Book Antiqua" w:hAnsi="Book Antiqua" w:cs="Book Antiqua"/>
          <w:color w:val="000000"/>
        </w:rPr>
        <w:t xml:space="preserve"> 2008; </w:t>
      </w:r>
      <w:r w:rsidRPr="00BE0C08">
        <w:rPr>
          <w:rFonts w:ascii="Book Antiqua" w:eastAsia="Book Antiqua" w:hAnsi="Book Antiqua" w:cs="Book Antiqua"/>
          <w:b/>
          <w:bCs/>
          <w:color w:val="000000"/>
        </w:rPr>
        <w:t>359</w:t>
      </w:r>
      <w:r w:rsidRPr="00BE0C08">
        <w:rPr>
          <w:rFonts w:ascii="Book Antiqua" w:eastAsia="Book Antiqua" w:hAnsi="Book Antiqua" w:cs="Book Antiqua"/>
          <w:color w:val="000000"/>
        </w:rPr>
        <w:t>: 453-462 [PMID: 18669424 DOI: 10.1056/NEJMoa0707035]</w:t>
      </w:r>
    </w:p>
    <w:p w14:paraId="483EF0A5" w14:textId="6D186885"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 xml:space="preserve">21 </w:t>
      </w:r>
      <w:r w:rsidRPr="00BE0C08">
        <w:rPr>
          <w:rFonts w:ascii="Book Antiqua" w:eastAsia="Book Antiqua" w:hAnsi="Book Antiqua" w:cs="Book Antiqua"/>
          <w:b/>
          <w:bCs/>
          <w:color w:val="000000"/>
        </w:rPr>
        <w:t>Veits L</w:t>
      </w:r>
      <w:r w:rsidRPr="00BE0C08">
        <w:rPr>
          <w:rFonts w:ascii="Book Antiqua" w:eastAsia="Book Antiqua" w:hAnsi="Book Antiqua" w:cs="Book Antiqua"/>
          <w:color w:val="000000"/>
        </w:rPr>
        <w:t xml:space="preserve">, Lang-Schwarz C, Volkholz H, Falkeis C, Vieth M, Schulz H. Mixed adenoneuroendocrine carcinoma (MANEC) of the esophagogastric junction predominantly consisting of poorly differentiated neuroendocrine carcinoma. </w:t>
      </w:r>
      <w:r w:rsidRPr="00BE0C08">
        <w:rPr>
          <w:rFonts w:ascii="Book Antiqua" w:eastAsia="Book Antiqua" w:hAnsi="Book Antiqua" w:cs="Book Antiqua"/>
          <w:i/>
          <w:iCs/>
          <w:color w:val="000000"/>
        </w:rPr>
        <w:t>Endoscopy</w:t>
      </w:r>
      <w:r w:rsidRPr="00BE0C08">
        <w:rPr>
          <w:rFonts w:ascii="Book Antiqua" w:eastAsia="Book Antiqua" w:hAnsi="Book Antiqua" w:cs="Book Antiqua"/>
          <w:color w:val="000000"/>
        </w:rPr>
        <w:t xml:space="preserve"> 2013; </w:t>
      </w:r>
      <w:r w:rsidRPr="00BE0C08">
        <w:rPr>
          <w:rFonts w:ascii="Book Antiqua" w:eastAsia="Book Antiqua" w:hAnsi="Book Antiqua" w:cs="Book Antiqua"/>
          <w:b/>
          <w:bCs/>
          <w:color w:val="000000"/>
        </w:rPr>
        <w:t xml:space="preserve">45 </w:t>
      </w:r>
      <w:r w:rsidRPr="00BE0C08">
        <w:rPr>
          <w:rFonts w:ascii="Book Antiqua" w:eastAsia="Book Antiqua" w:hAnsi="Book Antiqua" w:cs="Book Antiqua"/>
          <w:color w:val="000000"/>
        </w:rPr>
        <w:t>Suppl 2: E16-E17 [PMID: 23468146 DOI: 10.1055/s-0032-1326113]</w:t>
      </w:r>
    </w:p>
    <w:p w14:paraId="31A2B9AB" w14:textId="77777777" w:rsidR="00A77B3E" w:rsidRPr="00BE0C08" w:rsidRDefault="00A77B3E" w:rsidP="00AD4096">
      <w:pPr>
        <w:adjustRightInd w:val="0"/>
        <w:snapToGrid w:val="0"/>
        <w:spacing w:line="360" w:lineRule="auto"/>
        <w:jc w:val="both"/>
        <w:rPr>
          <w:rFonts w:ascii="Book Antiqua" w:hAnsi="Book Antiqua"/>
        </w:rPr>
        <w:sectPr w:rsidR="00A77B3E" w:rsidRPr="00BE0C08">
          <w:pgSz w:w="12240" w:h="15840"/>
          <w:pgMar w:top="1440" w:right="1440" w:bottom="1440" w:left="1440" w:header="720" w:footer="720" w:gutter="0"/>
          <w:cols w:space="720"/>
          <w:docGrid w:linePitch="360"/>
        </w:sectPr>
      </w:pPr>
    </w:p>
    <w:p w14:paraId="4AB992C9"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Footnotes</w:t>
      </w:r>
    </w:p>
    <w:p w14:paraId="4C4115AA"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Informed consent statement: </w:t>
      </w:r>
      <w:r w:rsidRPr="00BE0C08">
        <w:rPr>
          <w:rFonts w:ascii="Book Antiqua" w:eastAsia="Book Antiqua" w:hAnsi="Book Antiqua" w:cs="Book Antiqua"/>
          <w:color w:val="000000"/>
        </w:rPr>
        <w:t>Informed written consent was obtained from the patient for publication of this report.</w:t>
      </w:r>
    </w:p>
    <w:p w14:paraId="77E90321" w14:textId="77777777" w:rsidR="00A77B3E" w:rsidRPr="00BE0C08" w:rsidRDefault="00A77B3E" w:rsidP="00AD4096">
      <w:pPr>
        <w:adjustRightInd w:val="0"/>
        <w:snapToGrid w:val="0"/>
        <w:spacing w:line="360" w:lineRule="auto"/>
        <w:jc w:val="both"/>
        <w:rPr>
          <w:rFonts w:ascii="Book Antiqua" w:hAnsi="Book Antiqua"/>
        </w:rPr>
      </w:pPr>
    </w:p>
    <w:p w14:paraId="412A0A2A"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Conflict-of-interest statement: </w:t>
      </w:r>
      <w:r w:rsidRPr="00BE0C08">
        <w:rPr>
          <w:rFonts w:ascii="Book Antiqua" w:eastAsia="Book Antiqua" w:hAnsi="Book Antiqua" w:cs="Book Antiqua"/>
          <w:color w:val="000000"/>
        </w:rPr>
        <w:t>The authors declare that they have no competing interests.</w:t>
      </w:r>
    </w:p>
    <w:p w14:paraId="04D4CCCC" w14:textId="77777777" w:rsidR="00A77B3E" w:rsidRPr="00BE0C08" w:rsidRDefault="00A77B3E" w:rsidP="00AD4096">
      <w:pPr>
        <w:adjustRightInd w:val="0"/>
        <w:snapToGrid w:val="0"/>
        <w:spacing w:line="360" w:lineRule="auto"/>
        <w:ind w:firstLine="480"/>
        <w:jc w:val="both"/>
        <w:rPr>
          <w:rFonts w:ascii="Book Antiqua" w:hAnsi="Book Antiqua"/>
        </w:rPr>
      </w:pPr>
    </w:p>
    <w:p w14:paraId="72C151EC"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CARE Checklist (2016) statement: </w:t>
      </w:r>
      <w:r w:rsidRPr="00BE0C08">
        <w:rPr>
          <w:rFonts w:ascii="Book Antiqua" w:eastAsia="Book Antiqua" w:hAnsi="Book Antiqua" w:cs="Book Antiqua"/>
          <w:color w:val="000000"/>
        </w:rPr>
        <w:t>The authors have read the CARE Checklist (2016), and the manuscript was prepared and revised according to the CARE Checklist (2016).</w:t>
      </w:r>
    </w:p>
    <w:p w14:paraId="7D70C431" w14:textId="77777777" w:rsidR="00A77B3E" w:rsidRPr="00BE0C08" w:rsidRDefault="00A77B3E" w:rsidP="00AD4096">
      <w:pPr>
        <w:adjustRightInd w:val="0"/>
        <w:snapToGrid w:val="0"/>
        <w:spacing w:line="360" w:lineRule="auto"/>
        <w:jc w:val="both"/>
        <w:rPr>
          <w:rFonts w:ascii="Book Antiqua" w:hAnsi="Book Antiqua"/>
        </w:rPr>
      </w:pPr>
    </w:p>
    <w:p w14:paraId="6A237692"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bCs/>
          <w:color w:val="000000"/>
        </w:rPr>
        <w:t xml:space="preserve">Open-Access: </w:t>
      </w:r>
      <w:r w:rsidRPr="00BE0C0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88B918" w14:textId="77777777" w:rsidR="00A77B3E" w:rsidRPr="00BE0C08" w:rsidRDefault="00A77B3E" w:rsidP="00AD4096">
      <w:pPr>
        <w:adjustRightInd w:val="0"/>
        <w:snapToGrid w:val="0"/>
        <w:spacing w:line="360" w:lineRule="auto"/>
        <w:jc w:val="both"/>
        <w:rPr>
          <w:rFonts w:ascii="Book Antiqua" w:hAnsi="Book Antiqua"/>
        </w:rPr>
      </w:pPr>
    </w:p>
    <w:p w14:paraId="3131C9CD" w14:textId="1DC484FF"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 xml:space="preserve">Manuscript source: </w:t>
      </w:r>
      <w:r w:rsidRPr="00BE0C08">
        <w:rPr>
          <w:rFonts w:ascii="Book Antiqua" w:eastAsia="Book Antiqua" w:hAnsi="Book Antiqua" w:cs="Book Antiqua"/>
          <w:color w:val="000000"/>
        </w:rPr>
        <w:t>Unsolici</w:t>
      </w:r>
      <w:r w:rsidR="00DC045A" w:rsidRPr="00BE0C08">
        <w:rPr>
          <w:rFonts w:ascii="Book Antiqua" w:eastAsia="Book Antiqua" w:hAnsi="Book Antiqua" w:cs="Book Antiqua"/>
          <w:color w:val="000000"/>
        </w:rPr>
        <w:t>ted man</w:t>
      </w:r>
      <w:r w:rsidRPr="00BE0C08">
        <w:rPr>
          <w:rFonts w:ascii="Book Antiqua" w:eastAsia="Book Antiqua" w:hAnsi="Book Antiqua" w:cs="Book Antiqua"/>
          <w:color w:val="000000"/>
        </w:rPr>
        <w:t>uscript</w:t>
      </w:r>
    </w:p>
    <w:p w14:paraId="5E178F85" w14:textId="77777777" w:rsidR="00A77B3E" w:rsidRPr="00BE0C08" w:rsidRDefault="00A77B3E" w:rsidP="00AD4096">
      <w:pPr>
        <w:adjustRightInd w:val="0"/>
        <w:snapToGrid w:val="0"/>
        <w:spacing w:line="360" w:lineRule="auto"/>
        <w:jc w:val="both"/>
        <w:rPr>
          <w:rFonts w:ascii="Book Antiqua" w:hAnsi="Book Antiqua"/>
        </w:rPr>
      </w:pPr>
    </w:p>
    <w:p w14:paraId="48E9B72F"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 xml:space="preserve">Peer-review started: </w:t>
      </w:r>
      <w:r w:rsidRPr="00BE0C08">
        <w:rPr>
          <w:rFonts w:ascii="Book Antiqua" w:eastAsia="Book Antiqua" w:hAnsi="Book Antiqua" w:cs="Book Antiqua"/>
          <w:color w:val="000000"/>
        </w:rPr>
        <w:t>March 31, 2021</w:t>
      </w:r>
    </w:p>
    <w:p w14:paraId="4925660F"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 xml:space="preserve">First decision: </w:t>
      </w:r>
      <w:r w:rsidRPr="00BE0C08">
        <w:rPr>
          <w:rFonts w:ascii="Book Antiqua" w:eastAsia="Book Antiqua" w:hAnsi="Book Antiqua" w:cs="Book Antiqua"/>
          <w:color w:val="000000"/>
        </w:rPr>
        <w:t>April 28, 2021</w:t>
      </w:r>
    </w:p>
    <w:p w14:paraId="3AC91B13" w14:textId="6A0D8EE9"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 xml:space="preserve">Article in press: </w:t>
      </w:r>
      <w:r w:rsidR="005644C2" w:rsidRPr="00BE0C08">
        <w:rPr>
          <w:rFonts w:ascii="Book Antiqua" w:eastAsia="Book Antiqua" w:hAnsi="Book Antiqua" w:cs="Book Antiqua"/>
          <w:color w:val="000000"/>
        </w:rPr>
        <w:t>August 19, 2021</w:t>
      </w:r>
    </w:p>
    <w:p w14:paraId="502088A2" w14:textId="77777777" w:rsidR="00A77B3E" w:rsidRPr="00BE0C08" w:rsidRDefault="00A77B3E" w:rsidP="00AD4096">
      <w:pPr>
        <w:adjustRightInd w:val="0"/>
        <w:snapToGrid w:val="0"/>
        <w:spacing w:line="360" w:lineRule="auto"/>
        <w:jc w:val="both"/>
        <w:rPr>
          <w:rFonts w:ascii="Book Antiqua" w:hAnsi="Book Antiqua"/>
        </w:rPr>
      </w:pPr>
    </w:p>
    <w:p w14:paraId="0B269BCD"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 xml:space="preserve">Specialty type: </w:t>
      </w:r>
      <w:r w:rsidRPr="00BE0C08">
        <w:rPr>
          <w:rFonts w:ascii="Book Antiqua" w:eastAsia="Book Antiqua" w:hAnsi="Book Antiqua" w:cs="Book Antiqua"/>
          <w:color w:val="000000"/>
        </w:rPr>
        <w:t xml:space="preserve">Oncology </w:t>
      </w:r>
    </w:p>
    <w:p w14:paraId="6333BEFE"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 xml:space="preserve">Country/Territory of origin: </w:t>
      </w:r>
      <w:r w:rsidRPr="00BE0C08">
        <w:rPr>
          <w:rFonts w:ascii="Book Antiqua" w:eastAsia="Book Antiqua" w:hAnsi="Book Antiqua" w:cs="Book Antiqua"/>
          <w:color w:val="000000"/>
        </w:rPr>
        <w:t>China</w:t>
      </w:r>
    </w:p>
    <w:p w14:paraId="533306F7"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Peer-review report’s scientific quality classification</w:t>
      </w:r>
    </w:p>
    <w:p w14:paraId="679F12C3"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Grade A (Excellent): 0</w:t>
      </w:r>
    </w:p>
    <w:p w14:paraId="5C9FA54B"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Grade B (Very good): B</w:t>
      </w:r>
    </w:p>
    <w:p w14:paraId="73952202"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Grade C (Good): 0</w:t>
      </w:r>
    </w:p>
    <w:p w14:paraId="3B4698EB"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Grade D (Fair): 0</w:t>
      </w:r>
    </w:p>
    <w:p w14:paraId="1E654252" w14:textId="7777777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color w:val="000000"/>
        </w:rPr>
        <w:t>Grade E (Poor): 0</w:t>
      </w:r>
    </w:p>
    <w:p w14:paraId="2DADFA30" w14:textId="77777777" w:rsidR="00A77B3E" w:rsidRPr="00BE0C08" w:rsidRDefault="00A77B3E" w:rsidP="00AD4096">
      <w:pPr>
        <w:adjustRightInd w:val="0"/>
        <w:snapToGrid w:val="0"/>
        <w:spacing w:line="360" w:lineRule="auto"/>
        <w:jc w:val="both"/>
        <w:rPr>
          <w:rFonts w:ascii="Book Antiqua" w:hAnsi="Book Antiqua"/>
        </w:rPr>
      </w:pPr>
    </w:p>
    <w:p w14:paraId="07C8CA35" w14:textId="57220933" w:rsidR="00AD4096" w:rsidRPr="00BE0C08" w:rsidRDefault="00901B81" w:rsidP="00AD4096">
      <w:pPr>
        <w:adjustRightInd w:val="0"/>
        <w:snapToGrid w:val="0"/>
        <w:spacing w:line="360" w:lineRule="auto"/>
        <w:jc w:val="both"/>
        <w:rPr>
          <w:rFonts w:ascii="Book Antiqua" w:eastAsia="Book Antiqua" w:hAnsi="Book Antiqua" w:cs="Book Antiqua"/>
          <w:bCs/>
          <w:color w:val="000000"/>
        </w:rPr>
      </w:pPr>
      <w:r w:rsidRPr="00BE0C08">
        <w:rPr>
          <w:rFonts w:ascii="Book Antiqua" w:eastAsia="Book Antiqua" w:hAnsi="Book Antiqua" w:cs="Book Antiqua"/>
          <w:b/>
          <w:color w:val="000000"/>
        </w:rPr>
        <w:t xml:space="preserve">P-Reviewer: </w:t>
      </w:r>
      <w:r w:rsidRPr="00BE0C08">
        <w:rPr>
          <w:rFonts w:ascii="Book Antiqua" w:eastAsia="Book Antiqua" w:hAnsi="Book Antiqua" w:cs="Book Antiqua"/>
          <w:color w:val="000000"/>
        </w:rPr>
        <w:t>Syahputra DA</w:t>
      </w:r>
      <w:r w:rsidRPr="00BE0C08">
        <w:rPr>
          <w:rFonts w:ascii="Book Antiqua" w:eastAsia="Book Antiqua" w:hAnsi="Book Antiqua" w:cs="Book Antiqua"/>
          <w:b/>
          <w:color w:val="000000"/>
        </w:rPr>
        <w:t xml:space="preserve"> S-Editor: </w:t>
      </w:r>
      <w:r w:rsidRPr="00BE0C08">
        <w:rPr>
          <w:rFonts w:ascii="Book Antiqua" w:eastAsia="Book Antiqua" w:hAnsi="Book Antiqua" w:cs="Book Antiqua"/>
          <w:color w:val="000000"/>
        </w:rPr>
        <w:t>Liu M</w:t>
      </w:r>
      <w:r w:rsidRPr="00BE0C08">
        <w:rPr>
          <w:rFonts w:ascii="Book Antiqua" w:eastAsia="Book Antiqua" w:hAnsi="Book Antiqua" w:cs="Book Antiqua"/>
          <w:b/>
          <w:color w:val="000000"/>
        </w:rPr>
        <w:t xml:space="preserve"> L-Editor: </w:t>
      </w:r>
      <w:r w:rsidR="00A876A0" w:rsidRPr="00BE0C08">
        <w:rPr>
          <w:rFonts w:ascii="Book Antiqua" w:eastAsia="Book Antiqua" w:hAnsi="Book Antiqua" w:cs="Book Antiqua"/>
          <w:bCs/>
          <w:color w:val="000000"/>
        </w:rPr>
        <w:t>A</w:t>
      </w:r>
      <w:r w:rsidRPr="00BE0C08">
        <w:rPr>
          <w:rFonts w:ascii="Book Antiqua" w:eastAsia="Book Antiqua" w:hAnsi="Book Antiqua" w:cs="Book Antiqua"/>
          <w:b/>
          <w:color w:val="000000"/>
        </w:rPr>
        <w:t xml:space="preserve"> P-Editor:</w:t>
      </w:r>
      <w:r w:rsidR="00A876A0" w:rsidRPr="00BE0C08">
        <w:rPr>
          <w:rFonts w:ascii="Book Antiqua" w:eastAsia="Book Antiqua" w:hAnsi="Book Antiqua" w:cs="Book Antiqua"/>
          <w:b/>
          <w:color w:val="000000"/>
        </w:rPr>
        <w:t xml:space="preserve"> </w:t>
      </w:r>
      <w:r w:rsidR="00A876A0" w:rsidRPr="00BE0C08">
        <w:rPr>
          <w:rFonts w:ascii="Book Antiqua" w:eastAsia="Book Antiqua" w:hAnsi="Book Antiqua" w:cs="Book Antiqua"/>
          <w:bCs/>
          <w:color w:val="000000"/>
        </w:rPr>
        <w:t>Li JH</w:t>
      </w:r>
    </w:p>
    <w:p w14:paraId="13A07066" w14:textId="77777777" w:rsidR="00AD4096" w:rsidRPr="00BE0C08" w:rsidRDefault="00AD4096" w:rsidP="00AD4096">
      <w:pPr>
        <w:adjustRightInd w:val="0"/>
        <w:snapToGrid w:val="0"/>
        <w:spacing w:line="360" w:lineRule="auto"/>
        <w:jc w:val="both"/>
        <w:rPr>
          <w:rFonts w:ascii="Book Antiqua" w:eastAsia="Book Antiqua" w:hAnsi="Book Antiqua" w:cs="Book Antiqua"/>
          <w:b/>
          <w:color w:val="000000"/>
        </w:rPr>
      </w:pPr>
    </w:p>
    <w:p w14:paraId="21C93619" w14:textId="77777777" w:rsidR="00AD4096" w:rsidRPr="00BE0C08" w:rsidRDefault="00AD4096" w:rsidP="00AD4096">
      <w:pPr>
        <w:adjustRightInd w:val="0"/>
        <w:snapToGrid w:val="0"/>
        <w:spacing w:line="360" w:lineRule="auto"/>
        <w:jc w:val="both"/>
        <w:rPr>
          <w:rFonts w:ascii="Book Antiqua" w:eastAsia="Book Antiqua" w:hAnsi="Book Antiqua" w:cs="Book Antiqua"/>
          <w:b/>
          <w:color w:val="000000"/>
        </w:rPr>
      </w:pPr>
    </w:p>
    <w:p w14:paraId="3F6F0700" w14:textId="7D723787" w:rsidR="00A77B3E" w:rsidRPr="00BE0C08" w:rsidRDefault="00901B81" w:rsidP="00AD4096">
      <w:pPr>
        <w:adjustRightInd w:val="0"/>
        <w:snapToGrid w:val="0"/>
        <w:spacing w:line="360" w:lineRule="auto"/>
        <w:jc w:val="both"/>
        <w:rPr>
          <w:rFonts w:ascii="Book Antiqua" w:hAnsi="Book Antiqua"/>
        </w:rPr>
      </w:pPr>
      <w:r w:rsidRPr="00BE0C08">
        <w:rPr>
          <w:rFonts w:ascii="Book Antiqua" w:eastAsia="Book Antiqua" w:hAnsi="Book Antiqua" w:cs="Book Antiqua"/>
          <w:b/>
          <w:color w:val="000000"/>
        </w:rPr>
        <w:t>Figure Legends</w:t>
      </w:r>
    </w:p>
    <w:p w14:paraId="216C67D7" w14:textId="5E02A484" w:rsidR="00A77B3E" w:rsidRPr="00BE0C08" w:rsidRDefault="00DC045A" w:rsidP="00AD4096">
      <w:pPr>
        <w:adjustRightInd w:val="0"/>
        <w:snapToGrid w:val="0"/>
        <w:spacing w:line="360" w:lineRule="auto"/>
        <w:jc w:val="both"/>
        <w:rPr>
          <w:rFonts w:ascii="Book Antiqua" w:hAnsi="Book Antiqua"/>
          <w:noProof/>
        </w:rPr>
      </w:pPr>
      <w:bookmarkStart w:id="0" w:name="_GoBack"/>
      <w:bookmarkEnd w:id="0"/>
      <w:r w:rsidRPr="00BE0C08">
        <w:rPr>
          <w:rFonts w:ascii="Book Antiqua" w:hAnsi="Book Antiqua"/>
          <w:noProof/>
          <w:lang w:eastAsia="zh-CN"/>
        </w:rPr>
        <w:drawing>
          <wp:anchor distT="0" distB="0" distL="114300" distR="114300" simplePos="0" relativeHeight="251658240" behindDoc="0" locked="0" layoutInCell="1" allowOverlap="1" wp14:anchorId="14147F31" wp14:editId="2C874F86">
            <wp:simplePos x="0" y="0"/>
            <wp:positionH relativeFrom="column">
              <wp:align>left</wp:align>
            </wp:positionH>
            <wp:positionV relativeFrom="paragraph">
              <wp:align>top</wp:align>
            </wp:positionV>
            <wp:extent cx="5062220" cy="2090420"/>
            <wp:effectExtent l="0" t="0" r="5080"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5062220" cy="2090420"/>
                    </a:xfrm>
                    <a:prstGeom prst="rect">
                      <a:avLst/>
                    </a:prstGeom>
                    <a:noFill/>
                  </pic:spPr>
                </pic:pic>
              </a:graphicData>
            </a:graphic>
          </wp:anchor>
        </w:drawing>
      </w:r>
      <w:r w:rsidR="000D076C">
        <w:rPr>
          <w:rFonts w:ascii="Book Antiqua" w:hAnsi="Book Antiqua"/>
          <w:noProof/>
        </w:rPr>
        <w:br w:type="textWrapping" w:clear="all"/>
      </w:r>
    </w:p>
    <w:p w14:paraId="747DA71E" w14:textId="6A46C677" w:rsidR="00DC045A" w:rsidRPr="00BE0C08" w:rsidRDefault="00DC045A" w:rsidP="00AD4096">
      <w:pPr>
        <w:tabs>
          <w:tab w:val="left" w:pos="1788"/>
        </w:tabs>
        <w:adjustRightInd w:val="0"/>
        <w:snapToGrid w:val="0"/>
        <w:spacing w:line="360" w:lineRule="auto"/>
        <w:jc w:val="both"/>
        <w:rPr>
          <w:rFonts w:ascii="Book Antiqua" w:hAnsi="Book Antiqua"/>
        </w:rPr>
      </w:pPr>
      <w:r w:rsidRPr="00BE0C08">
        <w:rPr>
          <w:rFonts w:ascii="Book Antiqua" w:hAnsi="Book Antiqua"/>
          <w:b/>
          <w:bCs/>
          <w:noProof/>
          <w:lang w:eastAsia="zh-CN"/>
        </w:rPr>
        <w:t xml:space="preserve">Figure 1 </w:t>
      </w:r>
      <w:r w:rsidRPr="00BE0C08">
        <w:rPr>
          <w:rFonts w:ascii="Book Antiqua" w:hAnsi="Book Antiqua"/>
          <w:b/>
          <w:bCs/>
        </w:rPr>
        <w:t xml:space="preserve">Preoperation enhanced abdominal computed tomography images. </w:t>
      </w:r>
      <w:r w:rsidRPr="00BE0C08">
        <w:rPr>
          <w:rFonts w:ascii="Book Antiqua" w:hAnsi="Book Antiqua"/>
        </w:rPr>
        <w:t xml:space="preserve">The images revealed the gastric wall at the lesser curvature of remnant stomach were obviously thickened. No enlarged lymph nodes were evident around the stomach. </w:t>
      </w:r>
    </w:p>
    <w:p w14:paraId="62BF91BC" w14:textId="5AEC724B" w:rsidR="00DC045A" w:rsidRPr="00BE0C08" w:rsidRDefault="00DC045A" w:rsidP="00AD4096">
      <w:pPr>
        <w:tabs>
          <w:tab w:val="left" w:pos="1788"/>
        </w:tabs>
        <w:adjustRightInd w:val="0"/>
        <w:snapToGrid w:val="0"/>
        <w:spacing w:line="360" w:lineRule="auto"/>
        <w:jc w:val="both"/>
        <w:rPr>
          <w:rFonts w:ascii="Book Antiqua" w:hAnsi="Book Antiqua"/>
        </w:rPr>
      </w:pPr>
      <w:r w:rsidRPr="00BE0C08">
        <w:rPr>
          <w:rFonts w:ascii="Book Antiqua" w:hAnsi="Book Antiqua"/>
        </w:rPr>
        <w:br w:type="page"/>
      </w:r>
      <w:r w:rsidRPr="00BE0C08">
        <w:rPr>
          <w:rFonts w:ascii="Book Antiqua" w:hAnsi="Book Antiqua"/>
          <w:noProof/>
          <w:lang w:eastAsia="zh-CN"/>
        </w:rPr>
        <w:drawing>
          <wp:inline distT="0" distB="0" distL="0" distR="0" wp14:anchorId="3BE992D8" wp14:editId="743538A0">
            <wp:extent cx="4251960" cy="2955998"/>
            <wp:effectExtent l="0" t="0" r="0" b="0"/>
            <wp:docPr id="5" name="图片 4" descr="C:/Users/asus-123/AppData/Roaming/JisuOffice/ETemp/9196_10045264/fImage2625031066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sus-123/AppData/Roaming/JisuOffice/ETemp/9196_10045264/fImage2625031066334.jpeg"/>
                    <pic:cNvPicPr>
                      <a:picLocks noChangeAspect="1"/>
                    </pic:cNvPicPr>
                  </pic:nvPicPr>
                  <pic:blipFill rotWithShape="1">
                    <a:blip r:embed="rId10">
                      <a:extLst>
                        <a:ext uri="{28A0092B-C50C-407E-A947-70E740481C1C}">
                          <a14:useLocalDpi xmlns:a14="http://schemas.microsoft.com/office/drawing/2010/main" val="0"/>
                        </a:ext>
                      </a:extLst>
                    </a:blip>
                    <a:stretch>
                      <a:fillRect/>
                    </a:stretch>
                  </pic:blipFill>
                  <pic:spPr>
                    <a:xfrm>
                      <a:off x="0" y="0"/>
                      <a:ext cx="4254703" cy="2957905"/>
                    </a:xfrm>
                    <a:prstGeom prst="rect">
                      <a:avLst/>
                    </a:prstGeom>
                    <a:noFill/>
                  </pic:spPr>
                </pic:pic>
              </a:graphicData>
            </a:graphic>
          </wp:inline>
        </w:drawing>
      </w:r>
    </w:p>
    <w:p w14:paraId="3B538716" w14:textId="6AB823C1" w:rsidR="00DC045A" w:rsidRPr="00BE0C08" w:rsidRDefault="00DC045A" w:rsidP="00AD4096">
      <w:pPr>
        <w:tabs>
          <w:tab w:val="left" w:pos="1788"/>
        </w:tabs>
        <w:adjustRightInd w:val="0"/>
        <w:snapToGrid w:val="0"/>
        <w:spacing w:line="360" w:lineRule="auto"/>
        <w:jc w:val="both"/>
        <w:rPr>
          <w:rFonts w:ascii="Book Antiqua" w:hAnsi="Book Antiqua"/>
        </w:rPr>
      </w:pPr>
      <w:r w:rsidRPr="00BE0C08">
        <w:rPr>
          <w:rFonts w:ascii="Book Antiqua" w:hAnsi="Book Antiqua"/>
          <w:b/>
          <w:bCs/>
        </w:rPr>
        <w:t>Figure 2 Histological findings.</w:t>
      </w:r>
      <w:r w:rsidRPr="00BE0C08">
        <w:rPr>
          <w:rFonts w:ascii="Book Antiqua" w:hAnsi="Book Antiqua"/>
        </w:rPr>
        <w:t xml:space="preserve"> Poorly differentiated carcinoma tumor tissues with necrosis (hematoxylin and eosin × 200).</w:t>
      </w:r>
    </w:p>
    <w:p w14:paraId="4B8A6910" w14:textId="7B51EA0D" w:rsidR="00DC045A" w:rsidRPr="00BE0C08" w:rsidRDefault="00DC045A" w:rsidP="00AD4096">
      <w:pPr>
        <w:tabs>
          <w:tab w:val="left" w:pos="1788"/>
        </w:tabs>
        <w:adjustRightInd w:val="0"/>
        <w:snapToGrid w:val="0"/>
        <w:spacing w:line="360" w:lineRule="auto"/>
        <w:jc w:val="both"/>
        <w:rPr>
          <w:rFonts w:ascii="Book Antiqua" w:hAnsi="Book Antiqua"/>
          <w:noProof/>
        </w:rPr>
      </w:pPr>
      <w:r w:rsidRPr="00BE0C08">
        <w:rPr>
          <w:rFonts w:ascii="Book Antiqua" w:hAnsi="Book Antiqua"/>
        </w:rPr>
        <w:br w:type="page"/>
      </w:r>
      <w:r w:rsidRPr="00BE0C08">
        <w:rPr>
          <w:rFonts w:ascii="Book Antiqua" w:hAnsi="Book Antiqua"/>
          <w:noProof/>
          <w:lang w:eastAsia="zh-CN"/>
        </w:rPr>
        <w:drawing>
          <wp:inline distT="0" distB="0" distL="0" distR="0" wp14:anchorId="6F4E9FAD" wp14:editId="28EA48B9">
            <wp:extent cx="5304769" cy="3641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1399" cy="3645641"/>
                    </a:xfrm>
                    <a:prstGeom prst="rect">
                      <a:avLst/>
                    </a:prstGeom>
                    <a:noFill/>
                  </pic:spPr>
                </pic:pic>
              </a:graphicData>
            </a:graphic>
          </wp:inline>
        </w:drawing>
      </w:r>
    </w:p>
    <w:p w14:paraId="447ED813" w14:textId="5688191B" w:rsidR="00564007" w:rsidRDefault="00DC045A" w:rsidP="00AD4096">
      <w:pPr>
        <w:adjustRightInd w:val="0"/>
        <w:snapToGrid w:val="0"/>
        <w:spacing w:line="360" w:lineRule="auto"/>
        <w:jc w:val="both"/>
        <w:rPr>
          <w:rFonts w:ascii="Book Antiqua" w:hAnsi="Book Antiqua"/>
        </w:rPr>
      </w:pPr>
      <w:r w:rsidRPr="00BE0C08">
        <w:rPr>
          <w:rFonts w:ascii="Book Antiqua" w:hAnsi="Book Antiqua"/>
          <w:b/>
          <w:bCs/>
        </w:rPr>
        <w:t>Figure 3 Immunohistochemical staining.</w:t>
      </w:r>
      <w:r w:rsidR="00694607" w:rsidRPr="00BE0C08">
        <w:rPr>
          <w:rFonts w:ascii="Book Antiqua" w:hAnsi="Book Antiqua"/>
          <w:b/>
          <w:bCs/>
        </w:rPr>
        <w:t xml:space="preserve"> </w:t>
      </w:r>
      <w:r w:rsidR="00694607" w:rsidRPr="00BE0C08">
        <w:rPr>
          <w:rFonts w:ascii="Book Antiqua" w:hAnsi="Book Antiqua"/>
        </w:rPr>
        <w:t>A: Positive immunohistochemical staining for CD56 (× 200); Positive immunohistochemical staining for chromogranin A (× 200); The Ki-67 index was about 80% (× 200); Positive staining for synaptophysin (× 200).</w:t>
      </w:r>
      <w:r w:rsidR="00694607" w:rsidRPr="00AD4096">
        <w:rPr>
          <w:rFonts w:ascii="Book Antiqua" w:hAnsi="Book Antiqua"/>
        </w:rPr>
        <w:t xml:space="preserve"> </w:t>
      </w:r>
    </w:p>
    <w:p w14:paraId="3E37F315" w14:textId="77777777" w:rsidR="00564007" w:rsidRDefault="00564007">
      <w:pPr>
        <w:rPr>
          <w:rFonts w:ascii="Book Antiqua" w:hAnsi="Book Antiqua"/>
        </w:rPr>
      </w:pPr>
      <w:r>
        <w:rPr>
          <w:rFonts w:ascii="Book Antiqua" w:hAnsi="Book Antiqua"/>
        </w:rPr>
        <w:br w:type="page"/>
      </w:r>
    </w:p>
    <w:p w14:paraId="3CE87A48" w14:textId="77777777" w:rsidR="00564007" w:rsidRDefault="00564007" w:rsidP="00564007">
      <w:pPr>
        <w:jc w:val="center"/>
        <w:rPr>
          <w:rFonts w:ascii="Book Antiqua" w:hAnsi="Book Antiqua"/>
          <w:lang w:eastAsia="zh-CN"/>
        </w:rPr>
      </w:pPr>
      <w:bookmarkStart w:id="1" w:name="OLE_LINK1"/>
      <w:bookmarkStart w:id="2" w:name="OLE_LINK2"/>
    </w:p>
    <w:p w14:paraId="3DA80222" w14:textId="77777777" w:rsidR="00564007" w:rsidRDefault="00564007" w:rsidP="00564007">
      <w:pPr>
        <w:jc w:val="center"/>
        <w:rPr>
          <w:rFonts w:ascii="Book Antiqua" w:hAnsi="Book Antiqua"/>
          <w:lang w:eastAsia="zh-CN"/>
        </w:rPr>
      </w:pPr>
    </w:p>
    <w:p w14:paraId="7166B45B" w14:textId="77777777" w:rsidR="00564007" w:rsidRDefault="00564007" w:rsidP="00564007">
      <w:pPr>
        <w:jc w:val="center"/>
        <w:rPr>
          <w:rFonts w:ascii="Book Antiqua" w:hAnsi="Book Antiqua"/>
          <w:lang w:eastAsia="zh-CN"/>
        </w:rPr>
      </w:pPr>
    </w:p>
    <w:p w14:paraId="0C21F761" w14:textId="77777777" w:rsidR="00564007" w:rsidRDefault="00564007" w:rsidP="00564007">
      <w:pPr>
        <w:jc w:val="center"/>
        <w:rPr>
          <w:rFonts w:ascii="Book Antiqua" w:hAnsi="Book Antiqua"/>
          <w:lang w:eastAsia="zh-CN"/>
        </w:rPr>
      </w:pPr>
    </w:p>
    <w:p w14:paraId="0E1C0282" w14:textId="77777777" w:rsidR="00564007" w:rsidRDefault="00564007" w:rsidP="00564007">
      <w:pPr>
        <w:jc w:val="center"/>
        <w:rPr>
          <w:rFonts w:ascii="Book Antiqua" w:hAnsi="Book Antiqua"/>
          <w:lang w:eastAsia="zh-CN"/>
        </w:rPr>
      </w:pPr>
    </w:p>
    <w:p w14:paraId="6398E687" w14:textId="77777777" w:rsidR="00564007" w:rsidRDefault="00564007" w:rsidP="00564007">
      <w:pPr>
        <w:jc w:val="center"/>
        <w:rPr>
          <w:rFonts w:ascii="Book Antiqua" w:hAnsi="Book Antiqua"/>
          <w:lang w:eastAsia="zh-CN"/>
        </w:rPr>
      </w:pPr>
      <w:r>
        <w:rPr>
          <w:rFonts w:ascii="Book Antiqua" w:hAnsi="Book Antiqua"/>
          <w:noProof/>
          <w:lang w:eastAsia="zh-CN"/>
        </w:rPr>
        <w:drawing>
          <wp:inline distT="0" distB="0" distL="0" distR="0" wp14:anchorId="1D68F0C6" wp14:editId="5DE9B0A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BD0B6CF" w14:textId="77777777" w:rsidR="00564007" w:rsidRDefault="00564007" w:rsidP="00564007">
      <w:pPr>
        <w:jc w:val="center"/>
        <w:rPr>
          <w:rFonts w:ascii="Book Antiqua" w:hAnsi="Book Antiqua"/>
          <w:lang w:eastAsia="zh-CN"/>
        </w:rPr>
      </w:pPr>
    </w:p>
    <w:p w14:paraId="11022760" w14:textId="77777777" w:rsidR="00564007" w:rsidRPr="00763D22" w:rsidRDefault="00564007" w:rsidP="0056400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AAD513D" w14:textId="77777777" w:rsidR="00564007" w:rsidRPr="00763D22" w:rsidRDefault="00564007" w:rsidP="0056400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6124FF4" w14:textId="77777777" w:rsidR="00564007" w:rsidRPr="00763D22" w:rsidRDefault="00564007" w:rsidP="0056400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791FF5D" w14:textId="77777777" w:rsidR="00564007" w:rsidRPr="00763D22" w:rsidRDefault="00564007" w:rsidP="0056400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FE3D59" w14:textId="77777777" w:rsidR="00564007" w:rsidRPr="00763D22" w:rsidRDefault="00564007" w:rsidP="0056400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2843966" w14:textId="77777777" w:rsidR="00564007" w:rsidRPr="00763D22" w:rsidRDefault="00564007" w:rsidP="0056400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59AF57F" w14:textId="77777777" w:rsidR="00564007" w:rsidRDefault="00564007" w:rsidP="00564007">
      <w:pPr>
        <w:jc w:val="center"/>
        <w:rPr>
          <w:rFonts w:ascii="Book Antiqua" w:hAnsi="Book Antiqua"/>
          <w:lang w:eastAsia="zh-CN"/>
        </w:rPr>
      </w:pPr>
    </w:p>
    <w:p w14:paraId="24C8AAC8" w14:textId="77777777" w:rsidR="00564007" w:rsidRDefault="00564007" w:rsidP="00564007">
      <w:pPr>
        <w:jc w:val="center"/>
        <w:rPr>
          <w:rFonts w:ascii="Book Antiqua" w:hAnsi="Book Antiqua"/>
          <w:lang w:eastAsia="zh-CN"/>
        </w:rPr>
      </w:pPr>
    </w:p>
    <w:p w14:paraId="414C837D" w14:textId="77777777" w:rsidR="00564007" w:rsidRDefault="00564007" w:rsidP="00564007">
      <w:pPr>
        <w:jc w:val="center"/>
        <w:rPr>
          <w:rFonts w:ascii="Book Antiqua" w:hAnsi="Book Antiqua"/>
          <w:lang w:eastAsia="zh-CN"/>
        </w:rPr>
      </w:pPr>
    </w:p>
    <w:p w14:paraId="2F5D1B2B" w14:textId="77777777" w:rsidR="00564007" w:rsidRDefault="00564007" w:rsidP="00564007">
      <w:pPr>
        <w:jc w:val="center"/>
        <w:rPr>
          <w:rFonts w:ascii="Book Antiqua" w:hAnsi="Book Antiqua"/>
          <w:lang w:eastAsia="zh-CN"/>
        </w:rPr>
      </w:pPr>
      <w:r>
        <w:rPr>
          <w:rFonts w:ascii="Book Antiqua" w:hAnsi="Book Antiqua"/>
          <w:noProof/>
          <w:lang w:eastAsia="zh-CN"/>
        </w:rPr>
        <w:drawing>
          <wp:inline distT="0" distB="0" distL="0" distR="0" wp14:anchorId="692BA108" wp14:editId="49CD94F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E80269" w14:textId="77777777" w:rsidR="00564007" w:rsidRDefault="00564007" w:rsidP="00564007">
      <w:pPr>
        <w:jc w:val="center"/>
        <w:rPr>
          <w:rFonts w:ascii="Book Antiqua" w:hAnsi="Book Antiqua"/>
          <w:lang w:eastAsia="zh-CN"/>
        </w:rPr>
      </w:pPr>
    </w:p>
    <w:p w14:paraId="5CB13C0D" w14:textId="77777777" w:rsidR="00564007" w:rsidRDefault="00564007" w:rsidP="00564007">
      <w:pPr>
        <w:jc w:val="center"/>
        <w:rPr>
          <w:rFonts w:ascii="Book Antiqua" w:hAnsi="Book Antiqua"/>
          <w:lang w:eastAsia="zh-CN"/>
        </w:rPr>
      </w:pPr>
    </w:p>
    <w:p w14:paraId="1659AA9F" w14:textId="77777777" w:rsidR="00564007" w:rsidRDefault="00564007" w:rsidP="00564007">
      <w:pPr>
        <w:jc w:val="center"/>
        <w:rPr>
          <w:rFonts w:ascii="Book Antiqua" w:hAnsi="Book Antiqua"/>
          <w:lang w:eastAsia="zh-CN"/>
        </w:rPr>
      </w:pPr>
    </w:p>
    <w:p w14:paraId="08F35ED2" w14:textId="77777777" w:rsidR="00564007" w:rsidRDefault="00564007" w:rsidP="00564007">
      <w:pPr>
        <w:jc w:val="center"/>
        <w:rPr>
          <w:rFonts w:ascii="Book Antiqua" w:hAnsi="Book Antiqua"/>
          <w:lang w:eastAsia="zh-CN"/>
        </w:rPr>
      </w:pPr>
    </w:p>
    <w:p w14:paraId="7B895595" w14:textId="77777777" w:rsidR="00564007" w:rsidRDefault="00564007" w:rsidP="00564007">
      <w:pPr>
        <w:jc w:val="center"/>
        <w:rPr>
          <w:rFonts w:ascii="Book Antiqua" w:hAnsi="Book Antiqua"/>
          <w:lang w:eastAsia="zh-CN"/>
        </w:rPr>
      </w:pPr>
    </w:p>
    <w:p w14:paraId="5EA53747" w14:textId="77777777" w:rsidR="00564007" w:rsidRDefault="00564007" w:rsidP="00564007">
      <w:pPr>
        <w:jc w:val="center"/>
        <w:rPr>
          <w:rFonts w:ascii="Book Antiqua" w:hAnsi="Book Antiqua"/>
          <w:lang w:eastAsia="zh-CN"/>
        </w:rPr>
      </w:pPr>
    </w:p>
    <w:p w14:paraId="03468C44" w14:textId="77777777" w:rsidR="00564007" w:rsidRDefault="00564007" w:rsidP="00564007">
      <w:pPr>
        <w:jc w:val="center"/>
        <w:rPr>
          <w:rFonts w:ascii="Book Antiqua" w:hAnsi="Book Antiqua"/>
          <w:lang w:eastAsia="zh-CN"/>
        </w:rPr>
      </w:pPr>
    </w:p>
    <w:p w14:paraId="447FCEA4" w14:textId="77777777" w:rsidR="00564007" w:rsidRDefault="00564007" w:rsidP="00564007">
      <w:pPr>
        <w:jc w:val="center"/>
        <w:rPr>
          <w:rFonts w:ascii="Book Antiqua" w:hAnsi="Book Antiqua"/>
          <w:lang w:eastAsia="zh-CN"/>
        </w:rPr>
      </w:pPr>
    </w:p>
    <w:p w14:paraId="76273D6C" w14:textId="77777777" w:rsidR="00564007" w:rsidRDefault="00564007" w:rsidP="00564007">
      <w:pPr>
        <w:jc w:val="center"/>
        <w:rPr>
          <w:rFonts w:ascii="Book Antiqua" w:hAnsi="Book Antiqua"/>
          <w:lang w:eastAsia="zh-CN"/>
        </w:rPr>
      </w:pPr>
    </w:p>
    <w:p w14:paraId="5A6C52E4" w14:textId="77777777" w:rsidR="00564007" w:rsidRPr="00763D22" w:rsidRDefault="00564007" w:rsidP="00564007">
      <w:pPr>
        <w:jc w:val="right"/>
        <w:rPr>
          <w:rFonts w:ascii="Book Antiqua" w:hAnsi="Book Antiqua"/>
          <w:color w:val="000000" w:themeColor="text1"/>
          <w:lang w:eastAsia="zh-CN"/>
        </w:rPr>
      </w:pPr>
    </w:p>
    <w:p w14:paraId="08B4DC02" w14:textId="77777777" w:rsidR="00564007" w:rsidRPr="00763D22" w:rsidRDefault="00564007" w:rsidP="0056400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12A4C78D" w14:textId="77777777" w:rsidR="00DC045A" w:rsidRPr="00AD4096" w:rsidRDefault="00DC045A" w:rsidP="00AD4096">
      <w:pPr>
        <w:adjustRightInd w:val="0"/>
        <w:snapToGrid w:val="0"/>
        <w:spacing w:line="360" w:lineRule="auto"/>
        <w:jc w:val="both"/>
        <w:rPr>
          <w:rFonts w:ascii="Book Antiqua" w:hAnsi="Book Antiqua"/>
        </w:rPr>
      </w:pPr>
    </w:p>
    <w:sectPr w:rsidR="00DC045A" w:rsidRPr="00AD40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96F56" w14:textId="77777777" w:rsidR="00C91EA7" w:rsidRDefault="00C91EA7" w:rsidP="00993431">
      <w:r>
        <w:separator/>
      </w:r>
    </w:p>
  </w:endnote>
  <w:endnote w:type="continuationSeparator" w:id="0">
    <w:p w14:paraId="18A37372" w14:textId="77777777" w:rsidR="00C91EA7" w:rsidRDefault="00C91EA7" w:rsidP="0099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97246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9E3B7DB" w14:textId="4D3A25E2" w:rsidR="00901B81" w:rsidRPr="00901B81" w:rsidRDefault="00901B81" w:rsidP="00901B81">
            <w:pPr>
              <w:pStyle w:val="a4"/>
              <w:jc w:val="right"/>
              <w:rPr>
                <w:rFonts w:ascii="Book Antiqua" w:hAnsi="Book Antiqua"/>
                <w:sz w:val="24"/>
                <w:szCs w:val="24"/>
              </w:rPr>
            </w:pPr>
            <w:r w:rsidRPr="00901B81">
              <w:rPr>
                <w:rFonts w:ascii="Book Antiqua" w:hAnsi="Book Antiqua"/>
                <w:sz w:val="24"/>
                <w:szCs w:val="24"/>
                <w:lang w:val="zh-CN" w:eastAsia="zh-CN"/>
              </w:rPr>
              <w:t xml:space="preserve"> </w:t>
            </w:r>
            <w:r w:rsidRPr="00901B81">
              <w:rPr>
                <w:rFonts w:ascii="Book Antiqua" w:hAnsi="Book Antiqua"/>
                <w:b/>
                <w:bCs/>
                <w:sz w:val="24"/>
                <w:szCs w:val="24"/>
              </w:rPr>
              <w:fldChar w:fldCharType="begin"/>
            </w:r>
            <w:r w:rsidRPr="00901B81">
              <w:rPr>
                <w:rFonts w:ascii="Book Antiqua" w:hAnsi="Book Antiqua"/>
                <w:b/>
                <w:bCs/>
                <w:sz w:val="24"/>
                <w:szCs w:val="24"/>
              </w:rPr>
              <w:instrText>PAGE</w:instrText>
            </w:r>
            <w:r w:rsidRPr="00901B81">
              <w:rPr>
                <w:rFonts w:ascii="Book Antiqua" w:hAnsi="Book Antiqua"/>
                <w:b/>
                <w:bCs/>
                <w:sz w:val="24"/>
                <w:szCs w:val="24"/>
              </w:rPr>
              <w:fldChar w:fldCharType="separate"/>
            </w:r>
            <w:r w:rsidR="00C91EA7">
              <w:rPr>
                <w:rFonts w:ascii="Book Antiqua" w:hAnsi="Book Antiqua"/>
                <w:b/>
                <w:bCs/>
                <w:noProof/>
                <w:sz w:val="24"/>
                <w:szCs w:val="24"/>
              </w:rPr>
              <w:t>1</w:t>
            </w:r>
            <w:r w:rsidRPr="00901B81">
              <w:rPr>
                <w:rFonts w:ascii="Book Antiqua" w:hAnsi="Book Antiqua"/>
                <w:b/>
                <w:bCs/>
                <w:sz w:val="24"/>
                <w:szCs w:val="24"/>
              </w:rPr>
              <w:fldChar w:fldCharType="end"/>
            </w:r>
            <w:r w:rsidRPr="00901B81">
              <w:rPr>
                <w:rFonts w:ascii="Book Antiqua" w:hAnsi="Book Antiqua"/>
                <w:sz w:val="24"/>
                <w:szCs w:val="24"/>
                <w:lang w:val="zh-CN" w:eastAsia="zh-CN"/>
              </w:rPr>
              <w:t xml:space="preserve"> / </w:t>
            </w:r>
            <w:r w:rsidRPr="00901B81">
              <w:rPr>
                <w:rFonts w:ascii="Book Antiqua" w:hAnsi="Book Antiqua"/>
                <w:b/>
                <w:bCs/>
                <w:sz w:val="24"/>
                <w:szCs w:val="24"/>
              </w:rPr>
              <w:fldChar w:fldCharType="begin"/>
            </w:r>
            <w:r w:rsidRPr="00901B81">
              <w:rPr>
                <w:rFonts w:ascii="Book Antiqua" w:hAnsi="Book Antiqua"/>
                <w:b/>
                <w:bCs/>
                <w:sz w:val="24"/>
                <w:szCs w:val="24"/>
              </w:rPr>
              <w:instrText>NUMPAGES</w:instrText>
            </w:r>
            <w:r w:rsidRPr="00901B81">
              <w:rPr>
                <w:rFonts w:ascii="Book Antiqua" w:hAnsi="Book Antiqua"/>
                <w:b/>
                <w:bCs/>
                <w:sz w:val="24"/>
                <w:szCs w:val="24"/>
              </w:rPr>
              <w:fldChar w:fldCharType="separate"/>
            </w:r>
            <w:r w:rsidR="00C91EA7">
              <w:rPr>
                <w:rFonts w:ascii="Book Antiqua" w:hAnsi="Book Antiqua"/>
                <w:b/>
                <w:bCs/>
                <w:noProof/>
                <w:sz w:val="24"/>
                <w:szCs w:val="24"/>
              </w:rPr>
              <w:t>1</w:t>
            </w:r>
            <w:r w:rsidRPr="00901B81">
              <w:rPr>
                <w:rFonts w:ascii="Book Antiqua" w:hAnsi="Book Antiqua"/>
                <w:b/>
                <w:bCs/>
                <w:sz w:val="24"/>
                <w:szCs w:val="24"/>
              </w:rPr>
              <w:fldChar w:fldCharType="end"/>
            </w:r>
          </w:p>
        </w:sdtContent>
      </w:sdt>
    </w:sdtContent>
  </w:sdt>
  <w:p w14:paraId="48F758E2" w14:textId="77777777" w:rsidR="00901B81" w:rsidRDefault="00901B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27D3E" w14:textId="77777777" w:rsidR="00C91EA7" w:rsidRDefault="00C91EA7" w:rsidP="00993431">
      <w:r>
        <w:separator/>
      </w:r>
    </w:p>
  </w:footnote>
  <w:footnote w:type="continuationSeparator" w:id="0">
    <w:p w14:paraId="711D1DA2" w14:textId="77777777" w:rsidR="00C91EA7" w:rsidRDefault="00C91EA7" w:rsidP="009934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F60"/>
    <w:rsid w:val="000D076C"/>
    <w:rsid w:val="00323DA1"/>
    <w:rsid w:val="004C3DC7"/>
    <w:rsid w:val="00500B0E"/>
    <w:rsid w:val="00564007"/>
    <w:rsid w:val="005644C2"/>
    <w:rsid w:val="005701A8"/>
    <w:rsid w:val="00694607"/>
    <w:rsid w:val="006F184C"/>
    <w:rsid w:val="007E654C"/>
    <w:rsid w:val="00901B81"/>
    <w:rsid w:val="00974671"/>
    <w:rsid w:val="00975700"/>
    <w:rsid w:val="009868C2"/>
    <w:rsid w:val="00993431"/>
    <w:rsid w:val="00A77B3E"/>
    <w:rsid w:val="00A876A0"/>
    <w:rsid w:val="00AD4096"/>
    <w:rsid w:val="00B14558"/>
    <w:rsid w:val="00BE0C08"/>
    <w:rsid w:val="00C91EA7"/>
    <w:rsid w:val="00C9430C"/>
    <w:rsid w:val="00CA2A55"/>
    <w:rsid w:val="00CA5BB4"/>
    <w:rsid w:val="00D034A9"/>
    <w:rsid w:val="00D04680"/>
    <w:rsid w:val="00D71A20"/>
    <w:rsid w:val="00DC0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70A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934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93431"/>
    <w:rPr>
      <w:sz w:val="18"/>
      <w:szCs w:val="18"/>
    </w:rPr>
  </w:style>
  <w:style w:type="paragraph" w:styleId="a4">
    <w:name w:val="footer"/>
    <w:basedOn w:val="a"/>
    <w:link w:val="Char0"/>
    <w:uiPriority w:val="99"/>
    <w:unhideWhenUsed/>
    <w:rsid w:val="00993431"/>
    <w:pPr>
      <w:tabs>
        <w:tab w:val="center" w:pos="4153"/>
        <w:tab w:val="right" w:pos="8306"/>
      </w:tabs>
      <w:snapToGrid w:val="0"/>
    </w:pPr>
    <w:rPr>
      <w:sz w:val="18"/>
      <w:szCs w:val="18"/>
    </w:rPr>
  </w:style>
  <w:style w:type="character" w:customStyle="1" w:styleId="Char0">
    <w:name w:val="页脚 Char"/>
    <w:basedOn w:val="a0"/>
    <w:link w:val="a4"/>
    <w:uiPriority w:val="99"/>
    <w:rsid w:val="00993431"/>
    <w:rPr>
      <w:sz w:val="18"/>
      <w:szCs w:val="18"/>
    </w:rPr>
  </w:style>
  <w:style w:type="character" w:styleId="a5">
    <w:name w:val="annotation reference"/>
    <w:basedOn w:val="a0"/>
    <w:semiHidden/>
    <w:unhideWhenUsed/>
    <w:rsid w:val="00993431"/>
    <w:rPr>
      <w:sz w:val="21"/>
      <w:szCs w:val="21"/>
    </w:rPr>
  </w:style>
  <w:style w:type="paragraph" w:styleId="a6">
    <w:name w:val="annotation text"/>
    <w:basedOn w:val="a"/>
    <w:link w:val="Char1"/>
    <w:semiHidden/>
    <w:unhideWhenUsed/>
    <w:rsid w:val="00993431"/>
  </w:style>
  <w:style w:type="character" w:customStyle="1" w:styleId="Char1">
    <w:name w:val="批注文字 Char"/>
    <w:basedOn w:val="a0"/>
    <w:link w:val="a6"/>
    <w:semiHidden/>
    <w:rsid w:val="00993431"/>
    <w:rPr>
      <w:sz w:val="24"/>
      <w:szCs w:val="24"/>
    </w:rPr>
  </w:style>
  <w:style w:type="paragraph" w:styleId="a7">
    <w:name w:val="annotation subject"/>
    <w:basedOn w:val="a6"/>
    <w:next w:val="a6"/>
    <w:link w:val="Char2"/>
    <w:semiHidden/>
    <w:unhideWhenUsed/>
    <w:rsid w:val="00993431"/>
    <w:rPr>
      <w:b/>
      <w:bCs/>
    </w:rPr>
  </w:style>
  <w:style w:type="character" w:customStyle="1" w:styleId="Char2">
    <w:name w:val="批注主题 Char"/>
    <w:basedOn w:val="Char1"/>
    <w:link w:val="a7"/>
    <w:semiHidden/>
    <w:rsid w:val="00993431"/>
    <w:rPr>
      <w:b/>
      <w:bCs/>
      <w:sz w:val="24"/>
      <w:szCs w:val="24"/>
    </w:rPr>
  </w:style>
  <w:style w:type="paragraph" w:styleId="a8">
    <w:name w:val="Normal (Web)"/>
    <w:basedOn w:val="a"/>
    <w:uiPriority w:val="99"/>
    <w:semiHidden/>
    <w:unhideWhenUsed/>
    <w:rsid w:val="00DC045A"/>
    <w:pPr>
      <w:spacing w:before="100" w:beforeAutospacing="1" w:after="100" w:afterAutospacing="1"/>
    </w:pPr>
    <w:rPr>
      <w:rFonts w:ascii="宋体" w:eastAsia="宋体" w:hAnsi="宋体" w:cs="宋体"/>
      <w:lang w:eastAsia="zh-CN"/>
    </w:rPr>
  </w:style>
  <w:style w:type="paragraph" w:styleId="a9">
    <w:name w:val="Balloon Text"/>
    <w:basedOn w:val="a"/>
    <w:link w:val="Char3"/>
    <w:rsid w:val="00564007"/>
    <w:rPr>
      <w:sz w:val="18"/>
      <w:szCs w:val="18"/>
    </w:rPr>
  </w:style>
  <w:style w:type="character" w:customStyle="1" w:styleId="Char3">
    <w:name w:val="批注框文本 Char"/>
    <w:basedOn w:val="a0"/>
    <w:link w:val="a9"/>
    <w:rsid w:val="0056400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934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93431"/>
    <w:rPr>
      <w:sz w:val="18"/>
      <w:szCs w:val="18"/>
    </w:rPr>
  </w:style>
  <w:style w:type="paragraph" w:styleId="a4">
    <w:name w:val="footer"/>
    <w:basedOn w:val="a"/>
    <w:link w:val="Char0"/>
    <w:uiPriority w:val="99"/>
    <w:unhideWhenUsed/>
    <w:rsid w:val="00993431"/>
    <w:pPr>
      <w:tabs>
        <w:tab w:val="center" w:pos="4153"/>
        <w:tab w:val="right" w:pos="8306"/>
      </w:tabs>
      <w:snapToGrid w:val="0"/>
    </w:pPr>
    <w:rPr>
      <w:sz w:val="18"/>
      <w:szCs w:val="18"/>
    </w:rPr>
  </w:style>
  <w:style w:type="character" w:customStyle="1" w:styleId="Char0">
    <w:name w:val="页脚 Char"/>
    <w:basedOn w:val="a0"/>
    <w:link w:val="a4"/>
    <w:uiPriority w:val="99"/>
    <w:rsid w:val="00993431"/>
    <w:rPr>
      <w:sz w:val="18"/>
      <w:szCs w:val="18"/>
    </w:rPr>
  </w:style>
  <w:style w:type="character" w:styleId="a5">
    <w:name w:val="annotation reference"/>
    <w:basedOn w:val="a0"/>
    <w:semiHidden/>
    <w:unhideWhenUsed/>
    <w:rsid w:val="00993431"/>
    <w:rPr>
      <w:sz w:val="21"/>
      <w:szCs w:val="21"/>
    </w:rPr>
  </w:style>
  <w:style w:type="paragraph" w:styleId="a6">
    <w:name w:val="annotation text"/>
    <w:basedOn w:val="a"/>
    <w:link w:val="Char1"/>
    <w:semiHidden/>
    <w:unhideWhenUsed/>
    <w:rsid w:val="00993431"/>
  </w:style>
  <w:style w:type="character" w:customStyle="1" w:styleId="Char1">
    <w:name w:val="批注文字 Char"/>
    <w:basedOn w:val="a0"/>
    <w:link w:val="a6"/>
    <w:semiHidden/>
    <w:rsid w:val="00993431"/>
    <w:rPr>
      <w:sz w:val="24"/>
      <w:szCs w:val="24"/>
    </w:rPr>
  </w:style>
  <w:style w:type="paragraph" w:styleId="a7">
    <w:name w:val="annotation subject"/>
    <w:basedOn w:val="a6"/>
    <w:next w:val="a6"/>
    <w:link w:val="Char2"/>
    <w:semiHidden/>
    <w:unhideWhenUsed/>
    <w:rsid w:val="00993431"/>
    <w:rPr>
      <w:b/>
      <w:bCs/>
    </w:rPr>
  </w:style>
  <w:style w:type="character" w:customStyle="1" w:styleId="Char2">
    <w:name w:val="批注主题 Char"/>
    <w:basedOn w:val="Char1"/>
    <w:link w:val="a7"/>
    <w:semiHidden/>
    <w:rsid w:val="00993431"/>
    <w:rPr>
      <w:b/>
      <w:bCs/>
      <w:sz w:val="24"/>
      <w:szCs w:val="24"/>
    </w:rPr>
  </w:style>
  <w:style w:type="paragraph" w:styleId="a8">
    <w:name w:val="Normal (Web)"/>
    <w:basedOn w:val="a"/>
    <w:uiPriority w:val="99"/>
    <w:semiHidden/>
    <w:unhideWhenUsed/>
    <w:rsid w:val="00DC045A"/>
    <w:pPr>
      <w:spacing w:before="100" w:beforeAutospacing="1" w:after="100" w:afterAutospacing="1"/>
    </w:pPr>
    <w:rPr>
      <w:rFonts w:ascii="宋体" w:eastAsia="宋体" w:hAnsi="宋体" w:cs="宋体"/>
      <w:lang w:eastAsia="zh-CN"/>
    </w:rPr>
  </w:style>
  <w:style w:type="paragraph" w:styleId="a9">
    <w:name w:val="Balloon Text"/>
    <w:basedOn w:val="a"/>
    <w:link w:val="Char3"/>
    <w:rsid w:val="00564007"/>
    <w:rPr>
      <w:sz w:val="18"/>
      <w:szCs w:val="18"/>
    </w:rPr>
  </w:style>
  <w:style w:type="character" w:customStyle="1" w:styleId="Char3">
    <w:name w:val="批注框文本 Char"/>
    <w:basedOn w:val="a0"/>
    <w:link w:val="a9"/>
    <w:rsid w:val="0056400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48935">
      <w:bodyDiv w:val="1"/>
      <w:marLeft w:val="0"/>
      <w:marRight w:val="0"/>
      <w:marTop w:val="0"/>
      <w:marBottom w:val="0"/>
      <w:divBdr>
        <w:top w:val="none" w:sz="0" w:space="0" w:color="auto"/>
        <w:left w:val="none" w:sz="0" w:space="0" w:color="auto"/>
        <w:bottom w:val="none" w:sz="0" w:space="0" w:color="auto"/>
        <w:right w:val="none" w:sz="0" w:space="0" w:color="auto"/>
      </w:divBdr>
    </w:div>
    <w:div w:id="224683098">
      <w:bodyDiv w:val="1"/>
      <w:marLeft w:val="0"/>
      <w:marRight w:val="0"/>
      <w:marTop w:val="0"/>
      <w:marBottom w:val="0"/>
      <w:divBdr>
        <w:top w:val="none" w:sz="0" w:space="0" w:color="auto"/>
        <w:left w:val="none" w:sz="0" w:space="0" w:color="auto"/>
        <w:bottom w:val="none" w:sz="0" w:space="0" w:color="auto"/>
        <w:right w:val="none" w:sz="0" w:space="0" w:color="auto"/>
      </w:divBdr>
    </w:div>
    <w:div w:id="1122042286">
      <w:bodyDiv w:val="1"/>
      <w:marLeft w:val="0"/>
      <w:marRight w:val="0"/>
      <w:marTop w:val="0"/>
      <w:marBottom w:val="0"/>
      <w:divBdr>
        <w:top w:val="none" w:sz="0" w:space="0" w:color="auto"/>
        <w:left w:val="none" w:sz="0" w:space="0" w:color="auto"/>
        <w:bottom w:val="none" w:sz="0" w:space="0" w:color="auto"/>
        <w:right w:val="none" w:sz="0" w:space="0" w:color="auto"/>
      </w:divBdr>
    </w:div>
    <w:div w:id="1163735315">
      <w:bodyDiv w:val="1"/>
      <w:marLeft w:val="0"/>
      <w:marRight w:val="0"/>
      <w:marTop w:val="0"/>
      <w:marBottom w:val="0"/>
      <w:divBdr>
        <w:top w:val="none" w:sz="0" w:space="0" w:color="auto"/>
        <w:left w:val="none" w:sz="0" w:space="0" w:color="auto"/>
        <w:bottom w:val="none" w:sz="0" w:space="0" w:color="auto"/>
        <w:right w:val="none" w:sz="0" w:space="0" w:color="auto"/>
      </w:divBdr>
    </w:div>
    <w:div w:id="1327324787">
      <w:bodyDiv w:val="1"/>
      <w:marLeft w:val="0"/>
      <w:marRight w:val="0"/>
      <w:marTop w:val="0"/>
      <w:marBottom w:val="0"/>
      <w:divBdr>
        <w:top w:val="none" w:sz="0" w:space="0" w:color="auto"/>
        <w:left w:val="none" w:sz="0" w:space="0" w:color="auto"/>
        <w:bottom w:val="none" w:sz="0" w:space="0" w:color="auto"/>
        <w:right w:val="none" w:sz="0" w:space="0" w:color="auto"/>
      </w:divBdr>
    </w:div>
    <w:div w:id="1607230322">
      <w:bodyDiv w:val="1"/>
      <w:marLeft w:val="0"/>
      <w:marRight w:val="0"/>
      <w:marTop w:val="0"/>
      <w:marBottom w:val="0"/>
      <w:divBdr>
        <w:top w:val="none" w:sz="0" w:space="0" w:color="auto"/>
        <w:left w:val="none" w:sz="0" w:space="0" w:color="auto"/>
        <w:bottom w:val="none" w:sz="0" w:space="0" w:color="auto"/>
        <w:right w:val="none" w:sz="0" w:space="0" w:color="auto"/>
      </w:divBdr>
    </w:div>
    <w:div w:id="1805081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D8A3E-1E31-4CE6-A316-77C235FB8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3189</Words>
  <Characters>18179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jiayuan huang</dc:creator>
  <cp:lastModifiedBy>liujihong2008@qq.con</cp:lastModifiedBy>
  <cp:revision>16</cp:revision>
  <dcterms:created xsi:type="dcterms:W3CDTF">2021-08-18T12:16:00Z</dcterms:created>
  <dcterms:modified xsi:type="dcterms:W3CDTF">2021-09-16T01:30:00Z</dcterms:modified>
</cp:coreProperties>
</file>