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03B66"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olor w:val="000000"/>
        </w:rPr>
        <w:t xml:space="preserve">Name of Journal: </w:t>
      </w:r>
      <w:r w:rsidRPr="00A458DC">
        <w:rPr>
          <w:rFonts w:ascii="Book Antiqua" w:eastAsia="Book Antiqua" w:hAnsi="Book Antiqua" w:cs="Book Antiqua"/>
          <w:i/>
          <w:color w:val="000000"/>
        </w:rPr>
        <w:t>World Journal of Clinical Cases</w:t>
      </w:r>
    </w:p>
    <w:p w14:paraId="02938F33"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olor w:val="000000"/>
        </w:rPr>
        <w:t xml:space="preserve">Manuscript NO: </w:t>
      </w:r>
      <w:r w:rsidRPr="00A458DC">
        <w:rPr>
          <w:rFonts w:ascii="Book Antiqua" w:eastAsia="Book Antiqua" w:hAnsi="Book Antiqua" w:cs="Book Antiqua"/>
          <w:color w:val="000000"/>
        </w:rPr>
        <w:t>66142</w:t>
      </w:r>
    </w:p>
    <w:p w14:paraId="71E95484"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olor w:val="000000"/>
        </w:rPr>
        <w:t xml:space="preserve">Manuscript Type: </w:t>
      </w:r>
      <w:r w:rsidRPr="00A458DC">
        <w:rPr>
          <w:rFonts w:ascii="Book Antiqua" w:eastAsia="Book Antiqua" w:hAnsi="Book Antiqua" w:cs="Book Antiqua"/>
          <w:color w:val="000000"/>
        </w:rPr>
        <w:t>CASE REPORT</w:t>
      </w:r>
    </w:p>
    <w:p w14:paraId="1F5C469E" w14:textId="77777777" w:rsidR="00A77B3E" w:rsidRPr="00A458DC" w:rsidRDefault="00A77B3E" w:rsidP="00196E1A">
      <w:pPr>
        <w:adjustRightInd w:val="0"/>
        <w:snapToGrid w:val="0"/>
        <w:spacing w:line="360" w:lineRule="auto"/>
        <w:jc w:val="both"/>
      </w:pPr>
    </w:p>
    <w:p w14:paraId="5675BCAB" w14:textId="49E9B877" w:rsidR="00A77B3E" w:rsidRPr="00A458DC" w:rsidRDefault="0034029D" w:rsidP="00196E1A">
      <w:pPr>
        <w:adjustRightInd w:val="0"/>
        <w:snapToGrid w:val="0"/>
        <w:spacing w:line="360" w:lineRule="auto"/>
        <w:jc w:val="both"/>
        <w:rPr>
          <w:lang w:eastAsia="zh-CN"/>
        </w:rPr>
      </w:pPr>
      <w:bookmarkStart w:id="0" w:name="OLE_LINK339"/>
      <w:bookmarkStart w:id="1" w:name="OLE_LINK340"/>
      <w:r w:rsidRPr="00A458DC">
        <w:rPr>
          <w:rFonts w:ascii="Book Antiqua" w:eastAsia="Book Antiqua" w:hAnsi="Book Antiqua" w:cs="Book Antiqua"/>
          <w:b/>
          <w:bCs/>
          <w:color w:val="000000"/>
        </w:rPr>
        <w:t xml:space="preserve">Synchronous diagnosis and treatment of acute myeloid leukemia and chronic lymphocytic leukemia: </w:t>
      </w:r>
      <w:r w:rsidRPr="00A458DC">
        <w:rPr>
          <w:rFonts w:ascii="Book Antiqua" w:hAnsi="Book Antiqua" w:cs="Book Antiqua" w:hint="eastAsia"/>
          <w:b/>
          <w:bCs/>
          <w:color w:val="000000"/>
          <w:lang w:eastAsia="zh-CN"/>
        </w:rPr>
        <w:t>Two</w:t>
      </w:r>
      <w:r w:rsidRPr="00A458DC">
        <w:rPr>
          <w:rFonts w:ascii="Book Antiqua" w:eastAsia="Book Antiqua" w:hAnsi="Book Antiqua" w:cs="Book Antiqua"/>
          <w:b/>
          <w:bCs/>
          <w:color w:val="000000"/>
        </w:rPr>
        <w:t xml:space="preserve"> case report</w:t>
      </w:r>
      <w:r w:rsidRPr="00A458DC">
        <w:rPr>
          <w:rFonts w:ascii="Book Antiqua" w:hAnsi="Book Antiqua" w:cs="Book Antiqua" w:hint="eastAsia"/>
          <w:b/>
          <w:bCs/>
          <w:color w:val="000000"/>
          <w:lang w:eastAsia="zh-CN"/>
        </w:rPr>
        <w:t>s</w:t>
      </w:r>
    </w:p>
    <w:bookmarkEnd w:id="0"/>
    <w:bookmarkEnd w:id="1"/>
    <w:p w14:paraId="26568952" w14:textId="77777777" w:rsidR="0034029D" w:rsidRPr="00A458DC" w:rsidRDefault="0034029D" w:rsidP="00196E1A">
      <w:pPr>
        <w:adjustRightInd w:val="0"/>
        <w:snapToGrid w:val="0"/>
        <w:spacing w:line="360" w:lineRule="auto"/>
        <w:jc w:val="both"/>
        <w:rPr>
          <w:rFonts w:ascii="Book Antiqua" w:hAnsi="Book Antiqua" w:cs="Book Antiqua"/>
          <w:color w:val="000000"/>
          <w:lang w:eastAsia="zh-CN"/>
        </w:rPr>
      </w:pPr>
    </w:p>
    <w:p w14:paraId="7DD3C5CF" w14:textId="7FD340DE" w:rsidR="00A77B3E" w:rsidRPr="00A458DC" w:rsidRDefault="0034029D" w:rsidP="00196E1A">
      <w:pPr>
        <w:adjustRightInd w:val="0"/>
        <w:snapToGrid w:val="0"/>
        <w:spacing w:line="360" w:lineRule="auto"/>
        <w:jc w:val="both"/>
      </w:pPr>
      <w:r w:rsidRPr="00A458DC">
        <w:rPr>
          <w:rFonts w:ascii="Book Antiqua" w:eastAsia="Book Antiqua" w:hAnsi="Book Antiqua" w:cs="Book Antiqua"/>
          <w:color w:val="000000"/>
        </w:rPr>
        <w:t xml:space="preserve">Chen </w:t>
      </w:r>
      <w:r w:rsidRPr="00A458DC">
        <w:rPr>
          <w:rFonts w:ascii="Book Antiqua" w:hAnsi="Book Antiqua" w:cs="Book Antiqua" w:hint="eastAsia"/>
          <w:color w:val="000000"/>
          <w:lang w:eastAsia="zh-CN"/>
        </w:rPr>
        <w:t xml:space="preserve">RR </w:t>
      </w:r>
      <w:r w:rsidRPr="00A458DC">
        <w:rPr>
          <w:rFonts w:ascii="Book Antiqua" w:hAnsi="Book Antiqua" w:cs="Book Antiqua" w:hint="eastAsia"/>
          <w:i/>
          <w:color w:val="000000"/>
          <w:lang w:eastAsia="zh-CN"/>
        </w:rPr>
        <w:t>et al</w:t>
      </w:r>
      <w:r w:rsidRPr="00A458DC">
        <w:rPr>
          <w:rFonts w:ascii="Book Antiqua" w:hAnsi="Book Antiqua" w:cs="Book Antiqua" w:hint="eastAsia"/>
          <w:color w:val="000000"/>
          <w:lang w:eastAsia="zh-CN"/>
        </w:rPr>
        <w:t xml:space="preserve">. </w:t>
      </w:r>
      <w:r w:rsidR="00A41F52" w:rsidRPr="00A458DC">
        <w:rPr>
          <w:rFonts w:ascii="Book Antiqua" w:eastAsia="Book Antiqua" w:hAnsi="Book Antiqua" w:cs="Book Antiqua"/>
          <w:color w:val="000000"/>
        </w:rPr>
        <w:t>Concurrent of AML and CLL</w:t>
      </w:r>
    </w:p>
    <w:p w14:paraId="4058804C" w14:textId="77777777" w:rsidR="00A77B3E" w:rsidRPr="00A458DC" w:rsidRDefault="00A77B3E" w:rsidP="00196E1A">
      <w:pPr>
        <w:adjustRightInd w:val="0"/>
        <w:snapToGrid w:val="0"/>
        <w:spacing w:line="360" w:lineRule="auto"/>
        <w:jc w:val="both"/>
      </w:pPr>
    </w:p>
    <w:p w14:paraId="1E3EC53E"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Rong-Rong Chen, Li-Xia Zhu, Lu-Lu Wang, Xue-Ying Li, Jia-Nai Sun, Mi-Xue Xie, Jing-Jing Zhu, De Zhou, Jian-Hu Li, Xin Huang, Wan-Zhuo Xie, Xiu-Jin Ye</w:t>
      </w:r>
    </w:p>
    <w:p w14:paraId="6921A8FF" w14:textId="77777777" w:rsidR="00A77B3E" w:rsidRPr="00A458DC" w:rsidRDefault="00A77B3E" w:rsidP="00196E1A">
      <w:pPr>
        <w:adjustRightInd w:val="0"/>
        <w:snapToGrid w:val="0"/>
        <w:spacing w:line="360" w:lineRule="auto"/>
        <w:jc w:val="both"/>
      </w:pPr>
    </w:p>
    <w:p w14:paraId="4B5D37CC"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 xml:space="preserve">Rong-Rong Chen, Li-Xia Zhu, Lu-Lu Wang, Xue-Ying Li, Jia-Nai Sun, Mi-Xue Xie, Jing-Jing Zhu, De Zhou, Jian-Hu Li, Xin Huang, Wan-Zhuo Xie, Xiu-Jin Ye, </w:t>
      </w:r>
      <w:r w:rsidRPr="00A458DC">
        <w:rPr>
          <w:rFonts w:ascii="Book Antiqua" w:eastAsia="Book Antiqua" w:hAnsi="Book Antiqua" w:cs="Book Antiqua"/>
          <w:color w:val="000000"/>
        </w:rPr>
        <w:t xml:space="preserve">Department of Hematology, The First Affiliated Hospital, College of Medicine, Zhejiang University, Hangzhou 310003, Zhejiang Province, </w:t>
      </w:r>
      <w:bookmarkStart w:id="2" w:name="OLE_LINK342"/>
      <w:bookmarkStart w:id="3" w:name="OLE_LINK343"/>
      <w:r w:rsidRPr="00A458DC">
        <w:rPr>
          <w:rFonts w:ascii="Book Antiqua" w:eastAsia="Book Antiqua" w:hAnsi="Book Antiqua" w:cs="Book Antiqua"/>
          <w:color w:val="000000"/>
        </w:rPr>
        <w:t>China</w:t>
      </w:r>
      <w:bookmarkEnd w:id="2"/>
      <w:bookmarkEnd w:id="3"/>
    </w:p>
    <w:p w14:paraId="52325BEF" w14:textId="77777777" w:rsidR="00A77B3E" w:rsidRPr="00A458DC" w:rsidRDefault="00A77B3E" w:rsidP="00196E1A">
      <w:pPr>
        <w:adjustRightInd w:val="0"/>
        <w:snapToGrid w:val="0"/>
        <w:spacing w:line="360" w:lineRule="auto"/>
        <w:jc w:val="both"/>
      </w:pPr>
    </w:p>
    <w:p w14:paraId="70FDBCF5" w14:textId="65DC75D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szCs w:val="21"/>
        </w:rPr>
        <w:t xml:space="preserve">Author contributions: </w:t>
      </w:r>
      <w:r w:rsidRPr="00A458DC">
        <w:rPr>
          <w:rFonts w:ascii="Book Antiqua" w:eastAsia="Book Antiqua" w:hAnsi="Book Antiqua" w:cs="Book Antiqua"/>
          <w:color w:val="000000"/>
        </w:rPr>
        <w:t xml:space="preserve">Chen RR collected the patient’s clinical data, reviewed the literature, and drafted the manuscript; Zhu LX was the patients’ physician; Wang LL were involved in case analysis and treatment discussion; Ye XJ contributed to the drafting and revision of the manuscript; </w:t>
      </w:r>
      <w:r w:rsidR="00CD7478" w:rsidRPr="00A458DC">
        <w:rPr>
          <w:rFonts w:ascii="Book Antiqua" w:eastAsia="Book Antiqua" w:hAnsi="Book Antiqua" w:cs="Book Antiqua"/>
          <w:color w:val="000000"/>
        </w:rPr>
        <w:t>a</w:t>
      </w:r>
      <w:r w:rsidRPr="00A458DC">
        <w:rPr>
          <w:rFonts w:ascii="Book Antiqua" w:eastAsia="Book Antiqua" w:hAnsi="Book Antiqua" w:cs="Book Antiqua"/>
          <w:color w:val="000000"/>
        </w:rPr>
        <w:t>ll authors issued final approval of the version to be submitted.</w:t>
      </w:r>
    </w:p>
    <w:p w14:paraId="5146FABD" w14:textId="77777777" w:rsidR="00A77B3E" w:rsidRPr="00A458DC" w:rsidRDefault="00A77B3E" w:rsidP="00196E1A">
      <w:pPr>
        <w:adjustRightInd w:val="0"/>
        <w:snapToGrid w:val="0"/>
        <w:spacing w:line="360" w:lineRule="auto"/>
        <w:jc w:val="both"/>
      </w:pPr>
    </w:p>
    <w:p w14:paraId="2B0E08B1"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 xml:space="preserve">Corresponding author: Xiu-Jin Ye, PhD, Chief Doctor, </w:t>
      </w:r>
      <w:r w:rsidRPr="00A458DC">
        <w:rPr>
          <w:rFonts w:ascii="Book Antiqua" w:eastAsia="Book Antiqua" w:hAnsi="Book Antiqua" w:cs="Book Antiqua"/>
          <w:color w:val="000000"/>
        </w:rPr>
        <w:t>Department of Hematology, The First Affiliated Hospital, College of Medicine, Zhejiang University, No. 79 Qingchun Road, Hangzhou 310003, Zhejiang Province, China. yxjsunny@zju.edu.cn</w:t>
      </w:r>
    </w:p>
    <w:p w14:paraId="54703495" w14:textId="77777777" w:rsidR="00A77B3E" w:rsidRPr="00A458DC" w:rsidRDefault="00A77B3E" w:rsidP="00196E1A">
      <w:pPr>
        <w:adjustRightInd w:val="0"/>
        <w:snapToGrid w:val="0"/>
        <w:spacing w:line="360" w:lineRule="auto"/>
        <w:jc w:val="both"/>
      </w:pPr>
    </w:p>
    <w:p w14:paraId="6F9E2080"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 xml:space="preserve">Received: </w:t>
      </w:r>
      <w:r w:rsidRPr="00A458DC">
        <w:rPr>
          <w:rFonts w:ascii="Book Antiqua" w:eastAsia="Book Antiqua" w:hAnsi="Book Antiqua" w:cs="Book Antiqua"/>
          <w:color w:val="000000"/>
        </w:rPr>
        <w:t>March 28, 2021</w:t>
      </w:r>
    </w:p>
    <w:p w14:paraId="2051CFAE"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 xml:space="preserve">Revised: </w:t>
      </w:r>
      <w:r w:rsidRPr="00A458DC">
        <w:rPr>
          <w:rFonts w:ascii="Book Antiqua" w:eastAsia="Book Antiqua" w:hAnsi="Book Antiqua" w:cs="Book Antiqua"/>
          <w:color w:val="000000"/>
        </w:rPr>
        <w:t>July 13, 2021</w:t>
      </w:r>
    </w:p>
    <w:p w14:paraId="7D98FF61" w14:textId="3FCD849B"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lastRenderedPageBreak/>
        <w:t xml:space="preserve">Accepted: </w:t>
      </w:r>
      <w:bookmarkStart w:id="4" w:name="OLE_LINK15"/>
      <w:bookmarkStart w:id="5" w:name="OLE_LINK33"/>
      <w:bookmarkStart w:id="6" w:name="OLE_LINK48"/>
      <w:r w:rsidR="00CD7478" w:rsidRPr="00A458DC">
        <w:rPr>
          <w:rFonts w:ascii="Book Antiqua" w:eastAsia="宋体" w:hAnsi="Book Antiqua" w:hint="eastAsia"/>
          <w:color w:val="000000" w:themeColor="text1"/>
        </w:rPr>
        <w:t>Se</w:t>
      </w:r>
      <w:r w:rsidR="00CD7478" w:rsidRPr="00A458DC">
        <w:rPr>
          <w:rFonts w:ascii="Book Antiqua" w:eastAsia="宋体" w:hAnsi="Book Antiqua"/>
          <w:color w:val="000000" w:themeColor="text1"/>
        </w:rPr>
        <w:t>ptember 3, 2021</w:t>
      </w:r>
      <w:bookmarkEnd w:id="4"/>
      <w:bookmarkEnd w:id="5"/>
      <w:bookmarkEnd w:id="6"/>
    </w:p>
    <w:p w14:paraId="718A1CC7" w14:textId="2083D668"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Published online:</w:t>
      </w:r>
      <w:r w:rsidRPr="00A458DC">
        <w:rPr>
          <w:rFonts w:ascii="Book Antiqua" w:eastAsia="Book Antiqua" w:hAnsi="Book Antiqua" w:cs="Book Antiqua"/>
          <w:color w:val="000000"/>
        </w:rPr>
        <w:t xml:space="preserve"> </w:t>
      </w:r>
      <w:r w:rsidR="00873C69" w:rsidRPr="00A458DC">
        <w:rPr>
          <w:rFonts w:ascii="Book Antiqua" w:eastAsia="Book Antiqua" w:hAnsi="Book Antiqua" w:cs="Book Antiqua"/>
          <w:color w:val="000000"/>
        </w:rPr>
        <w:t xml:space="preserve">October </w:t>
      </w:r>
      <w:r w:rsidR="004546F9">
        <w:rPr>
          <w:rFonts w:ascii="Book Antiqua" w:hAnsi="Book Antiqua" w:cs="Book Antiqua" w:hint="eastAsia"/>
          <w:color w:val="000000"/>
          <w:lang w:eastAsia="zh-CN"/>
        </w:rPr>
        <w:t>2</w:t>
      </w:r>
      <w:r w:rsidR="00873C69" w:rsidRPr="00A458DC">
        <w:rPr>
          <w:rFonts w:ascii="Book Antiqua" w:eastAsia="Book Antiqua" w:hAnsi="Book Antiqua" w:cs="Book Antiqua"/>
          <w:color w:val="000000"/>
        </w:rPr>
        <w:t>6, 2021</w:t>
      </w:r>
    </w:p>
    <w:p w14:paraId="5A7EF7E6" w14:textId="77777777" w:rsidR="00A77B3E" w:rsidRPr="00A458DC" w:rsidRDefault="00A77B3E" w:rsidP="00196E1A">
      <w:pPr>
        <w:adjustRightInd w:val="0"/>
        <w:snapToGrid w:val="0"/>
        <w:spacing w:line="360" w:lineRule="auto"/>
        <w:jc w:val="both"/>
        <w:sectPr w:rsidR="00A77B3E" w:rsidRPr="00A458DC">
          <w:footerReference w:type="default" r:id="rId7"/>
          <w:pgSz w:w="12240" w:h="15840"/>
          <w:pgMar w:top="1440" w:right="1440" w:bottom="1440" w:left="1440" w:header="720" w:footer="720" w:gutter="0"/>
          <w:cols w:space="720"/>
          <w:docGrid w:linePitch="360"/>
        </w:sectPr>
      </w:pPr>
    </w:p>
    <w:p w14:paraId="53F92B43"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olor w:val="000000"/>
        </w:rPr>
        <w:t>Abstract</w:t>
      </w:r>
    </w:p>
    <w:p w14:paraId="18FD9B15"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BACKGROUND</w:t>
      </w:r>
    </w:p>
    <w:p w14:paraId="54334420"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The concurrence of acute myeloid leukemia (AML) and chronic lymphocytic leukemia (CLL) is rare. Previous reports of such cases have focused mainly on clinical diagnosis and characteristics, so the mechanism remains unclear, and therapy options have been poorly explored.</w:t>
      </w:r>
    </w:p>
    <w:p w14:paraId="4DC9751D" w14:textId="77777777" w:rsidR="00A77B3E" w:rsidRPr="00A458DC" w:rsidRDefault="00A77B3E" w:rsidP="00196E1A">
      <w:pPr>
        <w:adjustRightInd w:val="0"/>
        <w:snapToGrid w:val="0"/>
        <w:spacing w:line="360" w:lineRule="auto"/>
        <w:jc w:val="both"/>
      </w:pPr>
    </w:p>
    <w:p w14:paraId="449EAC2E"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CASE SUMMARY</w:t>
      </w:r>
    </w:p>
    <w:p w14:paraId="164047F7"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Here, we report two cases of synchronous AML and CLL. Flow cytometry revealed two distinct abnormal cell populations (myeloblasts and lymphoid cells) according to scatter characteristics. CD5-positive B cell lymphoma with myeloid leukemia invasion was observed on lymph node biopsy. Chemotherapy regimens indicated for both AML and CLL were used in our patients, and our patients achieved complete response after chemotherapy. Next-generation sequencing of 88 genes was performed.</w:t>
      </w:r>
    </w:p>
    <w:p w14:paraId="3B158DBF" w14:textId="77777777" w:rsidR="00A77B3E" w:rsidRPr="00A458DC" w:rsidRDefault="00A77B3E" w:rsidP="00196E1A">
      <w:pPr>
        <w:adjustRightInd w:val="0"/>
        <w:snapToGrid w:val="0"/>
        <w:spacing w:line="360" w:lineRule="auto"/>
        <w:jc w:val="both"/>
      </w:pPr>
    </w:p>
    <w:p w14:paraId="44EBA902"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CONCLUSION</w:t>
      </w:r>
    </w:p>
    <w:p w14:paraId="1FBF9CA7"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We conclude that early mutation and dysregulation at the hematopoietic stem cell stage and the accumulation of multiple rearrangements may cause the concurrence of CLL and AML. The treatment of infection and combination therapy aimed at the CLL component are significant in the management of patients with concurrent CLL and AML.</w:t>
      </w:r>
    </w:p>
    <w:p w14:paraId="14E96DDD" w14:textId="77777777" w:rsidR="00A77B3E" w:rsidRPr="00A458DC" w:rsidRDefault="00A77B3E" w:rsidP="00196E1A">
      <w:pPr>
        <w:adjustRightInd w:val="0"/>
        <w:snapToGrid w:val="0"/>
        <w:spacing w:line="360" w:lineRule="auto"/>
        <w:jc w:val="both"/>
      </w:pPr>
    </w:p>
    <w:p w14:paraId="5A287DCB"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szCs w:val="21"/>
        </w:rPr>
        <w:t xml:space="preserve">Key Words: </w:t>
      </w:r>
      <w:r w:rsidRPr="00A458DC">
        <w:rPr>
          <w:rFonts w:ascii="Book Antiqua" w:eastAsia="Book Antiqua" w:hAnsi="Book Antiqua" w:cs="Book Antiqua"/>
          <w:caps/>
          <w:color w:val="000000"/>
        </w:rPr>
        <w:t>a</w:t>
      </w:r>
      <w:r w:rsidRPr="00A458DC">
        <w:rPr>
          <w:rFonts w:ascii="Book Antiqua" w:eastAsia="Book Antiqua" w:hAnsi="Book Antiqua" w:cs="Book Antiqua"/>
          <w:color w:val="000000"/>
        </w:rPr>
        <w:t>cute myeloid leukemia;</w:t>
      </w:r>
      <w:r w:rsidRPr="00A458DC">
        <w:rPr>
          <w:rFonts w:ascii="Book Antiqua" w:eastAsia="Book Antiqua" w:hAnsi="Book Antiqua" w:cs="Book Antiqua"/>
          <w:b/>
          <w:bCs/>
          <w:color w:val="000000"/>
        </w:rPr>
        <w:t xml:space="preserve"> </w:t>
      </w:r>
      <w:r w:rsidRPr="00A458DC">
        <w:rPr>
          <w:rFonts w:ascii="Book Antiqua" w:eastAsia="Book Antiqua" w:hAnsi="Book Antiqua" w:cs="Book Antiqua"/>
          <w:caps/>
          <w:color w:val="000000"/>
        </w:rPr>
        <w:t>c</w:t>
      </w:r>
      <w:r w:rsidRPr="00A458DC">
        <w:rPr>
          <w:rFonts w:ascii="Book Antiqua" w:eastAsia="Book Antiqua" w:hAnsi="Book Antiqua" w:cs="Book Antiqua"/>
          <w:color w:val="000000"/>
        </w:rPr>
        <w:t xml:space="preserve">hronic lymphocytic leukemia; B-cell lymphoma-2 inhibitors; </w:t>
      </w:r>
      <w:r w:rsidRPr="00A458DC">
        <w:rPr>
          <w:rFonts w:ascii="Book Antiqua" w:eastAsia="Book Antiqua" w:hAnsi="Book Antiqua" w:cs="Book Antiqua"/>
          <w:caps/>
          <w:color w:val="000000"/>
        </w:rPr>
        <w:t>t</w:t>
      </w:r>
      <w:r w:rsidRPr="00A458DC">
        <w:rPr>
          <w:rFonts w:ascii="Book Antiqua" w:eastAsia="Book Antiqua" w:hAnsi="Book Antiqua" w:cs="Book Antiqua"/>
          <w:color w:val="000000"/>
        </w:rPr>
        <w:t xml:space="preserve">herapy; </w:t>
      </w:r>
      <w:r w:rsidRPr="00A458DC">
        <w:rPr>
          <w:rFonts w:ascii="Book Antiqua" w:eastAsia="Book Antiqua" w:hAnsi="Book Antiqua" w:cs="Book Antiqua"/>
          <w:caps/>
          <w:color w:val="000000"/>
        </w:rPr>
        <w:t>t</w:t>
      </w:r>
      <w:r w:rsidRPr="00A458DC">
        <w:rPr>
          <w:rFonts w:ascii="Book Antiqua" w:eastAsia="Book Antiqua" w:hAnsi="Book Antiqua" w:cs="Book Antiqua"/>
          <w:color w:val="000000"/>
        </w:rPr>
        <w:t>en-eleven translocation-2; Case report</w:t>
      </w:r>
    </w:p>
    <w:p w14:paraId="6C534550" w14:textId="77777777" w:rsidR="00606D1C" w:rsidRDefault="00606D1C" w:rsidP="00606D1C">
      <w:pPr>
        <w:spacing w:line="360" w:lineRule="auto"/>
        <w:jc w:val="both"/>
        <w:rPr>
          <w:lang w:eastAsia="zh-CN"/>
        </w:rPr>
      </w:pPr>
    </w:p>
    <w:p w14:paraId="5196FD8E" w14:textId="77777777" w:rsidR="00606D1C" w:rsidRPr="00026CB8" w:rsidRDefault="00606D1C" w:rsidP="00606D1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E6EABA9" w14:textId="77777777" w:rsidR="00A77B3E" w:rsidRPr="00A458DC" w:rsidRDefault="00A77B3E" w:rsidP="00196E1A">
      <w:pPr>
        <w:adjustRightInd w:val="0"/>
        <w:snapToGrid w:val="0"/>
        <w:spacing w:line="360" w:lineRule="auto"/>
        <w:jc w:val="both"/>
      </w:pPr>
    </w:p>
    <w:p w14:paraId="7F45A0DB" w14:textId="0FFEF01E" w:rsidR="00FC03C9" w:rsidRDefault="00FC03C9" w:rsidP="00196E1A">
      <w:pPr>
        <w:adjustRightInd w:val="0"/>
        <w:snapToGrid w:val="0"/>
        <w:spacing w:line="360" w:lineRule="auto"/>
        <w:jc w:val="both"/>
        <w:rPr>
          <w:rFonts w:ascii="Book Antiqua" w:hAnsi="Book Antiqua" w:cs="Book Antiqua" w:hint="eastAsia"/>
          <w:color w:val="000000"/>
          <w:lang w:eastAsia="zh-CN"/>
        </w:rPr>
      </w:pPr>
      <w:r w:rsidRPr="00FC03C9">
        <w:rPr>
          <w:rFonts w:ascii="Book Antiqua" w:hAnsi="Book Antiqua" w:cs="Book Antiqua" w:hint="eastAsia"/>
          <w:b/>
          <w:color w:val="000000"/>
          <w:lang w:eastAsia="zh-CN"/>
        </w:rPr>
        <w:t xml:space="preserve">Citation: </w:t>
      </w:r>
      <w:r w:rsidR="00A41F52" w:rsidRPr="00A458DC">
        <w:rPr>
          <w:rFonts w:ascii="Book Antiqua" w:eastAsia="Book Antiqua" w:hAnsi="Book Antiqua" w:cs="Book Antiqua"/>
          <w:color w:val="000000"/>
        </w:rPr>
        <w:t xml:space="preserve">Chen RR, Zhu LX, Wang LL, Li XY, Sun JN, Xie MX, Zhu JJ, Zhou D, Li JH, Huang X, Xie WZ, Ye XJ. </w:t>
      </w:r>
      <w:r w:rsidR="0034029D" w:rsidRPr="00A458DC">
        <w:rPr>
          <w:rFonts w:ascii="Book Antiqua" w:eastAsia="Book Antiqua" w:hAnsi="Book Antiqua" w:cs="Book Antiqua"/>
          <w:color w:val="000000"/>
        </w:rPr>
        <w:t>Synchronous diagnosis and treatment of acute myeloid leukemia and chronic lymphocytic leukemia: Two case reports</w:t>
      </w:r>
      <w:r w:rsidR="00A41F52" w:rsidRPr="00A458DC">
        <w:rPr>
          <w:rFonts w:ascii="Book Antiqua" w:eastAsia="Book Antiqua" w:hAnsi="Book Antiqua" w:cs="Book Antiqua"/>
          <w:color w:val="000000"/>
        </w:rPr>
        <w:t xml:space="preserve">. </w:t>
      </w:r>
      <w:r w:rsidR="00A41F52" w:rsidRPr="00A458DC">
        <w:rPr>
          <w:rFonts w:ascii="Book Antiqua" w:eastAsia="Book Antiqua" w:hAnsi="Book Antiqua" w:cs="Book Antiqua"/>
          <w:i/>
          <w:iCs/>
          <w:color w:val="000000"/>
        </w:rPr>
        <w:t>World J Clin Cases</w:t>
      </w:r>
      <w:r w:rsidR="00A41F52" w:rsidRPr="00A458DC">
        <w:rPr>
          <w:rFonts w:ascii="Book Antiqua" w:eastAsia="Book Antiqua" w:hAnsi="Book Antiqua" w:cs="Book Antiqua"/>
          <w:color w:val="000000"/>
        </w:rPr>
        <w:t xml:space="preserve"> 2021; </w:t>
      </w:r>
      <w:r w:rsidR="00A458DC" w:rsidRPr="00A458DC">
        <w:rPr>
          <w:rFonts w:ascii="Book Antiqua" w:eastAsia="Book Antiqua" w:hAnsi="Book Antiqua" w:cs="Book Antiqua"/>
          <w:color w:val="000000"/>
        </w:rPr>
        <w:t xml:space="preserve">9(30): </w:t>
      </w:r>
      <w:r w:rsidR="00D408AB" w:rsidRPr="00D408AB">
        <w:rPr>
          <w:rFonts w:ascii="Book Antiqua" w:eastAsia="Book Antiqua" w:hAnsi="Book Antiqua" w:cs="Book Antiqua"/>
          <w:color w:val="000000"/>
        </w:rPr>
        <w:t>9144-9150</w:t>
      </w:r>
      <w:r w:rsidR="00A458DC" w:rsidRPr="00A458DC">
        <w:rPr>
          <w:rFonts w:ascii="Book Antiqua" w:eastAsia="Book Antiqua" w:hAnsi="Book Antiqua" w:cs="Book Antiqua"/>
          <w:color w:val="000000"/>
        </w:rPr>
        <w:t xml:space="preserve">  </w:t>
      </w:r>
    </w:p>
    <w:p w14:paraId="48D97496" w14:textId="2D38FBCE" w:rsidR="00FC03C9" w:rsidRDefault="00A458DC" w:rsidP="00196E1A">
      <w:pPr>
        <w:adjustRightInd w:val="0"/>
        <w:snapToGrid w:val="0"/>
        <w:spacing w:line="360" w:lineRule="auto"/>
        <w:jc w:val="both"/>
        <w:rPr>
          <w:rFonts w:ascii="Book Antiqua" w:hAnsi="Book Antiqua" w:cs="Book Antiqua" w:hint="eastAsia"/>
          <w:color w:val="000000"/>
          <w:lang w:eastAsia="zh-CN"/>
        </w:rPr>
      </w:pPr>
      <w:r w:rsidRPr="00FC03C9">
        <w:rPr>
          <w:rFonts w:ascii="Book Antiqua" w:eastAsia="Book Antiqua" w:hAnsi="Book Antiqua" w:cs="Book Antiqua"/>
          <w:b/>
          <w:color w:val="000000"/>
        </w:rPr>
        <w:t xml:space="preserve">URL: </w:t>
      </w:r>
      <w:r w:rsidRPr="00A458DC">
        <w:rPr>
          <w:rFonts w:ascii="Book Antiqua" w:eastAsia="Book Antiqua" w:hAnsi="Book Antiqua" w:cs="Book Antiqua"/>
          <w:color w:val="000000"/>
        </w:rPr>
        <w:t>https://www.wjgnet.com/2307-8960/full/v9/i30/</w:t>
      </w:r>
      <w:r w:rsidR="00FC03C9" w:rsidRPr="00D408AB">
        <w:rPr>
          <w:rFonts w:ascii="Book Antiqua" w:eastAsia="Book Antiqua" w:hAnsi="Book Antiqua" w:cs="Book Antiqua"/>
          <w:color w:val="000000"/>
        </w:rPr>
        <w:t>9144</w:t>
      </w:r>
      <w:r w:rsidRPr="00A458DC">
        <w:rPr>
          <w:rFonts w:ascii="Book Antiqua" w:eastAsia="Book Antiqua" w:hAnsi="Book Antiqua" w:cs="Book Antiqua"/>
          <w:color w:val="000000"/>
        </w:rPr>
        <w:t xml:space="preserve">.htm  </w:t>
      </w:r>
    </w:p>
    <w:p w14:paraId="56BC6735" w14:textId="595A7BA0" w:rsidR="00A77B3E" w:rsidRPr="00A458DC" w:rsidRDefault="00A458DC" w:rsidP="00196E1A">
      <w:pPr>
        <w:adjustRightInd w:val="0"/>
        <w:snapToGrid w:val="0"/>
        <w:spacing w:line="360" w:lineRule="auto"/>
        <w:jc w:val="both"/>
      </w:pPr>
      <w:r w:rsidRPr="00FC03C9">
        <w:rPr>
          <w:rFonts w:ascii="Book Antiqua" w:eastAsia="Book Antiqua" w:hAnsi="Book Antiqua" w:cs="Book Antiqua"/>
          <w:b/>
          <w:color w:val="000000"/>
        </w:rPr>
        <w:t>DOI:</w:t>
      </w:r>
      <w:r w:rsidRPr="00A458DC">
        <w:rPr>
          <w:rFonts w:ascii="Book Antiqua" w:eastAsia="Book Antiqua" w:hAnsi="Book Antiqua" w:cs="Book Antiqua"/>
          <w:color w:val="000000"/>
        </w:rPr>
        <w:t xml:space="preserve"> https://dx.doi.org/10.12998/wjcc.v9.i30.</w:t>
      </w:r>
      <w:r w:rsidR="00FC03C9" w:rsidRPr="00D408AB">
        <w:rPr>
          <w:rFonts w:ascii="Book Antiqua" w:eastAsia="Book Antiqua" w:hAnsi="Book Antiqua" w:cs="Book Antiqua"/>
          <w:color w:val="000000"/>
        </w:rPr>
        <w:t>9144</w:t>
      </w:r>
    </w:p>
    <w:p w14:paraId="14D03CEA" w14:textId="77777777" w:rsidR="00A77B3E" w:rsidRPr="00A458DC" w:rsidRDefault="00A77B3E" w:rsidP="00196E1A">
      <w:pPr>
        <w:adjustRightInd w:val="0"/>
        <w:snapToGrid w:val="0"/>
        <w:spacing w:line="360" w:lineRule="auto"/>
        <w:jc w:val="both"/>
      </w:pPr>
    </w:p>
    <w:p w14:paraId="13BD9CA0" w14:textId="5D2783F8"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szCs w:val="21"/>
        </w:rPr>
        <w:t xml:space="preserve">Core Tip: </w:t>
      </w:r>
      <w:bookmarkStart w:id="7" w:name="OLE_LINK2"/>
      <w:bookmarkStart w:id="8" w:name="OLE_LINK344"/>
      <w:bookmarkStart w:id="9" w:name="OLE_LINK345"/>
      <w:r w:rsidRPr="00A458DC">
        <w:rPr>
          <w:rFonts w:ascii="Book Antiqua" w:eastAsia="Book Antiqua" w:hAnsi="Book Antiqua" w:cs="Book Antiqua"/>
          <w:color w:val="000000"/>
        </w:rPr>
        <w:t xml:space="preserve">The concurrence of acute myeloid leukemia (AML) and chronic lymphocytic leukemia is rare, and patients with both diseases have a poor prognosis. The clinical features, include male predominance and a predilection for older patients, and the </w:t>
      </w:r>
      <w:r w:rsidR="00CD7478" w:rsidRPr="00A458DC">
        <w:rPr>
          <w:rFonts w:ascii="Book Antiqua" w:eastAsia="Book Antiqua" w:hAnsi="Book Antiqua" w:cs="Book Antiqua"/>
          <w:color w:val="000000"/>
        </w:rPr>
        <w:t>AML</w:t>
      </w:r>
      <w:r w:rsidRPr="00A458DC">
        <w:rPr>
          <w:rFonts w:ascii="Book Antiqua" w:eastAsia="Book Antiqua" w:hAnsi="Book Antiqua" w:cs="Book Antiqua"/>
          <w:color w:val="000000"/>
        </w:rPr>
        <w:t>-M2 subtype is the most frequent subtype. Infection and rapid progression are the most common causes of death in these patients.</w:t>
      </w:r>
      <w:bookmarkEnd w:id="7"/>
    </w:p>
    <w:bookmarkEnd w:id="8"/>
    <w:bookmarkEnd w:id="9"/>
    <w:p w14:paraId="6C2E61C4" w14:textId="42B9BF6A" w:rsidR="00196E1A" w:rsidRPr="00A458DC" w:rsidRDefault="00196E1A" w:rsidP="00196E1A">
      <w:pPr>
        <w:adjustRightInd w:val="0"/>
        <w:snapToGrid w:val="0"/>
        <w:spacing w:line="360" w:lineRule="auto"/>
        <w:jc w:val="both"/>
      </w:pPr>
      <w:r w:rsidRPr="00A458DC">
        <w:br w:type="page"/>
      </w:r>
    </w:p>
    <w:p w14:paraId="4A698C85"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aps/>
          <w:color w:val="000000"/>
          <w:u w:val="single"/>
        </w:rPr>
        <w:t>INTRODUCTION</w:t>
      </w:r>
    </w:p>
    <w:p w14:paraId="4E40AEF2"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With the application of flow cytometry and next-generation sequencing (NGS), the number of patients diagnosed with concurrent acute myeloid leukemia (AML) and B cell chronic lymphocytic leukemia (CLL) has dramatically increased recently. Patients with CLL have an increased risk of secondary neoplasms, especially cancers of the skin and lung</w:t>
      </w:r>
      <w:r w:rsidRPr="00A458DC">
        <w:rPr>
          <w:rFonts w:ascii="Book Antiqua" w:eastAsia="Book Antiqua" w:hAnsi="Book Antiqua" w:cs="Book Antiqua"/>
          <w:color w:val="000000"/>
          <w:szCs w:val="30"/>
          <w:vertAlign w:val="superscript"/>
        </w:rPr>
        <w:t>[1]</w:t>
      </w:r>
      <w:r w:rsidRPr="00A458DC">
        <w:rPr>
          <w:rFonts w:ascii="Book Antiqua" w:eastAsia="Book Antiqua" w:hAnsi="Book Antiqua" w:cs="Book Antiqua"/>
          <w:color w:val="000000"/>
        </w:rPr>
        <w:t>. Generally, the cases reported to date can be categorized into three types: (1) AML cases with treated CLL, in which alkylating agents and purine analogs such as fludarabine can cause treatment-related AML or MDS</w:t>
      </w:r>
      <w:r w:rsidRPr="00A458DC">
        <w:rPr>
          <w:rFonts w:ascii="Book Antiqua" w:eastAsia="Book Antiqua" w:hAnsi="Book Antiqua" w:cs="Book Antiqua"/>
          <w:color w:val="000000"/>
          <w:szCs w:val="30"/>
          <w:vertAlign w:val="superscript"/>
        </w:rPr>
        <w:t>[2]</w:t>
      </w:r>
      <w:r w:rsidRPr="00A458DC">
        <w:rPr>
          <w:rFonts w:ascii="Book Antiqua" w:eastAsia="Book Antiqua" w:hAnsi="Book Antiqua" w:cs="Book Antiqua"/>
          <w:color w:val="000000"/>
        </w:rPr>
        <w:t>; (2) AML cases with untreated CLL that remains undetected for a period of time</w:t>
      </w:r>
      <w:r w:rsidRPr="00A458DC">
        <w:rPr>
          <w:rFonts w:ascii="Book Antiqua" w:eastAsia="Book Antiqua" w:hAnsi="Book Antiqua" w:cs="Book Antiqua"/>
          <w:color w:val="000000"/>
          <w:szCs w:val="30"/>
          <w:vertAlign w:val="superscript"/>
        </w:rPr>
        <w:t>[3]</w:t>
      </w:r>
      <w:r w:rsidRPr="00A458DC">
        <w:rPr>
          <w:rFonts w:ascii="Book Antiqua" w:eastAsia="Book Antiqua" w:hAnsi="Book Antiqua" w:cs="Book Antiqua"/>
          <w:color w:val="000000"/>
        </w:rPr>
        <w:t xml:space="preserve">; and (3) </w:t>
      </w:r>
      <w:r w:rsidRPr="00A458DC">
        <w:rPr>
          <w:rFonts w:ascii="Book Antiqua" w:eastAsia="Book Antiqua" w:hAnsi="Book Antiqua" w:cs="Book Antiqua"/>
          <w:caps/>
          <w:color w:val="000000"/>
        </w:rPr>
        <w:t>c</w:t>
      </w:r>
      <w:r w:rsidRPr="00A458DC">
        <w:rPr>
          <w:rFonts w:ascii="Book Antiqua" w:eastAsia="Book Antiqua" w:hAnsi="Book Antiqua" w:cs="Book Antiqua"/>
          <w:color w:val="000000"/>
        </w:rPr>
        <w:t>ases with synchronous diagnosis of AML and CLL (of which 21 have been reported since 1973)</w:t>
      </w:r>
      <w:r w:rsidRPr="00A458DC">
        <w:rPr>
          <w:rFonts w:ascii="Book Antiqua" w:eastAsia="Book Antiqua" w:hAnsi="Book Antiqua" w:cs="Book Antiqua"/>
          <w:color w:val="000000"/>
          <w:szCs w:val="30"/>
          <w:vertAlign w:val="superscript"/>
        </w:rPr>
        <w:t>[4]</w:t>
      </w:r>
      <w:r w:rsidRPr="00A458DC">
        <w:rPr>
          <w:rFonts w:ascii="Book Antiqua" w:eastAsia="Book Antiqua" w:hAnsi="Book Antiqua" w:cs="Book Antiqua"/>
          <w:color w:val="000000"/>
        </w:rPr>
        <w:t>. Infection and rapid progression are the most common causes of death in patients with both AML and CLL, which may be associated with the immune dysfunction induced by CLL.</w:t>
      </w:r>
    </w:p>
    <w:p w14:paraId="22845195" w14:textId="77777777" w:rsidR="00A77B3E" w:rsidRPr="00A458DC" w:rsidRDefault="00A41F52" w:rsidP="00196E1A">
      <w:pPr>
        <w:adjustRightInd w:val="0"/>
        <w:snapToGrid w:val="0"/>
        <w:spacing w:line="360" w:lineRule="auto"/>
        <w:ind w:firstLine="480"/>
        <w:jc w:val="both"/>
      </w:pPr>
      <w:r w:rsidRPr="00A458DC">
        <w:rPr>
          <w:rFonts w:ascii="Book Antiqua" w:eastAsia="Book Antiqua" w:hAnsi="Book Antiqua" w:cs="Book Antiqua"/>
          <w:color w:val="000000"/>
        </w:rPr>
        <w:t>The balance of antileukemia and anti-infection therapy remains challenging. Only one patient who received allogeneic hematopoietic stem cell (HSC) transplantation (allo-HSCT) after achieving complete remission after chemotherapy has been reported</w:t>
      </w:r>
      <w:r w:rsidRPr="00A458DC">
        <w:rPr>
          <w:rFonts w:ascii="Book Antiqua" w:eastAsia="Book Antiqua" w:hAnsi="Book Antiqua" w:cs="Book Antiqua"/>
          <w:color w:val="000000"/>
          <w:szCs w:val="30"/>
          <w:vertAlign w:val="superscript"/>
        </w:rPr>
        <w:t>[5]</w:t>
      </w:r>
      <w:r w:rsidRPr="00A458DC">
        <w:rPr>
          <w:rFonts w:ascii="Book Antiqua" w:eastAsia="Book Antiqua" w:hAnsi="Book Antiqua" w:cs="Book Antiqua"/>
          <w:color w:val="000000"/>
        </w:rPr>
        <w:t>, and only two patients with concurrent de novo AML with inv(16) and CLL had a relatively good prognosis</w:t>
      </w:r>
      <w:r w:rsidRPr="00A458DC">
        <w:rPr>
          <w:rFonts w:ascii="Book Antiqua" w:eastAsia="Book Antiqua" w:hAnsi="Book Antiqua" w:cs="Book Antiqua"/>
          <w:color w:val="000000"/>
          <w:szCs w:val="30"/>
          <w:vertAlign w:val="superscript"/>
        </w:rPr>
        <w:t>[4,6]</w:t>
      </w:r>
      <w:r w:rsidRPr="00A458DC">
        <w:rPr>
          <w:rFonts w:ascii="Book Antiqua" w:eastAsia="Book Antiqua" w:hAnsi="Book Antiqua" w:cs="Book Antiqua"/>
          <w:color w:val="000000"/>
        </w:rPr>
        <w:t>. However, few of the reported cases have involved simultaneous treatment of both types of tumors or demethylation therapy. We report two cases with synchronous diagnosis of AML and CLL that were treated with chemotherapy directed at both the CLL and AML components.</w:t>
      </w:r>
    </w:p>
    <w:p w14:paraId="493A8889" w14:textId="77777777" w:rsidR="00A77B3E" w:rsidRPr="00A458DC" w:rsidRDefault="00A77B3E" w:rsidP="00196E1A">
      <w:pPr>
        <w:adjustRightInd w:val="0"/>
        <w:snapToGrid w:val="0"/>
        <w:spacing w:line="360" w:lineRule="auto"/>
        <w:ind w:firstLine="480"/>
        <w:jc w:val="both"/>
      </w:pPr>
    </w:p>
    <w:p w14:paraId="6594CD94"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aps/>
          <w:color w:val="000000"/>
          <w:u w:val="single"/>
        </w:rPr>
        <w:t>CASE PRESENTATION</w:t>
      </w:r>
    </w:p>
    <w:p w14:paraId="189F907E"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i/>
          <w:color w:val="000000"/>
        </w:rPr>
        <w:t>Chief complaints</w:t>
      </w:r>
    </w:p>
    <w:p w14:paraId="3C76F090"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Case 1:</w:t>
      </w:r>
      <w:r w:rsidRPr="00A458DC">
        <w:rPr>
          <w:rFonts w:ascii="Book Antiqua" w:eastAsia="Book Antiqua" w:hAnsi="Book Antiqua" w:cs="Book Antiqua"/>
          <w:color w:val="000000"/>
        </w:rPr>
        <w:t xml:space="preserve"> A 66-year-old man presented to our hospital in July 2020 with progressive enlargement of the right parotid gland and pancytopenia for over five months.</w:t>
      </w:r>
    </w:p>
    <w:p w14:paraId="39F7A665" w14:textId="77777777" w:rsidR="00A77B3E" w:rsidRPr="00A458DC" w:rsidRDefault="00A77B3E" w:rsidP="00196E1A">
      <w:pPr>
        <w:adjustRightInd w:val="0"/>
        <w:snapToGrid w:val="0"/>
        <w:spacing w:line="360" w:lineRule="auto"/>
        <w:jc w:val="both"/>
      </w:pPr>
    </w:p>
    <w:p w14:paraId="6CB7419D"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Case 2:</w:t>
      </w:r>
      <w:r w:rsidRPr="00A458DC">
        <w:rPr>
          <w:rFonts w:ascii="Book Antiqua" w:eastAsia="Book Antiqua" w:hAnsi="Book Antiqua" w:cs="Book Antiqua"/>
          <w:color w:val="000000"/>
        </w:rPr>
        <w:t xml:space="preserve"> A 62-year-old woman was hospitalized with fatigue and abnormal blood counts for one week in April 2020.</w:t>
      </w:r>
    </w:p>
    <w:p w14:paraId="4D5D0478" w14:textId="77777777" w:rsidR="00A77B3E" w:rsidRPr="00A458DC" w:rsidRDefault="00A77B3E" w:rsidP="00196E1A">
      <w:pPr>
        <w:adjustRightInd w:val="0"/>
        <w:snapToGrid w:val="0"/>
        <w:spacing w:line="360" w:lineRule="auto"/>
        <w:jc w:val="both"/>
      </w:pPr>
    </w:p>
    <w:p w14:paraId="048140BF"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i/>
          <w:color w:val="000000"/>
        </w:rPr>
        <w:t>History of present illness</w:t>
      </w:r>
    </w:p>
    <w:p w14:paraId="6D9D87FF"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Case 1:</w:t>
      </w:r>
      <w:r w:rsidRPr="00A458DC">
        <w:rPr>
          <w:rFonts w:ascii="Book Antiqua" w:eastAsia="Book Antiqua" w:hAnsi="Book Antiqua" w:cs="Book Antiqua"/>
          <w:color w:val="000000"/>
        </w:rPr>
        <w:t xml:space="preserve"> The patient developed a mass on his left neck accompanied by fever five months ago. Then progressive enlargement of the right parotid gland followed.</w:t>
      </w:r>
      <w:r w:rsidRPr="00A458DC">
        <w:rPr>
          <w:rFonts w:ascii="Book Antiqua" w:eastAsia="Book Antiqua" w:hAnsi="Book Antiqua" w:cs="Book Antiqua"/>
          <w:color w:val="000000"/>
          <w:szCs w:val="21"/>
        </w:rPr>
        <w:t xml:space="preserve"> </w:t>
      </w:r>
      <w:r w:rsidRPr="00A458DC">
        <w:rPr>
          <w:rFonts w:ascii="Book Antiqua" w:eastAsia="Book Antiqua" w:hAnsi="Book Antiqua" w:cs="Book Antiqua"/>
          <w:color w:val="000000"/>
        </w:rPr>
        <w:t>The patient went to a local hospital, and ultrasound indicated substantial mass in the right parotid gland and bilateral cervical lymph node enlargement. The mass shrank slightly after hormone and anti-infective therapy.</w:t>
      </w:r>
      <w:r w:rsidRPr="00A458DC">
        <w:rPr>
          <w:rFonts w:ascii="Book Antiqua" w:eastAsia="Book Antiqua" w:hAnsi="Book Antiqua" w:cs="Book Antiqua"/>
          <w:color w:val="000000"/>
          <w:szCs w:val="21"/>
        </w:rPr>
        <w:t xml:space="preserve"> </w:t>
      </w:r>
      <w:r w:rsidRPr="00A458DC">
        <w:rPr>
          <w:rFonts w:ascii="Book Antiqua" w:eastAsia="Book Antiqua" w:hAnsi="Book Antiqua" w:cs="Book Antiqua"/>
          <w:color w:val="000000"/>
        </w:rPr>
        <w:t>The patient was later transferred to our hospital for further treatment. Right neck lymph node biopsy was performed, and the lymph node biopsy results returned a pathologic diagnosis of CD5-positive B cell lymphoma (small lymphocytic lymphoma (SLL)/CLL was considered first) with myeloid leukemia invasion (Figure 1A). Bone marrow examination indicated that the number of nucleated cells was increased, and myeloblasts accounted for 52% of cells. The FAB classification was M2a.</w:t>
      </w:r>
    </w:p>
    <w:p w14:paraId="4F772CB5" w14:textId="77777777" w:rsidR="00A77B3E" w:rsidRPr="00A458DC" w:rsidRDefault="00A77B3E" w:rsidP="00196E1A">
      <w:pPr>
        <w:adjustRightInd w:val="0"/>
        <w:snapToGrid w:val="0"/>
        <w:spacing w:line="360" w:lineRule="auto"/>
        <w:jc w:val="both"/>
      </w:pPr>
    </w:p>
    <w:p w14:paraId="29FB0B53"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Case 2:</w:t>
      </w:r>
      <w:r w:rsidRPr="00A458DC">
        <w:rPr>
          <w:rFonts w:ascii="Book Antiqua" w:eastAsia="Book Antiqua" w:hAnsi="Book Antiqua" w:cs="Book Antiqua"/>
          <w:color w:val="000000"/>
        </w:rPr>
        <w:t xml:space="preserve"> The patient felt fatigue one week ago, and then went to the hospital for blood routine examination which indicated that the three blood lines were reduced. Bone marrow and immunophenotyping were performed. Bone marrow assessment showed that the number of nucleated cells was increased, and type I+II immature granulocytes accounted for 38% of these cells. The pathology results of the bone marrow biopsy showed diffuse distribution of immature cells and lamellar proliferation of lymphoid cells (Figure 1B). </w:t>
      </w:r>
    </w:p>
    <w:p w14:paraId="1EEE3463" w14:textId="77777777" w:rsidR="00A77B3E" w:rsidRPr="00A458DC" w:rsidRDefault="00A77B3E" w:rsidP="00196E1A">
      <w:pPr>
        <w:adjustRightInd w:val="0"/>
        <w:snapToGrid w:val="0"/>
        <w:spacing w:line="360" w:lineRule="auto"/>
        <w:jc w:val="both"/>
      </w:pPr>
    </w:p>
    <w:p w14:paraId="335C8D83"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i/>
          <w:color w:val="000000"/>
        </w:rPr>
        <w:t>History of past illness</w:t>
      </w:r>
    </w:p>
    <w:p w14:paraId="00ADA260"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Case 1:</w:t>
      </w:r>
      <w:r w:rsidRPr="00A458DC">
        <w:rPr>
          <w:rFonts w:ascii="Book Antiqua" w:eastAsia="Book Antiqua" w:hAnsi="Book Antiqua" w:cs="Book Antiqua"/>
          <w:color w:val="000000"/>
        </w:rPr>
        <w:t xml:space="preserve"> The patient had a history of hypertension for 20 years.</w:t>
      </w:r>
    </w:p>
    <w:p w14:paraId="203AF0CD" w14:textId="77777777" w:rsidR="00A77B3E" w:rsidRPr="00A458DC" w:rsidRDefault="00A77B3E" w:rsidP="00196E1A">
      <w:pPr>
        <w:adjustRightInd w:val="0"/>
        <w:snapToGrid w:val="0"/>
        <w:spacing w:line="360" w:lineRule="auto"/>
        <w:jc w:val="both"/>
      </w:pPr>
    </w:p>
    <w:p w14:paraId="1034BD98"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Case 2:</w:t>
      </w:r>
      <w:r w:rsidRPr="00A458DC">
        <w:rPr>
          <w:rFonts w:ascii="Book Antiqua" w:eastAsia="Book Antiqua" w:hAnsi="Book Antiqua" w:cs="Book Antiqua"/>
          <w:color w:val="000000"/>
        </w:rPr>
        <w:t xml:space="preserve"> The patient had no prior history of a hematolymphoid neoplasm or exposure to toxins or radiation.</w:t>
      </w:r>
    </w:p>
    <w:p w14:paraId="525A3C62" w14:textId="77777777" w:rsidR="00A77B3E" w:rsidRPr="00A458DC" w:rsidRDefault="00A77B3E" w:rsidP="00196E1A">
      <w:pPr>
        <w:adjustRightInd w:val="0"/>
        <w:snapToGrid w:val="0"/>
        <w:spacing w:line="360" w:lineRule="auto"/>
        <w:jc w:val="both"/>
      </w:pPr>
    </w:p>
    <w:p w14:paraId="6ACB5AB9"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i/>
          <w:color w:val="000000"/>
        </w:rPr>
        <w:t>Personal and family history</w:t>
      </w:r>
    </w:p>
    <w:p w14:paraId="16644892"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Case 1:</w:t>
      </w:r>
      <w:r w:rsidRPr="00A458DC">
        <w:rPr>
          <w:rFonts w:ascii="Book Antiqua" w:eastAsia="Book Antiqua" w:hAnsi="Book Antiqua" w:cs="Book Antiqua"/>
          <w:color w:val="000000"/>
          <w:szCs w:val="21"/>
        </w:rPr>
        <w:t xml:space="preserve"> </w:t>
      </w:r>
      <w:r w:rsidRPr="00A458DC">
        <w:rPr>
          <w:rFonts w:ascii="Book Antiqua" w:eastAsia="Book Antiqua" w:hAnsi="Book Antiqua" w:cs="Book Antiqua"/>
          <w:color w:val="000000"/>
        </w:rPr>
        <w:t>There is nothing special about personal history. His parents died of "cancer". His sister suffered from bowel cancer.</w:t>
      </w:r>
    </w:p>
    <w:p w14:paraId="2040C91B" w14:textId="77777777" w:rsidR="00A77B3E" w:rsidRPr="00A458DC" w:rsidRDefault="00A77B3E" w:rsidP="00196E1A">
      <w:pPr>
        <w:adjustRightInd w:val="0"/>
        <w:snapToGrid w:val="0"/>
        <w:spacing w:line="360" w:lineRule="auto"/>
        <w:jc w:val="both"/>
      </w:pPr>
    </w:p>
    <w:p w14:paraId="706FCFE5"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 xml:space="preserve">Case 2: </w:t>
      </w:r>
      <w:r w:rsidRPr="00A458DC">
        <w:rPr>
          <w:rFonts w:ascii="Book Antiqua" w:eastAsia="Book Antiqua" w:hAnsi="Book Antiqua" w:cs="Book Antiqua"/>
          <w:color w:val="000000"/>
        </w:rPr>
        <w:t>The patient had undergone cholecystectomy for gallbladder polyps and hysterectomy for hysteromyoma. There is nothing special about family history.</w:t>
      </w:r>
    </w:p>
    <w:p w14:paraId="0C878226" w14:textId="77777777" w:rsidR="00A77B3E" w:rsidRPr="00A458DC" w:rsidRDefault="00A77B3E" w:rsidP="00196E1A">
      <w:pPr>
        <w:adjustRightInd w:val="0"/>
        <w:snapToGrid w:val="0"/>
        <w:spacing w:line="360" w:lineRule="auto"/>
        <w:jc w:val="both"/>
      </w:pPr>
    </w:p>
    <w:p w14:paraId="4598AC51"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i/>
          <w:color w:val="000000"/>
        </w:rPr>
        <w:t>Physical examination</w:t>
      </w:r>
    </w:p>
    <w:p w14:paraId="0D178854" w14:textId="40B49CF8"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szCs w:val="22"/>
        </w:rPr>
        <w:t>Case</w:t>
      </w:r>
      <w:r w:rsidR="00CD7478" w:rsidRPr="00A458DC">
        <w:rPr>
          <w:rFonts w:ascii="Book Antiqua" w:eastAsia="Book Antiqua" w:hAnsi="Book Antiqua" w:cs="Book Antiqua"/>
          <w:b/>
          <w:bCs/>
          <w:color w:val="000000"/>
          <w:szCs w:val="22"/>
        </w:rPr>
        <w:t xml:space="preserve"> </w:t>
      </w:r>
      <w:r w:rsidRPr="00A458DC">
        <w:rPr>
          <w:rFonts w:ascii="Book Antiqua" w:eastAsia="Book Antiqua" w:hAnsi="Book Antiqua" w:cs="Book Antiqua"/>
          <w:b/>
          <w:bCs/>
          <w:color w:val="000000"/>
          <w:szCs w:val="22"/>
        </w:rPr>
        <w:t>1:</w:t>
      </w:r>
      <w:r w:rsidR="00CD7478" w:rsidRPr="00A458DC">
        <w:rPr>
          <w:rFonts w:ascii="Book Antiqua" w:eastAsia="Book Antiqua" w:hAnsi="Book Antiqua" w:cs="Book Antiqua"/>
          <w:b/>
          <w:bCs/>
          <w:color w:val="000000"/>
          <w:szCs w:val="22"/>
        </w:rPr>
        <w:t xml:space="preserve"> </w:t>
      </w:r>
      <w:r w:rsidRPr="00A458DC">
        <w:rPr>
          <w:rFonts w:ascii="Book Antiqua" w:eastAsia="Book Antiqua" w:hAnsi="Book Antiqua" w:cs="Book Antiqua"/>
          <w:color w:val="000000"/>
          <w:szCs w:val="22"/>
        </w:rPr>
        <w:t>Progressive enlargement of the right parotid gland.</w:t>
      </w:r>
    </w:p>
    <w:p w14:paraId="5AD5BD61" w14:textId="77777777" w:rsidR="00A77B3E" w:rsidRPr="00A458DC" w:rsidRDefault="00A77B3E" w:rsidP="00196E1A">
      <w:pPr>
        <w:adjustRightInd w:val="0"/>
        <w:snapToGrid w:val="0"/>
        <w:spacing w:line="360" w:lineRule="auto"/>
        <w:jc w:val="both"/>
      </w:pPr>
    </w:p>
    <w:p w14:paraId="54CF1B49"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i/>
          <w:color w:val="000000"/>
        </w:rPr>
        <w:t>Laboratory examinations</w:t>
      </w:r>
    </w:p>
    <w:p w14:paraId="2856B2B0"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Case 1:</w:t>
      </w:r>
      <w:r w:rsidRPr="00A458DC">
        <w:rPr>
          <w:rFonts w:ascii="Book Antiqua" w:eastAsia="Book Antiqua" w:hAnsi="Book Antiqua" w:cs="Book Antiqua"/>
          <w:color w:val="000000"/>
        </w:rPr>
        <w:t xml:space="preserve"> Routine blood examination showed the following: white blood cells (WBCs) 3.04 × 10</w:t>
      </w:r>
      <w:r w:rsidRPr="00A458DC">
        <w:rPr>
          <w:rFonts w:ascii="Book Antiqua" w:eastAsia="Book Antiqua" w:hAnsi="Book Antiqua" w:cs="Book Antiqua"/>
          <w:color w:val="000000"/>
          <w:szCs w:val="30"/>
          <w:vertAlign w:val="superscript"/>
        </w:rPr>
        <w:t>9</w:t>
      </w:r>
      <w:r w:rsidRPr="00A458DC">
        <w:rPr>
          <w:rFonts w:ascii="Book Antiqua" w:eastAsia="Book Antiqua" w:hAnsi="Book Antiqua" w:cs="Book Antiqua"/>
          <w:color w:val="000000"/>
        </w:rPr>
        <w:t>/L, lymphocyte ratio 58.9%, proportion of monocytes 10.9%, hemoglobin (HB) 93 g/L and platelets (PLTs) 68 × 10</w:t>
      </w:r>
      <w:r w:rsidRPr="00A458DC">
        <w:rPr>
          <w:rFonts w:ascii="Book Antiqua" w:eastAsia="Book Antiqua" w:hAnsi="Book Antiqua" w:cs="Book Antiqua"/>
          <w:color w:val="000000"/>
          <w:szCs w:val="30"/>
          <w:vertAlign w:val="superscript"/>
        </w:rPr>
        <w:t>9</w:t>
      </w:r>
      <w:r w:rsidRPr="00A458DC">
        <w:rPr>
          <w:rFonts w:ascii="Book Antiqua" w:eastAsia="Book Antiqua" w:hAnsi="Book Antiqua" w:cs="Book Antiqua"/>
          <w:color w:val="000000"/>
        </w:rPr>
        <w:t>/L. His peripheral blood smear showed a few primitive naive cells (6%).Flow cytometric analysis showed a population of cells with moderately low side scatter</w:t>
      </w:r>
      <w:r w:rsidRPr="00A458DC">
        <w:rPr>
          <w:rFonts w:ascii="Book Antiqua" w:eastAsia="Book Antiqua" w:hAnsi="Book Antiqua" w:cs="Book Antiqua"/>
          <w:b/>
          <w:bCs/>
          <w:color w:val="000000"/>
        </w:rPr>
        <w:t xml:space="preserve"> </w:t>
      </w:r>
      <w:r w:rsidRPr="00A458DC">
        <w:rPr>
          <w:rFonts w:ascii="Book Antiqua" w:eastAsia="Book Antiqua" w:hAnsi="Book Antiqua" w:cs="Book Antiqua"/>
          <w:color w:val="000000"/>
        </w:rPr>
        <w:t>(red, Figure 2A) and a separate population with high side scatter (green, Figure 2A): one population was positive for myeloblast markers (CD117, CD34, CD33, CD13, HLADR, CD38, and MPO), and the other population was positive for B lymphoid markers (CD19, CD5, CD22, CD20, CD23 (dim)</w:t>
      </w:r>
      <w:r w:rsidRPr="00A458DC">
        <w:rPr>
          <w:rFonts w:ascii="Book Antiqua" w:eastAsia="Book Antiqua" w:hAnsi="Book Antiqua" w:cs="Book Antiqua"/>
          <w:b/>
          <w:bCs/>
          <w:color w:val="000000"/>
        </w:rPr>
        <w:t xml:space="preserve">, </w:t>
      </w:r>
      <w:r w:rsidRPr="00A458DC">
        <w:rPr>
          <w:rFonts w:ascii="Book Antiqua" w:eastAsia="Book Antiqua" w:hAnsi="Book Antiqua" w:cs="Book Antiqua"/>
          <w:color w:val="000000"/>
        </w:rPr>
        <w:t>CD200, and kappa light chain-restricted expression)</w:t>
      </w:r>
      <w:r w:rsidRPr="00A458DC">
        <w:rPr>
          <w:rFonts w:ascii="Book Antiqua" w:eastAsia="Book Antiqua" w:hAnsi="Book Antiqua" w:cs="Book Antiqua"/>
          <w:b/>
          <w:bCs/>
          <w:color w:val="000000"/>
        </w:rPr>
        <w:t xml:space="preserve"> </w:t>
      </w:r>
      <w:r w:rsidRPr="00A458DC">
        <w:rPr>
          <w:rFonts w:ascii="Book Antiqua" w:eastAsia="Book Antiqua" w:hAnsi="Book Antiqua" w:cs="Book Antiqua"/>
          <w:color w:val="000000"/>
        </w:rPr>
        <w:t>and did not express CD103, FMC7, CD10, CD25, or sIgM. Thus, the patient’s flow cytometry results clearly showed the concurrence of CLL and AML.</w:t>
      </w:r>
    </w:p>
    <w:p w14:paraId="2111C462" w14:textId="77777777" w:rsidR="00A77B3E" w:rsidRPr="00A458DC" w:rsidRDefault="00A41F52" w:rsidP="00196E1A">
      <w:pPr>
        <w:adjustRightInd w:val="0"/>
        <w:snapToGrid w:val="0"/>
        <w:spacing w:line="360" w:lineRule="auto"/>
        <w:ind w:firstLine="240"/>
        <w:jc w:val="both"/>
      </w:pPr>
      <w:r w:rsidRPr="00A458DC">
        <w:rPr>
          <w:rFonts w:ascii="Book Antiqua" w:eastAsia="Book Antiqua" w:hAnsi="Book Antiqua" w:cs="Book Antiqua"/>
          <w:color w:val="000000"/>
        </w:rPr>
        <w:t>Immunohistochemical analysis of lymph node tissue showed the following: lymphocyte CD3 (-), CD20 (+), Ki-67 (+20%), Bcl-2 (+), CD5 (+), CD10 (-), CD23 (dim), cyclin D1 (-), CD21 (-), kappa (κ) (dim), lambda (λ) (dim), SOX11 (-), and TDT (-). The analysis of myeloid cells yielded the following results: MPO (+), KI67 (+70%), CD34 (-), and CD117 (dim). Chromosome analysis revealed an abnormal karyotype: 45, XY, -7</w:t>
      </w:r>
      <w:r w:rsidRPr="00A458DC">
        <w:rPr>
          <w:rFonts w:ascii="Book Antiqua" w:eastAsia="Book Antiqua" w:hAnsi="Book Antiqua" w:cs="Book Antiqua"/>
          <w:color w:val="000000"/>
          <w:vertAlign w:val="superscript"/>
        </w:rPr>
        <w:t>[10]</w:t>
      </w:r>
      <w:r w:rsidRPr="00A458DC">
        <w:rPr>
          <w:rFonts w:ascii="Book Antiqua" w:eastAsia="Book Antiqua" w:hAnsi="Book Antiqua" w:cs="Book Antiqua"/>
          <w:color w:val="000000"/>
        </w:rPr>
        <w:t>/46, XY</w:t>
      </w:r>
      <w:r w:rsidRPr="00A458DC">
        <w:rPr>
          <w:rFonts w:ascii="Book Antiqua" w:eastAsia="Book Antiqua" w:hAnsi="Book Antiqua" w:cs="Book Antiqua"/>
          <w:color w:val="000000"/>
          <w:szCs w:val="20"/>
          <w:vertAlign w:val="superscript"/>
        </w:rPr>
        <w:t>[5]</w:t>
      </w:r>
      <w:r w:rsidRPr="00A458DC">
        <w:rPr>
          <w:rFonts w:ascii="Book Antiqua" w:eastAsia="Book Antiqua" w:hAnsi="Book Antiqua" w:cs="Book Antiqua"/>
          <w:color w:val="000000"/>
        </w:rPr>
        <w:t xml:space="preserve">. NGS showed the following mutation frequencies in cells: ASXL1 34.3%, TET2 40.5%, STAG2 81.8%, CEBPA 38.9%, and ETV6 1.7%. The WHO classification was AML with CEBPA mutation. Bone marrow cells showed </w:t>
      </w:r>
      <w:r w:rsidRPr="00A458DC">
        <w:rPr>
          <w:rFonts w:ascii="Book Antiqua" w:eastAsia="Book Antiqua" w:hAnsi="Book Antiqua" w:cs="Book Antiqua"/>
          <w:i/>
          <w:iCs/>
          <w:color w:val="000000"/>
        </w:rPr>
        <w:t>IgHV</w:t>
      </w:r>
      <w:r w:rsidRPr="00A458DC">
        <w:rPr>
          <w:rFonts w:ascii="Book Antiqua" w:eastAsia="Book Antiqua" w:hAnsi="Book Antiqua" w:cs="Book Antiqua"/>
          <w:color w:val="000000"/>
        </w:rPr>
        <w:t xml:space="preserve"> gene mutation, and the IgH rearrangement-positive mutation rate was 9.8%, suggesting a good prognosis.</w:t>
      </w:r>
    </w:p>
    <w:p w14:paraId="41A7B127" w14:textId="77777777" w:rsidR="00A77B3E" w:rsidRPr="00A458DC" w:rsidRDefault="00A77B3E" w:rsidP="00196E1A">
      <w:pPr>
        <w:adjustRightInd w:val="0"/>
        <w:snapToGrid w:val="0"/>
        <w:spacing w:line="360" w:lineRule="auto"/>
        <w:ind w:firstLine="240"/>
        <w:jc w:val="both"/>
      </w:pPr>
    </w:p>
    <w:p w14:paraId="5943FEEE"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 xml:space="preserve">Case 2: </w:t>
      </w:r>
      <w:r w:rsidRPr="00A458DC">
        <w:rPr>
          <w:rFonts w:ascii="Book Antiqua" w:eastAsia="Book Antiqua" w:hAnsi="Book Antiqua" w:cs="Book Antiqua"/>
          <w:color w:val="000000"/>
        </w:rPr>
        <w:t>Peripheral blood analysis showed WBCs 24.4 × 10</w:t>
      </w:r>
      <w:r w:rsidRPr="00A458DC">
        <w:rPr>
          <w:rFonts w:ascii="Book Antiqua" w:eastAsia="Book Antiqua" w:hAnsi="Book Antiqua" w:cs="Book Antiqua"/>
          <w:color w:val="000000"/>
          <w:szCs w:val="30"/>
          <w:vertAlign w:val="superscript"/>
        </w:rPr>
        <w:t>9</w:t>
      </w:r>
      <w:r w:rsidRPr="00A458DC">
        <w:rPr>
          <w:rFonts w:ascii="Book Antiqua" w:eastAsia="Book Antiqua" w:hAnsi="Book Antiqua" w:cs="Book Antiqua"/>
          <w:color w:val="000000"/>
        </w:rPr>
        <w:t>/L, HB 113 g/L, PLTs 17 × 10</w:t>
      </w:r>
      <w:r w:rsidRPr="00A458DC">
        <w:rPr>
          <w:rFonts w:ascii="Book Antiqua" w:eastAsia="Book Antiqua" w:hAnsi="Book Antiqua" w:cs="Book Antiqua"/>
          <w:color w:val="000000"/>
          <w:szCs w:val="30"/>
          <w:vertAlign w:val="superscript"/>
        </w:rPr>
        <w:t>9</w:t>
      </w:r>
      <w:r w:rsidRPr="00A458DC">
        <w:rPr>
          <w:rFonts w:ascii="Book Antiqua" w:eastAsia="Book Antiqua" w:hAnsi="Book Antiqua" w:cs="Book Antiqua"/>
          <w:color w:val="000000"/>
        </w:rPr>
        <w:t>/L and abnormal cells 5%. Immunotyping of the leukemia cells showed the following: A primitive myeloid cell population (red, Figure 2B) (expressing CD117, CD34, CD 33, CD13, HLA-DR, and CD38) accounted for 29.78% of cells, and an abnormal B lymphocyte population (green, Figure 2B) (expressing CD19, CD5, CD22 (dim), CD20 (dim), CD23, CD200, and kappa light chain) accounted for approximately 50.42% of cells. NGS showed the following mutation frequencies in cells: CEBPA mutation 7.23%, GATA2 6.5%, NOTCH1 28.47%, and SF3B1 1.14%.</w:t>
      </w:r>
    </w:p>
    <w:p w14:paraId="67107609" w14:textId="77777777" w:rsidR="00A77B3E" w:rsidRPr="00A458DC" w:rsidRDefault="00A77B3E" w:rsidP="00196E1A">
      <w:pPr>
        <w:adjustRightInd w:val="0"/>
        <w:snapToGrid w:val="0"/>
        <w:spacing w:line="360" w:lineRule="auto"/>
        <w:jc w:val="both"/>
        <w:rPr>
          <w:lang w:eastAsia="zh-CN"/>
        </w:rPr>
      </w:pPr>
    </w:p>
    <w:p w14:paraId="7D8D1EE4"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aps/>
          <w:color w:val="000000"/>
          <w:u w:val="single"/>
        </w:rPr>
        <w:t>FINAL DIAGNOSIS</w:t>
      </w:r>
    </w:p>
    <w:p w14:paraId="29E7190D"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i/>
          <w:iCs/>
          <w:caps/>
          <w:color w:val="000000"/>
        </w:rPr>
        <w:t>C</w:t>
      </w:r>
      <w:r w:rsidRPr="00A458DC">
        <w:rPr>
          <w:rFonts w:ascii="Book Antiqua" w:eastAsia="Book Antiqua" w:hAnsi="Book Antiqua" w:cs="Book Antiqua"/>
          <w:b/>
          <w:bCs/>
          <w:i/>
          <w:iCs/>
          <w:color w:val="000000"/>
        </w:rPr>
        <w:t>ase 1</w:t>
      </w:r>
    </w:p>
    <w:p w14:paraId="21B8C3E4"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(1) Synchronous CLL and AML; and (2) </w:t>
      </w:r>
      <w:r w:rsidRPr="00A458DC">
        <w:rPr>
          <w:rFonts w:ascii="Book Antiqua" w:eastAsia="Book Antiqua" w:hAnsi="Book Antiqua" w:cs="Book Antiqua"/>
          <w:caps/>
          <w:color w:val="000000"/>
        </w:rPr>
        <w:t>p</w:t>
      </w:r>
      <w:r w:rsidRPr="00A458DC">
        <w:rPr>
          <w:rFonts w:ascii="Book Antiqua" w:eastAsia="Book Antiqua" w:hAnsi="Book Antiqua" w:cs="Book Antiqua"/>
          <w:color w:val="000000"/>
        </w:rPr>
        <w:t>ulmonary infection.</w:t>
      </w:r>
    </w:p>
    <w:p w14:paraId="483FD632" w14:textId="77777777" w:rsidR="00A77B3E" w:rsidRPr="00A458DC" w:rsidRDefault="00A77B3E" w:rsidP="00196E1A">
      <w:pPr>
        <w:adjustRightInd w:val="0"/>
        <w:snapToGrid w:val="0"/>
        <w:spacing w:line="360" w:lineRule="auto"/>
        <w:jc w:val="both"/>
      </w:pPr>
    </w:p>
    <w:p w14:paraId="54092A3C"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i/>
          <w:iCs/>
          <w:caps/>
          <w:color w:val="000000"/>
        </w:rPr>
        <w:t>C</w:t>
      </w:r>
      <w:r w:rsidRPr="00A458DC">
        <w:rPr>
          <w:rFonts w:ascii="Book Antiqua" w:eastAsia="Book Antiqua" w:hAnsi="Book Antiqua" w:cs="Book Antiqua"/>
          <w:b/>
          <w:bCs/>
          <w:i/>
          <w:iCs/>
          <w:color w:val="000000"/>
        </w:rPr>
        <w:t>ase 2</w:t>
      </w:r>
    </w:p>
    <w:p w14:paraId="7EA6131D"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The results of the bone marrow morphology and flow cytometric analyses indicated a diagnosis of AML-M1 and CLL.</w:t>
      </w:r>
    </w:p>
    <w:p w14:paraId="44383F23" w14:textId="77777777" w:rsidR="00A77B3E" w:rsidRPr="00A458DC" w:rsidRDefault="00A77B3E" w:rsidP="00196E1A">
      <w:pPr>
        <w:adjustRightInd w:val="0"/>
        <w:snapToGrid w:val="0"/>
        <w:spacing w:line="360" w:lineRule="auto"/>
        <w:jc w:val="both"/>
      </w:pPr>
    </w:p>
    <w:p w14:paraId="3CDB0871"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aps/>
          <w:color w:val="000000"/>
          <w:u w:val="single"/>
        </w:rPr>
        <w:t>TREATMENT</w:t>
      </w:r>
    </w:p>
    <w:p w14:paraId="39DFB204"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i/>
          <w:iCs/>
          <w:caps/>
          <w:color w:val="000000"/>
        </w:rPr>
        <w:t>C</w:t>
      </w:r>
      <w:r w:rsidRPr="00A458DC">
        <w:rPr>
          <w:rFonts w:ascii="Book Antiqua" w:eastAsia="Book Antiqua" w:hAnsi="Book Antiqua" w:cs="Book Antiqua"/>
          <w:b/>
          <w:bCs/>
          <w:i/>
          <w:iCs/>
          <w:color w:val="000000"/>
        </w:rPr>
        <w:t>ase 1</w:t>
      </w:r>
    </w:p>
    <w:p w14:paraId="55BD0A8F"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The pulmonary infection, which was diagnosed at admission, partially responded to therapy with dexamethasone 10 mg/d, which was administered before leukemia treatment. Considering the poor physical condition of the patient and the desire for combination therapy, a low dose of combination cytarabine and azacytidine </w:t>
      </w:r>
      <w:r w:rsidRPr="00A458DC">
        <w:rPr>
          <w:rFonts w:ascii="Book Antiqua" w:eastAsia="Book Antiqua" w:hAnsi="Book Antiqua" w:cs="Book Antiqua"/>
          <w:color w:val="000000"/>
          <w:shd w:val="clear" w:color="auto" w:fill="FFFFFF"/>
        </w:rPr>
        <w:t>(</w:t>
      </w:r>
      <w:r w:rsidRPr="00A458DC">
        <w:rPr>
          <w:rFonts w:ascii="Book Antiqua" w:eastAsia="Book Antiqua" w:hAnsi="Book Antiqua" w:cs="Book Antiqua"/>
          <w:color w:val="000000"/>
        </w:rPr>
        <w:t>azacytidine 130 mg d1–7 + cytarabine 20 mg Q12H d1–10) was used initially. Partial hematological remission after the first induction therapy was achieved by administration of the same chemotherapy regimen a second time. However, routine bone marrow monitoring after two cycles of this regimen indicated that immature granulocytes accounted for 38% of bone marrow cells. Minimum residual disease (MRD) monitoring showed a residual cancer cell proportion of 36.149%, suggesting that the patient was not in remission. Therefore, the treatment regimen was changed. Two courses of the Bcl-2 inhibitor Venclexta (100 mg d1–28) combined with azacytidine (130 mg d1–7) were administered; surprisingly, both bone marrow and molecular remission were obtained. Pulmonary fungal infection occurred during the patient’s hospital stay, and the dose of Bcl-2 inhibitor was adjusted for concomitant use with the antifungal drug posaconazole.</w:t>
      </w:r>
    </w:p>
    <w:p w14:paraId="504AF840" w14:textId="77777777" w:rsidR="00A77B3E" w:rsidRPr="00A458DC" w:rsidRDefault="00A77B3E" w:rsidP="00196E1A">
      <w:pPr>
        <w:adjustRightInd w:val="0"/>
        <w:snapToGrid w:val="0"/>
        <w:spacing w:line="360" w:lineRule="auto"/>
        <w:jc w:val="both"/>
      </w:pPr>
    </w:p>
    <w:p w14:paraId="67228318"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i/>
          <w:iCs/>
          <w:color w:val="000000"/>
        </w:rPr>
        <w:t>Case 2</w:t>
      </w:r>
    </w:p>
    <w:p w14:paraId="320C1360"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The HA regimen (homoharringtonine (HHT) 4 mg d1–5 and cytarabine 150 mg d1–5) combined with a low dose of hormonal therapy (30 mg/d) was used as induction chemotherapy. Complete remission of the AML component was obtained after the first course of chemotherapy (with bone marrow immature granulocytes accounting for 2% of cells). Then, cytarabine and VP-16 (cytarabine 4 g d1/3/5 and VP-16 100 mg d1–5) treatment was administered once as consolidation chemotherapy. Next, HA+VP (HHT 4 mg d1–5, cytarabine 150 mg d1–7, vincristine 4 mg d1/8 and dexamethasone 10 mg d1–8) was administered as maintenance therapy, and MRD negativity (abnormal B lymphocytes &lt; 0.01%) occurred after three cycles of HA+VP.</w:t>
      </w:r>
    </w:p>
    <w:p w14:paraId="145013AF" w14:textId="77777777" w:rsidR="00A77B3E" w:rsidRPr="00A458DC" w:rsidRDefault="00A77B3E" w:rsidP="00196E1A">
      <w:pPr>
        <w:adjustRightInd w:val="0"/>
        <w:snapToGrid w:val="0"/>
        <w:spacing w:line="360" w:lineRule="auto"/>
        <w:jc w:val="both"/>
      </w:pPr>
    </w:p>
    <w:p w14:paraId="5F0FD0D4"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aps/>
          <w:color w:val="000000"/>
          <w:u w:val="single"/>
        </w:rPr>
        <w:t>OUTCOME AND FOLLOW-UP</w:t>
      </w:r>
    </w:p>
    <w:p w14:paraId="7CCB2DF4"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i/>
          <w:iCs/>
          <w:color w:val="000000"/>
        </w:rPr>
        <w:t>Case 1</w:t>
      </w:r>
    </w:p>
    <w:p w14:paraId="19AEDAC9"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The patient had low PLTs although bone marrow remission was achieved, and he is currently waiting for a bone marrow transplant.</w:t>
      </w:r>
    </w:p>
    <w:p w14:paraId="640C0F48" w14:textId="77777777" w:rsidR="00A77B3E" w:rsidRPr="00A458DC" w:rsidRDefault="00A77B3E" w:rsidP="00196E1A">
      <w:pPr>
        <w:adjustRightInd w:val="0"/>
        <w:snapToGrid w:val="0"/>
        <w:spacing w:line="360" w:lineRule="auto"/>
        <w:jc w:val="both"/>
      </w:pPr>
    </w:p>
    <w:p w14:paraId="3DB33B30"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i/>
          <w:iCs/>
          <w:color w:val="000000"/>
        </w:rPr>
        <w:t>Case 2</w:t>
      </w:r>
    </w:p>
    <w:p w14:paraId="1FF267D9"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The patient achieved remission but refused a bone marrow transplant. </w:t>
      </w:r>
    </w:p>
    <w:p w14:paraId="3186A748" w14:textId="77777777" w:rsidR="00A77B3E" w:rsidRPr="00A458DC" w:rsidRDefault="00A77B3E" w:rsidP="00196E1A">
      <w:pPr>
        <w:adjustRightInd w:val="0"/>
        <w:snapToGrid w:val="0"/>
        <w:spacing w:line="360" w:lineRule="auto"/>
        <w:jc w:val="both"/>
      </w:pPr>
    </w:p>
    <w:p w14:paraId="15CC3885"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aps/>
          <w:color w:val="000000"/>
          <w:u w:val="single"/>
        </w:rPr>
        <w:t>DISCUSSION</w:t>
      </w:r>
    </w:p>
    <w:p w14:paraId="56A1051B"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With flow cytometry becoming a reliable detection method to diagnose the coexistence of CLL and AML, understanding the mechanisms underlying such cases and exploring treatments have become urgent.</w:t>
      </w:r>
      <w:r w:rsidRPr="00A458DC">
        <w:rPr>
          <w:rFonts w:ascii="Book Antiqua" w:eastAsia="Book Antiqua" w:hAnsi="Book Antiqua" w:cs="Book Antiqua"/>
          <w:b/>
          <w:bCs/>
          <w:color w:val="000000"/>
        </w:rPr>
        <w:t xml:space="preserve"> </w:t>
      </w:r>
      <w:r w:rsidRPr="00A458DC">
        <w:rPr>
          <w:rFonts w:ascii="Book Antiqua" w:eastAsia="Book Antiqua" w:hAnsi="Book Antiqua" w:cs="Book Antiqua"/>
          <w:color w:val="000000"/>
        </w:rPr>
        <w:t xml:space="preserve">Patients with CLL and AML always have poor prognoses. The clinical features, as Rui Zhang </w:t>
      </w:r>
      <w:r w:rsidRPr="00A458DC">
        <w:rPr>
          <w:rFonts w:ascii="Book Antiqua" w:eastAsia="Book Antiqua" w:hAnsi="Book Antiqua" w:cs="Book Antiqua"/>
          <w:i/>
          <w:iCs/>
          <w:color w:val="000000"/>
        </w:rPr>
        <w:t>et al</w:t>
      </w:r>
      <w:r w:rsidRPr="00A458DC">
        <w:rPr>
          <w:rStyle w:val="Char"/>
          <w:rFonts w:ascii="Book Antiqua" w:eastAsia="Book Antiqua" w:hAnsi="Book Antiqua" w:cs="Book Antiqua"/>
          <w:color w:val="000000"/>
        </w:rPr>
        <w:t xml:space="preserve"> </w:t>
      </w:r>
      <w:r w:rsidRPr="00A458DC">
        <w:rPr>
          <w:rFonts w:ascii="Book Antiqua" w:eastAsia="Book Antiqua" w:hAnsi="Book Antiqua" w:cs="Book Antiqua"/>
          <w:color w:val="000000"/>
        </w:rPr>
        <w:t>summarized, include a male predominance and predilection for older patients, and AML-M2 is the most frequent subtype</w:t>
      </w:r>
      <w:r w:rsidRPr="00A458DC">
        <w:rPr>
          <w:rFonts w:ascii="Book Antiqua" w:eastAsia="Book Antiqua" w:hAnsi="Book Antiqua" w:cs="Book Antiqua"/>
          <w:color w:val="000000"/>
          <w:szCs w:val="30"/>
          <w:vertAlign w:val="superscript"/>
        </w:rPr>
        <w:t>[7]</w:t>
      </w:r>
      <w:r w:rsidRPr="00A458DC">
        <w:rPr>
          <w:rFonts w:ascii="Book Antiqua" w:eastAsia="Book Antiqua" w:hAnsi="Book Antiqua" w:cs="Book Antiqua"/>
          <w:color w:val="000000"/>
        </w:rPr>
        <w:t>.</w:t>
      </w:r>
      <w:r w:rsidRPr="00A458DC">
        <w:rPr>
          <w:rFonts w:ascii="Book Antiqua" w:eastAsia="Book Antiqua" w:hAnsi="Book Antiqua" w:cs="Book Antiqua"/>
          <w:b/>
          <w:bCs/>
          <w:color w:val="000000"/>
        </w:rPr>
        <w:t xml:space="preserve"> </w:t>
      </w:r>
      <w:r w:rsidRPr="00A458DC">
        <w:rPr>
          <w:rFonts w:ascii="Book Antiqua" w:eastAsia="Book Antiqua" w:hAnsi="Book Antiqua" w:cs="Book Antiqua"/>
          <w:color w:val="000000"/>
        </w:rPr>
        <w:t xml:space="preserve">The unique aspects of our cases include the following: (1) The NGS results of our cases provide insight into the underlying mechanisms; and (2) </w:t>
      </w:r>
      <w:r w:rsidRPr="00A458DC">
        <w:rPr>
          <w:rFonts w:ascii="Book Antiqua" w:eastAsia="Book Antiqua" w:hAnsi="Book Antiqua" w:cs="Book Antiqua"/>
          <w:caps/>
          <w:color w:val="000000"/>
        </w:rPr>
        <w:t>t</w:t>
      </w:r>
      <w:r w:rsidRPr="00A458DC">
        <w:rPr>
          <w:rFonts w:ascii="Book Antiqua" w:eastAsia="Book Antiqua" w:hAnsi="Book Antiqua" w:cs="Book Antiqua"/>
          <w:color w:val="000000"/>
        </w:rPr>
        <w:t>he complete chemotherapy regimens were administered in the process of treatment.</w:t>
      </w:r>
    </w:p>
    <w:p w14:paraId="7A4DBEE3" w14:textId="77777777" w:rsidR="00A77B3E" w:rsidRPr="00A458DC" w:rsidRDefault="00A41F52" w:rsidP="00196E1A">
      <w:pPr>
        <w:adjustRightInd w:val="0"/>
        <w:snapToGrid w:val="0"/>
        <w:spacing w:line="360" w:lineRule="auto"/>
        <w:ind w:firstLine="240"/>
        <w:jc w:val="both"/>
      </w:pPr>
      <w:r w:rsidRPr="00A458DC">
        <w:rPr>
          <w:rFonts w:ascii="Book Antiqua" w:eastAsia="Book Antiqua" w:hAnsi="Book Antiqua" w:cs="Book Antiqua"/>
          <w:color w:val="000000"/>
        </w:rPr>
        <w:t>The majority of recent studies support the idea that CLL and AML originate from two separate cell types</w:t>
      </w:r>
      <w:r w:rsidRPr="00A458DC">
        <w:rPr>
          <w:rFonts w:ascii="Book Antiqua" w:eastAsia="Book Antiqua" w:hAnsi="Book Antiqua" w:cs="Book Antiqua"/>
          <w:color w:val="000000"/>
          <w:szCs w:val="30"/>
          <w:vertAlign w:val="superscript"/>
        </w:rPr>
        <w:t>[6,8,9]</w:t>
      </w:r>
      <w:r w:rsidRPr="00A458DC">
        <w:rPr>
          <w:rFonts w:ascii="Book Antiqua" w:eastAsia="Book Antiqua" w:hAnsi="Book Antiqua" w:cs="Book Antiqua"/>
          <w:color w:val="000000"/>
        </w:rPr>
        <w:t>. However, some researchers maintain that AML and CLL cells share the same origin</w:t>
      </w:r>
      <w:r w:rsidRPr="00A458DC">
        <w:rPr>
          <w:rFonts w:ascii="Book Antiqua" w:eastAsia="Book Antiqua" w:hAnsi="Book Antiqua" w:cs="Book Antiqua"/>
          <w:color w:val="000000"/>
          <w:szCs w:val="30"/>
          <w:vertAlign w:val="superscript"/>
        </w:rPr>
        <w:t>[7]</w:t>
      </w:r>
      <w:r w:rsidRPr="00A458DC">
        <w:rPr>
          <w:rFonts w:ascii="Book Antiqua" w:eastAsia="Book Antiqua" w:hAnsi="Book Antiqua" w:cs="Book Antiqua"/>
          <w:color w:val="000000"/>
        </w:rPr>
        <w:t>. The myeloid and lymphoid lineages evolve from common progenitor cells called primitive HSCs. The occurrence of simultaneous hematologic tumors may be triggered by an early defect at the level of pluripotent stem cells, resulting in the simultaneous development of two tumorigenic processes</w:t>
      </w:r>
      <w:r w:rsidRPr="00A458DC">
        <w:rPr>
          <w:rFonts w:ascii="Book Antiqua" w:eastAsia="Book Antiqua" w:hAnsi="Book Antiqua" w:cs="Book Antiqua"/>
          <w:color w:val="000000"/>
          <w:szCs w:val="30"/>
          <w:vertAlign w:val="superscript"/>
        </w:rPr>
        <w:t>[10-12]</w:t>
      </w:r>
      <w:r w:rsidRPr="00A458DC">
        <w:rPr>
          <w:rFonts w:ascii="Book Antiqua" w:eastAsia="Book Antiqua" w:hAnsi="Book Antiqua" w:cs="Book Antiqua"/>
          <w:color w:val="000000"/>
        </w:rPr>
        <w:t>. To date, no specific genetic or chromosomal mutations that are clearly associated with the synchronous development of CLL and AML have been identified. However, complex chromosomal rearrangements occur in most cases, as do cytogenetic abnormalities</w:t>
      </w:r>
      <w:r w:rsidRPr="00A458DC">
        <w:rPr>
          <w:rFonts w:ascii="Book Antiqua" w:eastAsia="Book Antiqua" w:hAnsi="Book Antiqua" w:cs="Book Antiqua"/>
          <w:color w:val="000000"/>
          <w:szCs w:val="30"/>
          <w:vertAlign w:val="superscript"/>
        </w:rPr>
        <w:t>[4]</w:t>
      </w:r>
      <w:r w:rsidRPr="00A458DC">
        <w:rPr>
          <w:rFonts w:ascii="Book Antiqua" w:eastAsia="Book Antiqua" w:hAnsi="Book Antiqua" w:cs="Book Antiqua"/>
          <w:color w:val="000000"/>
        </w:rPr>
        <w:t>. Mutations affecting epigenetic modulators (TET2 40.5% and ASXL1 34.3%), cohesion proteins (STAG2 81.8%), and the cell cycle and differentiation (CEBPA 38.9%) have been discovered by previous NGS studies. TET2, a member of the ten-eleven translocation (TET) family, largely participates in regulating lymphoid and myeloid differentiation and function and may contribute to the development of multiple hematological malignancies</w:t>
      </w:r>
      <w:r w:rsidRPr="00A458DC">
        <w:rPr>
          <w:rFonts w:ascii="Book Antiqua" w:eastAsia="Book Antiqua" w:hAnsi="Book Antiqua" w:cs="Book Antiqua"/>
          <w:color w:val="000000"/>
          <w:szCs w:val="30"/>
          <w:vertAlign w:val="superscript"/>
        </w:rPr>
        <w:t>[13,14]</w:t>
      </w:r>
      <w:r w:rsidRPr="00A458DC">
        <w:rPr>
          <w:rFonts w:ascii="Book Antiqua" w:eastAsia="Book Antiqua" w:hAnsi="Book Antiqua" w:cs="Book Antiqua"/>
          <w:color w:val="000000"/>
        </w:rPr>
        <w:t xml:space="preserve">. Viny </w:t>
      </w:r>
      <w:r w:rsidRPr="00A458DC">
        <w:rPr>
          <w:rFonts w:ascii="Book Antiqua" w:eastAsia="Book Antiqua" w:hAnsi="Book Antiqua" w:cs="Book Antiqua"/>
          <w:i/>
          <w:iCs/>
          <w:color w:val="000000"/>
        </w:rPr>
        <w:t>et al</w:t>
      </w:r>
      <w:r w:rsidRPr="00A458DC">
        <w:rPr>
          <w:rFonts w:ascii="Book Antiqua" w:eastAsia="Book Antiqua" w:hAnsi="Book Antiqua" w:cs="Book Antiqua"/>
          <w:color w:val="000000"/>
          <w:szCs w:val="30"/>
          <w:vertAlign w:val="superscript"/>
        </w:rPr>
        <w:t>[15]</w:t>
      </w:r>
      <w:r w:rsidRPr="00A458DC">
        <w:rPr>
          <w:rFonts w:ascii="Book Antiqua" w:eastAsia="Book Antiqua" w:hAnsi="Book Antiqua" w:cs="Book Antiqua"/>
          <w:color w:val="000000"/>
        </w:rPr>
        <w:t xml:space="preserve"> proposed that STAG2 mutation may represent a transformative event in a primed premalignant clone. The other genetic mutations observed in the NGS results of the second case (CEBPA 7.23%, GATA2 6.5%, and NOTCH1 28.47%) occur primarily in AML. Our study supports the view that early mutation and dysregulation at the HSC stage and the accumulation of multiple rearrangements cause the concurrence of CLL and AML.</w:t>
      </w:r>
    </w:p>
    <w:p w14:paraId="13A101C1" w14:textId="77777777" w:rsidR="00A77B3E" w:rsidRPr="00A458DC" w:rsidRDefault="00A41F52" w:rsidP="00196E1A">
      <w:pPr>
        <w:adjustRightInd w:val="0"/>
        <w:snapToGrid w:val="0"/>
        <w:spacing w:line="360" w:lineRule="auto"/>
        <w:ind w:firstLine="240"/>
        <w:jc w:val="both"/>
      </w:pPr>
      <w:r w:rsidRPr="00A458DC">
        <w:rPr>
          <w:rFonts w:ascii="Book Antiqua" w:eastAsia="Book Antiqua" w:hAnsi="Book Antiqua" w:cs="Book Antiqua"/>
          <w:color w:val="000000"/>
        </w:rPr>
        <w:t>Timely treatment of AML is necessary due to the nature of the disease. However, CLL is associated with profound immunosuppression, which results in both impaired antitumor responses and increased susceptibility to infection</w:t>
      </w:r>
      <w:r w:rsidRPr="00A458DC">
        <w:rPr>
          <w:rFonts w:ascii="Book Antiqua" w:eastAsia="Book Antiqua" w:hAnsi="Book Antiqua" w:cs="Book Antiqua"/>
          <w:color w:val="000000"/>
          <w:szCs w:val="30"/>
          <w:vertAlign w:val="superscript"/>
        </w:rPr>
        <w:t>[16]</w:t>
      </w:r>
      <w:r w:rsidRPr="00A458DC">
        <w:rPr>
          <w:rFonts w:ascii="Book Antiqua" w:eastAsia="Book Antiqua" w:hAnsi="Book Antiqua" w:cs="Book Antiqua"/>
          <w:color w:val="000000"/>
        </w:rPr>
        <w:t>. To date, few successful chemotherapy attempts have been made. The difficulty in finding effective therapy may be related to the fact that patients with both AML and CML often have concurrent opportunistic infections and older age. Therefore, anti-infection and combination treatment for the CLL component are equally important in the management of these patients.</w:t>
      </w:r>
    </w:p>
    <w:p w14:paraId="22CD032F" w14:textId="77777777" w:rsidR="00A77B3E" w:rsidRPr="00A458DC" w:rsidRDefault="00A41F52" w:rsidP="00196E1A">
      <w:pPr>
        <w:adjustRightInd w:val="0"/>
        <w:snapToGrid w:val="0"/>
        <w:spacing w:line="360" w:lineRule="auto"/>
        <w:ind w:firstLine="240"/>
        <w:jc w:val="both"/>
      </w:pPr>
      <w:r w:rsidRPr="00A458DC">
        <w:rPr>
          <w:rFonts w:ascii="Book Antiqua" w:eastAsia="Book Antiqua" w:hAnsi="Book Antiqua" w:cs="Book Antiqua"/>
          <w:color w:val="000000"/>
        </w:rPr>
        <w:t xml:space="preserve">Two effective therapeutic options were used in our cases (Venclexta combined with azacytidine and HA+VP). DiNardo </w:t>
      </w:r>
      <w:r w:rsidRPr="00A458DC">
        <w:rPr>
          <w:rFonts w:ascii="Book Antiqua" w:eastAsia="Book Antiqua" w:hAnsi="Book Antiqua" w:cs="Book Antiqua"/>
          <w:i/>
          <w:iCs/>
          <w:color w:val="000000"/>
        </w:rPr>
        <w:t>et al</w:t>
      </w:r>
      <w:r w:rsidRPr="00A458DC">
        <w:rPr>
          <w:rFonts w:ascii="Book Antiqua" w:eastAsia="Book Antiqua" w:hAnsi="Book Antiqua" w:cs="Book Antiqua"/>
          <w:color w:val="000000"/>
          <w:szCs w:val="30"/>
          <w:vertAlign w:val="superscript"/>
        </w:rPr>
        <w:t>[17]</w:t>
      </w:r>
      <w:r w:rsidRPr="00A458DC">
        <w:rPr>
          <w:rFonts w:ascii="Book Antiqua" w:eastAsia="Book Antiqua" w:hAnsi="Book Antiqua" w:cs="Book Antiqua"/>
          <w:color w:val="000000"/>
        </w:rPr>
        <w:t xml:space="preserve"> concluded that azacitidine-venetoclax significantly improved the response and prolonged overall survival (OS) compared with azacitidine alone in previously untreated AML patients. BCL-2 inhibitors have been proven to provide good therapeutic responses in CLL patients</w:t>
      </w:r>
      <w:r w:rsidRPr="00A458DC">
        <w:rPr>
          <w:rFonts w:ascii="Book Antiqua" w:eastAsia="Book Antiqua" w:hAnsi="Book Antiqua" w:cs="Book Antiqua"/>
          <w:color w:val="000000"/>
          <w:szCs w:val="30"/>
          <w:vertAlign w:val="superscript"/>
        </w:rPr>
        <w:t>[18,19]</w:t>
      </w:r>
      <w:r w:rsidRPr="00A458DC">
        <w:rPr>
          <w:rFonts w:ascii="Book Antiqua" w:eastAsia="Book Antiqua" w:hAnsi="Book Antiqua" w:cs="Book Antiqua"/>
          <w:color w:val="000000"/>
        </w:rPr>
        <w:t>. TET-2 mutation was detected by NGS in the first case, and epigenetic silencing is known to play an important role in the pathogenesis of CLL</w:t>
      </w:r>
      <w:r w:rsidRPr="00A458DC">
        <w:rPr>
          <w:rFonts w:ascii="Book Antiqua" w:eastAsia="Book Antiqua" w:hAnsi="Book Antiqua" w:cs="Book Antiqua"/>
          <w:color w:val="000000"/>
          <w:szCs w:val="30"/>
          <w:vertAlign w:val="superscript"/>
        </w:rPr>
        <w:t>[20]</w:t>
      </w:r>
      <w:r w:rsidRPr="00A458DC">
        <w:rPr>
          <w:rFonts w:ascii="Book Antiqua" w:eastAsia="Book Antiqua" w:hAnsi="Book Antiqua" w:cs="Book Antiqua"/>
          <w:color w:val="000000"/>
        </w:rPr>
        <w:t>. Therefore, BCL-2 inhibitors plus azacytidine might be a good treatment option for CLL patients. Because patients similar to the one in case 2 generally have advanced age and susceptibility to infection, a simple, modified combination regimen for first-line treatment of AML and CLL (HA+VP) was chosen as intensive chemotherapy in the second case. However, for this rare high-risk subtype of hematologic tumor, allo-HSCT is still the ultimate goal of therapy.</w:t>
      </w:r>
    </w:p>
    <w:p w14:paraId="2DFFF326" w14:textId="77777777" w:rsidR="00A77B3E" w:rsidRPr="00A458DC" w:rsidRDefault="00A77B3E" w:rsidP="00196E1A">
      <w:pPr>
        <w:adjustRightInd w:val="0"/>
        <w:snapToGrid w:val="0"/>
        <w:spacing w:line="360" w:lineRule="auto"/>
        <w:ind w:firstLine="240"/>
        <w:jc w:val="both"/>
      </w:pPr>
    </w:p>
    <w:p w14:paraId="4F1FC0CF"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aps/>
          <w:color w:val="000000"/>
          <w:u w:val="single"/>
        </w:rPr>
        <w:t>CONCLUSION</w:t>
      </w:r>
    </w:p>
    <w:p w14:paraId="1034B465"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Our data support the view that early mutation and dysregulation at the HSC stage and the accumulation of multiple rearrangements may cause the concurrence of CLL and AML. The treatment of infection and combination therapy aimed at CLL are significant in the management of patients with concurrent CLL and AML.</w:t>
      </w:r>
    </w:p>
    <w:p w14:paraId="50F94F72" w14:textId="77777777" w:rsidR="00A77B3E" w:rsidRPr="00A458DC" w:rsidRDefault="00A77B3E" w:rsidP="00196E1A">
      <w:pPr>
        <w:adjustRightInd w:val="0"/>
        <w:snapToGrid w:val="0"/>
        <w:spacing w:line="360" w:lineRule="auto"/>
        <w:jc w:val="both"/>
      </w:pPr>
    </w:p>
    <w:p w14:paraId="0769B091"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olor w:val="000000"/>
        </w:rPr>
        <w:t>REFERENCES</w:t>
      </w:r>
    </w:p>
    <w:p w14:paraId="7CA77095" w14:textId="77777777" w:rsidR="00A77B3E" w:rsidRPr="00A458DC" w:rsidRDefault="00A41F52" w:rsidP="00196E1A">
      <w:pPr>
        <w:adjustRightInd w:val="0"/>
        <w:snapToGrid w:val="0"/>
        <w:spacing w:line="360" w:lineRule="auto"/>
        <w:jc w:val="both"/>
      </w:pPr>
      <w:bookmarkStart w:id="10" w:name="OLE_LINK1"/>
      <w:r w:rsidRPr="00A458DC">
        <w:rPr>
          <w:rFonts w:ascii="Book Antiqua" w:eastAsia="Book Antiqua" w:hAnsi="Book Antiqua" w:cs="Book Antiqua"/>
          <w:color w:val="000000"/>
        </w:rPr>
        <w:t xml:space="preserve">1 </w:t>
      </w:r>
      <w:r w:rsidRPr="00A458DC">
        <w:rPr>
          <w:rFonts w:ascii="Book Antiqua" w:eastAsia="Book Antiqua" w:hAnsi="Book Antiqua" w:cs="Book Antiqua"/>
          <w:b/>
          <w:bCs/>
          <w:color w:val="000000"/>
        </w:rPr>
        <w:t>Schöllkopf C</w:t>
      </w:r>
      <w:r w:rsidRPr="00A458DC">
        <w:rPr>
          <w:rFonts w:ascii="Book Antiqua" w:eastAsia="Book Antiqua" w:hAnsi="Book Antiqua" w:cs="Book Antiqua"/>
          <w:color w:val="000000"/>
        </w:rPr>
        <w:t xml:space="preserve">, Rosendahl D, Rostgaard K, Pipper C, Hjalgrim H. Risk of second cancer after chronic lymphocytic leukemia. </w:t>
      </w:r>
      <w:r w:rsidRPr="00A458DC">
        <w:rPr>
          <w:rFonts w:ascii="Book Antiqua" w:eastAsia="Book Antiqua" w:hAnsi="Book Antiqua" w:cs="Book Antiqua"/>
          <w:i/>
          <w:iCs/>
          <w:color w:val="000000"/>
        </w:rPr>
        <w:t>Int J Cancer</w:t>
      </w:r>
      <w:r w:rsidRPr="00A458DC">
        <w:rPr>
          <w:rFonts w:ascii="Book Antiqua" w:eastAsia="Book Antiqua" w:hAnsi="Book Antiqua" w:cs="Book Antiqua"/>
          <w:color w:val="000000"/>
        </w:rPr>
        <w:t xml:space="preserve"> 2007; </w:t>
      </w:r>
      <w:r w:rsidRPr="00A458DC">
        <w:rPr>
          <w:rFonts w:ascii="Book Antiqua" w:eastAsia="Book Antiqua" w:hAnsi="Book Antiqua" w:cs="Book Antiqua"/>
          <w:b/>
          <w:bCs/>
          <w:color w:val="000000"/>
        </w:rPr>
        <w:t>121</w:t>
      </w:r>
      <w:r w:rsidRPr="00A458DC">
        <w:rPr>
          <w:rFonts w:ascii="Book Antiqua" w:eastAsia="Book Antiqua" w:hAnsi="Book Antiqua" w:cs="Book Antiqua"/>
          <w:color w:val="000000"/>
        </w:rPr>
        <w:t>: 151-156 [PMID: 17351903 DOI: 10.1002/ijc.22672]</w:t>
      </w:r>
    </w:p>
    <w:p w14:paraId="3E96F007"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2 </w:t>
      </w:r>
      <w:r w:rsidRPr="00A458DC">
        <w:rPr>
          <w:rFonts w:ascii="Book Antiqua" w:eastAsia="Book Antiqua" w:hAnsi="Book Antiqua" w:cs="Book Antiqua"/>
          <w:b/>
          <w:bCs/>
          <w:color w:val="000000"/>
        </w:rPr>
        <w:t>Robertson LE</w:t>
      </w:r>
      <w:r w:rsidRPr="00A458DC">
        <w:rPr>
          <w:rFonts w:ascii="Book Antiqua" w:eastAsia="Book Antiqua" w:hAnsi="Book Antiqua" w:cs="Book Antiqua"/>
          <w:color w:val="000000"/>
        </w:rPr>
        <w:t xml:space="preserve">, Estey E, Kantarjian H, Koller C, O'Brien S, Brown B, Keating MJ. Therapy-related leukemia and myelodysplastic syndrome in chronic lymphocytic leukemia. </w:t>
      </w:r>
      <w:r w:rsidRPr="00A458DC">
        <w:rPr>
          <w:rFonts w:ascii="Book Antiqua" w:eastAsia="Book Antiqua" w:hAnsi="Book Antiqua" w:cs="Book Antiqua"/>
          <w:i/>
          <w:iCs/>
          <w:color w:val="000000"/>
        </w:rPr>
        <w:t>Leukemia</w:t>
      </w:r>
      <w:r w:rsidRPr="00A458DC">
        <w:rPr>
          <w:rFonts w:ascii="Book Antiqua" w:eastAsia="Book Antiqua" w:hAnsi="Book Antiqua" w:cs="Book Antiqua"/>
          <w:color w:val="000000"/>
        </w:rPr>
        <w:t xml:space="preserve"> 1994; </w:t>
      </w:r>
      <w:r w:rsidRPr="00A458DC">
        <w:rPr>
          <w:rFonts w:ascii="Book Antiqua" w:eastAsia="Book Antiqua" w:hAnsi="Book Antiqua" w:cs="Book Antiqua"/>
          <w:b/>
          <w:bCs/>
          <w:color w:val="000000"/>
        </w:rPr>
        <w:t>8</w:t>
      </w:r>
      <w:r w:rsidRPr="00A458DC">
        <w:rPr>
          <w:rFonts w:ascii="Book Antiqua" w:eastAsia="Book Antiqua" w:hAnsi="Book Antiqua" w:cs="Book Antiqua"/>
          <w:color w:val="000000"/>
        </w:rPr>
        <w:t>: 2047-2051 [PMID: 7807993]</w:t>
      </w:r>
    </w:p>
    <w:p w14:paraId="3F830599"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3 </w:t>
      </w:r>
      <w:r w:rsidRPr="00A458DC">
        <w:rPr>
          <w:rFonts w:ascii="Book Antiqua" w:eastAsia="Book Antiqua" w:hAnsi="Book Antiqua" w:cs="Book Antiqua"/>
          <w:b/>
          <w:bCs/>
          <w:color w:val="000000"/>
        </w:rPr>
        <w:t>Lai R</w:t>
      </w:r>
      <w:r w:rsidRPr="00A458DC">
        <w:rPr>
          <w:rFonts w:ascii="Book Antiqua" w:eastAsia="Book Antiqua" w:hAnsi="Book Antiqua" w:cs="Book Antiqua"/>
          <w:color w:val="000000"/>
        </w:rPr>
        <w:t xml:space="preserve">, Arber DA, Brynes RK, Chan O, Chang KL. Untreated chronic lymphocytic leukemia concurrent with or followed by acute myelogenous leukemia or myelodysplastic syndrome. A report of five cases and review of the literature. </w:t>
      </w:r>
      <w:r w:rsidRPr="00A458DC">
        <w:rPr>
          <w:rFonts w:ascii="Book Antiqua" w:eastAsia="Book Antiqua" w:hAnsi="Book Antiqua" w:cs="Book Antiqua"/>
          <w:i/>
          <w:iCs/>
          <w:color w:val="000000"/>
        </w:rPr>
        <w:t>Am J Clin Pathol</w:t>
      </w:r>
      <w:r w:rsidRPr="00A458DC">
        <w:rPr>
          <w:rFonts w:ascii="Book Antiqua" w:eastAsia="Book Antiqua" w:hAnsi="Book Antiqua" w:cs="Book Antiqua"/>
          <w:color w:val="000000"/>
        </w:rPr>
        <w:t xml:space="preserve"> 1999; </w:t>
      </w:r>
      <w:r w:rsidRPr="00A458DC">
        <w:rPr>
          <w:rFonts w:ascii="Book Antiqua" w:eastAsia="Book Antiqua" w:hAnsi="Book Antiqua" w:cs="Book Antiqua"/>
          <w:b/>
          <w:bCs/>
          <w:color w:val="000000"/>
        </w:rPr>
        <w:t>111</w:t>
      </w:r>
      <w:r w:rsidRPr="00A458DC">
        <w:rPr>
          <w:rFonts w:ascii="Book Antiqua" w:eastAsia="Book Antiqua" w:hAnsi="Book Antiqua" w:cs="Book Antiqua"/>
          <w:color w:val="000000"/>
        </w:rPr>
        <w:t>: 373-378 [PMID: 10078113 DOI: 10.1093/ajcp/111.3.373]</w:t>
      </w:r>
    </w:p>
    <w:p w14:paraId="207A9C3F"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4 </w:t>
      </w:r>
      <w:r w:rsidRPr="00A458DC">
        <w:rPr>
          <w:rFonts w:ascii="Book Antiqua" w:eastAsia="Book Antiqua" w:hAnsi="Book Antiqua" w:cs="Book Antiqua"/>
          <w:b/>
          <w:bCs/>
          <w:color w:val="000000"/>
        </w:rPr>
        <w:t>Shoyele O</w:t>
      </w:r>
      <w:r w:rsidRPr="00A458DC">
        <w:rPr>
          <w:rFonts w:ascii="Book Antiqua" w:eastAsia="Book Antiqua" w:hAnsi="Book Antiqua" w:cs="Book Antiqua"/>
          <w:color w:val="000000"/>
        </w:rPr>
        <w:t xml:space="preserve">, Gupta G. Synchronous Diagnosis of </w:t>
      </w:r>
      <w:r w:rsidRPr="00A458DC">
        <w:rPr>
          <w:rFonts w:ascii="Book Antiqua" w:eastAsia="Book Antiqua" w:hAnsi="Book Antiqua" w:cs="Book Antiqua"/>
          <w:i/>
          <w:iCs/>
          <w:color w:val="000000"/>
        </w:rPr>
        <w:t>De Novo</w:t>
      </w:r>
      <w:r w:rsidRPr="00A458DC">
        <w:rPr>
          <w:rFonts w:ascii="Book Antiqua" w:eastAsia="Book Antiqua" w:hAnsi="Book Antiqua" w:cs="Book Antiqua"/>
          <w:color w:val="000000"/>
        </w:rPr>
        <w:t xml:space="preserve"> Acute Myeloid Leukemia with inv(16)(p13q22) and Chronic Lymphocytic Leukemia: A Case Report and Review of the Literature. </w:t>
      </w:r>
      <w:r w:rsidRPr="00A458DC">
        <w:rPr>
          <w:rFonts w:ascii="Book Antiqua" w:eastAsia="Book Antiqua" w:hAnsi="Book Antiqua" w:cs="Book Antiqua"/>
          <w:i/>
          <w:iCs/>
          <w:color w:val="000000"/>
        </w:rPr>
        <w:t>Ann Clin Lab Sci</w:t>
      </w:r>
      <w:r w:rsidRPr="00A458DC">
        <w:rPr>
          <w:rFonts w:ascii="Book Antiqua" w:eastAsia="Book Antiqua" w:hAnsi="Book Antiqua" w:cs="Book Antiqua"/>
          <w:color w:val="000000"/>
        </w:rPr>
        <w:t xml:space="preserve"> 2018; </w:t>
      </w:r>
      <w:r w:rsidRPr="00A458DC">
        <w:rPr>
          <w:rFonts w:ascii="Book Antiqua" w:eastAsia="Book Antiqua" w:hAnsi="Book Antiqua" w:cs="Book Antiqua"/>
          <w:b/>
          <w:bCs/>
          <w:color w:val="000000"/>
        </w:rPr>
        <w:t>48</w:t>
      </w:r>
      <w:r w:rsidRPr="00A458DC">
        <w:rPr>
          <w:rFonts w:ascii="Book Antiqua" w:eastAsia="Book Antiqua" w:hAnsi="Book Antiqua" w:cs="Book Antiqua"/>
          <w:color w:val="000000"/>
        </w:rPr>
        <w:t>: 790-796 [PMID: 30610052]</w:t>
      </w:r>
    </w:p>
    <w:p w14:paraId="1AC8D250"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5 </w:t>
      </w:r>
      <w:r w:rsidRPr="00A458DC">
        <w:rPr>
          <w:rFonts w:ascii="Book Antiqua" w:eastAsia="Book Antiqua" w:hAnsi="Book Antiqua" w:cs="Book Antiqua"/>
          <w:b/>
          <w:bCs/>
          <w:color w:val="000000"/>
        </w:rPr>
        <w:t>DeFilipp Z</w:t>
      </w:r>
      <w:r w:rsidRPr="00A458DC">
        <w:rPr>
          <w:rFonts w:ascii="Book Antiqua" w:eastAsia="Book Antiqua" w:hAnsi="Book Antiqua" w:cs="Book Antiqua"/>
          <w:color w:val="000000"/>
        </w:rPr>
        <w:t xml:space="preserve">, Huynh DV, Fazal S, Sahovic E. Allogeneic stem cell transplantation for acute myeloid leukemia with del(7q) following untreated chronic lymphocytic leukemia. </w:t>
      </w:r>
      <w:r w:rsidRPr="00A458DC">
        <w:rPr>
          <w:rFonts w:ascii="Book Antiqua" w:eastAsia="Book Antiqua" w:hAnsi="Book Antiqua" w:cs="Book Antiqua"/>
          <w:i/>
          <w:iCs/>
          <w:color w:val="000000"/>
        </w:rPr>
        <w:t>Hematol Oncol Stem Cell Ther</w:t>
      </w:r>
      <w:r w:rsidRPr="00A458DC">
        <w:rPr>
          <w:rFonts w:ascii="Book Antiqua" w:eastAsia="Book Antiqua" w:hAnsi="Book Antiqua" w:cs="Book Antiqua"/>
          <w:color w:val="000000"/>
        </w:rPr>
        <w:t xml:space="preserve"> 2012; </w:t>
      </w:r>
      <w:r w:rsidRPr="00A458DC">
        <w:rPr>
          <w:rFonts w:ascii="Book Antiqua" w:eastAsia="Book Antiqua" w:hAnsi="Book Antiqua" w:cs="Book Antiqua"/>
          <w:b/>
          <w:bCs/>
          <w:color w:val="000000"/>
        </w:rPr>
        <w:t>5</w:t>
      </w:r>
      <w:r w:rsidRPr="00A458DC">
        <w:rPr>
          <w:rFonts w:ascii="Book Antiqua" w:eastAsia="Book Antiqua" w:hAnsi="Book Antiqua" w:cs="Book Antiqua"/>
          <w:color w:val="000000"/>
        </w:rPr>
        <w:t>: 165-168 [PMID: 23095794 DOI: 10.5144/1658-3876.2012.165]</w:t>
      </w:r>
    </w:p>
    <w:p w14:paraId="25390E19"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6 </w:t>
      </w:r>
      <w:r w:rsidRPr="00A458DC">
        <w:rPr>
          <w:rFonts w:ascii="Book Antiqua" w:eastAsia="Book Antiqua" w:hAnsi="Book Antiqua" w:cs="Book Antiqua"/>
          <w:b/>
          <w:bCs/>
          <w:color w:val="000000"/>
        </w:rPr>
        <w:t>Lu CM</w:t>
      </w:r>
      <w:r w:rsidRPr="00A458DC">
        <w:rPr>
          <w:rFonts w:ascii="Book Antiqua" w:eastAsia="Book Antiqua" w:hAnsi="Book Antiqua" w:cs="Book Antiqua"/>
          <w:color w:val="000000"/>
        </w:rPr>
        <w:t xml:space="preserve">, Murata-Collins JL, Wang E, Siddiqi I, Lawrence H. Concurrent acute myeloid leukemia with inv(16)(p13.1q22) and chronic lymphocytic leukemia: molecular evidence of two separate diseases. </w:t>
      </w:r>
      <w:r w:rsidRPr="00A458DC">
        <w:rPr>
          <w:rFonts w:ascii="Book Antiqua" w:eastAsia="Book Antiqua" w:hAnsi="Book Antiqua" w:cs="Book Antiqua"/>
          <w:i/>
          <w:iCs/>
          <w:color w:val="000000"/>
        </w:rPr>
        <w:t>Am J Hematol</w:t>
      </w:r>
      <w:r w:rsidRPr="00A458DC">
        <w:rPr>
          <w:rFonts w:ascii="Book Antiqua" w:eastAsia="Book Antiqua" w:hAnsi="Book Antiqua" w:cs="Book Antiqua"/>
          <w:color w:val="000000"/>
        </w:rPr>
        <w:t xml:space="preserve"> 2006; </w:t>
      </w:r>
      <w:r w:rsidRPr="00A458DC">
        <w:rPr>
          <w:rFonts w:ascii="Book Antiqua" w:eastAsia="Book Antiqua" w:hAnsi="Book Antiqua" w:cs="Book Antiqua"/>
          <w:b/>
          <w:bCs/>
          <w:color w:val="000000"/>
        </w:rPr>
        <w:t>81</w:t>
      </w:r>
      <w:r w:rsidRPr="00A458DC">
        <w:rPr>
          <w:rFonts w:ascii="Book Antiqua" w:eastAsia="Book Antiqua" w:hAnsi="Book Antiqua" w:cs="Book Antiqua"/>
          <w:color w:val="000000"/>
        </w:rPr>
        <w:t>: 963-968 [PMID: 16917916 DOI: 10.1002/ajh.20716]</w:t>
      </w:r>
    </w:p>
    <w:p w14:paraId="18DE900E"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7 </w:t>
      </w:r>
      <w:r w:rsidRPr="00A458DC">
        <w:rPr>
          <w:rFonts w:ascii="Book Antiqua" w:eastAsia="Book Antiqua" w:hAnsi="Book Antiqua" w:cs="Book Antiqua"/>
          <w:b/>
          <w:bCs/>
          <w:color w:val="000000"/>
        </w:rPr>
        <w:t>Zhang R</w:t>
      </w:r>
      <w:r w:rsidRPr="00A458DC">
        <w:rPr>
          <w:rFonts w:ascii="Book Antiqua" w:eastAsia="Book Antiqua" w:hAnsi="Book Antiqua" w:cs="Book Antiqua"/>
          <w:color w:val="000000"/>
        </w:rPr>
        <w:t xml:space="preserve">, Kim YM, Lu X, Wang X, Pang H, Li Y, Li S, Lee JY. Characterization of a novel t(2;5;11) in a patient with concurrent AML and CLL: a case report and literature review. </w:t>
      </w:r>
      <w:r w:rsidRPr="00A458DC">
        <w:rPr>
          <w:rFonts w:ascii="Book Antiqua" w:eastAsia="Book Antiqua" w:hAnsi="Book Antiqua" w:cs="Book Antiqua"/>
          <w:i/>
          <w:iCs/>
          <w:color w:val="000000"/>
        </w:rPr>
        <w:t>Cancer Genet</w:t>
      </w:r>
      <w:r w:rsidRPr="00A458DC">
        <w:rPr>
          <w:rFonts w:ascii="Book Antiqua" w:eastAsia="Book Antiqua" w:hAnsi="Book Antiqua" w:cs="Book Antiqua"/>
          <w:color w:val="000000"/>
        </w:rPr>
        <w:t xml:space="preserve"> 2011; </w:t>
      </w:r>
      <w:r w:rsidRPr="00A458DC">
        <w:rPr>
          <w:rFonts w:ascii="Book Antiqua" w:eastAsia="Book Antiqua" w:hAnsi="Book Antiqua" w:cs="Book Antiqua"/>
          <w:b/>
          <w:bCs/>
          <w:color w:val="000000"/>
        </w:rPr>
        <w:t>204</w:t>
      </w:r>
      <w:r w:rsidRPr="00A458DC">
        <w:rPr>
          <w:rFonts w:ascii="Book Antiqua" w:eastAsia="Book Antiqua" w:hAnsi="Book Antiqua" w:cs="Book Antiqua"/>
          <w:color w:val="000000"/>
        </w:rPr>
        <w:t>: 328-333 [PMID: 21763630 DOI: 10.1016/j.cancergen.2011.04.006]</w:t>
      </w:r>
    </w:p>
    <w:p w14:paraId="2D491AB1"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8 </w:t>
      </w:r>
      <w:r w:rsidRPr="00A458DC">
        <w:rPr>
          <w:rFonts w:ascii="Book Antiqua" w:eastAsia="Book Antiqua" w:hAnsi="Book Antiqua" w:cs="Book Antiqua"/>
          <w:b/>
          <w:bCs/>
          <w:color w:val="000000"/>
        </w:rPr>
        <w:t>Ornellas De Souza MH</w:t>
      </w:r>
      <w:r w:rsidRPr="00A458DC">
        <w:rPr>
          <w:rFonts w:ascii="Book Antiqua" w:eastAsia="Book Antiqua" w:hAnsi="Book Antiqua" w:cs="Book Antiqua"/>
          <w:color w:val="000000"/>
        </w:rPr>
        <w:t xml:space="preserve">, de Souza Fernandez T, Diamond HR, Maioli MC, Pitanga Bacha PC, De Lucena SB. Cytogenetic and immunophenotypic evidence of independent clonal origins of concomitant chronic lymphocytic leukaemia and acute myeloid leukaemia. </w:t>
      </w:r>
      <w:r w:rsidRPr="00A458DC">
        <w:rPr>
          <w:rFonts w:ascii="Book Antiqua" w:eastAsia="Book Antiqua" w:hAnsi="Book Antiqua" w:cs="Book Antiqua"/>
          <w:i/>
          <w:iCs/>
          <w:color w:val="000000"/>
        </w:rPr>
        <w:t>Eur J Haematol</w:t>
      </w:r>
      <w:r w:rsidRPr="00A458DC">
        <w:rPr>
          <w:rFonts w:ascii="Book Antiqua" w:eastAsia="Book Antiqua" w:hAnsi="Book Antiqua" w:cs="Book Antiqua"/>
          <w:color w:val="000000"/>
        </w:rPr>
        <w:t xml:space="preserve"> 2001; </w:t>
      </w:r>
      <w:r w:rsidRPr="00A458DC">
        <w:rPr>
          <w:rFonts w:ascii="Book Antiqua" w:eastAsia="Book Antiqua" w:hAnsi="Book Antiqua" w:cs="Book Antiqua"/>
          <w:b/>
          <w:bCs/>
          <w:color w:val="000000"/>
        </w:rPr>
        <w:t>66</w:t>
      </w:r>
      <w:r w:rsidRPr="00A458DC">
        <w:rPr>
          <w:rFonts w:ascii="Book Antiqua" w:eastAsia="Book Antiqua" w:hAnsi="Book Antiqua" w:cs="Book Antiqua"/>
          <w:color w:val="000000"/>
        </w:rPr>
        <w:t>: 281-283 [PMID: 11380608 DOI: 10.1034/j.1600-0609.2001.066004281.x]</w:t>
      </w:r>
    </w:p>
    <w:p w14:paraId="6891B537"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9 </w:t>
      </w:r>
      <w:r w:rsidRPr="00A458DC">
        <w:rPr>
          <w:rFonts w:ascii="Book Antiqua" w:eastAsia="Book Antiqua" w:hAnsi="Book Antiqua" w:cs="Book Antiqua"/>
          <w:b/>
          <w:bCs/>
          <w:color w:val="000000"/>
        </w:rPr>
        <w:t>Gottardi M</w:t>
      </w:r>
      <w:r w:rsidRPr="00A458DC">
        <w:rPr>
          <w:rFonts w:ascii="Book Antiqua" w:eastAsia="Book Antiqua" w:hAnsi="Book Antiqua" w:cs="Book Antiqua"/>
          <w:color w:val="000000"/>
        </w:rPr>
        <w:t xml:space="preserve">, Gattei V, Degan M, Bomben R, Zucchetto A, Tecchio C, Laurino L, Zanatta L, Dei Tos AP, Mordacchini M, Canal F, Gherlinzoni F. Concomitant chronic lymphocytic leukemia and acute myeloid leukemia: evidence of simultaneous expansion of two independent clones. </w:t>
      </w:r>
      <w:r w:rsidRPr="00A458DC">
        <w:rPr>
          <w:rFonts w:ascii="Book Antiqua" w:eastAsia="Book Antiqua" w:hAnsi="Book Antiqua" w:cs="Book Antiqua"/>
          <w:i/>
          <w:iCs/>
          <w:color w:val="000000"/>
        </w:rPr>
        <w:t>Leuk Lymphoma</w:t>
      </w:r>
      <w:r w:rsidRPr="00A458DC">
        <w:rPr>
          <w:rFonts w:ascii="Book Antiqua" w:eastAsia="Book Antiqua" w:hAnsi="Book Antiqua" w:cs="Book Antiqua"/>
          <w:color w:val="000000"/>
        </w:rPr>
        <w:t xml:space="preserve"> 2006; </w:t>
      </w:r>
      <w:r w:rsidRPr="00A458DC">
        <w:rPr>
          <w:rFonts w:ascii="Book Antiqua" w:eastAsia="Book Antiqua" w:hAnsi="Book Antiqua" w:cs="Book Antiqua"/>
          <w:b/>
          <w:bCs/>
          <w:color w:val="000000"/>
        </w:rPr>
        <w:t>47</w:t>
      </w:r>
      <w:r w:rsidRPr="00A458DC">
        <w:rPr>
          <w:rFonts w:ascii="Book Antiqua" w:eastAsia="Book Antiqua" w:hAnsi="Book Antiqua" w:cs="Book Antiqua"/>
          <w:color w:val="000000"/>
        </w:rPr>
        <w:t>: 885-889 [PMID: 16753874 DOI: 10.1080/10428190500404761]</w:t>
      </w:r>
    </w:p>
    <w:p w14:paraId="38E1F2AC"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10 </w:t>
      </w:r>
      <w:r w:rsidRPr="00A458DC">
        <w:rPr>
          <w:rFonts w:ascii="Book Antiqua" w:eastAsia="Book Antiqua" w:hAnsi="Book Antiqua" w:cs="Book Antiqua"/>
          <w:b/>
          <w:bCs/>
          <w:color w:val="000000"/>
        </w:rPr>
        <w:t>Lima M</w:t>
      </w:r>
      <w:r w:rsidRPr="00A458DC">
        <w:rPr>
          <w:rFonts w:ascii="Book Antiqua" w:eastAsia="Book Antiqua" w:hAnsi="Book Antiqua" w:cs="Book Antiqua"/>
          <w:color w:val="000000"/>
        </w:rPr>
        <w:t xml:space="preserve">, Porto B, Rodrigues M, Teixeira MA, Coutinho J, Ribeiro AC, Malheiro MI, Justiça B. Cytogenetic findings in a patient presenting simultaneously with chronic lymphocytic leukemia and acute myeloid leukemia. </w:t>
      </w:r>
      <w:r w:rsidRPr="00A458DC">
        <w:rPr>
          <w:rFonts w:ascii="Book Antiqua" w:eastAsia="Book Antiqua" w:hAnsi="Book Antiqua" w:cs="Book Antiqua"/>
          <w:i/>
          <w:iCs/>
          <w:color w:val="000000"/>
        </w:rPr>
        <w:t>Cancer Genet Cytogenet</w:t>
      </w:r>
      <w:r w:rsidRPr="00A458DC">
        <w:rPr>
          <w:rFonts w:ascii="Book Antiqua" w:eastAsia="Book Antiqua" w:hAnsi="Book Antiqua" w:cs="Book Antiqua"/>
          <w:color w:val="000000"/>
        </w:rPr>
        <w:t xml:space="preserve"> 1996; </w:t>
      </w:r>
      <w:r w:rsidRPr="00A458DC">
        <w:rPr>
          <w:rFonts w:ascii="Book Antiqua" w:eastAsia="Book Antiqua" w:hAnsi="Book Antiqua" w:cs="Book Antiqua"/>
          <w:b/>
          <w:bCs/>
          <w:color w:val="000000"/>
        </w:rPr>
        <w:t>87</w:t>
      </w:r>
      <w:r w:rsidRPr="00A458DC">
        <w:rPr>
          <w:rFonts w:ascii="Book Antiqua" w:eastAsia="Book Antiqua" w:hAnsi="Book Antiqua" w:cs="Book Antiqua"/>
          <w:color w:val="000000"/>
        </w:rPr>
        <w:t>: 38-40 [PMID: 8646738 DOI: 10.1016/0165-4608(95)00262-6]</w:t>
      </w:r>
    </w:p>
    <w:p w14:paraId="4F277558"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11 </w:t>
      </w:r>
      <w:r w:rsidRPr="00A458DC">
        <w:rPr>
          <w:rFonts w:ascii="Book Antiqua" w:eastAsia="Book Antiqua" w:hAnsi="Book Antiqua" w:cs="Book Antiqua"/>
          <w:b/>
          <w:bCs/>
          <w:color w:val="000000"/>
        </w:rPr>
        <w:t>Kikushige Y</w:t>
      </w:r>
      <w:r w:rsidRPr="00A458DC">
        <w:rPr>
          <w:rFonts w:ascii="Book Antiqua" w:eastAsia="Book Antiqua" w:hAnsi="Book Antiqua" w:cs="Book Antiqua"/>
          <w:color w:val="000000"/>
        </w:rPr>
        <w:t xml:space="preserve">, Miyamoto T. Hematopoietic stem cell aging and chronic lymphocytic leukemia pathogenesis. </w:t>
      </w:r>
      <w:r w:rsidRPr="00A458DC">
        <w:rPr>
          <w:rFonts w:ascii="Book Antiqua" w:eastAsia="Book Antiqua" w:hAnsi="Book Antiqua" w:cs="Book Antiqua"/>
          <w:i/>
          <w:iCs/>
          <w:color w:val="000000"/>
        </w:rPr>
        <w:t>Int J Hematol</w:t>
      </w:r>
      <w:r w:rsidRPr="00A458DC">
        <w:rPr>
          <w:rFonts w:ascii="Book Antiqua" w:eastAsia="Book Antiqua" w:hAnsi="Book Antiqua" w:cs="Book Antiqua"/>
          <w:color w:val="000000"/>
        </w:rPr>
        <w:t xml:space="preserve"> 2014; </w:t>
      </w:r>
      <w:r w:rsidRPr="00A458DC">
        <w:rPr>
          <w:rFonts w:ascii="Book Antiqua" w:eastAsia="Book Antiqua" w:hAnsi="Book Antiqua" w:cs="Book Antiqua"/>
          <w:b/>
          <w:bCs/>
          <w:color w:val="000000"/>
        </w:rPr>
        <w:t>100</w:t>
      </w:r>
      <w:r w:rsidRPr="00A458DC">
        <w:rPr>
          <w:rFonts w:ascii="Book Antiqua" w:eastAsia="Book Antiqua" w:hAnsi="Book Antiqua" w:cs="Book Antiqua"/>
          <w:color w:val="000000"/>
        </w:rPr>
        <w:t>: 335-340 [PMID: 25100497 DOI: 10.1007/s12185-014-1651-6]</w:t>
      </w:r>
    </w:p>
    <w:p w14:paraId="37CD8809"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12 </w:t>
      </w:r>
      <w:r w:rsidRPr="00A458DC">
        <w:rPr>
          <w:rFonts w:ascii="Book Antiqua" w:eastAsia="Book Antiqua" w:hAnsi="Book Antiqua" w:cs="Book Antiqua"/>
          <w:b/>
          <w:bCs/>
          <w:color w:val="000000"/>
        </w:rPr>
        <w:t>Kikushige Y</w:t>
      </w:r>
      <w:r w:rsidRPr="00A458DC">
        <w:rPr>
          <w:rFonts w:ascii="Book Antiqua" w:eastAsia="Book Antiqua" w:hAnsi="Book Antiqua" w:cs="Book Antiqua"/>
          <w:color w:val="000000"/>
        </w:rPr>
        <w:t xml:space="preserve">, Miyamoto T. Pre-malignant lymphoid cells arise from hematopoietic stem/progenitor cells in chronic lymphocytic leukemia. </w:t>
      </w:r>
      <w:r w:rsidRPr="00A458DC">
        <w:rPr>
          <w:rFonts w:ascii="Book Antiqua" w:eastAsia="Book Antiqua" w:hAnsi="Book Antiqua" w:cs="Book Antiqua"/>
          <w:i/>
          <w:iCs/>
          <w:color w:val="000000"/>
        </w:rPr>
        <w:t>Int J Hematol</w:t>
      </w:r>
      <w:r w:rsidRPr="00A458DC">
        <w:rPr>
          <w:rFonts w:ascii="Book Antiqua" w:eastAsia="Book Antiqua" w:hAnsi="Book Antiqua" w:cs="Book Antiqua"/>
          <w:color w:val="000000"/>
        </w:rPr>
        <w:t xml:space="preserve"> 2015; </w:t>
      </w:r>
      <w:r w:rsidRPr="00A458DC">
        <w:rPr>
          <w:rFonts w:ascii="Book Antiqua" w:eastAsia="Book Antiqua" w:hAnsi="Book Antiqua" w:cs="Book Antiqua"/>
          <w:b/>
          <w:bCs/>
          <w:color w:val="000000"/>
        </w:rPr>
        <w:t>102</w:t>
      </w:r>
      <w:r w:rsidRPr="00A458DC">
        <w:rPr>
          <w:rFonts w:ascii="Book Antiqua" w:eastAsia="Book Antiqua" w:hAnsi="Book Antiqua" w:cs="Book Antiqua"/>
          <w:color w:val="000000"/>
        </w:rPr>
        <w:t>: 528-535 [PMID: 25644149 DOI: 10.1007/s12185-015-1740-1]</w:t>
      </w:r>
    </w:p>
    <w:p w14:paraId="62E89DA8"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13 </w:t>
      </w:r>
      <w:r w:rsidRPr="00A458DC">
        <w:rPr>
          <w:rFonts w:ascii="Book Antiqua" w:eastAsia="Book Antiqua" w:hAnsi="Book Antiqua" w:cs="Book Antiqua"/>
          <w:b/>
          <w:bCs/>
          <w:color w:val="000000"/>
        </w:rPr>
        <w:t>Cong B</w:t>
      </w:r>
      <w:r w:rsidRPr="00A458DC">
        <w:rPr>
          <w:rFonts w:ascii="Book Antiqua" w:eastAsia="Book Antiqua" w:hAnsi="Book Antiqua" w:cs="Book Antiqua"/>
          <w:color w:val="000000"/>
        </w:rPr>
        <w:t xml:space="preserve">, Zhang Q, Cao X. The function and regulation of TET2 in innate immunity and inflammation. </w:t>
      </w:r>
      <w:r w:rsidRPr="00A458DC">
        <w:rPr>
          <w:rFonts w:ascii="Book Antiqua" w:eastAsia="Book Antiqua" w:hAnsi="Book Antiqua" w:cs="Book Antiqua"/>
          <w:i/>
          <w:iCs/>
          <w:color w:val="000000"/>
        </w:rPr>
        <w:t>Protein Cell</w:t>
      </w:r>
      <w:r w:rsidRPr="00A458DC">
        <w:rPr>
          <w:rFonts w:ascii="Book Antiqua" w:eastAsia="Book Antiqua" w:hAnsi="Book Antiqua" w:cs="Book Antiqua"/>
          <w:color w:val="000000"/>
        </w:rPr>
        <w:t xml:space="preserve"> 2021; </w:t>
      </w:r>
      <w:r w:rsidRPr="00A458DC">
        <w:rPr>
          <w:rFonts w:ascii="Book Antiqua" w:eastAsia="Book Antiqua" w:hAnsi="Book Antiqua" w:cs="Book Antiqua"/>
          <w:b/>
          <w:bCs/>
          <w:color w:val="000000"/>
        </w:rPr>
        <w:t>12</w:t>
      </w:r>
      <w:r w:rsidRPr="00A458DC">
        <w:rPr>
          <w:rFonts w:ascii="Book Antiqua" w:eastAsia="Book Antiqua" w:hAnsi="Book Antiqua" w:cs="Book Antiqua"/>
          <w:color w:val="000000"/>
        </w:rPr>
        <w:t>: 165-173 [PMID: 33085059 DOI: 10.1007/s13238-020-00796-6]</w:t>
      </w:r>
    </w:p>
    <w:p w14:paraId="10F50E73"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14 </w:t>
      </w:r>
      <w:r w:rsidRPr="00A458DC">
        <w:rPr>
          <w:rFonts w:ascii="Book Antiqua" w:eastAsia="Book Antiqua" w:hAnsi="Book Antiqua" w:cs="Book Antiqua"/>
          <w:b/>
          <w:bCs/>
          <w:color w:val="000000"/>
        </w:rPr>
        <w:t>Lio CJ</w:t>
      </w:r>
      <w:r w:rsidRPr="00A458DC">
        <w:rPr>
          <w:rFonts w:ascii="Book Antiqua" w:eastAsia="Book Antiqua" w:hAnsi="Book Antiqua" w:cs="Book Antiqua"/>
          <w:color w:val="000000"/>
        </w:rPr>
        <w:t xml:space="preserve">, Rao A. TET Enzymes and 5hmC in Adaptive and Innate Immune Systems. </w:t>
      </w:r>
      <w:r w:rsidRPr="00A458DC">
        <w:rPr>
          <w:rFonts w:ascii="Book Antiqua" w:eastAsia="Book Antiqua" w:hAnsi="Book Antiqua" w:cs="Book Antiqua"/>
          <w:i/>
          <w:iCs/>
          <w:color w:val="000000"/>
        </w:rPr>
        <w:t>Front Immunol</w:t>
      </w:r>
      <w:r w:rsidRPr="00A458DC">
        <w:rPr>
          <w:rFonts w:ascii="Book Antiqua" w:eastAsia="Book Antiqua" w:hAnsi="Book Antiqua" w:cs="Book Antiqua"/>
          <w:color w:val="000000"/>
        </w:rPr>
        <w:t xml:space="preserve"> 2019; </w:t>
      </w:r>
      <w:r w:rsidRPr="00A458DC">
        <w:rPr>
          <w:rFonts w:ascii="Book Antiqua" w:eastAsia="Book Antiqua" w:hAnsi="Book Antiqua" w:cs="Book Antiqua"/>
          <w:b/>
          <w:bCs/>
          <w:color w:val="000000"/>
        </w:rPr>
        <w:t>10</w:t>
      </w:r>
      <w:r w:rsidRPr="00A458DC">
        <w:rPr>
          <w:rFonts w:ascii="Book Antiqua" w:eastAsia="Book Antiqua" w:hAnsi="Book Antiqua" w:cs="Book Antiqua"/>
          <w:color w:val="000000"/>
        </w:rPr>
        <w:t>: 210 [PMID: 30809228 DOI: 10.3389/fimmu.2019.00210]</w:t>
      </w:r>
    </w:p>
    <w:p w14:paraId="24381225" w14:textId="00FBB9C2"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15 </w:t>
      </w:r>
      <w:r w:rsidRPr="00A458DC">
        <w:rPr>
          <w:rFonts w:ascii="Book Antiqua" w:eastAsia="Book Antiqua" w:hAnsi="Book Antiqua" w:cs="Book Antiqua"/>
          <w:b/>
          <w:bCs/>
          <w:color w:val="000000"/>
        </w:rPr>
        <w:t>Viny AD</w:t>
      </w:r>
      <w:r w:rsidRPr="00A458DC">
        <w:rPr>
          <w:rFonts w:ascii="Book Antiqua" w:eastAsia="Book Antiqua" w:hAnsi="Book Antiqua" w:cs="Book Antiqua"/>
          <w:color w:val="000000"/>
        </w:rPr>
        <w:t xml:space="preserve">, Levine RL. Cohesin mutations in myeloid malignancies made simple. </w:t>
      </w:r>
      <w:r w:rsidRPr="00A458DC">
        <w:rPr>
          <w:rFonts w:ascii="Book Antiqua" w:eastAsia="Book Antiqua" w:hAnsi="Book Antiqua" w:cs="Book Antiqua"/>
          <w:i/>
          <w:iCs/>
          <w:color w:val="000000"/>
        </w:rPr>
        <w:t>Curr Opin Hematol</w:t>
      </w:r>
      <w:r w:rsidRPr="00A458DC">
        <w:rPr>
          <w:rFonts w:ascii="Book Antiqua" w:eastAsia="Book Antiqua" w:hAnsi="Book Antiqua" w:cs="Book Antiqua"/>
          <w:color w:val="000000"/>
        </w:rPr>
        <w:t xml:space="preserve"> 2018; </w:t>
      </w:r>
      <w:r w:rsidRPr="00A458DC">
        <w:rPr>
          <w:rFonts w:ascii="Book Antiqua" w:eastAsia="Book Antiqua" w:hAnsi="Book Antiqua" w:cs="Book Antiqua"/>
          <w:b/>
          <w:bCs/>
          <w:color w:val="000000"/>
        </w:rPr>
        <w:t>25</w:t>
      </w:r>
      <w:r w:rsidRPr="00A458DC">
        <w:rPr>
          <w:rFonts w:ascii="Book Antiqua" w:eastAsia="Book Antiqua" w:hAnsi="Book Antiqua" w:cs="Book Antiqua"/>
          <w:color w:val="000000"/>
        </w:rPr>
        <w:t>: 61-66 [PMID: 29278534 DOI: 10.1097/</w:t>
      </w:r>
      <w:r w:rsidR="00CD7478" w:rsidRPr="00A458DC">
        <w:rPr>
          <w:rFonts w:ascii="Book Antiqua" w:eastAsia="Book Antiqua" w:hAnsi="Book Antiqua" w:cs="Book Antiqua"/>
          <w:color w:val="000000"/>
        </w:rPr>
        <w:t>MOH.</w:t>
      </w:r>
      <w:r w:rsidRPr="00A458DC">
        <w:rPr>
          <w:rFonts w:ascii="Book Antiqua" w:eastAsia="Book Antiqua" w:hAnsi="Book Antiqua" w:cs="Book Antiqua"/>
          <w:color w:val="000000"/>
        </w:rPr>
        <w:t>0000000000000405]</w:t>
      </w:r>
    </w:p>
    <w:p w14:paraId="161CCA0B"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16 </w:t>
      </w:r>
      <w:r w:rsidRPr="00A458DC">
        <w:rPr>
          <w:rFonts w:ascii="Book Antiqua" w:eastAsia="Book Antiqua" w:hAnsi="Book Antiqua" w:cs="Book Antiqua"/>
          <w:b/>
          <w:bCs/>
          <w:color w:val="000000"/>
        </w:rPr>
        <w:t>Forconi F</w:t>
      </w:r>
      <w:r w:rsidRPr="00A458DC">
        <w:rPr>
          <w:rFonts w:ascii="Book Antiqua" w:eastAsia="Book Antiqua" w:hAnsi="Book Antiqua" w:cs="Book Antiqua"/>
          <w:color w:val="000000"/>
        </w:rPr>
        <w:t xml:space="preserve">, Moss P. Perturbation of the normal immune system in patients with CLL. </w:t>
      </w:r>
      <w:r w:rsidRPr="00A458DC">
        <w:rPr>
          <w:rFonts w:ascii="Book Antiqua" w:eastAsia="Book Antiqua" w:hAnsi="Book Antiqua" w:cs="Book Antiqua"/>
          <w:i/>
          <w:iCs/>
          <w:color w:val="000000"/>
        </w:rPr>
        <w:t>Blood</w:t>
      </w:r>
      <w:r w:rsidRPr="00A458DC">
        <w:rPr>
          <w:rFonts w:ascii="Book Antiqua" w:eastAsia="Book Antiqua" w:hAnsi="Book Antiqua" w:cs="Book Antiqua"/>
          <w:color w:val="000000"/>
        </w:rPr>
        <w:t xml:space="preserve"> 2015; </w:t>
      </w:r>
      <w:r w:rsidRPr="00A458DC">
        <w:rPr>
          <w:rFonts w:ascii="Book Antiqua" w:eastAsia="Book Antiqua" w:hAnsi="Book Antiqua" w:cs="Book Antiqua"/>
          <w:b/>
          <w:bCs/>
          <w:color w:val="000000"/>
        </w:rPr>
        <w:t>126</w:t>
      </w:r>
      <w:r w:rsidRPr="00A458DC">
        <w:rPr>
          <w:rFonts w:ascii="Book Antiqua" w:eastAsia="Book Antiqua" w:hAnsi="Book Antiqua" w:cs="Book Antiqua"/>
          <w:color w:val="000000"/>
        </w:rPr>
        <w:t>: 573-581 [PMID: 26084672 DOI: 10.1182/blood-2015-03-567388]</w:t>
      </w:r>
    </w:p>
    <w:p w14:paraId="697FCF1A"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17 </w:t>
      </w:r>
      <w:r w:rsidRPr="00A458DC">
        <w:rPr>
          <w:rFonts w:ascii="Book Antiqua" w:eastAsia="Book Antiqua" w:hAnsi="Book Antiqua" w:cs="Book Antiqua"/>
          <w:b/>
          <w:bCs/>
          <w:color w:val="000000"/>
        </w:rPr>
        <w:t>DiNardo CD</w:t>
      </w:r>
      <w:r w:rsidRPr="00A458DC">
        <w:rPr>
          <w:rFonts w:ascii="Book Antiqua" w:eastAsia="Book Antiqua" w:hAnsi="Book Antiqua" w:cs="Book Antiqua"/>
          <w:color w:val="000000"/>
        </w:rPr>
        <w:t xml:space="preserve">, Jonas BA, Pullarkat V, Thirman MJ, Garcia JS, Wei AH, Konopleva M, Döhner H, Letai A, Fenaux P, Koller E, Havelange V, Leber B, Esteve J, Wang J, Pejsa V, Hájek R, Porkka K, Illés Á, Lavie D, Lemoli RM, Yamamoto K, Yoon SS, Jang JH, Yeh SP, Turgut M, Hong WJ, Zhou Y, Potluri J, Pratz KW. Azacitidine and Venetoclax in Previously Untreated Acute Myeloid Leukemia. </w:t>
      </w:r>
      <w:r w:rsidRPr="00A458DC">
        <w:rPr>
          <w:rFonts w:ascii="Book Antiqua" w:eastAsia="Book Antiqua" w:hAnsi="Book Antiqua" w:cs="Book Antiqua"/>
          <w:i/>
          <w:iCs/>
          <w:color w:val="000000"/>
        </w:rPr>
        <w:t>N Engl J Med</w:t>
      </w:r>
      <w:r w:rsidRPr="00A458DC">
        <w:rPr>
          <w:rFonts w:ascii="Book Antiqua" w:eastAsia="Book Antiqua" w:hAnsi="Book Antiqua" w:cs="Book Antiqua"/>
          <w:color w:val="000000"/>
        </w:rPr>
        <w:t xml:space="preserve"> 2020; </w:t>
      </w:r>
      <w:r w:rsidRPr="00A458DC">
        <w:rPr>
          <w:rFonts w:ascii="Book Antiqua" w:eastAsia="Book Antiqua" w:hAnsi="Book Antiqua" w:cs="Book Antiqua"/>
          <w:b/>
          <w:bCs/>
          <w:color w:val="000000"/>
        </w:rPr>
        <w:t>383</w:t>
      </w:r>
      <w:r w:rsidRPr="00A458DC">
        <w:rPr>
          <w:rFonts w:ascii="Book Antiqua" w:eastAsia="Book Antiqua" w:hAnsi="Book Antiqua" w:cs="Book Antiqua"/>
          <w:color w:val="000000"/>
        </w:rPr>
        <w:t>: 617-629 [PMID: 32786187 DOI: 10.1056/NEJMoa2012971]</w:t>
      </w:r>
    </w:p>
    <w:p w14:paraId="673900BE"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18 </w:t>
      </w:r>
      <w:r w:rsidRPr="00A458DC">
        <w:rPr>
          <w:rFonts w:ascii="Book Antiqua" w:eastAsia="Book Antiqua" w:hAnsi="Book Antiqua" w:cs="Book Antiqua"/>
          <w:b/>
          <w:bCs/>
          <w:color w:val="000000"/>
        </w:rPr>
        <w:t>Cang S</w:t>
      </w:r>
      <w:r w:rsidRPr="00A458DC">
        <w:rPr>
          <w:rFonts w:ascii="Book Antiqua" w:eastAsia="Book Antiqua" w:hAnsi="Book Antiqua" w:cs="Book Antiqua"/>
          <w:color w:val="000000"/>
        </w:rPr>
        <w:t xml:space="preserve">, Iragavarapu C, Savooji J, Song Y, Liu D. ABT-199 (venetoclax) and BCL-2 inhibitors in clinical development. </w:t>
      </w:r>
      <w:r w:rsidRPr="00A458DC">
        <w:rPr>
          <w:rFonts w:ascii="Book Antiqua" w:eastAsia="Book Antiqua" w:hAnsi="Book Antiqua" w:cs="Book Antiqua"/>
          <w:i/>
          <w:iCs/>
          <w:color w:val="000000"/>
        </w:rPr>
        <w:t>J Hematol Oncol</w:t>
      </w:r>
      <w:r w:rsidRPr="00A458DC">
        <w:rPr>
          <w:rFonts w:ascii="Book Antiqua" w:eastAsia="Book Antiqua" w:hAnsi="Book Antiqua" w:cs="Book Antiqua"/>
          <w:color w:val="000000"/>
        </w:rPr>
        <w:t xml:space="preserve"> 2015; </w:t>
      </w:r>
      <w:r w:rsidRPr="00A458DC">
        <w:rPr>
          <w:rFonts w:ascii="Book Antiqua" w:eastAsia="Book Antiqua" w:hAnsi="Book Antiqua" w:cs="Book Antiqua"/>
          <w:b/>
          <w:bCs/>
          <w:color w:val="000000"/>
        </w:rPr>
        <w:t>8</w:t>
      </w:r>
      <w:r w:rsidRPr="00A458DC">
        <w:rPr>
          <w:rFonts w:ascii="Book Antiqua" w:eastAsia="Book Antiqua" w:hAnsi="Book Antiqua" w:cs="Book Antiqua"/>
          <w:color w:val="000000"/>
        </w:rPr>
        <w:t>: 129 [PMID: 26589495 DOI: 10.1186/s13045-015-0224-3]</w:t>
      </w:r>
    </w:p>
    <w:p w14:paraId="10DE733C"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19 </w:t>
      </w:r>
      <w:r w:rsidRPr="00A458DC">
        <w:rPr>
          <w:rFonts w:ascii="Book Antiqua" w:eastAsia="Book Antiqua" w:hAnsi="Book Antiqua" w:cs="Book Antiqua"/>
          <w:b/>
          <w:bCs/>
          <w:color w:val="000000"/>
        </w:rPr>
        <w:t>Roberts AW</w:t>
      </w:r>
      <w:r w:rsidRPr="00A458DC">
        <w:rPr>
          <w:rFonts w:ascii="Book Antiqua" w:eastAsia="Book Antiqua" w:hAnsi="Book Antiqua" w:cs="Book Antiqua"/>
          <w:color w:val="000000"/>
        </w:rPr>
        <w:t xml:space="preserve">, Davids MS, Pagel JM, Kahl BS, Puvvada SD, Gerecitano JF, Kipps TJ, Anderson MA, Brown JR, Gressick L, Wong S, Dunbar M, Zhu M, Desai MB, Cerri E, Heitner Enschede S, Humerickhouse RA, Wierda WG, Seymour JF. Targeting BCL2 with Venetoclax in Relapsed Chronic Lymphocytic Leukemia. </w:t>
      </w:r>
      <w:r w:rsidRPr="00A458DC">
        <w:rPr>
          <w:rFonts w:ascii="Book Antiqua" w:eastAsia="Book Antiqua" w:hAnsi="Book Antiqua" w:cs="Book Antiqua"/>
          <w:i/>
          <w:iCs/>
          <w:color w:val="000000"/>
        </w:rPr>
        <w:t>N Engl J Med</w:t>
      </w:r>
      <w:r w:rsidRPr="00A458DC">
        <w:rPr>
          <w:rFonts w:ascii="Book Antiqua" w:eastAsia="Book Antiqua" w:hAnsi="Book Antiqua" w:cs="Book Antiqua"/>
          <w:color w:val="000000"/>
        </w:rPr>
        <w:t xml:space="preserve"> 2016; </w:t>
      </w:r>
      <w:r w:rsidRPr="00A458DC">
        <w:rPr>
          <w:rFonts w:ascii="Book Antiqua" w:eastAsia="Book Antiqua" w:hAnsi="Book Antiqua" w:cs="Book Antiqua"/>
          <w:b/>
          <w:bCs/>
          <w:color w:val="000000"/>
        </w:rPr>
        <w:t>374</w:t>
      </w:r>
      <w:r w:rsidRPr="00A458DC">
        <w:rPr>
          <w:rFonts w:ascii="Book Antiqua" w:eastAsia="Book Antiqua" w:hAnsi="Book Antiqua" w:cs="Book Antiqua"/>
          <w:color w:val="000000"/>
        </w:rPr>
        <w:t>: 311-322 [PMID: 26639348 DOI: 10.1056/NEJMoa1513257]</w:t>
      </w:r>
    </w:p>
    <w:p w14:paraId="40F78217"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 xml:space="preserve">20 </w:t>
      </w:r>
      <w:r w:rsidRPr="00A458DC">
        <w:rPr>
          <w:rFonts w:ascii="Book Antiqua" w:eastAsia="Book Antiqua" w:hAnsi="Book Antiqua" w:cs="Book Antiqua"/>
          <w:b/>
          <w:bCs/>
          <w:color w:val="000000"/>
        </w:rPr>
        <w:t>Tong WG</w:t>
      </w:r>
      <w:r w:rsidRPr="00A458DC">
        <w:rPr>
          <w:rFonts w:ascii="Book Antiqua" w:eastAsia="Book Antiqua" w:hAnsi="Book Antiqua" w:cs="Book Antiqua"/>
          <w:color w:val="000000"/>
        </w:rPr>
        <w:t xml:space="preserve">, Wierda WG, Lin E, Kuang SQ, Bekele BN, Estrov Z, Wei Y, Yang H, Keating MJ, Garcia-Manero G. Genome-wide DNA methylation profiling of chronic lymphocytic leukemia allows identification of epigenetically repressed molecular pathways with clinical impact. </w:t>
      </w:r>
      <w:r w:rsidRPr="00A458DC">
        <w:rPr>
          <w:rFonts w:ascii="Book Antiqua" w:eastAsia="Book Antiqua" w:hAnsi="Book Antiqua" w:cs="Book Antiqua"/>
          <w:i/>
          <w:iCs/>
          <w:color w:val="000000"/>
        </w:rPr>
        <w:t>Epigenetics</w:t>
      </w:r>
      <w:r w:rsidRPr="00A458DC">
        <w:rPr>
          <w:rFonts w:ascii="Book Antiqua" w:eastAsia="Book Antiqua" w:hAnsi="Book Antiqua" w:cs="Book Antiqua"/>
          <w:color w:val="000000"/>
        </w:rPr>
        <w:t xml:space="preserve"> 2010; </w:t>
      </w:r>
      <w:r w:rsidRPr="00A458DC">
        <w:rPr>
          <w:rFonts w:ascii="Book Antiqua" w:eastAsia="Book Antiqua" w:hAnsi="Book Antiqua" w:cs="Book Antiqua"/>
          <w:b/>
          <w:bCs/>
          <w:color w:val="000000"/>
        </w:rPr>
        <w:t>5</w:t>
      </w:r>
      <w:r w:rsidRPr="00A458DC">
        <w:rPr>
          <w:rFonts w:ascii="Book Antiqua" w:eastAsia="Book Antiqua" w:hAnsi="Book Antiqua" w:cs="Book Antiqua"/>
          <w:color w:val="000000"/>
        </w:rPr>
        <w:t>: 499-508 [PMID: 20484983 DOI: 10.4161/epi.5.6.12179]</w:t>
      </w:r>
    </w:p>
    <w:bookmarkEnd w:id="10"/>
    <w:p w14:paraId="72467628" w14:textId="77777777" w:rsidR="00A77B3E" w:rsidRPr="00A458DC" w:rsidRDefault="00A77B3E" w:rsidP="00196E1A">
      <w:pPr>
        <w:adjustRightInd w:val="0"/>
        <w:snapToGrid w:val="0"/>
        <w:spacing w:line="360" w:lineRule="auto"/>
        <w:jc w:val="both"/>
        <w:sectPr w:rsidR="00A77B3E" w:rsidRPr="00A458DC">
          <w:pgSz w:w="12240" w:h="15840"/>
          <w:pgMar w:top="1440" w:right="1440" w:bottom="1440" w:left="1440" w:header="720" w:footer="720" w:gutter="0"/>
          <w:cols w:space="720"/>
          <w:docGrid w:linePitch="360"/>
        </w:sectPr>
      </w:pPr>
    </w:p>
    <w:p w14:paraId="142FD984"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olor w:val="000000"/>
        </w:rPr>
        <w:t>Footnotes</w:t>
      </w:r>
    </w:p>
    <w:p w14:paraId="0AB84F89"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szCs w:val="21"/>
        </w:rPr>
        <w:t xml:space="preserve">Informed consent statement: </w:t>
      </w:r>
      <w:r w:rsidRPr="00A458DC">
        <w:rPr>
          <w:rFonts w:ascii="Book Antiqua" w:eastAsia="Book Antiqua" w:hAnsi="Book Antiqua" w:cs="Book Antiqua"/>
          <w:color w:val="000000"/>
          <w:szCs w:val="21"/>
        </w:rPr>
        <w:t>Consent was obtained from relatives of the patient for publication of this report and any accompanying images.</w:t>
      </w:r>
    </w:p>
    <w:p w14:paraId="5BCFDF2F" w14:textId="77777777" w:rsidR="00A77B3E" w:rsidRPr="00A458DC" w:rsidRDefault="00A77B3E" w:rsidP="00196E1A">
      <w:pPr>
        <w:adjustRightInd w:val="0"/>
        <w:snapToGrid w:val="0"/>
        <w:spacing w:line="360" w:lineRule="auto"/>
        <w:jc w:val="both"/>
      </w:pPr>
    </w:p>
    <w:p w14:paraId="50B1F28D"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szCs w:val="21"/>
        </w:rPr>
        <w:t xml:space="preserve">Conflict-of-interest statement: </w:t>
      </w:r>
      <w:r w:rsidRPr="00A458DC">
        <w:rPr>
          <w:rFonts w:ascii="Book Antiqua" w:eastAsia="Book Antiqua" w:hAnsi="Book Antiqua" w:cs="Book Antiqua"/>
          <w:color w:val="000000"/>
        </w:rPr>
        <w:t>The authors declare that they have no conflict of interest.</w:t>
      </w:r>
    </w:p>
    <w:p w14:paraId="55B2FB50" w14:textId="77777777" w:rsidR="00A77B3E" w:rsidRPr="00A458DC" w:rsidRDefault="00A77B3E" w:rsidP="00196E1A">
      <w:pPr>
        <w:adjustRightInd w:val="0"/>
        <w:snapToGrid w:val="0"/>
        <w:spacing w:line="360" w:lineRule="auto"/>
        <w:jc w:val="both"/>
      </w:pPr>
    </w:p>
    <w:p w14:paraId="4E602213"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 xml:space="preserve">CARE Checklist (2016) statement: </w:t>
      </w:r>
      <w:r w:rsidRPr="00A458DC">
        <w:rPr>
          <w:rFonts w:ascii="Book Antiqua" w:eastAsia="Book Antiqua" w:hAnsi="Book Antiqua" w:cs="Book Antiqua"/>
          <w:color w:val="000000"/>
        </w:rPr>
        <w:t>The authors have read the CARE Checklist (2016), and the manuscript was prepared and revised according to the CARE Checklist (2016).</w:t>
      </w:r>
    </w:p>
    <w:p w14:paraId="59080FF6" w14:textId="77777777" w:rsidR="00A77B3E" w:rsidRPr="00A458DC" w:rsidRDefault="00A77B3E" w:rsidP="00196E1A">
      <w:pPr>
        <w:adjustRightInd w:val="0"/>
        <w:snapToGrid w:val="0"/>
        <w:spacing w:line="360" w:lineRule="auto"/>
        <w:jc w:val="both"/>
      </w:pPr>
    </w:p>
    <w:p w14:paraId="25594123"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bCs/>
          <w:color w:val="000000"/>
        </w:rPr>
        <w:t xml:space="preserve">Open-Access: </w:t>
      </w:r>
      <w:r w:rsidRPr="00A458D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249D5A" w14:textId="77777777" w:rsidR="00A77B3E" w:rsidRPr="00A458DC" w:rsidRDefault="00A77B3E" w:rsidP="00196E1A">
      <w:pPr>
        <w:adjustRightInd w:val="0"/>
        <w:snapToGrid w:val="0"/>
        <w:spacing w:line="360" w:lineRule="auto"/>
        <w:jc w:val="both"/>
      </w:pPr>
    </w:p>
    <w:p w14:paraId="53B56407" w14:textId="0E6E7C02" w:rsidR="00A77B3E" w:rsidRPr="00A458DC" w:rsidRDefault="00A41F52" w:rsidP="00196E1A">
      <w:pPr>
        <w:adjustRightInd w:val="0"/>
        <w:snapToGrid w:val="0"/>
        <w:spacing w:line="360" w:lineRule="auto"/>
        <w:jc w:val="both"/>
      </w:pPr>
      <w:r w:rsidRPr="00A458DC">
        <w:rPr>
          <w:rFonts w:ascii="Book Antiqua" w:eastAsia="Book Antiqua" w:hAnsi="Book Antiqua" w:cs="Book Antiqua"/>
          <w:b/>
          <w:color w:val="000000"/>
        </w:rPr>
        <w:t xml:space="preserve">Manuscript source: </w:t>
      </w:r>
      <w:r w:rsidRPr="00A458DC">
        <w:rPr>
          <w:rFonts w:ascii="Book Antiqua" w:eastAsia="Book Antiqua" w:hAnsi="Book Antiqua" w:cs="Book Antiqua"/>
          <w:color w:val="000000"/>
        </w:rPr>
        <w:t>Unsolicited</w:t>
      </w:r>
      <w:r w:rsidR="00505C7F" w:rsidRPr="00A458DC">
        <w:rPr>
          <w:rFonts w:ascii="Book Antiqua" w:eastAsia="Book Antiqua" w:hAnsi="Book Antiqua" w:cs="Book Antiqua"/>
          <w:color w:val="000000"/>
        </w:rPr>
        <w:t xml:space="preserve"> m</w:t>
      </w:r>
      <w:r w:rsidRPr="00A458DC">
        <w:rPr>
          <w:rFonts w:ascii="Book Antiqua" w:eastAsia="Book Antiqua" w:hAnsi="Book Antiqua" w:cs="Book Antiqua"/>
          <w:color w:val="000000"/>
        </w:rPr>
        <w:t>anuscript</w:t>
      </w:r>
    </w:p>
    <w:p w14:paraId="70CB54C1" w14:textId="77777777" w:rsidR="00A77B3E" w:rsidRPr="00A458DC" w:rsidRDefault="00A77B3E" w:rsidP="00196E1A">
      <w:pPr>
        <w:adjustRightInd w:val="0"/>
        <w:snapToGrid w:val="0"/>
        <w:spacing w:line="360" w:lineRule="auto"/>
        <w:jc w:val="both"/>
      </w:pPr>
    </w:p>
    <w:p w14:paraId="437F65C0"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olor w:val="000000"/>
        </w:rPr>
        <w:t xml:space="preserve">Peer-review started: </w:t>
      </w:r>
      <w:r w:rsidRPr="00A458DC">
        <w:rPr>
          <w:rFonts w:ascii="Book Antiqua" w:eastAsia="Book Antiqua" w:hAnsi="Book Antiqua" w:cs="Book Antiqua"/>
          <w:color w:val="000000"/>
        </w:rPr>
        <w:t>March 28, 2021</w:t>
      </w:r>
    </w:p>
    <w:p w14:paraId="096F577C"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olor w:val="000000"/>
        </w:rPr>
        <w:t xml:space="preserve">First decision: </w:t>
      </w:r>
      <w:r w:rsidRPr="00A458DC">
        <w:rPr>
          <w:rFonts w:ascii="Book Antiqua" w:eastAsia="Book Antiqua" w:hAnsi="Book Antiqua" w:cs="Book Antiqua"/>
          <w:color w:val="000000"/>
        </w:rPr>
        <w:t>July 8, 2021</w:t>
      </w:r>
    </w:p>
    <w:p w14:paraId="0F7BF6A2" w14:textId="2449D3BB" w:rsidR="00A77B3E" w:rsidRPr="00A458DC" w:rsidRDefault="00A41F52" w:rsidP="00196E1A">
      <w:pPr>
        <w:adjustRightInd w:val="0"/>
        <w:snapToGrid w:val="0"/>
        <w:spacing w:line="360" w:lineRule="auto"/>
        <w:jc w:val="both"/>
      </w:pPr>
      <w:r w:rsidRPr="00A458DC">
        <w:rPr>
          <w:rFonts w:ascii="Book Antiqua" w:eastAsia="Book Antiqua" w:hAnsi="Book Antiqua" w:cs="Book Antiqua"/>
          <w:b/>
          <w:color w:val="000000"/>
        </w:rPr>
        <w:t xml:space="preserve">Article in press: </w:t>
      </w:r>
      <w:r w:rsidR="00292D2C" w:rsidRPr="00A458DC">
        <w:rPr>
          <w:rFonts w:ascii="Book Antiqua" w:eastAsia="宋体" w:hAnsi="Book Antiqua" w:hint="eastAsia"/>
          <w:color w:val="000000" w:themeColor="text1"/>
        </w:rPr>
        <w:t>Se</w:t>
      </w:r>
      <w:r w:rsidR="00292D2C" w:rsidRPr="00A458DC">
        <w:rPr>
          <w:rFonts w:ascii="Book Antiqua" w:eastAsia="宋体" w:hAnsi="Book Antiqua"/>
          <w:color w:val="000000" w:themeColor="text1"/>
        </w:rPr>
        <w:t>ptember 3, 2021</w:t>
      </w:r>
    </w:p>
    <w:p w14:paraId="21B15C60" w14:textId="77777777" w:rsidR="00A77B3E" w:rsidRPr="00A458DC" w:rsidRDefault="00A77B3E" w:rsidP="00196E1A">
      <w:pPr>
        <w:adjustRightInd w:val="0"/>
        <w:snapToGrid w:val="0"/>
        <w:spacing w:line="360" w:lineRule="auto"/>
        <w:jc w:val="both"/>
      </w:pPr>
    </w:p>
    <w:p w14:paraId="2C319935"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olor w:val="000000"/>
        </w:rPr>
        <w:t xml:space="preserve">Specialty type: </w:t>
      </w:r>
      <w:r w:rsidRPr="00A458DC">
        <w:rPr>
          <w:rFonts w:ascii="Book Antiqua" w:eastAsia="Book Antiqua" w:hAnsi="Book Antiqua" w:cs="Book Antiqua"/>
          <w:color w:val="000000"/>
        </w:rPr>
        <w:t>Hematology</w:t>
      </w:r>
    </w:p>
    <w:p w14:paraId="05CF40ED"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olor w:val="000000"/>
        </w:rPr>
        <w:t xml:space="preserve">Country/Territory of origin: </w:t>
      </w:r>
      <w:r w:rsidRPr="00A458DC">
        <w:rPr>
          <w:rFonts w:ascii="Book Antiqua" w:eastAsia="Book Antiqua" w:hAnsi="Book Antiqua" w:cs="Book Antiqua"/>
          <w:color w:val="000000"/>
        </w:rPr>
        <w:t>China</w:t>
      </w:r>
    </w:p>
    <w:p w14:paraId="7AFA8030"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b/>
          <w:color w:val="000000"/>
        </w:rPr>
        <w:t>Peer-review report’s scientific quality classification</w:t>
      </w:r>
    </w:p>
    <w:p w14:paraId="7714A533"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Grade A (Excellent): 0</w:t>
      </w:r>
    </w:p>
    <w:p w14:paraId="6E1287CA"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Grade B (Very good): 0</w:t>
      </w:r>
    </w:p>
    <w:p w14:paraId="57F050BC"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Grade C (Good): C</w:t>
      </w:r>
    </w:p>
    <w:p w14:paraId="39561BFB"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Grade D (Fair): 0</w:t>
      </w:r>
    </w:p>
    <w:p w14:paraId="377C444D" w14:textId="77777777" w:rsidR="00A77B3E" w:rsidRPr="00A458DC" w:rsidRDefault="00A41F52" w:rsidP="00196E1A">
      <w:pPr>
        <w:adjustRightInd w:val="0"/>
        <w:snapToGrid w:val="0"/>
        <w:spacing w:line="360" w:lineRule="auto"/>
        <w:jc w:val="both"/>
      </w:pPr>
      <w:r w:rsidRPr="00A458DC">
        <w:rPr>
          <w:rFonts w:ascii="Book Antiqua" w:eastAsia="Book Antiqua" w:hAnsi="Book Antiqua" w:cs="Book Antiqua"/>
          <w:color w:val="000000"/>
        </w:rPr>
        <w:t>Grade E (Poor): 0</w:t>
      </w:r>
    </w:p>
    <w:p w14:paraId="355508D4" w14:textId="77777777" w:rsidR="00A77B3E" w:rsidRPr="00A458DC" w:rsidRDefault="00A77B3E" w:rsidP="00196E1A">
      <w:pPr>
        <w:adjustRightInd w:val="0"/>
        <w:snapToGrid w:val="0"/>
        <w:spacing w:line="360" w:lineRule="auto"/>
        <w:jc w:val="both"/>
      </w:pPr>
    </w:p>
    <w:p w14:paraId="1D9A60B0" w14:textId="633E5CE7" w:rsidR="00A77B3E" w:rsidRPr="00A458DC" w:rsidRDefault="00A41F52" w:rsidP="00196E1A">
      <w:pPr>
        <w:adjustRightInd w:val="0"/>
        <w:snapToGrid w:val="0"/>
        <w:spacing w:line="360" w:lineRule="auto"/>
        <w:jc w:val="both"/>
        <w:rPr>
          <w:rFonts w:ascii="Book Antiqua" w:eastAsia="Book Antiqua" w:hAnsi="Book Antiqua" w:cs="Book Antiqua"/>
          <w:bCs/>
          <w:color w:val="000000"/>
        </w:rPr>
      </w:pPr>
      <w:r w:rsidRPr="00A458DC">
        <w:rPr>
          <w:rFonts w:ascii="Book Antiqua" w:eastAsia="Book Antiqua" w:hAnsi="Book Antiqua" w:cs="Book Antiqua"/>
          <w:b/>
          <w:color w:val="000000"/>
        </w:rPr>
        <w:t xml:space="preserve">P-Reviewer: </w:t>
      </w:r>
      <w:r w:rsidRPr="00A458DC">
        <w:rPr>
          <w:rFonts w:ascii="Book Antiqua" w:eastAsia="Book Antiqua" w:hAnsi="Book Antiqua" w:cs="Book Antiqua"/>
          <w:color w:val="000000"/>
        </w:rPr>
        <w:t>Giordano A</w:t>
      </w:r>
      <w:r w:rsidRPr="00A458DC">
        <w:rPr>
          <w:rFonts w:ascii="Book Antiqua" w:eastAsia="Book Antiqua" w:hAnsi="Book Antiqua" w:cs="Book Antiqua"/>
          <w:b/>
          <w:color w:val="000000"/>
        </w:rPr>
        <w:t xml:space="preserve"> S-Editor: </w:t>
      </w:r>
      <w:r w:rsidRPr="00A458DC">
        <w:rPr>
          <w:rFonts w:ascii="Book Antiqua" w:eastAsia="Book Antiqua" w:hAnsi="Book Antiqua" w:cs="Book Antiqua"/>
          <w:color w:val="000000"/>
        </w:rPr>
        <w:t>Ma YJ</w:t>
      </w:r>
      <w:r w:rsidRPr="00A458DC">
        <w:rPr>
          <w:rFonts w:ascii="Book Antiqua" w:eastAsia="Book Antiqua" w:hAnsi="Book Antiqua" w:cs="Book Antiqua"/>
          <w:b/>
          <w:color w:val="000000"/>
        </w:rPr>
        <w:t xml:space="preserve"> L-Editor: </w:t>
      </w:r>
      <w:r w:rsidR="00234B48" w:rsidRPr="00A458DC">
        <w:rPr>
          <w:rFonts w:ascii="Book Antiqua" w:eastAsia="Book Antiqua" w:hAnsi="Book Antiqua" w:cs="Book Antiqua"/>
          <w:bCs/>
          <w:color w:val="000000"/>
        </w:rPr>
        <w:t>A</w:t>
      </w:r>
      <w:r w:rsidRPr="00A458DC">
        <w:rPr>
          <w:rFonts w:ascii="Book Antiqua" w:eastAsia="Book Antiqua" w:hAnsi="Book Antiqua" w:cs="Book Antiqua"/>
          <w:bCs/>
          <w:color w:val="000000"/>
        </w:rPr>
        <w:t xml:space="preserve"> </w:t>
      </w:r>
      <w:r w:rsidRPr="00A458DC">
        <w:rPr>
          <w:rFonts w:ascii="Book Antiqua" w:eastAsia="Book Antiqua" w:hAnsi="Book Antiqua" w:cs="Book Antiqua"/>
          <w:b/>
          <w:color w:val="000000"/>
        </w:rPr>
        <w:t>P-Editor:</w:t>
      </w:r>
      <w:r w:rsidRPr="00A458DC">
        <w:rPr>
          <w:rFonts w:ascii="Book Antiqua" w:eastAsia="Book Antiqua" w:hAnsi="Book Antiqua" w:cs="Book Antiqua"/>
          <w:bCs/>
          <w:color w:val="000000"/>
        </w:rPr>
        <w:t xml:space="preserve"> </w:t>
      </w:r>
      <w:r w:rsidR="00234B48" w:rsidRPr="00A458DC">
        <w:rPr>
          <w:rFonts w:ascii="Book Antiqua" w:eastAsia="Book Antiqua" w:hAnsi="Book Antiqua" w:cs="Book Antiqua"/>
          <w:bCs/>
          <w:color w:val="000000"/>
        </w:rPr>
        <w:t>Li JH</w:t>
      </w:r>
    </w:p>
    <w:p w14:paraId="1A40721A" w14:textId="5D3A389A" w:rsidR="00234B48" w:rsidRPr="00A458DC" w:rsidRDefault="00234B48" w:rsidP="00196E1A">
      <w:pPr>
        <w:adjustRightInd w:val="0"/>
        <w:snapToGrid w:val="0"/>
        <w:spacing w:line="360" w:lineRule="auto"/>
        <w:jc w:val="both"/>
        <w:sectPr w:rsidR="00234B48" w:rsidRPr="00A458DC">
          <w:pgSz w:w="12240" w:h="15840"/>
          <w:pgMar w:top="1440" w:right="1440" w:bottom="1440" w:left="1440" w:header="720" w:footer="720" w:gutter="0"/>
          <w:cols w:space="720"/>
          <w:docGrid w:linePitch="360"/>
        </w:sectPr>
      </w:pPr>
    </w:p>
    <w:p w14:paraId="3566150E" w14:textId="77777777" w:rsidR="00A77B3E" w:rsidRPr="00A458DC" w:rsidRDefault="00A41F52" w:rsidP="00196E1A">
      <w:pPr>
        <w:adjustRightInd w:val="0"/>
        <w:snapToGrid w:val="0"/>
        <w:spacing w:line="360" w:lineRule="auto"/>
        <w:jc w:val="both"/>
        <w:rPr>
          <w:rFonts w:ascii="Book Antiqua" w:hAnsi="Book Antiqua" w:cs="Book Antiqua"/>
          <w:b/>
          <w:color w:val="000000"/>
          <w:lang w:eastAsia="zh-CN"/>
        </w:rPr>
      </w:pPr>
      <w:r w:rsidRPr="00A458DC">
        <w:rPr>
          <w:rFonts w:ascii="Book Antiqua" w:eastAsia="Book Antiqua" w:hAnsi="Book Antiqua" w:cs="Book Antiqua"/>
          <w:b/>
          <w:color w:val="000000"/>
        </w:rPr>
        <w:t>Figure Legends</w:t>
      </w:r>
    </w:p>
    <w:p w14:paraId="0CE98E8B" w14:textId="5A1AA1F1" w:rsidR="00196E1A" w:rsidRPr="00A458DC" w:rsidRDefault="00196E1A" w:rsidP="00196E1A">
      <w:pPr>
        <w:adjustRightInd w:val="0"/>
        <w:snapToGrid w:val="0"/>
        <w:spacing w:line="360" w:lineRule="auto"/>
        <w:jc w:val="both"/>
        <w:rPr>
          <w:lang w:eastAsia="zh-CN"/>
        </w:rPr>
      </w:pPr>
      <w:r w:rsidRPr="00A458DC">
        <w:rPr>
          <w:noProof/>
          <w:lang w:eastAsia="zh-CN"/>
        </w:rPr>
        <w:drawing>
          <wp:inline distT="0" distB="0" distL="0" distR="0" wp14:anchorId="4AC37D75" wp14:editId="48B0C25A">
            <wp:extent cx="4832598" cy="2051155"/>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32598" cy="2051155"/>
                    </a:xfrm>
                    <a:prstGeom prst="rect">
                      <a:avLst/>
                    </a:prstGeom>
                  </pic:spPr>
                </pic:pic>
              </a:graphicData>
            </a:graphic>
          </wp:inline>
        </w:drawing>
      </w:r>
    </w:p>
    <w:p w14:paraId="034066D2" w14:textId="12E7DAB5" w:rsidR="0028713E" w:rsidRPr="00A458DC" w:rsidRDefault="0028713E" w:rsidP="00196E1A">
      <w:pPr>
        <w:adjustRightInd w:val="0"/>
        <w:snapToGrid w:val="0"/>
        <w:spacing w:line="360" w:lineRule="auto"/>
        <w:jc w:val="both"/>
        <w:rPr>
          <w:rFonts w:ascii="Book Antiqua" w:hAnsi="Book Antiqua" w:cs="Book Antiqua"/>
          <w:b/>
          <w:color w:val="000000"/>
          <w:szCs w:val="36"/>
          <w:lang w:eastAsia="zh-CN"/>
        </w:rPr>
      </w:pPr>
      <w:r w:rsidRPr="00A458DC">
        <w:rPr>
          <w:rFonts w:ascii="Book Antiqua" w:eastAsia="Book Antiqua" w:hAnsi="Book Antiqua" w:cs="Book Antiqua"/>
          <w:b/>
          <w:color w:val="000000"/>
          <w:szCs w:val="36"/>
        </w:rPr>
        <w:t xml:space="preserve">Figure 1 </w:t>
      </w:r>
      <w:r w:rsidRPr="00A458DC">
        <w:rPr>
          <w:rFonts w:ascii="Book Antiqua" w:eastAsia="Book Antiqua" w:hAnsi="Book Antiqua" w:cs="Book Antiqua"/>
          <w:b/>
          <w:caps/>
          <w:color w:val="000000"/>
          <w:szCs w:val="36"/>
        </w:rPr>
        <w:t>p</w:t>
      </w:r>
      <w:r w:rsidRPr="00A458DC">
        <w:rPr>
          <w:rFonts w:ascii="Book Antiqua" w:eastAsia="Book Antiqua" w:hAnsi="Book Antiqua" w:cs="Book Antiqua"/>
          <w:b/>
          <w:color w:val="000000"/>
          <w:szCs w:val="36"/>
        </w:rPr>
        <w:t xml:space="preserve">athological microscopic image with hematoxylin-eosin staining of lymph node biopsy in case once </w:t>
      </w:r>
      <w:r w:rsidR="00196E1A" w:rsidRPr="00A458DC">
        <w:rPr>
          <w:rFonts w:ascii="Book Antiqua" w:hAnsi="Book Antiqua" w:cs="Book Antiqua" w:hint="eastAsia"/>
          <w:b/>
          <w:color w:val="000000"/>
          <w:szCs w:val="36"/>
          <w:lang w:eastAsia="zh-CN"/>
        </w:rPr>
        <w:t xml:space="preserve">(A) </w:t>
      </w:r>
      <w:r w:rsidR="00196E1A" w:rsidRPr="00A458DC">
        <w:rPr>
          <w:rFonts w:ascii="Book Antiqua" w:hAnsi="Book Antiqua" w:cs="Book Antiqua"/>
          <w:b/>
          <w:color w:val="000000"/>
          <w:szCs w:val="36"/>
          <w:lang w:eastAsia="zh-CN"/>
        </w:rPr>
        <w:t>and</w:t>
      </w:r>
      <w:r w:rsidR="00196E1A" w:rsidRPr="00A458DC">
        <w:rPr>
          <w:rFonts w:ascii="Book Antiqua" w:eastAsia="Book Antiqua" w:hAnsi="Book Antiqua" w:cs="Book Antiqua"/>
          <w:b/>
          <w:color w:val="000000"/>
          <w:szCs w:val="36"/>
        </w:rPr>
        <w:t xml:space="preserve"> </w:t>
      </w:r>
      <w:r w:rsidRPr="00A458DC">
        <w:rPr>
          <w:rFonts w:ascii="Book Antiqua" w:eastAsia="Book Antiqua" w:hAnsi="Book Antiqua" w:cs="Book Antiqua"/>
          <w:b/>
          <w:color w:val="000000"/>
          <w:szCs w:val="36"/>
        </w:rPr>
        <w:t>of marrow biopsy in case two</w:t>
      </w:r>
      <w:r w:rsidR="00196E1A" w:rsidRPr="00A458DC">
        <w:rPr>
          <w:rFonts w:ascii="Book Antiqua" w:hAnsi="Book Antiqua" w:cs="Book Antiqua" w:hint="eastAsia"/>
          <w:b/>
          <w:color w:val="000000"/>
          <w:szCs w:val="36"/>
          <w:lang w:eastAsia="zh-CN"/>
        </w:rPr>
        <w:t xml:space="preserve"> (B).</w:t>
      </w:r>
    </w:p>
    <w:p w14:paraId="5A5860F5" w14:textId="27810CBE" w:rsidR="00196E1A" w:rsidRPr="00A458DC" w:rsidRDefault="00196E1A" w:rsidP="00196E1A">
      <w:pPr>
        <w:adjustRightInd w:val="0"/>
        <w:snapToGrid w:val="0"/>
        <w:spacing w:line="360" w:lineRule="auto"/>
        <w:jc w:val="both"/>
        <w:rPr>
          <w:rFonts w:ascii="Book Antiqua" w:hAnsi="Book Antiqua" w:cs="Book Antiqua"/>
          <w:b/>
          <w:color w:val="000000"/>
          <w:szCs w:val="36"/>
          <w:lang w:eastAsia="zh-CN"/>
        </w:rPr>
      </w:pPr>
      <w:r w:rsidRPr="00A458DC">
        <w:rPr>
          <w:rFonts w:ascii="Book Antiqua" w:hAnsi="Book Antiqua" w:cs="Book Antiqua"/>
          <w:b/>
          <w:color w:val="000000"/>
          <w:szCs w:val="36"/>
          <w:lang w:eastAsia="zh-CN"/>
        </w:rPr>
        <w:br w:type="page"/>
      </w:r>
    </w:p>
    <w:p w14:paraId="1CD2AA12" w14:textId="7D4C514D" w:rsidR="00196E1A" w:rsidRPr="00A458DC" w:rsidRDefault="00196E1A" w:rsidP="00196E1A">
      <w:pPr>
        <w:adjustRightInd w:val="0"/>
        <w:snapToGrid w:val="0"/>
        <w:spacing w:line="360" w:lineRule="auto"/>
        <w:jc w:val="both"/>
        <w:rPr>
          <w:b/>
          <w:lang w:eastAsia="zh-CN"/>
        </w:rPr>
      </w:pPr>
      <w:r w:rsidRPr="00A458DC">
        <w:rPr>
          <w:noProof/>
          <w:lang w:eastAsia="zh-CN"/>
        </w:rPr>
        <w:drawing>
          <wp:inline distT="0" distB="0" distL="0" distR="0" wp14:anchorId="73D7F4D9" wp14:editId="3ED92F07">
            <wp:extent cx="5162815" cy="241947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62815" cy="2419474"/>
                    </a:xfrm>
                    <a:prstGeom prst="rect">
                      <a:avLst/>
                    </a:prstGeom>
                  </pic:spPr>
                </pic:pic>
              </a:graphicData>
            </a:graphic>
          </wp:inline>
        </w:drawing>
      </w:r>
    </w:p>
    <w:p w14:paraId="28428A1C" w14:textId="3B59D591" w:rsidR="00A77B3E" w:rsidRPr="00196E1A" w:rsidRDefault="00A41F52" w:rsidP="00196E1A">
      <w:pPr>
        <w:adjustRightInd w:val="0"/>
        <w:snapToGrid w:val="0"/>
        <w:spacing w:line="360" w:lineRule="auto"/>
        <w:jc w:val="both"/>
        <w:rPr>
          <w:b/>
          <w:lang w:eastAsia="zh-CN"/>
        </w:rPr>
      </w:pPr>
      <w:r w:rsidRPr="00A458DC">
        <w:rPr>
          <w:rFonts w:ascii="Book Antiqua" w:eastAsia="Book Antiqua" w:hAnsi="Book Antiqua" w:cs="Book Antiqua"/>
          <w:b/>
          <w:color w:val="000000"/>
          <w:szCs w:val="36"/>
        </w:rPr>
        <w:t xml:space="preserve">Figure </w:t>
      </w:r>
      <w:r w:rsidR="0028713E" w:rsidRPr="00A458DC">
        <w:rPr>
          <w:rFonts w:ascii="Book Antiqua" w:eastAsia="Book Antiqua" w:hAnsi="Book Antiqua" w:cs="Book Antiqua"/>
          <w:b/>
          <w:color w:val="000000"/>
          <w:szCs w:val="36"/>
        </w:rPr>
        <w:t xml:space="preserve">2 </w:t>
      </w:r>
      <w:r w:rsidRPr="00A458DC">
        <w:rPr>
          <w:rFonts w:ascii="Book Antiqua" w:eastAsia="Book Antiqua" w:hAnsi="Book Antiqua" w:cs="Book Antiqua"/>
          <w:b/>
          <w:color w:val="000000"/>
          <w:szCs w:val="36"/>
        </w:rPr>
        <w:t>Flow cytometric analysis showed two separate populations of cells the red one positive for myeloblast markers</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(CD117, CD34,</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CD33,</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CD13,</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HLADR,</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CD38,</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MPO) and the green one for B lymphoid markers</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CD19,</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CD5,</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CD22,</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CD20,</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CD23(weak),</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CD200,</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kappa light chain</w:t>
      </w:r>
      <w:r w:rsidR="00196E1A" w:rsidRPr="00A458DC">
        <w:rPr>
          <w:rFonts w:ascii="Book Antiqua" w:hAnsi="Book Antiqua" w:cs="Book Antiqua" w:hint="eastAsia"/>
          <w:b/>
          <w:color w:val="000000"/>
          <w:szCs w:val="36"/>
          <w:lang w:eastAsia="zh-CN"/>
        </w:rPr>
        <w:t>]</w:t>
      </w:r>
      <w:r w:rsidR="00196E1A" w:rsidRPr="00A458DC">
        <w:rPr>
          <w:rFonts w:ascii="Book Antiqua" w:eastAsia="Book Antiqua" w:hAnsi="Book Antiqua" w:cs="Book Antiqua"/>
          <w:b/>
          <w:color w:val="000000"/>
          <w:szCs w:val="36"/>
        </w:rPr>
        <w:t xml:space="preserve"> </w:t>
      </w:r>
      <w:r w:rsidRPr="00A458DC">
        <w:rPr>
          <w:rFonts w:ascii="Book Antiqua" w:eastAsia="Book Antiqua" w:hAnsi="Book Antiqua" w:cs="Book Antiqua"/>
          <w:b/>
          <w:color w:val="000000"/>
          <w:szCs w:val="36"/>
        </w:rPr>
        <w:t xml:space="preserve">in case one </w:t>
      </w:r>
      <w:r w:rsidR="00196E1A" w:rsidRPr="00A458DC">
        <w:rPr>
          <w:rFonts w:ascii="Book Antiqua" w:hAnsi="Book Antiqua" w:cs="Book Antiqua" w:hint="eastAsia"/>
          <w:b/>
          <w:color w:val="000000"/>
          <w:szCs w:val="36"/>
          <w:lang w:eastAsia="zh-CN"/>
        </w:rPr>
        <w:t xml:space="preserve">(A), and </w:t>
      </w:r>
      <w:r w:rsidRPr="00A458DC">
        <w:rPr>
          <w:rFonts w:ascii="Book Antiqua" w:eastAsia="Book Antiqua" w:hAnsi="Book Antiqua" w:cs="Book Antiqua"/>
          <w:b/>
          <w:color w:val="000000"/>
          <w:szCs w:val="36"/>
        </w:rPr>
        <w:t>two separate populations of cells the red one positive for myeloblast markers</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(CD117,</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CD34,</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CD33,</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CD13,</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HLA-DR,</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CD38) and the green one for B lymphoid markers</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CD19,</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CD5,</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CD22</w:t>
      </w:r>
      <w:r w:rsidR="00505C7F"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(weak),</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CD20</w:t>
      </w:r>
      <w:r w:rsidR="00505C7F"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(weak),</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CD23,</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CD200,</w:t>
      </w:r>
      <w:r w:rsidR="00196E1A" w:rsidRPr="00A458DC">
        <w:rPr>
          <w:rFonts w:ascii="Book Antiqua" w:hAnsi="Book Antiqua" w:cs="Book Antiqua" w:hint="eastAsia"/>
          <w:b/>
          <w:color w:val="000000"/>
          <w:szCs w:val="36"/>
          <w:lang w:eastAsia="zh-CN"/>
        </w:rPr>
        <w:t xml:space="preserve"> </w:t>
      </w:r>
      <w:r w:rsidRPr="00A458DC">
        <w:rPr>
          <w:rFonts w:ascii="Book Antiqua" w:eastAsia="Book Antiqua" w:hAnsi="Book Antiqua" w:cs="Book Antiqua"/>
          <w:b/>
          <w:color w:val="000000"/>
          <w:szCs w:val="36"/>
        </w:rPr>
        <w:t>Kappa light chain</w:t>
      </w:r>
      <w:r w:rsidR="00196E1A" w:rsidRPr="00A458DC">
        <w:rPr>
          <w:rFonts w:ascii="Book Antiqua" w:hAnsi="Book Antiqua" w:cs="Book Antiqua" w:hint="eastAsia"/>
          <w:b/>
          <w:color w:val="000000"/>
          <w:szCs w:val="36"/>
          <w:lang w:eastAsia="zh-CN"/>
        </w:rPr>
        <w:t>]</w:t>
      </w:r>
      <w:r w:rsidR="00196E1A" w:rsidRPr="00A458DC">
        <w:rPr>
          <w:rFonts w:ascii="Book Antiqua" w:eastAsia="Book Antiqua" w:hAnsi="Book Antiqua" w:cs="Book Antiqua"/>
          <w:b/>
          <w:color w:val="000000"/>
          <w:szCs w:val="36"/>
        </w:rPr>
        <w:t xml:space="preserve"> </w:t>
      </w:r>
      <w:r w:rsidRPr="00A458DC">
        <w:rPr>
          <w:rFonts w:ascii="Book Antiqua" w:eastAsia="Book Antiqua" w:hAnsi="Book Antiqua" w:cs="Book Antiqua"/>
          <w:b/>
          <w:color w:val="000000"/>
          <w:szCs w:val="36"/>
        </w:rPr>
        <w:t>in case two</w:t>
      </w:r>
      <w:r w:rsidR="00196E1A" w:rsidRPr="00A458DC">
        <w:rPr>
          <w:rFonts w:ascii="Book Antiqua" w:hAnsi="Book Antiqua" w:cs="Book Antiqua" w:hint="eastAsia"/>
          <w:b/>
          <w:color w:val="000000"/>
          <w:szCs w:val="36"/>
          <w:lang w:eastAsia="zh-CN"/>
        </w:rPr>
        <w:t xml:space="preserve"> (B).</w:t>
      </w:r>
    </w:p>
    <w:p w14:paraId="1BB92DB7" w14:textId="51A8439C" w:rsidR="007363E7" w:rsidRDefault="007363E7">
      <w:r>
        <w:br w:type="page"/>
      </w:r>
    </w:p>
    <w:p w14:paraId="5D34992E" w14:textId="77777777" w:rsidR="007363E7" w:rsidRDefault="007363E7" w:rsidP="007363E7">
      <w:pPr>
        <w:jc w:val="center"/>
        <w:rPr>
          <w:rFonts w:ascii="Book Antiqua" w:hAnsi="Book Antiqua"/>
          <w:lang w:eastAsia="zh-CN"/>
        </w:rPr>
      </w:pPr>
    </w:p>
    <w:p w14:paraId="45E567EE" w14:textId="77777777" w:rsidR="007363E7" w:rsidRDefault="007363E7" w:rsidP="007363E7">
      <w:pPr>
        <w:jc w:val="center"/>
        <w:rPr>
          <w:rFonts w:ascii="Book Antiqua" w:hAnsi="Book Antiqua"/>
          <w:lang w:eastAsia="zh-CN"/>
        </w:rPr>
      </w:pPr>
    </w:p>
    <w:p w14:paraId="0CD0F6B9" w14:textId="77777777" w:rsidR="007363E7" w:rsidRDefault="007363E7" w:rsidP="007363E7">
      <w:pPr>
        <w:jc w:val="center"/>
        <w:rPr>
          <w:rFonts w:ascii="Book Antiqua" w:hAnsi="Book Antiqua"/>
          <w:lang w:eastAsia="zh-CN"/>
        </w:rPr>
      </w:pPr>
    </w:p>
    <w:p w14:paraId="4795C1D7" w14:textId="77777777" w:rsidR="007363E7" w:rsidRDefault="007363E7" w:rsidP="007363E7">
      <w:pPr>
        <w:jc w:val="center"/>
        <w:rPr>
          <w:rFonts w:ascii="Book Antiqua" w:hAnsi="Book Antiqua"/>
          <w:lang w:eastAsia="zh-CN"/>
        </w:rPr>
      </w:pPr>
    </w:p>
    <w:p w14:paraId="573A3C81" w14:textId="77777777" w:rsidR="007363E7" w:rsidRDefault="007363E7" w:rsidP="007363E7">
      <w:pPr>
        <w:jc w:val="center"/>
        <w:rPr>
          <w:rFonts w:ascii="Book Antiqua" w:hAnsi="Book Antiqua"/>
          <w:lang w:eastAsia="zh-CN"/>
        </w:rPr>
      </w:pPr>
    </w:p>
    <w:p w14:paraId="7030142D" w14:textId="77777777" w:rsidR="007363E7" w:rsidRDefault="007363E7" w:rsidP="007363E7">
      <w:pPr>
        <w:jc w:val="center"/>
        <w:rPr>
          <w:rFonts w:ascii="Book Antiqua" w:hAnsi="Book Antiqua"/>
          <w:lang w:eastAsia="zh-CN"/>
        </w:rPr>
      </w:pPr>
      <w:r>
        <w:rPr>
          <w:rFonts w:ascii="Book Antiqua" w:hAnsi="Book Antiqua"/>
          <w:noProof/>
          <w:lang w:eastAsia="zh-CN"/>
        </w:rPr>
        <w:drawing>
          <wp:inline distT="0" distB="0" distL="0" distR="0" wp14:anchorId="4C608199" wp14:editId="2D58AB2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82F117" w14:textId="77777777" w:rsidR="007363E7" w:rsidRDefault="007363E7" w:rsidP="007363E7">
      <w:pPr>
        <w:jc w:val="center"/>
        <w:rPr>
          <w:rFonts w:ascii="Book Antiqua" w:hAnsi="Book Antiqua"/>
          <w:lang w:eastAsia="zh-CN"/>
        </w:rPr>
      </w:pPr>
    </w:p>
    <w:p w14:paraId="5D67EB07" w14:textId="77777777" w:rsidR="007363E7" w:rsidRPr="00763D22" w:rsidRDefault="007363E7" w:rsidP="007363E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6B04621" w14:textId="77777777" w:rsidR="007363E7" w:rsidRPr="00763D22" w:rsidRDefault="007363E7" w:rsidP="007363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7F50FA" w14:textId="77777777" w:rsidR="007363E7" w:rsidRPr="00763D22" w:rsidRDefault="007363E7" w:rsidP="007363E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65283BA" w14:textId="77777777" w:rsidR="007363E7" w:rsidRPr="00763D22" w:rsidRDefault="007363E7" w:rsidP="007363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694488B" w14:textId="77777777" w:rsidR="007363E7" w:rsidRPr="00763D22" w:rsidRDefault="007363E7" w:rsidP="007363E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1AFCB65" w14:textId="77777777" w:rsidR="007363E7" w:rsidRPr="00763D22" w:rsidRDefault="007363E7" w:rsidP="007363E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01AC5CD" w14:textId="77777777" w:rsidR="007363E7" w:rsidRDefault="007363E7" w:rsidP="007363E7">
      <w:pPr>
        <w:jc w:val="center"/>
        <w:rPr>
          <w:rFonts w:ascii="Book Antiqua" w:hAnsi="Book Antiqua"/>
          <w:lang w:eastAsia="zh-CN"/>
        </w:rPr>
      </w:pPr>
    </w:p>
    <w:p w14:paraId="6E22F05C" w14:textId="77777777" w:rsidR="007363E7" w:rsidRDefault="007363E7" w:rsidP="007363E7">
      <w:pPr>
        <w:jc w:val="center"/>
        <w:rPr>
          <w:rFonts w:ascii="Book Antiqua" w:hAnsi="Book Antiqua"/>
          <w:lang w:eastAsia="zh-CN"/>
        </w:rPr>
      </w:pPr>
    </w:p>
    <w:p w14:paraId="4D6BDDAD" w14:textId="77777777" w:rsidR="007363E7" w:rsidRDefault="007363E7" w:rsidP="007363E7">
      <w:pPr>
        <w:jc w:val="center"/>
        <w:rPr>
          <w:rFonts w:ascii="Book Antiqua" w:hAnsi="Book Antiqua"/>
          <w:lang w:eastAsia="zh-CN"/>
        </w:rPr>
      </w:pPr>
    </w:p>
    <w:p w14:paraId="3E241109" w14:textId="77777777" w:rsidR="007363E7" w:rsidRDefault="007363E7" w:rsidP="007363E7">
      <w:pPr>
        <w:jc w:val="center"/>
        <w:rPr>
          <w:rFonts w:ascii="Book Antiqua" w:hAnsi="Book Antiqua"/>
          <w:lang w:eastAsia="zh-CN"/>
        </w:rPr>
      </w:pPr>
      <w:r>
        <w:rPr>
          <w:rFonts w:ascii="Book Antiqua" w:hAnsi="Book Antiqua"/>
          <w:noProof/>
          <w:lang w:eastAsia="zh-CN"/>
        </w:rPr>
        <w:drawing>
          <wp:inline distT="0" distB="0" distL="0" distR="0" wp14:anchorId="3DAB4944" wp14:editId="6F269BD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AE6249" w14:textId="77777777" w:rsidR="007363E7" w:rsidRDefault="007363E7" w:rsidP="007363E7">
      <w:pPr>
        <w:jc w:val="center"/>
        <w:rPr>
          <w:rFonts w:ascii="Book Antiqua" w:hAnsi="Book Antiqua"/>
          <w:lang w:eastAsia="zh-CN"/>
        </w:rPr>
      </w:pPr>
    </w:p>
    <w:p w14:paraId="24FD4018" w14:textId="77777777" w:rsidR="007363E7" w:rsidRDefault="007363E7" w:rsidP="007363E7">
      <w:pPr>
        <w:jc w:val="center"/>
        <w:rPr>
          <w:rFonts w:ascii="Book Antiqua" w:hAnsi="Book Antiqua"/>
          <w:lang w:eastAsia="zh-CN"/>
        </w:rPr>
      </w:pPr>
    </w:p>
    <w:p w14:paraId="2290ADB1" w14:textId="77777777" w:rsidR="007363E7" w:rsidRDefault="007363E7" w:rsidP="007363E7">
      <w:pPr>
        <w:jc w:val="center"/>
        <w:rPr>
          <w:rFonts w:ascii="Book Antiqua" w:hAnsi="Book Antiqua"/>
          <w:lang w:eastAsia="zh-CN"/>
        </w:rPr>
      </w:pPr>
    </w:p>
    <w:p w14:paraId="23641208" w14:textId="77777777" w:rsidR="007363E7" w:rsidRDefault="007363E7" w:rsidP="007363E7">
      <w:pPr>
        <w:jc w:val="center"/>
        <w:rPr>
          <w:rFonts w:ascii="Book Antiqua" w:hAnsi="Book Antiqua"/>
          <w:lang w:eastAsia="zh-CN"/>
        </w:rPr>
      </w:pPr>
    </w:p>
    <w:p w14:paraId="51146F42" w14:textId="77777777" w:rsidR="007363E7" w:rsidRDefault="007363E7" w:rsidP="007363E7">
      <w:pPr>
        <w:jc w:val="center"/>
        <w:rPr>
          <w:rFonts w:ascii="Book Antiqua" w:hAnsi="Book Antiqua"/>
          <w:lang w:eastAsia="zh-CN"/>
        </w:rPr>
      </w:pPr>
    </w:p>
    <w:p w14:paraId="17FD1337" w14:textId="77777777" w:rsidR="007363E7" w:rsidRDefault="007363E7" w:rsidP="007363E7">
      <w:pPr>
        <w:jc w:val="center"/>
        <w:rPr>
          <w:rFonts w:ascii="Book Antiqua" w:hAnsi="Book Antiqua"/>
          <w:lang w:eastAsia="zh-CN"/>
        </w:rPr>
      </w:pPr>
    </w:p>
    <w:p w14:paraId="62D6EF75" w14:textId="77777777" w:rsidR="007363E7" w:rsidRDefault="007363E7" w:rsidP="007363E7">
      <w:pPr>
        <w:jc w:val="center"/>
        <w:rPr>
          <w:rFonts w:ascii="Book Antiqua" w:hAnsi="Book Antiqua"/>
          <w:lang w:eastAsia="zh-CN"/>
        </w:rPr>
      </w:pPr>
    </w:p>
    <w:p w14:paraId="6AAD4A78" w14:textId="77777777" w:rsidR="007363E7" w:rsidRDefault="007363E7" w:rsidP="007363E7">
      <w:pPr>
        <w:jc w:val="center"/>
        <w:rPr>
          <w:rFonts w:ascii="Book Antiqua" w:hAnsi="Book Antiqua"/>
          <w:lang w:eastAsia="zh-CN"/>
        </w:rPr>
      </w:pPr>
    </w:p>
    <w:p w14:paraId="150EDE2C" w14:textId="77777777" w:rsidR="007363E7" w:rsidRDefault="007363E7" w:rsidP="007363E7">
      <w:pPr>
        <w:jc w:val="center"/>
        <w:rPr>
          <w:rFonts w:ascii="Book Antiqua" w:hAnsi="Book Antiqua"/>
          <w:lang w:eastAsia="zh-CN"/>
        </w:rPr>
      </w:pPr>
    </w:p>
    <w:p w14:paraId="766E0C22" w14:textId="77777777" w:rsidR="007363E7" w:rsidRPr="00763D22" w:rsidRDefault="007363E7" w:rsidP="007363E7">
      <w:pPr>
        <w:jc w:val="right"/>
        <w:rPr>
          <w:rFonts w:ascii="Book Antiqua" w:hAnsi="Book Antiqua"/>
          <w:color w:val="000000" w:themeColor="text1"/>
          <w:lang w:eastAsia="zh-CN"/>
        </w:rPr>
      </w:pPr>
    </w:p>
    <w:p w14:paraId="76D45F7F" w14:textId="77777777" w:rsidR="007363E7" w:rsidRPr="00763D22" w:rsidRDefault="007363E7" w:rsidP="007363E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F368C6B" w14:textId="77777777" w:rsidR="00A77B3E" w:rsidRDefault="00A77B3E" w:rsidP="00196E1A">
      <w:pPr>
        <w:adjustRightInd w:val="0"/>
        <w:snapToGrid w:val="0"/>
        <w:spacing w:line="360" w:lineRule="auto"/>
        <w:jc w:val="both"/>
      </w:pPr>
      <w:bookmarkStart w:id="11" w:name="_GoBack"/>
      <w:bookmarkEnd w:id="11"/>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9B55E" w14:textId="77777777" w:rsidR="00750BB9" w:rsidRDefault="00750BB9" w:rsidP="00196E1A">
      <w:r>
        <w:separator/>
      </w:r>
    </w:p>
  </w:endnote>
  <w:endnote w:type="continuationSeparator" w:id="0">
    <w:p w14:paraId="0BE64F39" w14:textId="77777777" w:rsidR="00750BB9" w:rsidRDefault="00750BB9" w:rsidP="0019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431151"/>
      <w:docPartObj>
        <w:docPartGallery w:val="Page Numbers (Bottom of Page)"/>
        <w:docPartUnique/>
      </w:docPartObj>
    </w:sdtPr>
    <w:sdtEndPr/>
    <w:sdtContent>
      <w:sdt>
        <w:sdtPr>
          <w:id w:val="98381352"/>
          <w:docPartObj>
            <w:docPartGallery w:val="Page Numbers (Top of Page)"/>
            <w:docPartUnique/>
          </w:docPartObj>
        </w:sdtPr>
        <w:sdtEndPr/>
        <w:sdtContent>
          <w:p w14:paraId="42DC9EE0" w14:textId="21951270" w:rsidR="00196E1A" w:rsidRDefault="00196E1A" w:rsidP="00196E1A">
            <w:pPr>
              <w:pStyle w:val="a4"/>
              <w:jc w:val="right"/>
            </w:pPr>
            <w:r w:rsidRPr="00196E1A">
              <w:rPr>
                <w:rFonts w:ascii="Book Antiqua" w:hAnsi="Book Antiqua"/>
                <w:sz w:val="24"/>
                <w:szCs w:val="24"/>
                <w:lang w:val="zh-CN" w:eastAsia="zh-CN"/>
              </w:rPr>
              <w:t xml:space="preserve"> </w:t>
            </w:r>
            <w:r w:rsidRPr="00196E1A">
              <w:rPr>
                <w:rFonts w:ascii="Book Antiqua" w:hAnsi="Book Antiqua"/>
                <w:b/>
                <w:bCs/>
                <w:sz w:val="24"/>
                <w:szCs w:val="24"/>
              </w:rPr>
              <w:fldChar w:fldCharType="begin"/>
            </w:r>
            <w:r w:rsidRPr="00196E1A">
              <w:rPr>
                <w:rFonts w:ascii="Book Antiqua" w:hAnsi="Book Antiqua"/>
                <w:b/>
                <w:bCs/>
                <w:sz w:val="24"/>
                <w:szCs w:val="24"/>
              </w:rPr>
              <w:instrText>PAGE</w:instrText>
            </w:r>
            <w:r w:rsidRPr="00196E1A">
              <w:rPr>
                <w:rFonts w:ascii="Book Antiqua" w:hAnsi="Book Antiqua"/>
                <w:b/>
                <w:bCs/>
                <w:sz w:val="24"/>
                <w:szCs w:val="24"/>
              </w:rPr>
              <w:fldChar w:fldCharType="separate"/>
            </w:r>
            <w:r w:rsidR="00750BB9">
              <w:rPr>
                <w:rFonts w:ascii="Book Antiqua" w:hAnsi="Book Antiqua"/>
                <w:b/>
                <w:bCs/>
                <w:noProof/>
                <w:sz w:val="24"/>
                <w:szCs w:val="24"/>
              </w:rPr>
              <w:t>1</w:t>
            </w:r>
            <w:r w:rsidRPr="00196E1A">
              <w:rPr>
                <w:rFonts w:ascii="Book Antiqua" w:hAnsi="Book Antiqua"/>
                <w:b/>
                <w:bCs/>
                <w:sz w:val="24"/>
                <w:szCs w:val="24"/>
              </w:rPr>
              <w:fldChar w:fldCharType="end"/>
            </w:r>
            <w:r w:rsidRPr="00196E1A">
              <w:rPr>
                <w:rFonts w:ascii="Book Antiqua" w:hAnsi="Book Antiqua"/>
                <w:sz w:val="24"/>
                <w:szCs w:val="24"/>
                <w:lang w:val="zh-CN" w:eastAsia="zh-CN"/>
              </w:rPr>
              <w:t xml:space="preserve"> / </w:t>
            </w:r>
            <w:r w:rsidRPr="00196E1A">
              <w:rPr>
                <w:rFonts w:ascii="Book Antiqua" w:hAnsi="Book Antiqua"/>
                <w:b/>
                <w:bCs/>
                <w:sz w:val="24"/>
                <w:szCs w:val="24"/>
              </w:rPr>
              <w:fldChar w:fldCharType="begin"/>
            </w:r>
            <w:r w:rsidRPr="00196E1A">
              <w:rPr>
                <w:rFonts w:ascii="Book Antiqua" w:hAnsi="Book Antiqua"/>
                <w:b/>
                <w:bCs/>
                <w:sz w:val="24"/>
                <w:szCs w:val="24"/>
              </w:rPr>
              <w:instrText>NUMPAGES</w:instrText>
            </w:r>
            <w:r w:rsidRPr="00196E1A">
              <w:rPr>
                <w:rFonts w:ascii="Book Antiqua" w:hAnsi="Book Antiqua"/>
                <w:b/>
                <w:bCs/>
                <w:sz w:val="24"/>
                <w:szCs w:val="24"/>
              </w:rPr>
              <w:fldChar w:fldCharType="separate"/>
            </w:r>
            <w:r w:rsidR="00750BB9">
              <w:rPr>
                <w:rFonts w:ascii="Book Antiqua" w:hAnsi="Book Antiqua"/>
                <w:b/>
                <w:bCs/>
                <w:noProof/>
                <w:sz w:val="24"/>
                <w:szCs w:val="24"/>
              </w:rPr>
              <w:t>1</w:t>
            </w:r>
            <w:r w:rsidRPr="00196E1A">
              <w:rPr>
                <w:rFonts w:ascii="Book Antiqua" w:hAnsi="Book Antiqua"/>
                <w:b/>
                <w:bCs/>
                <w:sz w:val="24"/>
                <w:szCs w:val="24"/>
              </w:rPr>
              <w:fldChar w:fldCharType="end"/>
            </w:r>
          </w:p>
        </w:sdtContent>
      </w:sdt>
    </w:sdtContent>
  </w:sdt>
  <w:p w14:paraId="3DF885CB" w14:textId="77777777" w:rsidR="00196E1A" w:rsidRDefault="00196E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0A032" w14:textId="77777777" w:rsidR="00750BB9" w:rsidRDefault="00750BB9" w:rsidP="00196E1A">
      <w:r>
        <w:separator/>
      </w:r>
    </w:p>
  </w:footnote>
  <w:footnote w:type="continuationSeparator" w:id="0">
    <w:p w14:paraId="1834F198" w14:textId="77777777" w:rsidR="00750BB9" w:rsidRDefault="00750BB9" w:rsidP="0019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87E0C"/>
    <w:rsid w:val="00196E1A"/>
    <w:rsid w:val="001E3D97"/>
    <w:rsid w:val="00234B48"/>
    <w:rsid w:val="0028713E"/>
    <w:rsid w:val="00292D2C"/>
    <w:rsid w:val="0034029D"/>
    <w:rsid w:val="00423332"/>
    <w:rsid w:val="004546F9"/>
    <w:rsid w:val="00482BBA"/>
    <w:rsid w:val="00505C7F"/>
    <w:rsid w:val="00606D1C"/>
    <w:rsid w:val="00651B22"/>
    <w:rsid w:val="007363E7"/>
    <w:rsid w:val="007450BC"/>
    <w:rsid w:val="00750BB9"/>
    <w:rsid w:val="00873C69"/>
    <w:rsid w:val="0095413C"/>
    <w:rsid w:val="009B5658"/>
    <w:rsid w:val="00A41F52"/>
    <w:rsid w:val="00A458DC"/>
    <w:rsid w:val="00A77B3E"/>
    <w:rsid w:val="00CA2A55"/>
    <w:rsid w:val="00CD7478"/>
    <w:rsid w:val="00D338E1"/>
    <w:rsid w:val="00D408AB"/>
    <w:rsid w:val="00FC0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5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Char"/>
    <w:basedOn w:val="a0"/>
  </w:style>
  <w:style w:type="paragraph" w:styleId="a3">
    <w:name w:val="header"/>
    <w:basedOn w:val="a"/>
    <w:link w:val="Char0"/>
    <w:unhideWhenUsed/>
    <w:rsid w:val="00196E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rsid w:val="00196E1A"/>
    <w:rPr>
      <w:sz w:val="18"/>
      <w:szCs w:val="18"/>
    </w:rPr>
  </w:style>
  <w:style w:type="paragraph" w:styleId="a4">
    <w:name w:val="footer"/>
    <w:basedOn w:val="a"/>
    <w:link w:val="Char1"/>
    <w:uiPriority w:val="99"/>
    <w:unhideWhenUsed/>
    <w:rsid w:val="00196E1A"/>
    <w:pPr>
      <w:tabs>
        <w:tab w:val="center" w:pos="4153"/>
        <w:tab w:val="right" w:pos="8306"/>
      </w:tabs>
      <w:snapToGrid w:val="0"/>
    </w:pPr>
    <w:rPr>
      <w:sz w:val="18"/>
      <w:szCs w:val="18"/>
    </w:rPr>
  </w:style>
  <w:style w:type="character" w:customStyle="1" w:styleId="Char1">
    <w:name w:val="页脚 Char"/>
    <w:basedOn w:val="a0"/>
    <w:link w:val="a4"/>
    <w:uiPriority w:val="99"/>
    <w:rsid w:val="00196E1A"/>
    <w:rPr>
      <w:sz w:val="18"/>
      <w:szCs w:val="18"/>
    </w:rPr>
  </w:style>
  <w:style w:type="paragraph" w:styleId="a5">
    <w:name w:val="Balloon Text"/>
    <w:basedOn w:val="a"/>
    <w:link w:val="Char2"/>
    <w:rsid w:val="00196E1A"/>
    <w:rPr>
      <w:sz w:val="18"/>
      <w:szCs w:val="18"/>
    </w:rPr>
  </w:style>
  <w:style w:type="character" w:customStyle="1" w:styleId="Char2">
    <w:name w:val="批注框文本 Char"/>
    <w:basedOn w:val="a0"/>
    <w:link w:val="a5"/>
    <w:rsid w:val="00196E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Char"/>
    <w:basedOn w:val="a0"/>
  </w:style>
  <w:style w:type="paragraph" w:styleId="a3">
    <w:name w:val="header"/>
    <w:basedOn w:val="a"/>
    <w:link w:val="Char0"/>
    <w:unhideWhenUsed/>
    <w:rsid w:val="00196E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rsid w:val="00196E1A"/>
    <w:rPr>
      <w:sz w:val="18"/>
      <w:szCs w:val="18"/>
    </w:rPr>
  </w:style>
  <w:style w:type="paragraph" w:styleId="a4">
    <w:name w:val="footer"/>
    <w:basedOn w:val="a"/>
    <w:link w:val="Char1"/>
    <w:uiPriority w:val="99"/>
    <w:unhideWhenUsed/>
    <w:rsid w:val="00196E1A"/>
    <w:pPr>
      <w:tabs>
        <w:tab w:val="center" w:pos="4153"/>
        <w:tab w:val="right" w:pos="8306"/>
      </w:tabs>
      <w:snapToGrid w:val="0"/>
    </w:pPr>
    <w:rPr>
      <w:sz w:val="18"/>
      <w:szCs w:val="18"/>
    </w:rPr>
  </w:style>
  <w:style w:type="character" w:customStyle="1" w:styleId="Char1">
    <w:name w:val="页脚 Char"/>
    <w:basedOn w:val="a0"/>
    <w:link w:val="a4"/>
    <w:uiPriority w:val="99"/>
    <w:rsid w:val="00196E1A"/>
    <w:rPr>
      <w:sz w:val="18"/>
      <w:szCs w:val="18"/>
    </w:rPr>
  </w:style>
  <w:style w:type="paragraph" w:styleId="a5">
    <w:name w:val="Balloon Text"/>
    <w:basedOn w:val="a"/>
    <w:link w:val="Char2"/>
    <w:rsid w:val="00196E1A"/>
    <w:rPr>
      <w:sz w:val="18"/>
      <w:szCs w:val="18"/>
    </w:rPr>
  </w:style>
  <w:style w:type="character" w:customStyle="1" w:styleId="Char2">
    <w:name w:val="批注框文本 Char"/>
    <w:basedOn w:val="a0"/>
    <w:link w:val="a5"/>
    <w:rsid w:val="00196E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3548</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陈蓉蓉</dc:creator>
  <cp:lastModifiedBy>liujihong2008@qq.con</cp:lastModifiedBy>
  <cp:revision>22</cp:revision>
  <dcterms:created xsi:type="dcterms:W3CDTF">2021-09-02T15:49:00Z</dcterms:created>
  <dcterms:modified xsi:type="dcterms:W3CDTF">2021-10-19T02:20:00Z</dcterms:modified>
</cp:coreProperties>
</file>