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9A0" w:rsidRPr="00B26843" w:rsidRDefault="006A39A0" w:rsidP="008019CB">
      <w:pPr>
        <w:widowControl w:val="0"/>
        <w:adjustRightInd w:val="0"/>
        <w:snapToGrid w:val="0"/>
        <w:spacing w:after="0" w:line="360" w:lineRule="auto"/>
        <w:jc w:val="both"/>
        <w:rPr>
          <w:rFonts w:ascii="Book Antiqua" w:hAnsi="Book Antiqua"/>
          <w:color w:val="000000"/>
          <w:sz w:val="21"/>
        </w:rPr>
      </w:pPr>
      <w:r w:rsidRPr="00B26843">
        <w:rPr>
          <w:rFonts w:ascii="Book Antiqua" w:eastAsia="Times New Roman" w:hAnsi="Book Antiqua" w:cs="宋体"/>
          <w:b/>
          <w:color w:val="000000"/>
          <w:sz w:val="21"/>
        </w:rPr>
        <w:t xml:space="preserve">Name of journal: </w:t>
      </w:r>
      <w:bookmarkStart w:id="0" w:name="OLE_LINK718"/>
      <w:bookmarkStart w:id="1" w:name="OLE_LINK719"/>
      <w:r w:rsidRPr="00B26843">
        <w:rPr>
          <w:rFonts w:ascii="Book Antiqua" w:eastAsia="Times New Roman" w:hAnsi="Book Antiqua" w:cs="宋体"/>
          <w:b/>
          <w:color w:val="000000"/>
          <w:sz w:val="21"/>
        </w:rPr>
        <w:t xml:space="preserve">World Journal of </w:t>
      </w:r>
      <w:bookmarkEnd w:id="0"/>
      <w:bookmarkEnd w:id="1"/>
      <w:r w:rsidRPr="00B26843">
        <w:rPr>
          <w:rFonts w:ascii="Book Antiqua" w:hAnsi="Book Antiqua"/>
          <w:b/>
          <w:color w:val="000000"/>
          <w:sz w:val="21"/>
        </w:rPr>
        <w:t xml:space="preserve">Gastroenterology </w:t>
      </w:r>
    </w:p>
    <w:p w:rsidR="006A39A0" w:rsidRPr="00B26843" w:rsidRDefault="006A39A0" w:rsidP="008019CB">
      <w:pPr>
        <w:widowControl w:val="0"/>
        <w:adjustRightInd w:val="0"/>
        <w:snapToGrid w:val="0"/>
        <w:spacing w:after="0" w:line="360" w:lineRule="auto"/>
        <w:jc w:val="both"/>
        <w:rPr>
          <w:rFonts w:ascii="Book Antiqua" w:eastAsia="Times New Roman" w:hAnsi="Book Antiqua" w:cs="宋体"/>
          <w:b/>
          <w:color w:val="000000"/>
          <w:sz w:val="21"/>
          <w:lang w:eastAsia="zh-CN"/>
        </w:rPr>
      </w:pPr>
      <w:r w:rsidRPr="00B26843">
        <w:rPr>
          <w:rFonts w:ascii="Book Antiqua" w:hAnsi="Book Antiqua" w:cs="Arial"/>
          <w:b/>
          <w:color w:val="000000"/>
          <w:sz w:val="21"/>
          <w:lang w:val="en"/>
        </w:rPr>
        <w:t>ESPS Manuscript N</w:t>
      </w:r>
      <w:r w:rsidRPr="00B26843">
        <w:rPr>
          <w:rFonts w:ascii="Book Antiqua" w:hAnsi="Book Antiqua" w:cs="Arial"/>
          <w:b/>
          <w:caps/>
          <w:color w:val="000000"/>
          <w:sz w:val="21"/>
          <w:lang w:val="en"/>
        </w:rPr>
        <w:t>o</w:t>
      </w:r>
      <w:r w:rsidRPr="00B26843">
        <w:rPr>
          <w:rFonts w:ascii="Book Antiqua" w:hAnsi="Book Antiqua" w:cs="Arial"/>
          <w:b/>
          <w:color w:val="000000"/>
          <w:sz w:val="21"/>
          <w:lang w:val="en"/>
        </w:rPr>
        <w:t xml:space="preserve">: </w:t>
      </w:r>
      <w:r>
        <w:rPr>
          <w:rFonts w:ascii="Book Antiqua" w:hAnsi="Book Antiqua" w:cs="Arial" w:hint="eastAsia"/>
          <w:b/>
          <w:color w:val="000000"/>
          <w:sz w:val="21"/>
          <w:lang w:val="en" w:eastAsia="zh-CN"/>
        </w:rPr>
        <w:t>6615</w:t>
      </w:r>
    </w:p>
    <w:p w:rsidR="006A39A0" w:rsidRPr="00B26843" w:rsidRDefault="006A39A0" w:rsidP="008019CB">
      <w:pPr>
        <w:widowControl w:val="0"/>
        <w:autoSpaceDE w:val="0"/>
        <w:autoSpaceDN w:val="0"/>
        <w:adjustRightInd w:val="0"/>
        <w:snapToGrid w:val="0"/>
        <w:spacing w:after="0" w:line="360" w:lineRule="auto"/>
        <w:jc w:val="both"/>
        <w:rPr>
          <w:rFonts w:ascii="Book Antiqua" w:eastAsia="幼圆" w:hAnsi="Book Antiqua"/>
          <w:b/>
          <w:color w:val="000000"/>
          <w:sz w:val="21"/>
        </w:rPr>
      </w:pPr>
      <w:bookmarkStart w:id="2" w:name="OLE_LINK1617"/>
      <w:bookmarkStart w:id="3" w:name="OLE_LINK1618"/>
      <w:r w:rsidRPr="00B26843">
        <w:rPr>
          <w:rFonts w:ascii="Book Antiqua" w:hAnsi="Book Antiqua"/>
          <w:b/>
          <w:color w:val="000000"/>
          <w:sz w:val="21"/>
        </w:rPr>
        <w:t xml:space="preserve">Columns: </w:t>
      </w:r>
      <w:bookmarkEnd w:id="2"/>
      <w:bookmarkEnd w:id="3"/>
      <w:r w:rsidRPr="00B26843">
        <w:rPr>
          <w:rFonts w:ascii="Book Antiqua" w:eastAsia="幼圆" w:hAnsi="Book Antiqua"/>
          <w:b/>
          <w:color w:val="000000"/>
          <w:sz w:val="21"/>
        </w:rPr>
        <w:t>TOPIC HIGHLIGHTS</w:t>
      </w:r>
    </w:p>
    <w:p w:rsidR="006A39A0" w:rsidRDefault="006A39A0" w:rsidP="008019CB">
      <w:pPr>
        <w:adjustRightInd w:val="0"/>
        <w:snapToGrid w:val="0"/>
        <w:spacing w:after="0" w:line="360" w:lineRule="auto"/>
        <w:jc w:val="both"/>
        <w:rPr>
          <w:rFonts w:ascii="Book Antiqua" w:hAnsi="Book Antiqua" w:cs="Times New Roman"/>
          <w:b/>
          <w:sz w:val="24"/>
          <w:szCs w:val="24"/>
          <w:lang w:eastAsia="zh-CN"/>
        </w:rPr>
      </w:pPr>
    </w:p>
    <w:p w:rsidR="006A39A0" w:rsidRDefault="00FC6F53" w:rsidP="008019CB">
      <w:pPr>
        <w:adjustRightInd w:val="0"/>
        <w:snapToGrid w:val="0"/>
        <w:spacing w:after="0" w:line="360" w:lineRule="auto"/>
        <w:jc w:val="both"/>
        <w:rPr>
          <w:rFonts w:ascii="Book Antiqua" w:hAnsi="Book Antiqua" w:cs="TwCenMT-Bold"/>
          <w:bCs/>
          <w:sz w:val="24"/>
        </w:rPr>
      </w:pPr>
      <w:r w:rsidRPr="00FC6F53">
        <w:rPr>
          <w:rFonts w:ascii="Book Antiqua" w:hAnsi="Book Antiqua" w:cs="TwCenMT-Bold"/>
          <w:bCs/>
          <w:sz w:val="24"/>
        </w:rPr>
        <w:t>WJG 20th Anniversary Special Issues (12): Nonalcoholic fatty liver disease</w:t>
      </w:r>
    </w:p>
    <w:p w:rsidR="009D4E3C" w:rsidRPr="00FC6F53" w:rsidRDefault="009D4E3C" w:rsidP="008019CB">
      <w:pPr>
        <w:adjustRightInd w:val="0"/>
        <w:snapToGrid w:val="0"/>
        <w:spacing w:after="0" w:line="360" w:lineRule="auto"/>
        <w:jc w:val="both"/>
        <w:rPr>
          <w:rFonts w:ascii="Book Antiqua" w:hAnsi="Book Antiqua" w:cs="Times New Roman"/>
          <w:b/>
          <w:caps/>
          <w:sz w:val="24"/>
          <w:szCs w:val="24"/>
          <w:lang w:eastAsia="zh-CN"/>
        </w:rPr>
      </w:pPr>
    </w:p>
    <w:p w:rsidR="006A39A0" w:rsidRPr="0099429F" w:rsidRDefault="006A39A0" w:rsidP="008019CB">
      <w:pPr>
        <w:adjustRightInd w:val="0"/>
        <w:snapToGrid w:val="0"/>
        <w:spacing w:after="0" w:line="360" w:lineRule="auto"/>
        <w:jc w:val="both"/>
        <w:rPr>
          <w:rFonts w:ascii="Book Antiqua" w:hAnsi="Book Antiqua" w:cs="Times New Roman"/>
          <w:b/>
          <w:sz w:val="24"/>
          <w:szCs w:val="24"/>
          <w:lang w:val="en-US" w:eastAsia="zh-CN"/>
        </w:rPr>
      </w:pPr>
      <w:r w:rsidRPr="0099429F">
        <w:rPr>
          <w:rFonts w:ascii="Book Antiqua" w:hAnsi="Book Antiqua" w:cs="Times New Roman"/>
          <w:b/>
          <w:caps/>
          <w:sz w:val="24"/>
          <w:szCs w:val="24"/>
          <w:lang w:val="en-US"/>
        </w:rPr>
        <w:t>adv36</w:t>
      </w:r>
      <w:r w:rsidRPr="0099429F">
        <w:rPr>
          <w:rFonts w:ascii="Book Antiqua" w:hAnsi="Book Antiqua" w:cs="Times New Roman"/>
          <w:b/>
          <w:sz w:val="24"/>
          <w:szCs w:val="24"/>
          <w:lang w:val="en-US"/>
        </w:rPr>
        <w:t xml:space="preserve"> </w:t>
      </w:r>
      <w:proofErr w:type="spellStart"/>
      <w:r w:rsidRPr="0099429F">
        <w:rPr>
          <w:rFonts w:ascii="Book Antiqua" w:hAnsi="Book Antiqua" w:cs="Times New Roman"/>
          <w:b/>
          <w:sz w:val="24"/>
          <w:szCs w:val="24"/>
          <w:lang w:val="en-US"/>
        </w:rPr>
        <w:t>adipogenic</w:t>
      </w:r>
      <w:proofErr w:type="spellEnd"/>
      <w:r w:rsidRPr="0099429F">
        <w:rPr>
          <w:rFonts w:ascii="Book Antiqua" w:hAnsi="Book Antiqua" w:cs="Times New Roman"/>
          <w:b/>
          <w:sz w:val="24"/>
          <w:szCs w:val="24"/>
          <w:lang w:val="en-US"/>
        </w:rPr>
        <w:t xml:space="preserve"> adenovirus in human liver disease</w:t>
      </w:r>
    </w:p>
    <w:p w:rsidR="006A39A0" w:rsidRDefault="006A39A0" w:rsidP="008019CB">
      <w:pPr>
        <w:adjustRightInd w:val="0"/>
        <w:snapToGrid w:val="0"/>
        <w:spacing w:after="0" w:line="360" w:lineRule="auto"/>
        <w:jc w:val="both"/>
        <w:rPr>
          <w:rFonts w:ascii="Book Antiqua" w:hAnsi="Book Antiqua" w:cs="Times New Roman"/>
          <w:sz w:val="24"/>
          <w:szCs w:val="24"/>
          <w:lang w:val="en-US" w:eastAsia="zh-CN"/>
        </w:rPr>
      </w:pPr>
    </w:p>
    <w:p w:rsidR="006A39A0" w:rsidRDefault="006A39A0" w:rsidP="008019CB">
      <w:pPr>
        <w:adjustRightInd w:val="0"/>
        <w:snapToGrid w:val="0"/>
        <w:spacing w:after="0" w:line="360" w:lineRule="auto"/>
        <w:jc w:val="both"/>
        <w:rPr>
          <w:rFonts w:ascii="Book Antiqua" w:hAnsi="Book Antiqua" w:cs="Times New Roman"/>
          <w:sz w:val="24"/>
          <w:szCs w:val="24"/>
          <w:lang w:val="en-US" w:eastAsia="zh-CN"/>
        </w:rPr>
      </w:pPr>
      <w:r w:rsidRPr="006A39A0">
        <w:rPr>
          <w:rFonts w:ascii="Book Antiqua" w:hAnsi="Book Antiqua" w:cs="Times New Roman"/>
          <w:sz w:val="24"/>
          <w:szCs w:val="24"/>
        </w:rPr>
        <w:t>Trovato</w:t>
      </w:r>
      <w:r w:rsidRPr="006A39A0">
        <w:rPr>
          <w:rFonts w:ascii="Book Antiqua" w:hAnsi="Book Antiqua" w:cs="Times New Roman"/>
          <w:sz w:val="24"/>
          <w:szCs w:val="24"/>
          <w:lang w:val="en-US"/>
        </w:rPr>
        <w:t xml:space="preserve"> </w:t>
      </w:r>
      <w:r>
        <w:rPr>
          <w:rFonts w:ascii="Book Antiqua" w:hAnsi="Book Antiqua" w:cs="Times New Roman" w:hint="eastAsia"/>
          <w:sz w:val="24"/>
          <w:szCs w:val="24"/>
          <w:lang w:val="en-US" w:eastAsia="zh-CN"/>
        </w:rPr>
        <w:t>FM</w:t>
      </w:r>
      <w:r w:rsidRPr="006A39A0">
        <w:rPr>
          <w:rFonts w:ascii="Book Antiqua" w:hAnsi="Book Antiqua" w:cs="Times New Roman" w:hint="eastAsia"/>
          <w:i/>
          <w:sz w:val="24"/>
          <w:szCs w:val="24"/>
          <w:lang w:val="en-US" w:eastAsia="zh-CN"/>
        </w:rPr>
        <w:t xml:space="preserve"> et al</w:t>
      </w:r>
      <w:r>
        <w:rPr>
          <w:rFonts w:ascii="Book Antiqua" w:hAnsi="Book Antiqua" w:cs="Times New Roman" w:hint="eastAsia"/>
          <w:sz w:val="24"/>
          <w:szCs w:val="24"/>
          <w:lang w:val="en-US" w:eastAsia="zh-CN"/>
        </w:rPr>
        <w:t xml:space="preserve">. </w:t>
      </w:r>
      <w:r w:rsidRPr="006A39A0">
        <w:rPr>
          <w:rFonts w:ascii="Book Antiqua" w:hAnsi="Book Antiqua" w:cs="Times New Roman"/>
          <w:sz w:val="24"/>
          <w:szCs w:val="24"/>
          <w:lang w:val="en-US"/>
        </w:rPr>
        <w:t xml:space="preserve">NAFLD and </w:t>
      </w:r>
      <w:proofErr w:type="spellStart"/>
      <w:r w:rsidRPr="006A39A0">
        <w:rPr>
          <w:rFonts w:ascii="Book Antiqua" w:hAnsi="Book Antiqua" w:cs="Times New Roman"/>
          <w:sz w:val="24"/>
          <w:szCs w:val="24"/>
          <w:lang w:val="en-US"/>
        </w:rPr>
        <w:t>adipogenic</w:t>
      </w:r>
      <w:proofErr w:type="spellEnd"/>
      <w:r w:rsidRPr="006A39A0">
        <w:rPr>
          <w:rFonts w:ascii="Book Antiqua" w:hAnsi="Book Antiqua" w:cs="Times New Roman"/>
          <w:sz w:val="24"/>
          <w:szCs w:val="24"/>
          <w:lang w:val="en-US"/>
        </w:rPr>
        <w:t xml:space="preserve"> adenoviruses</w:t>
      </w:r>
    </w:p>
    <w:p w:rsidR="006A39A0" w:rsidRPr="006A39A0" w:rsidRDefault="006A39A0" w:rsidP="008019CB">
      <w:pPr>
        <w:adjustRightInd w:val="0"/>
        <w:snapToGrid w:val="0"/>
        <w:spacing w:after="0" w:line="360" w:lineRule="auto"/>
        <w:jc w:val="both"/>
        <w:rPr>
          <w:rFonts w:ascii="Book Antiqua" w:hAnsi="Book Antiqua" w:cs="Times New Roman"/>
          <w:sz w:val="24"/>
          <w:szCs w:val="24"/>
          <w:lang w:val="en-US" w:eastAsia="zh-CN"/>
        </w:rPr>
      </w:pPr>
    </w:p>
    <w:p w:rsidR="006A39A0" w:rsidRDefault="006A39A0" w:rsidP="008019CB">
      <w:pPr>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rPr>
        <w:t>Francesca M Trovato, Daniela Catalano, Adriana Garozzo, G Fabio Martines, Clara Pirri</w:t>
      </w:r>
      <w:r>
        <w:rPr>
          <w:rFonts w:ascii="Book Antiqua" w:hAnsi="Book Antiqua" w:cs="Times New Roman" w:hint="eastAsia"/>
          <w:sz w:val="24"/>
          <w:szCs w:val="24"/>
          <w:lang w:eastAsia="zh-CN"/>
        </w:rPr>
        <w:t xml:space="preserve">, </w:t>
      </w:r>
      <w:r>
        <w:rPr>
          <w:rFonts w:ascii="Book Antiqua" w:hAnsi="Book Antiqua" w:cs="Times New Roman"/>
          <w:sz w:val="24"/>
          <w:szCs w:val="24"/>
        </w:rPr>
        <w:t>Guglielmo M Trovato</w:t>
      </w:r>
    </w:p>
    <w:p w:rsidR="006A39A0" w:rsidRPr="006A39A0" w:rsidRDefault="006A39A0" w:rsidP="008019CB">
      <w:pPr>
        <w:adjustRightInd w:val="0"/>
        <w:snapToGrid w:val="0"/>
        <w:spacing w:after="0" w:line="360" w:lineRule="auto"/>
        <w:jc w:val="both"/>
        <w:rPr>
          <w:rFonts w:ascii="Book Antiqua" w:hAnsi="Book Antiqua" w:cs="Times New Roman"/>
          <w:sz w:val="24"/>
          <w:szCs w:val="24"/>
          <w:lang w:val="en-US" w:eastAsia="zh-CN"/>
        </w:rPr>
      </w:pPr>
    </w:p>
    <w:p w:rsidR="006A39A0" w:rsidRPr="006A39A0" w:rsidRDefault="006A39A0" w:rsidP="008019CB">
      <w:pPr>
        <w:adjustRightInd w:val="0"/>
        <w:snapToGrid w:val="0"/>
        <w:spacing w:after="0" w:line="360" w:lineRule="auto"/>
        <w:jc w:val="both"/>
        <w:rPr>
          <w:rFonts w:ascii="Book Antiqua" w:hAnsi="Book Antiqua" w:cs="Times New Roman"/>
          <w:sz w:val="24"/>
          <w:szCs w:val="24"/>
          <w:lang w:val="en-US" w:eastAsia="zh-CN"/>
        </w:rPr>
      </w:pPr>
      <w:r w:rsidRPr="006A39A0">
        <w:rPr>
          <w:rFonts w:ascii="Book Antiqua" w:hAnsi="Book Antiqua" w:cs="Times New Roman"/>
          <w:b/>
          <w:sz w:val="24"/>
          <w:szCs w:val="24"/>
        </w:rPr>
        <w:t>Francesca M Trovato, Daniela Catalano,</w:t>
      </w:r>
      <w:r w:rsidRPr="006A39A0">
        <w:rPr>
          <w:rFonts w:hint="eastAsia"/>
          <w:b/>
          <w:lang w:eastAsia="zh-CN"/>
        </w:rPr>
        <w:t xml:space="preserve"> </w:t>
      </w:r>
      <w:r w:rsidRPr="006A39A0">
        <w:rPr>
          <w:rFonts w:ascii="Book Antiqua" w:hAnsi="Book Antiqua" w:cs="Times New Roman"/>
          <w:b/>
          <w:sz w:val="24"/>
          <w:szCs w:val="24"/>
        </w:rPr>
        <w:t>G Fabio Martines,</w:t>
      </w:r>
      <w:r w:rsidRPr="006A39A0">
        <w:rPr>
          <w:rFonts w:ascii="Book Antiqua" w:hAnsi="Book Antiqua" w:cs="Times New Roman" w:hint="eastAsia"/>
          <w:b/>
          <w:sz w:val="24"/>
          <w:szCs w:val="24"/>
          <w:lang w:eastAsia="zh-CN"/>
        </w:rPr>
        <w:t xml:space="preserve"> </w:t>
      </w:r>
      <w:r w:rsidRPr="006A39A0">
        <w:rPr>
          <w:rFonts w:ascii="Book Antiqua" w:hAnsi="Book Antiqua" w:cs="Times New Roman"/>
          <w:b/>
          <w:sz w:val="24"/>
          <w:szCs w:val="24"/>
        </w:rPr>
        <w:t>Clara Pirri</w:t>
      </w:r>
      <w:r w:rsidRPr="006A39A0">
        <w:rPr>
          <w:rFonts w:ascii="Book Antiqua" w:hAnsi="Book Antiqua" w:cs="Times New Roman" w:hint="eastAsia"/>
          <w:b/>
          <w:sz w:val="24"/>
          <w:szCs w:val="24"/>
          <w:lang w:eastAsia="zh-CN"/>
        </w:rPr>
        <w:t xml:space="preserve">, </w:t>
      </w:r>
      <w:r w:rsidRPr="006A39A0">
        <w:rPr>
          <w:rFonts w:ascii="Book Antiqua" w:hAnsi="Book Antiqua" w:cs="Times New Roman"/>
          <w:b/>
          <w:sz w:val="24"/>
          <w:szCs w:val="24"/>
        </w:rPr>
        <w:t>Guglielmo M Trovato</w:t>
      </w:r>
      <w:r w:rsidRPr="006A39A0">
        <w:rPr>
          <w:rFonts w:ascii="Book Antiqua" w:hAnsi="Book Antiqua" w:cs="Times New Roman" w:hint="eastAsia"/>
          <w:b/>
          <w:sz w:val="24"/>
          <w:szCs w:val="24"/>
          <w:lang w:eastAsia="zh-CN"/>
        </w:rPr>
        <w:t xml:space="preserve">, </w:t>
      </w:r>
      <w:r w:rsidR="000D6437" w:rsidRPr="006A39A0">
        <w:rPr>
          <w:rFonts w:ascii="Book Antiqua" w:hAnsi="Book Antiqua" w:cs="Times New Roman"/>
          <w:sz w:val="24"/>
          <w:szCs w:val="24"/>
          <w:lang w:val="en-US"/>
        </w:rPr>
        <w:t>Department of Medical and Pediatric Sciences</w:t>
      </w:r>
      <w:r>
        <w:rPr>
          <w:rFonts w:ascii="Book Antiqua" w:hAnsi="Book Antiqua" w:cs="Times New Roman" w:hint="eastAsia"/>
          <w:sz w:val="24"/>
          <w:szCs w:val="24"/>
          <w:lang w:val="en-US" w:eastAsia="zh-CN"/>
        </w:rPr>
        <w:t xml:space="preserve">, </w:t>
      </w:r>
      <w:r w:rsidRPr="006A39A0">
        <w:rPr>
          <w:rFonts w:ascii="Book Antiqua" w:hAnsi="Book Antiqua" w:cs="Times New Roman"/>
          <w:sz w:val="24"/>
          <w:szCs w:val="24"/>
          <w:lang w:val="en-US"/>
        </w:rPr>
        <w:t>Internal Medicine</w:t>
      </w:r>
      <w:r>
        <w:rPr>
          <w:rFonts w:ascii="Book Antiqua" w:hAnsi="Book Antiqua" w:cs="Times New Roman" w:hint="eastAsia"/>
          <w:sz w:val="24"/>
          <w:szCs w:val="24"/>
          <w:lang w:val="en-US" w:eastAsia="zh-CN"/>
        </w:rPr>
        <w:t xml:space="preserve">, </w:t>
      </w:r>
      <w:r w:rsidRPr="006A39A0">
        <w:rPr>
          <w:rFonts w:ascii="Book Antiqua" w:hAnsi="Book Antiqua" w:cs="Times New Roman"/>
          <w:sz w:val="24"/>
          <w:szCs w:val="24"/>
          <w:lang w:val="en-US"/>
        </w:rPr>
        <w:t>University of Catania, 95100 Catania</w:t>
      </w:r>
      <w:r>
        <w:rPr>
          <w:rFonts w:ascii="Book Antiqua" w:hAnsi="Book Antiqua" w:cs="Times New Roman" w:hint="eastAsia"/>
          <w:sz w:val="24"/>
          <w:szCs w:val="24"/>
          <w:lang w:val="en-US" w:eastAsia="zh-CN"/>
        </w:rPr>
        <w:t>, Italy</w:t>
      </w:r>
    </w:p>
    <w:p w:rsidR="006A39A0" w:rsidRPr="006A39A0" w:rsidRDefault="006A39A0" w:rsidP="008019CB">
      <w:pPr>
        <w:adjustRightInd w:val="0"/>
        <w:snapToGrid w:val="0"/>
        <w:spacing w:after="0" w:line="360" w:lineRule="auto"/>
        <w:jc w:val="both"/>
        <w:rPr>
          <w:lang w:val="en-US" w:eastAsia="zh-CN"/>
        </w:rPr>
      </w:pPr>
    </w:p>
    <w:p w:rsidR="000D6437" w:rsidRDefault="006A39A0" w:rsidP="008019CB">
      <w:pPr>
        <w:adjustRightInd w:val="0"/>
        <w:snapToGrid w:val="0"/>
        <w:spacing w:after="0" w:line="360" w:lineRule="auto"/>
        <w:jc w:val="both"/>
        <w:rPr>
          <w:rFonts w:ascii="Book Antiqua" w:hAnsi="Book Antiqua" w:cs="Times New Roman"/>
          <w:sz w:val="24"/>
          <w:szCs w:val="24"/>
          <w:lang w:val="en-US" w:eastAsia="zh-CN"/>
        </w:rPr>
      </w:pPr>
      <w:r w:rsidRPr="006A39A0">
        <w:rPr>
          <w:rFonts w:ascii="Book Antiqua" w:hAnsi="Book Antiqua" w:cs="Times New Roman"/>
          <w:b/>
          <w:sz w:val="24"/>
          <w:szCs w:val="24"/>
        </w:rPr>
        <w:t>Adriana Garozzo,</w:t>
      </w:r>
      <w:r w:rsidRPr="006A39A0">
        <w:rPr>
          <w:rFonts w:ascii="Book Antiqua" w:hAnsi="Book Antiqua" w:cs="Times New Roman" w:hint="eastAsia"/>
          <w:b/>
          <w:sz w:val="24"/>
          <w:szCs w:val="24"/>
          <w:lang w:eastAsia="zh-CN"/>
        </w:rPr>
        <w:t xml:space="preserve"> </w:t>
      </w:r>
      <w:r w:rsidR="000D6437" w:rsidRPr="006A39A0">
        <w:rPr>
          <w:rFonts w:ascii="Book Antiqua" w:hAnsi="Book Antiqua" w:cs="Times New Roman"/>
          <w:sz w:val="24"/>
          <w:szCs w:val="24"/>
          <w:lang w:val="en-US"/>
        </w:rPr>
        <w:t xml:space="preserve">Department of Biomedical Science, </w:t>
      </w:r>
      <w:r w:rsidRPr="006A39A0">
        <w:rPr>
          <w:rFonts w:ascii="Book Antiqua" w:hAnsi="Book Antiqua" w:cs="Times New Roman"/>
          <w:sz w:val="24"/>
          <w:szCs w:val="24"/>
          <w:lang w:val="en-US"/>
        </w:rPr>
        <w:t>University of Catania, 95100 Catania</w:t>
      </w:r>
      <w:r>
        <w:rPr>
          <w:rFonts w:ascii="Book Antiqua" w:hAnsi="Book Antiqua" w:cs="Times New Roman" w:hint="eastAsia"/>
          <w:sz w:val="24"/>
          <w:szCs w:val="24"/>
          <w:lang w:val="en-US" w:eastAsia="zh-CN"/>
        </w:rPr>
        <w:t>, Italy</w:t>
      </w:r>
    </w:p>
    <w:p w:rsidR="006A39A0" w:rsidRPr="006A39A0" w:rsidRDefault="006A39A0" w:rsidP="008019CB">
      <w:pPr>
        <w:adjustRightInd w:val="0"/>
        <w:snapToGrid w:val="0"/>
        <w:spacing w:after="0" w:line="360" w:lineRule="auto"/>
        <w:jc w:val="both"/>
        <w:rPr>
          <w:rFonts w:ascii="Book Antiqua" w:hAnsi="Book Antiqua" w:cs="Times New Roman"/>
          <w:sz w:val="24"/>
          <w:szCs w:val="24"/>
          <w:lang w:val="en-US" w:eastAsia="zh-CN"/>
        </w:rPr>
      </w:pPr>
    </w:p>
    <w:p w:rsidR="00E25B6E" w:rsidRDefault="00E25B6E" w:rsidP="008019CB">
      <w:pPr>
        <w:adjustRightInd w:val="0"/>
        <w:snapToGrid w:val="0"/>
        <w:spacing w:after="0" w:line="360" w:lineRule="auto"/>
        <w:jc w:val="both"/>
        <w:rPr>
          <w:rFonts w:ascii="Book Antiqua" w:hAnsi="Book Antiqua" w:cs="Times New Roman"/>
          <w:sz w:val="24"/>
          <w:szCs w:val="24"/>
          <w:lang w:val="en-US" w:eastAsia="zh-CN"/>
        </w:rPr>
      </w:pPr>
      <w:r w:rsidRPr="006A39A0">
        <w:rPr>
          <w:rFonts w:ascii="Book Antiqua" w:hAnsi="Book Antiqua" w:cs="Times New Roman"/>
          <w:b/>
          <w:sz w:val="24"/>
          <w:szCs w:val="24"/>
          <w:lang w:val="en-US"/>
        </w:rPr>
        <w:t xml:space="preserve">Author contributions: </w:t>
      </w:r>
      <w:r w:rsidRPr="006A39A0">
        <w:rPr>
          <w:rFonts w:ascii="Book Antiqua" w:hAnsi="Book Antiqua" w:cs="Times New Roman"/>
          <w:sz w:val="24"/>
          <w:szCs w:val="24"/>
          <w:lang w:val="en-US"/>
        </w:rPr>
        <w:t xml:space="preserve">all Authors contributed equally to this work, based on preceding studies and articles; </w:t>
      </w:r>
      <w:proofErr w:type="spellStart"/>
      <w:r w:rsidR="006A39A0" w:rsidRPr="006A39A0">
        <w:rPr>
          <w:rFonts w:ascii="Book Antiqua" w:hAnsi="Book Antiqua" w:cs="Times New Roman"/>
          <w:sz w:val="24"/>
          <w:szCs w:val="24"/>
          <w:lang w:val="en-US"/>
        </w:rPr>
        <w:t>Trovato</w:t>
      </w:r>
      <w:proofErr w:type="spellEnd"/>
      <w:r w:rsidR="006A39A0" w:rsidRPr="006A39A0">
        <w:rPr>
          <w:rFonts w:ascii="Book Antiqua" w:hAnsi="Book Antiqua" w:cs="Times New Roman"/>
          <w:sz w:val="24"/>
          <w:szCs w:val="24"/>
          <w:lang w:val="en-US"/>
        </w:rPr>
        <w:t xml:space="preserve"> </w:t>
      </w:r>
      <w:r w:rsidR="006A39A0">
        <w:rPr>
          <w:rFonts w:ascii="Book Antiqua" w:hAnsi="Book Antiqua" w:cs="Times New Roman" w:hint="eastAsia"/>
          <w:sz w:val="24"/>
          <w:szCs w:val="24"/>
          <w:lang w:val="en-US" w:eastAsia="zh-CN"/>
        </w:rPr>
        <w:t xml:space="preserve">FM </w:t>
      </w:r>
      <w:r w:rsidRPr="006A39A0">
        <w:rPr>
          <w:rFonts w:ascii="Book Antiqua" w:hAnsi="Book Antiqua" w:cs="Times New Roman"/>
          <w:sz w:val="24"/>
          <w:szCs w:val="24"/>
          <w:lang w:val="en-US"/>
        </w:rPr>
        <w:t xml:space="preserve">design and draft of the review; </w:t>
      </w:r>
      <w:r w:rsidR="006A39A0">
        <w:rPr>
          <w:rFonts w:ascii="Book Antiqua" w:hAnsi="Book Antiqua" w:cs="Times New Roman"/>
          <w:sz w:val="24"/>
          <w:szCs w:val="24"/>
        </w:rPr>
        <w:t>Garozzo</w:t>
      </w:r>
      <w:r w:rsidR="006A39A0" w:rsidRPr="006A39A0">
        <w:rPr>
          <w:rFonts w:ascii="Book Antiqua" w:hAnsi="Book Antiqua" w:cs="Times New Roman"/>
          <w:sz w:val="24"/>
          <w:szCs w:val="24"/>
          <w:lang w:val="en-US"/>
        </w:rPr>
        <w:t xml:space="preserve"> </w:t>
      </w:r>
      <w:r w:rsidRPr="006A39A0">
        <w:rPr>
          <w:rFonts w:ascii="Book Antiqua" w:hAnsi="Book Antiqua" w:cs="Times New Roman"/>
          <w:sz w:val="24"/>
          <w:szCs w:val="24"/>
          <w:lang w:val="en-US"/>
        </w:rPr>
        <w:t>A</w:t>
      </w:r>
      <w:r w:rsidR="009C47A4" w:rsidRPr="006A39A0">
        <w:rPr>
          <w:rFonts w:ascii="Book Antiqua" w:hAnsi="Book Antiqua" w:cs="Times New Roman"/>
          <w:sz w:val="24"/>
          <w:szCs w:val="24"/>
          <w:lang w:val="en-US"/>
        </w:rPr>
        <w:t xml:space="preserve"> revised the virology aspects</w:t>
      </w:r>
      <w:r w:rsidR="006A39A0">
        <w:rPr>
          <w:rFonts w:ascii="Book Antiqua" w:hAnsi="Book Antiqua" w:cs="Times New Roman" w:hint="eastAsia"/>
          <w:sz w:val="24"/>
          <w:szCs w:val="24"/>
          <w:lang w:val="en-US" w:eastAsia="zh-CN"/>
        </w:rPr>
        <w:t>;</w:t>
      </w:r>
      <w:r w:rsidRPr="006A39A0">
        <w:rPr>
          <w:rFonts w:ascii="Book Antiqua" w:hAnsi="Book Antiqua" w:cs="Times New Roman"/>
          <w:sz w:val="24"/>
          <w:szCs w:val="24"/>
          <w:lang w:val="en-US"/>
        </w:rPr>
        <w:t xml:space="preserve"> </w:t>
      </w:r>
      <w:r w:rsidR="006A39A0">
        <w:rPr>
          <w:rFonts w:ascii="Book Antiqua" w:hAnsi="Book Antiqua" w:cs="Times New Roman"/>
          <w:sz w:val="24"/>
          <w:szCs w:val="24"/>
        </w:rPr>
        <w:t>Trovato</w:t>
      </w:r>
      <w:r w:rsidR="006A39A0" w:rsidRPr="006A39A0">
        <w:rPr>
          <w:rFonts w:ascii="Book Antiqua" w:hAnsi="Book Antiqua" w:cs="Times New Roman"/>
          <w:sz w:val="24"/>
          <w:szCs w:val="24"/>
          <w:lang w:val="en-US"/>
        </w:rPr>
        <w:t xml:space="preserve"> </w:t>
      </w:r>
      <w:r w:rsidR="006A39A0">
        <w:rPr>
          <w:rFonts w:ascii="Book Antiqua" w:hAnsi="Book Antiqua" w:cs="Times New Roman" w:hint="eastAsia"/>
          <w:sz w:val="24"/>
          <w:szCs w:val="24"/>
          <w:lang w:val="en-US" w:eastAsia="zh-CN"/>
        </w:rPr>
        <w:t xml:space="preserve">GM </w:t>
      </w:r>
      <w:r w:rsidR="006A39A0" w:rsidRPr="006A39A0">
        <w:rPr>
          <w:rFonts w:ascii="Book Antiqua" w:hAnsi="Book Antiqua" w:cs="Times New Roman"/>
          <w:sz w:val="24"/>
          <w:szCs w:val="24"/>
          <w:lang w:val="en-US"/>
        </w:rPr>
        <w:t>f</w:t>
      </w:r>
      <w:r w:rsidRPr="006A39A0">
        <w:rPr>
          <w:rFonts w:ascii="Book Antiqua" w:hAnsi="Book Antiqua" w:cs="Times New Roman"/>
          <w:sz w:val="24"/>
          <w:szCs w:val="24"/>
          <w:lang w:val="en-US"/>
        </w:rPr>
        <w:t>inal edit</w:t>
      </w:r>
      <w:r w:rsidR="006A39A0">
        <w:rPr>
          <w:rFonts w:ascii="Book Antiqua" w:hAnsi="Book Antiqua" w:cs="Times New Roman" w:hint="eastAsia"/>
          <w:sz w:val="24"/>
          <w:szCs w:val="24"/>
          <w:lang w:val="en-US" w:eastAsia="zh-CN"/>
        </w:rPr>
        <w:t xml:space="preserve"> the paper</w:t>
      </w:r>
      <w:r w:rsidRPr="006A39A0">
        <w:rPr>
          <w:rFonts w:ascii="Book Antiqua" w:hAnsi="Book Antiqua" w:cs="Times New Roman"/>
          <w:sz w:val="24"/>
          <w:szCs w:val="24"/>
          <w:lang w:val="en-US"/>
        </w:rPr>
        <w:t>.</w:t>
      </w:r>
    </w:p>
    <w:p w:rsidR="006A39A0" w:rsidRPr="006A39A0" w:rsidRDefault="006A39A0" w:rsidP="008019CB">
      <w:pPr>
        <w:adjustRightInd w:val="0"/>
        <w:snapToGrid w:val="0"/>
        <w:spacing w:after="0" w:line="360" w:lineRule="auto"/>
        <w:jc w:val="both"/>
        <w:rPr>
          <w:rFonts w:ascii="Book Antiqua" w:hAnsi="Book Antiqua" w:cs="Times New Roman"/>
          <w:sz w:val="24"/>
          <w:szCs w:val="24"/>
          <w:lang w:val="en-US" w:eastAsia="zh-CN"/>
        </w:rPr>
      </w:pPr>
    </w:p>
    <w:p w:rsidR="006A39A0" w:rsidRDefault="006A39A0" w:rsidP="008019CB">
      <w:pPr>
        <w:adjustRightInd w:val="0"/>
        <w:snapToGrid w:val="0"/>
        <w:spacing w:after="0" w:line="360" w:lineRule="auto"/>
        <w:jc w:val="both"/>
        <w:rPr>
          <w:rFonts w:ascii="Book Antiqua" w:hAnsi="Book Antiqua" w:cs="Times New Roman"/>
          <w:sz w:val="24"/>
          <w:szCs w:val="24"/>
          <w:lang w:val="en-US" w:eastAsia="zh-CN"/>
        </w:rPr>
      </w:pPr>
      <w:r w:rsidRPr="00E7301E">
        <w:rPr>
          <w:rFonts w:ascii="Book Antiqua" w:hAnsi="Book Antiqua"/>
          <w:b/>
          <w:sz w:val="24"/>
        </w:rPr>
        <w:t>Correspondence to:</w:t>
      </w:r>
      <w:r>
        <w:rPr>
          <w:rFonts w:ascii="Book Antiqua" w:hAnsi="Book Antiqua" w:hint="eastAsia"/>
          <w:b/>
          <w:sz w:val="24"/>
          <w:lang w:eastAsia="zh-CN"/>
        </w:rPr>
        <w:t xml:space="preserve"> </w:t>
      </w:r>
      <w:proofErr w:type="spellStart"/>
      <w:r w:rsidRPr="006A39A0">
        <w:rPr>
          <w:rFonts w:ascii="Book Antiqua" w:hAnsi="Book Antiqua" w:cs="Times New Roman"/>
          <w:b/>
          <w:sz w:val="24"/>
          <w:szCs w:val="24"/>
          <w:lang w:val="en-US"/>
        </w:rPr>
        <w:t>Guglielmo</w:t>
      </w:r>
      <w:proofErr w:type="spellEnd"/>
      <w:r w:rsidRPr="006A39A0">
        <w:rPr>
          <w:rFonts w:ascii="Book Antiqua" w:hAnsi="Book Antiqua" w:cs="Times New Roman"/>
          <w:b/>
          <w:sz w:val="24"/>
          <w:szCs w:val="24"/>
          <w:lang w:val="en-US"/>
        </w:rPr>
        <w:t xml:space="preserve"> M</w:t>
      </w:r>
      <w:r w:rsidR="000D6437" w:rsidRPr="006A39A0">
        <w:rPr>
          <w:rFonts w:ascii="Book Antiqua" w:hAnsi="Book Antiqua" w:cs="Times New Roman"/>
          <w:b/>
          <w:sz w:val="24"/>
          <w:szCs w:val="24"/>
          <w:lang w:val="en-US"/>
        </w:rPr>
        <w:t xml:space="preserve"> </w:t>
      </w:r>
      <w:proofErr w:type="spellStart"/>
      <w:r w:rsidR="000D6437" w:rsidRPr="006A39A0">
        <w:rPr>
          <w:rFonts w:ascii="Book Antiqua" w:hAnsi="Book Antiqua" w:cs="Times New Roman"/>
          <w:b/>
          <w:sz w:val="24"/>
          <w:szCs w:val="24"/>
          <w:lang w:val="en-US"/>
        </w:rPr>
        <w:t>Trovato</w:t>
      </w:r>
      <w:proofErr w:type="spellEnd"/>
      <w:r w:rsidR="000D6437" w:rsidRPr="006A39A0">
        <w:rPr>
          <w:rFonts w:ascii="Book Antiqua" w:hAnsi="Book Antiqua" w:cs="Times New Roman"/>
          <w:b/>
          <w:sz w:val="24"/>
          <w:szCs w:val="24"/>
          <w:lang w:val="en-US"/>
        </w:rPr>
        <w:t>, MD,</w:t>
      </w:r>
      <w:r w:rsidR="000D6437" w:rsidRPr="006A39A0">
        <w:rPr>
          <w:rFonts w:ascii="Book Antiqua" w:hAnsi="Book Antiqua" w:cs="Times New Roman"/>
          <w:sz w:val="24"/>
          <w:szCs w:val="24"/>
          <w:lang w:val="en-US"/>
        </w:rPr>
        <w:t xml:space="preserve"> Department of Medical and Pediatric Sciences, Internal Medicine</w:t>
      </w:r>
      <w:r>
        <w:rPr>
          <w:rFonts w:ascii="Book Antiqua" w:hAnsi="Book Antiqua" w:cs="Times New Roman" w:hint="eastAsia"/>
          <w:sz w:val="24"/>
          <w:szCs w:val="24"/>
          <w:lang w:val="en-US" w:eastAsia="zh-CN"/>
        </w:rPr>
        <w:t>,</w:t>
      </w:r>
      <w:r w:rsidR="000D6437" w:rsidRPr="006A39A0">
        <w:rPr>
          <w:rFonts w:ascii="Book Antiqua" w:hAnsi="Book Antiqua" w:cs="Times New Roman"/>
          <w:sz w:val="24"/>
          <w:szCs w:val="24"/>
          <w:lang w:val="en-US"/>
        </w:rPr>
        <w:t xml:space="preserve"> </w:t>
      </w:r>
      <w:r w:rsidRPr="006A39A0">
        <w:rPr>
          <w:rFonts w:ascii="Book Antiqua" w:hAnsi="Book Antiqua" w:cs="Times New Roman"/>
          <w:sz w:val="24"/>
          <w:szCs w:val="24"/>
          <w:lang w:val="en-US"/>
        </w:rPr>
        <w:t>University of Catania,</w:t>
      </w:r>
      <w:r>
        <w:rPr>
          <w:rFonts w:ascii="Book Antiqua" w:hAnsi="Book Antiqua" w:cs="Times New Roman" w:hint="eastAsia"/>
          <w:sz w:val="24"/>
          <w:szCs w:val="24"/>
          <w:lang w:val="en-US" w:eastAsia="zh-CN"/>
        </w:rPr>
        <w:t xml:space="preserve"> </w:t>
      </w:r>
      <w:proofErr w:type="spellStart"/>
      <w:r w:rsidR="000D6437" w:rsidRPr="006A39A0">
        <w:rPr>
          <w:rFonts w:ascii="Book Antiqua" w:hAnsi="Book Antiqua" w:cs="Times New Roman"/>
          <w:sz w:val="24"/>
          <w:szCs w:val="24"/>
          <w:lang w:val="en-US"/>
        </w:rPr>
        <w:t>Policlinico</w:t>
      </w:r>
      <w:proofErr w:type="spellEnd"/>
      <w:r w:rsidR="000D6437" w:rsidRPr="006A39A0">
        <w:rPr>
          <w:rFonts w:ascii="Book Antiqua" w:hAnsi="Book Antiqua" w:cs="Times New Roman"/>
          <w:sz w:val="24"/>
          <w:szCs w:val="24"/>
          <w:lang w:val="en-US"/>
        </w:rPr>
        <w:t xml:space="preserve">, Ed. </w:t>
      </w:r>
      <w:proofErr w:type="gramStart"/>
      <w:r w:rsidR="000D6437" w:rsidRPr="006A39A0">
        <w:rPr>
          <w:rFonts w:ascii="Book Antiqua" w:hAnsi="Book Antiqua" w:cs="Times New Roman"/>
          <w:sz w:val="24"/>
          <w:szCs w:val="24"/>
          <w:lang w:val="en-US"/>
        </w:rPr>
        <w:t>4, 4th floor, Via Santa Sofia</w:t>
      </w:r>
      <w:r>
        <w:rPr>
          <w:rFonts w:ascii="Book Antiqua" w:hAnsi="Book Antiqua" w:cs="Times New Roman" w:hint="eastAsia"/>
          <w:sz w:val="24"/>
          <w:szCs w:val="24"/>
          <w:lang w:val="en-US" w:eastAsia="zh-CN"/>
        </w:rPr>
        <w:t xml:space="preserve">, </w:t>
      </w:r>
      <w:r w:rsidR="00A0240E" w:rsidRPr="006A39A0">
        <w:rPr>
          <w:rFonts w:ascii="Book Antiqua" w:hAnsi="Book Antiqua" w:cs="Times New Roman"/>
          <w:sz w:val="24"/>
          <w:szCs w:val="24"/>
          <w:lang w:val="en-US"/>
        </w:rPr>
        <w:t xml:space="preserve">95100 </w:t>
      </w:r>
      <w:r w:rsidR="000D6437" w:rsidRPr="006A39A0">
        <w:rPr>
          <w:rFonts w:ascii="Book Antiqua" w:hAnsi="Book Antiqua" w:cs="Times New Roman"/>
          <w:sz w:val="24"/>
          <w:szCs w:val="24"/>
          <w:lang w:val="en-US"/>
        </w:rPr>
        <w:t>Catania</w:t>
      </w:r>
      <w:r>
        <w:rPr>
          <w:rFonts w:ascii="Book Antiqua" w:hAnsi="Book Antiqua" w:cs="Times New Roman" w:hint="eastAsia"/>
          <w:sz w:val="24"/>
          <w:szCs w:val="24"/>
          <w:lang w:val="en-US" w:eastAsia="zh-CN"/>
        </w:rPr>
        <w:t>, Italy.</w:t>
      </w:r>
      <w:proofErr w:type="gramEnd"/>
      <w:r>
        <w:rPr>
          <w:rFonts w:ascii="Book Antiqua" w:hAnsi="Book Antiqua" w:cs="Times New Roman"/>
          <w:sz w:val="24"/>
          <w:szCs w:val="24"/>
          <w:lang w:val="en-US" w:eastAsia="zh-CN"/>
        </w:rPr>
        <w:t xml:space="preserve"> </w:t>
      </w:r>
      <w:r w:rsidRPr="006A39A0">
        <w:rPr>
          <w:rFonts w:ascii="Book Antiqua" w:hAnsi="Book Antiqua" w:cs="Times New Roman"/>
          <w:sz w:val="24"/>
          <w:szCs w:val="24"/>
          <w:lang w:val="en-US"/>
        </w:rPr>
        <w:t>guglielmotrovato@unict.it</w:t>
      </w:r>
    </w:p>
    <w:p w:rsidR="006A39A0" w:rsidRDefault="006A39A0" w:rsidP="008019CB">
      <w:pPr>
        <w:adjustRightInd w:val="0"/>
        <w:snapToGrid w:val="0"/>
        <w:spacing w:after="0" w:line="360" w:lineRule="auto"/>
        <w:jc w:val="both"/>
        <w:rPr>
          <w:rFonts w:ascii="Book Antiqua" w:hAnsi="Book Antiqua" w:cs="Times New Roman"/>
          <w:sz w:val="24"/>
          <w:szCs w:val="24"/>
          <w:lang w:val="en-US" w:eastAsia="zh-CN"/>
        </w:rPr>
      </w:pPr>
    </w:p>
    <w:p w:rsidR="006A39A0" w:rsidRDefault="006A39A0" w:rsidP="008019CB">
      <w:pPr>
        <w:adjustRightInd w:val="0"/>
        <w:snapToGrid w:val="0"/>
        <w:spacing w:after="0" w:line="360" w:lineRule="auto"/>
        <w:jc w:val="both"/>
        <w:rPr>
          <w:rFonts w:ascii="Book Antiqua" w:hAnsi="Book Antiqua"/>
          <w:sz w:val="24"/>
        </w:rPr>
      </w:pPr>
      <w:r w:rsidRPr="00E7301E">
        <w:rPr>
          <w:rFonts w:ascii="Book Antiqua" w:hAnsi="Book Antiqua"/>
          <w:b/>
          <w:sz w:val="24"/>
        </w:rPr>
        <w:t>Telephone:</w:t>
      </w:r>
      <w:r w:rsidRPr="00E7301E">
        <w:rPr>
          <w:rFonts w:ascii="Book Antiqua" w:hAnsi="Book Antiqua"/>
          <w:sz w:val="24"/>
        </w:rPr>
        <w:t xml:space="preserve"> </w:t>
      </w:r>
      <w:r w:rsidRPr="006A39A0">
        <w:rPr>
          <w:rFonts w:ascii="Book Antiqua" w:hAnsi="Book Antiqua" w:cs="Times New Roman"/>
          <w:sz w:val="24"/>
          <w:szCs w:val="24"/>
          <w:lang w:val="en-US"/>
        </w:rPr>
        <w:t>+39</w:t>
      </w:r>
      <w:r>
        <w:rPr>
          <w:rFonts w:ascii="Book Antiqua" w:hAnsi="Book Antiqua" w:cs="Times New Roman" w:hint="eastAsia"/>
          <w:sz w:val="24"/>
          <w:szCs w:val="24"/>
          <w:lang w:val="en-US" w:eastAsia="zh-CN"/>
        </w:rPr>
        <w:t>-</w:t>
      </w:r>
      <w:r w:rsidRPr="006A39A0">
        <w:rPr>
          <w:rFonts w:ascii="Book Antiqua" w:hAnsi="Book Antiqua" w:cs="Times New Roman"/>
          <w:sz w:val="24"/>
          <w:szCs w:val="24"/>
          <w:lang w:val="en-US"/>
        </w:rPr>
        <w:t>95</w:t>
      </w:r>
      <w:r>
        <w:rPr>
          <w:rFonts w:ascii="Book Antiqua" w:hAnsi="Book Antiqua" w:cs="Times New Roman" w:hint="eastAsia"/>
          <w:sz w:val="24"/>
          <w:szCs w:val="24"/>
          <w:lang w:val="en-US" w:eastAsia="zh-CN"/>
        </w:rPr>
        <w:t>-</w:t>
      </w:r>
      <w:r w:rsidRPr="006A39A0">
        <w:rPr>
          <w:rFonts w:ascii="Book Antiqua" w:hAnsi="Book Antiqua" w:cs="Times New Roman"/>
          <w:sz w:val="24"/>
          <w:szCs w:val="24"/>
          <w:lang w:val="en-US"/>
        </w:rPr>
        <w:t>3781533</w:t>
      </w:r>
      <w:r w:rsidRPr="00E7301E">
        <w:rPr>
          <w:rFonts w:ascii="Book Antiqua" w:hAnsi="Book Antiqua"/>
          <w:b/>
          <w:sz w:val="24"/>
        </w:rPr>
        <w:t xml:space="preserve"> Fax: </w:t>
      </w:r>
      <w:r w:rsidRPr="006A39A0">
        <w:rPr>
          <w:rFonts w:ascii="Book Antiqua" w:hAnsi="Book Antiqua" w:cs="Times New Roman"/>
          <w:sz w:val="24"/>
          <w:szCs w:val="24"/>
          <w:lang w:val="en-US"/>
        </w:rPr>
        <w:t>+39</w:t>
      </w:r>
      <w:r>
        <w:rPr>
          <w:rFonts w:ascii="Book Antiqua" w:hAnsi="Book Antiqua" w:cs="Times New Roman" w:hint="eastAsia"/>
          <w:sz w:val="24"/>
          <w:szCs w:val="24"/>
          <w:lang w:val="en-US" w:eastAsia="zh-CN"/>
        </w:rPr>
        <w:t>-</w:t>
      </w:r>
      <w:r w:rsidRPr="006A39A0">
        <w:rPr>
          <w:rFonts w:ascii="Book Antiqua" w:hAnsi="Book Antiqua" w:cs="Times New Roman"/>
          <w:sz w:val="24"/>
          <w:szCs w:val="24"/>
          <w:lang w:val="en-US"/>
        </w:rPr>
        <w:t>95</w:t>
      </w:r>
      <w:r>
        <w:rPr>
          <w:rFonts w:ascii="Book Antiqua" w:hAnsi="Book Antiqua" w:cs="Times New Roman" w:hint="eastAsia"/>
          <w:sz w:val="24"/>
          <w:szCs w:val="24"/>
          <w:lang w:val="en-US" w:eastAsia="zh-CN"/>
        </w:rPr>
        <w:t>-</w:t>
      </w:r>
      <w:r w:rsidRPr="006A39A0">
        <w:rPr>
          <w:rFonts w:ascii="Book Antiqua" w:hAnsi="Book Antiqua" w:cs="Times New Roman"/>
          <w:sz w:val="24"/>
          <w:szCs w:val="24"/>
          <w:lang w:val="en-US"/>
        </w:rPr>
        <w:t>3781549</w:t>
      </w:r>
    </w:p>
    <w:p w:rsidR="006A39A0" w:rsidRPr="003166B1" w:rsidRDefault="006A39A0" w:rsidP="008019CB">
      <w:pPr>
        <w:adjustRightInd w:val="0"/>
        <w:snapToGrid w:val="0"/>
        <w:spacing w:after="0" w:line="360" w:lineRule="auto"/>
        <w:jc w:val="both"/>
      </w:pPr>
      <w:r w:rsidRPr="00E7301E">
        <w:rPr>
          <w:rFonts w:ascii="Book Antiqua" w:hAnsi="Book Antiqua"/>
          <w:b/>
          <w:sz w:val="24"/>
        </w:rPr>
        <w:t xml:space="preserve">Received: </w:t>
      </w:r>
      <w:r w:rsidRPr="00A11C75">
        <w:rPr>
          <w:rFonts w:ascii="Book Antiqua" w:hAnsi="Book Antiqua"/>
          <w:sz w:val="24"/>
        </w:rPr>
        <w:t>October</w:t>
      </w:r>
      <w:r w:rsidRPr="004C0A65">
        <w:rPr>
          <w:rFonts w:ascii="Book Antiqua" w:hAnsi="Book Antiqua"/>
          <w:sz w:val="24"/>
        </w:rPr>
        <w:t xml:space="preserve"> </w:t>
      </w:r>
      <w:r w:rsidRPr="004C0A65">
        <w:rPr>
          <w:rFonts w:ascii="Book Antiqua" w:hAnsi="Book Antiqua" w:hint="eastAsia"/>
          <w:sz w:val="24"/>
        </w:rPr>
        <w:t>25, 2013</w:t>
      </w:r>
      <w:r w:rsidR="00C914A1">
        <w:rPr>
          <w:rFonts w:ascii="Book Antiqua" w:hAnsi="Book Antiqua" w:hint="eastAsia"/>
          <w:b/>
          <w:sz w:val="24"/>
        </w:rPr>
        <w:t xml:space="preserve"> </w:t>
      </w:r>
      <w:r>
        <w:rPr>
          <w:rFonts w:ascii="Book Antiqua" w:hAnsi="Book Antiqua"/>
          <w:b/>
          <w:sz w:val="24"/>
        </w:rPr>
        <w:t xml:space="preserve">Revised: </w:t>
      </w:r>
      <w:r w:rsidR="00C914A1" w:rsidRPr="00A11C75">
        <w:rPr>
          <w:rFonts w:ascii="Book Antiqua" w:hAnsi="Book Antiqua"/>
          <w:sz w:val="24"/>
        </w:rPr>
        <w:t>April</w:t>
      </w:r>
      <w:r w:rsidR="00C914A1">
        <w:rPr>
          <w:rFonts w:ascii="Book Antiqua" w:hAnsi="Book Antiqua" w:hint="eastAsia"/>
          <w:sz w:val="24"/>
        </w:rPr>
        <w:t xml:space="preserve"> </w:t>
      </w:r>
      <w:r w:rsidR="00C914A1">
        <w:rPr>
          <w:rFonts w:ascii="Book Antiqua" w:hAnsi="Book Antiqua" w:hint="eastAsia"/>
          <w:sz w:val="24"/>
          <w:lang w:eastAsia="zh-CN"/>
        </w:rPr>
        <w:t>3</w:t>
      </w:r>
      <w:r>
        <w:rPr>
          <w:rFonts w:ascii="Book Antiqua" w:hAnsi="Book Antiqua" w:hint="eastAsia"/>
          <w:sz w:val="24"/>
        </w:rPr>
        <w:t>, 2014</w:t>
      </w:r>
    </w:p>
    <w:p w:rsidR="001F277D" w:rsidRDefault="006A39A0" w:rsidP="001F277D">
      <w:pPr>
        <w:rPr>
          <w:rFonts w:ascii="Book Antiqua" w:hAnsi="Book Antiqua"/>
          <w:color w:val="000000"/>
          <w:sz w:val="24"/>
        </w:rPr>
      </w:pPr>
      <w:r w:rsidRPr="00E7301E">
        <w:rPr>
          <w:rFonts w:ascii="Book Antiqua" w:hAnsi="Book Antiqua"/>
          <w:b/>
          <w:sz w:val="24"/>
        </w:rPr>
        <w:t>Accepted:</w:t>
      </w:r>
      <w:bookmarkStart w:id="4" w:name="OLE_LINK1"/>
      <w:bookmarkStart w:id="5" w:name="OLE_LINK2"/>
      <w:bookmarkStart w:id="6" w:name="OLE_LINK3"/>
      <w:bookmarkStart w:id="7" w:name="OLE_LINK4"/>
      <w:bookmarkStart w:id="8" w:name="OLE_LINK5"/>
      <w:bookmarkStart w:id="9" w:name="OLE_LINK6"/>
      <w:bookmarkStart w:id="10" w:name="OLE_LINK7"/>
      <w:bookmarkStart w:id="11" w:name="OLE_LINK9"/>
      <w:bookmarkStart w:id="12" w:name="OLE_LINK10"/>
      <w:bookmarkStart w:id="13" w:name="OLE_LINK13"/>
      <w:bookmarkStart w:id="14" w:name="OLE_LINK14"/>
      <w:bookmarkStart w:id="15" w:name="OLE_LINK17"/>
      <w:bookmarkStart w:id="16" w:name="OLE_LINK18"/>
      <w:bookmarkStart w:id="17" w:name="OLE_LINK19"/>
      <w:bookmarkStart w:id="18" w:name="OLE_LINK22"/>
      <w:bookmarkStart w:id="19" w:name="OLE_LINK24"/>
      <w:bookmarkStart w:id="20" w:name="OLE_LINK25"/>
      <w:bookmarkStart w:id="21" w:name="OLE_LINK26"/>
      <w:bookmarkStart w:id="22" w:name="OLE_LINK27"/>
      <w:bookmarkStart w:id="23" w:name="OLE_LINK28"/>
      <w:bookmarkStart w:id="24" w:name="OLE_LINK29"/>
      <w:bookmarkStart w:id="25" w:name="OLE_LINK30"/>
      <w:bookmarkStart w:id="26" w:name="OLE_LINK31"/>
      <w:bookmarkStart w:id="27" w:name="OLE_LINK32"/>
      <w:bookmarkStart w:id="28" w:name="OLE_LINK34"/>
      <w:bookmarkStart w:id="29" w:name="OLE_LINK36"/>
      <w:bookmarkStart w:id="30" w:name="OLE_LINK37"/>
      <w:bookmarkStart w:id="31" w:name="OLE_LINK38"/>
      <w:r w:rsidR="001F277D" w:rsidRPr="001F277D">
        <w:rPr>
          <w:rFonts w:ascii="Book Antiqua" w:hAnsi="Book Antiqua"/>
          <w:color w:val="000000"/>
          <w:sz w:val="24"/>
        </w:rPr>
        <w:t xml:space="preserve"> </w:t>
      </w:r>
      <w:r w:rsidR="001F277D">
        <w:rPr>
          <w:rFonts w:ascii="Book Antiqua" w:hAnsi="Book Antiqua"/>
          <w:color w:val="000000"/>
          <w:sz w:val="24"/>
        </w:rPr>
        <w:t>June 26, 2014</w:t>
      </w:r>
    </w:p>
    <w:p w:rsidR="006A39A0" w:rsidRPr="00E7301E" w:rsidRDefault="00C914A1" w:rsidP="008019CB">
      <w:pPr>
        <w:adjustRightInd w:val="0"/>
        <w:snapToGrid w:val="0"/>
        <w:spacing w:after="0" w:line="360" w:lineRule="auto"/>
        <w:jc w:val="both"/>
        <w:rPr>
          <w:rFonts w:ascii="Book Antiqua" w:hAnsi="Book Antiqua"/>
          <w:b/>
          <w:sz w:val="24"/>
        </w:rPr>
      </w:pPr>
      <w:bookmarkStart w:id="32"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ascii="Book Antiqua" w:hAnsi="Book Antiqua"/>
          <w:b/>
          <w:sz w:val="24"/>
        </w:rPr>
        <w:t xml:space="preserve"> </w:t>
      </w:r>
    </w:p>
    <w:p w:rsidR="006A39A0" w:rsidRPr="00E7301E" w:rsidRDefault="006A39A0" w:rsidP="008019CB">
      <w:pPr>
        <w:adjustRightInd w:val="0"/>
        <w:snapToGrid w:val="0"/>
        <w:spacing w:after="0" w:line="360" w:lineRule="auto"/>
        <w:jc w:val="both"/>
        <w:rPr>
          <w:rFonts w:ascii="Book Antiqua" w:hAnsi="Book Antiqua"/>
          <w:b/>
          <w:sz w:val="24"/>
        </w:rPr>
      </w:pPr>
      <w:r w:rsidRPr="00E7301E">
        <w:rPr>
          <w:rFonts w:ascii="Book Antiqua" w:hAnsi="Book Antiqua"/>
          <w:b/>
          <w:sz w:val="24"/>
        </w:rPr>
        <w:lastRenderedPageBreak/>
        <w:t xml:space="preserve">Published online: </w:t>
      </w:r>
    </w:p>
    <w:p w:rsidR="000D6437" w:rsidRPr="006A39A0" w:rsidRDefault="000D6437" w:rsidP="008019CB">
      <w:pPr>
        <w:adjustRightInd w:val="0"/>
        <w:snapToGrid w:val="0"/>
        <w:spacing w:after="0" w:line="360" w:lineRule="auto"/>
        <w:jc w:val="both"/>
        <w:rPr>
          <w:rFonts w:ascii="Book Antiqua" w:hAnsi="Book Antiqua" w:cs="Times New Roman"/>
          <w:sz w:val="24"/>
          <w:szCs w:val="24"/>
          <w:lang w:val="en-US" w:eastAsia="zh-CN"/>
        </w:rPr>
      </w:pPr>
    </w:p>
    <w:p w:rsidR="00C914A1" w:rsidRDefault="00C914A1" w:rsidP="008019CB">
      <w:pPr>
        <w:adjustRightInd w:val="0"/>
        <w:snapToGrid w:val="0"/>
        <w:spacing w:after="0" w:line="360" w:lineRule="auto"/>
        <w:jc w:val="both"/>
        <w:rPr>
          <w:rFonts w:ascii="Book Antiqua" w:hAnsi="Book Antiqua" w:cs="Times New Roman"/>
          <w:sz w:val="24"/>
          <w:szCs w:val="24"/>
          <w:lang w:val="en-US" w:eastAsia="zh-CN"/>
        </w:rPr>
      </w:pPr>
      <w:r w:rsidRPr="00E7301E">
        <w:rPr>
          <w:rFonts w:ascii="Book Antiqua" w:hAnsi="Book Antiqua"/>
          <w:b/>
          <w:sz w:val="24"/>
        </w:rPr>
        <w:t>Abstract</w:t>
      </w:r>
      <w:r w:rsidRPr="006A39A0">
        <w:rPr>
          <w:rFonts w:ascii="Book Antiqua" w:hAnsi="Book Antiqua" w:cs="Times New Roman"/>
          <w:sz w:val="24"/>
          <w:szCs w:val="24"/>
          <w:lang w:val="en-US"/>
        </w:rPr>
        <w:t xml:space="preserve"> </w:t>
      </w:r>
    </w:p>
    <w:p w:rsidR="000D6437" w:rsidRPr="006A39A0" w:rsidRDefault="000D6437" w:rsidP="008019CB">
      <w:pPr>
        <w:adjustRightInd w:val="0"/>
        <w:snapToGrid w:val="0"/>
        <w:spacing w:after="0" w:line="360" w:lineRule="auto"/>
        <w:jc w:val="both"/>
        <w:rPr>
          <w:rFonts w:ascii="Book Antiqua" w:hAnsi="Book Antiqua" w:cs="Times New Roman"/>
          <w:sz w:val="24"/>
          <w:szCs w:val="24"/>
          <w:lang w:val="en-US"/>
        </w:rPr>
      </w:pPr>
      <w:r w:rsidRPr="006A39A0">
        <w:rPr>
          <w:rFonts w:ascii="Book Antiqua" w:hAnsi="Book Antiqua" w:cs="Times New Roman"/>
          <w:sz w:val="24"/>
          <w:szCs w:val="24"/>
          <w:lang w:val="en-US"/>
        </w:rPr>
        <w:t xml:space="preserve">Obesity and liver </w:t>
      </w:r>
      <w:proofErr w:type="spellStart"/>
      <w:r w:rsidRPr="006A39A0">
        <w:rPr>
          <w:rFonts w:ascii="Book Antiqua" w:hAnsi="Book Antiqua" w:cs="Times New Roman"/>
          <w:sz w:val="24"/>
          <w:szCs w:val="24"/>
          <w:lang w:val="en-US"/>
        </w:rPr>
        <w:t>steatosis</w:t>
      </w:r>
      <w:proofErr w:type="spellEnd"/>
      <w:r w:rsidRPr="006A39A0">
        <w:rPr>
          <w:rFonts w:ascii="Book Antiqua" w:hAnsi="Book Antiqua" w:cs="Times New Roman"/>
          <w:sz w:val="24"/>
          <w:szCs w:val="24"/>
          <w:lang w:val="en-US"/>
        </w:rPr>
        <w:t xml:space="preserve"> are usually described as related diseases. Obesity is regarded as exclusive consequence of an imbalance between food intake and physical exercise, modulated by endocrine and genetic factors. Non-alcoholic fatty liver disease (NAFLD</w:t>
      </w:r>
      <w:proofErr w:type="gramStart"/>
      <w:r w:rsidRPr="006A39A0">
        <w:rPr>
          <w:rFonts w:ascii="Book Antiqua" w:hAnsi="Book Antiqua" w:cs="Times New Roman"/>
          <w:sz w:val="24"/>
          <w:szCs w:val="24"/>
          <w:lang w:val="en-US"/>
        </w:rPr>
        <w:t>),</w:t>
      </w:r>
      <w:proofErr w:type="gramEnd"/>
      <w:r w:rsidRPr="006A39A0">
        <w:rPr>
          <w:rFonts w:ascii="Book Antiqua" w:hAnsi="Book Antiqua" w:cs="Times New Roman"/>
          <w:sz w:val="24"/>
          <w:szCs w:val="24"/>
          <w:lang w:val="en-US"/>
        </w:rPr>
        <w:t xml:space="preserve"> is a condition whose natural history is related to, but not completel</w:t>
      </w:r>
      <w:r w:rsidR="00C914A1">
        <w:rPr>
          <w:rFonts w:ascii="Book Antiqua" w:hAnsi="Book Antiqua" w:cs="Times New Roman"/>
          <w:sz w:val="24"/>
          <w:szCs w:val="24"/>
          <w:lang w:val="en-US"/>
        </w:rPr>
        <w:t xml:space="preserve">y explained by over-nutrition, </w:t>
      </w:r>
      <w:r w:rsidRPr="006A39A0">
        <w:rPr>
          <w:rFonts w:ascii="Book Antiqua" w:hAnsi="Book Antiqua" w:cs="Times New Roman"/>
          <w:sz w:val="24"/>
          <w:szCs w:val="24"/>
          <w:lang w:val="en-US"/>
        </w:rPr>
        <w:t xml:space="preserve">obesity and insulin resistance. There </w:t>
      </w:r>
      <w:r w:rsidR="00C914A1">
        <w:rPr>
          <w:rFonts w:ascii="Book Antiqua" w:hAnsi="Book Antiqua" w:cs="Times New Roman"/>
          <w:sz w:val="24"/>
          <w:szCs w:val="24"/>
          <w:lang w:val="en-US"/>
        </w:rPr>
        <w:t xml:space="preserve">is evidence that environmental </w:t>
      </w:r>
      <w:r w:rsidRPr="006A39A0">
        <w:rPr>
          <w:rFonts w:ascii="Book Antiqua" w:hAnsi="Book Antiqua" w:cs="Times New Roman"/>
          <w:sz w:val="24"/>
          <w:szCs w:val="24"/>
          <w:lang w:val="en-US"/>
        </w:rPr>
        <w:t xml:space="preserve">infections, and notably </w:t>
      </w:r>
      <w:proofErr w:type="spellStart"/>
      <w:r w:rsidRPr="006A39A0">
        <w:rPr>
          <w:rFonts w:ascii="Book Antiqua" w:hAnsi="Book Antiqua" w:cs="Times New Roman"/>
          <w:sz w:val="24"/>
          <w:szCs w:val="24"/>
          <w:lang w:val="en-US"/>
        </w:rPr>
        <w:t>adipogenic</w:t>
      </w:r>
      <w:proofErr w:type="spellEnd"/>
      <w:r w:rsidRPr="006A39A0">
        <w:rPr>
          <w:rFonts w:ascii="Book Antiqua" w:hAnsi="Book Antiqua" w:cs="Times New Roman"/>
          <w:sz w:val="24"/>
          <w:szCs w:val="24"/>
          <w:lang w:val="en-US"/>
        </w:rPr>
        <w:t xml:space="preserve"> Adenoviruses infections in humans, are associated not only with obesity, which is sufficiently established,</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but also with allied conditions, such as fatty liver. In order to elucidate the role, if any, of previous ADV36 infection in humans, we investigated association of ADV36-ADV37 </w:t>
      </w:r>
      <w:proofErr w:type="spellStart"/>
      <w:r w:rsidRPr="006A39A0">
        <w:rPr>
          <w:rFonts w:ascii="Book Antiqua" w:hAnsi="Book Antiqua" w:cs="Times New Roman"/>
          <w:sz w:val="24"/>
          <w:szCs w:val="24"/>
          <w:lang w:val="en-US"/>
        </w:rPr>
        <w:t>seropositivity</w:t>
      </w:r>
      <w:proofErr w:type="spellEnd"/>
      <w:r w:rsidRPr="006A39A0">
        <w:rPr>
          <w:rFonts w:ascii="Book Antiqua" w:hAnsi="Book Antiqua" w:cs="Times New Roman"/>
          <w:sz w:val="24"/>
          <w:szCs w:val="24"/>
          <w:lang w:val="en-US"/>
        </w:rPr>
        <w:t xml:space="preserve"> with obesity and fatty liver in humans. Moreover, the possibility that lifestyle-nutritional intervention in patients with NAFLD and different ADV36 seropositive status, achieves different clinical outcomes on ultrasound bright liver imaging, insulin resistance and obesity was challenged. ADV36 seropositive patients</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have a more consistent</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decrease in insulin resistance,</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fatty liver severity and body weight in comparison with</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ADV36</w:t>
      </w:r>
      <w:r w:rsidR="00C914A1">
        <w:rPr>
          <w:rFonts w:ascii="Book Antiqua" w:hAnsi="Book Antiqua" w:cs="Times New Roman"/>
          <w:sz w:val="24"/>
          <w:szCs w:val="24"/>
          <w:lang w:val="en-US"/>
        </w:rPr>
        <w:t xml:space="preserve"> </w:t>
      </w:r>
      <w:proofErr w:type="spellStart"/>
      <w:r w:rsidRPr="006A39A0">
        <w:rPr>
          <w:rFonts w:ascii="Book Antiqua" w:hAnsi="Book Antiqua" w:cs="Times New Roman"/>
          <w:sz w:val="24"/>
          <w:szCs w:val="24"/>
          <w:lang w:val="en-US"/>
        </w:rPr>
        <w:t>seronegative</w:t>
      </w:r>
      <w:proofErr w:type="spellEnd"/>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patients, indicating</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a greater responsiveness to</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nutritional</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intervention. These</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effects were</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not</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dependent on</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a greater</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pre-interventional body weight</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and</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older</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age. These results imply that no obvious disadvantage – and,</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seemingly,</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that</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some</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benefit –</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is linked</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to</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ADV36 </w:t>
      </w:r>
      <w:proofErr w:type="spellStart"/>
      <w:r w:rsidRPr="006A39A0">
        <w:rPr>
          <w:rFonts w:ascii="Book Antiqua" w:hAnsi="Book Antiqua" w:cs="Times New Roman"/>
          <w:sz w:val="24"/>
          <w:szCs w:val="24"/>
          <w:lang w:val="en-US"/>
        </w:rPr>
        <w:t>seropositivity</w:t>
      </w:r>
      <w:proofErr w:type="spellEnd"/>
      <w:r w:rsidRPr="006A39A0">
        <w:rPr>
          <w:rFonts w:ascii="Book Antiqua" w:hAnsi="Book Antiqua" w:cs="Times New Roman"/>
          <w:sz w:val="24"/>
          <w:szCs w:val="24"/>
          <w:lang w:val="en-US"/>
        </w:rPr>
        <w:t>, at least in NAFLD.</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ADV36 previous infection can boost weight loss and recovery of insulin sensitivity under interventional treatment.</w:t>
      </w:r>
      <w:r w:rsidR="00C914A1">
        <w:rPr>
          <w:rFonts w:ascii="Book Antiqua" w:hAnsi="Book Antiqua" w:cs="Times New Roman"/>
          <w:sz w:val="24"/>
          <w:szCs w:val="24"/>
          <w:lang w:val="en-US"/>
        </w:rPr>
        <w:t xml:space="preserve"> </w:t>
      </w:r>
    </w:p>
    <w:p w:rsidR="000D6437" w:rsidRPr="006A39A0" w:rsidRDefault="000D6437" w:rsidP="008019CB">
      <w:pPr>
        <w:adjustRightInd w:val="0"/>
        <w:snapToGrid w:val="0"/>
        <w:spacing w:after="0" w:line="360" w:lineRule="auto"/>
        <w:jc w:val="both"/>
        <w:rPr>
          <w:rFonts w:ascii="Book Antiqua" w:hAnsi="Book Antiqua" w:cs="Times New Roman"/>
          <w:sz w:val="24"/>
          <w:szCs w:val="24"/>
          <w:lang w:val="en-US"/>
        </w:rPr>
      </w:pPr>
    </w:p>
    <w:p w:rsidR="00C914A1" w:rsidRDefault="00C914A1" w:rsidP="008019CB">
      <w:pPr>
        <w:pStyle w:val="a3"/>
        <w:adjustRightInd w:val="0"/>
        <w:snapToGrid w:val="0"/>
        <w:spacing w:line="360" w:lineRule="auto"/>
        <w:rPr>
          <w:rFonts w:ascii="Book Antiqua" w:hAnsi="Book Antiqua" w:cs="Tahoma"/>
          <w:sz w:val="24"/>
          <w:szCs w:val="24"/>
        </w:rPr>
      </w:pPr>
      <w:r w:rsidRPr="00542BFC">
        <w:rPr>
          <w:rFonts w:ascii="Book Antiqua" w:hAnsi="Book Antiqua" w:cs="Tahoma" w:hint="eastAsia"/>
          <w:sz w:val="24"/>
          <w:szCs w:val="24"/>
          <w:lang w:eastAsia="ja-JP"/>
        </w:rPr>
        <w:t>©</w:t>
      </w:r>
      <w:r w:rsidRPr="00542BFC">
        <w:rPr>
          <w:rFonts w:ascii="Book Antiqua" w:hAnsi="Book Antiqua" w:cs="Tahoma"/>
          <w:sz w:val="24"/>
          <w:szCs w:val="24"/>
          <w:lang w:eastAsia="ja-JP"/>
        </w:rPr>
        <w:t xml:space="preserve"> 2014 </w:t>
      </w:r>
      <w:proofErr w:type="spellStart"/>
      <w:r w:rsidRPr="00542BFC">
        <w:rPr>
          <w:rFonts w:ascii="Book Antiqua" w:hAnsi="Book Antiqua" w:cs="Tahoma"/>
          <w:sz w:val="24"/>
          <w:szCs w:val="24"/>
          <w:lang w:eastAsia="ja-JP"/>
        </w:rPr>
        <w:t>Baishideng</w:t>
      </w:r>
      <w:proofErr w:type="spellEnd"/>
      <w:r w:rsidRPr="00542BFC">
        <w:rPr>
          <w:rFonts w:ascii="Book Antiqua" w:hAnsi="Book Antiqua" w:cs="Tahoma"/>
          <w:sz w:val="24"/>
          <w:szCs w:val="24"/>
          <w:lang w:eastAsia="ja-JP"/>
        </w:rPr>
        <w:t xml:space="preserve"> Publishing Group Inc. All rights reserved.</w:t>
      </w:r>
    </w:p>
    <w:p w:rsidR="00C914A1" w:rsidRPr="00542BFC" w:rsidRDefault="00C914A1" w:rsidP="008019CB">
      <w:pPr>
        <w:pStyle w:val="a3"/>
        <w:adjustRightInd w:val="0"/>
        <w:snapToGrid w:val="0"/>
        <w:spacing w:line="360" w:lineRule="auto"/>
        <w:rPr>
          <w:rFonts w:ascii="Book Antiqua" w:hAnsi="Book Antiqua"/>
          <w:b/>
          <w:sz w:val="24"/>
          <w:szCs w:val="24"/>
        </w:rPr>
      </w:pPr>
    </w:p>
    <w:p w:rsidR="00C914A1" w:rsidRPr="006A39A0" w:rsidRDefault="00C914A1" w:rsidP="008019CB">
      <w:pPr>
        <w:adjustRightInd w:val="0"/>
        <w:snapToGrid w:val="0"/>
        <w:spacing w:after="0" w:line="360" w:lineRule="auto"/>
        <w:jc w:val="both"/>
        <w:rPr>
          <w:rFonts w:ascii="Book Antiqua" w:hAnsi="Book Antiqua" w:cs="Times New Roman"/>
          <w:sz w:val="24"/>
          <w:szCs w:val="24"/>
          <w:lang w:val="en-US"/>
        </w:rPr>
      </w:pPr>
      <w:r w:rsidRPr="00E7301E">
        <w:rPr>
          <w:rFonts w:ascii="Book Antiqua" w:hAnsi="Book Antiqua"/>
          <w:b/>
          <w:sz w:val="24"/>
        </w:rPr>
        <w:t>Key words:</w:t>
      </w:r>
      <w:r w:rsidRPr="006A39A0">
        <w:rPr>
          <w:rFonts w:ascii="Book Antiqua" w:hAnsi="Book Antiqua" w:cs="Times New Roman"/>
          <w:sz w:val="24"/>
          <w:szCs w:val="24"/>
          <w:lang w:val="en-US"/>
        </w:rPr>
        <w:t xml:space="preserve"> </w:t>
      </w:r>
      <w:r>
        <w:rPr>
          <w:rFonts w:ascii="Book Antiqua" w:hAnsi="Book Antiqua" w:cs="Times New Roman"/>
          <w:sz w:val="24"/>
          <w:szCs w:val="24"/>
          <w:lang w:val="en-US"/>
        </w:rPr>
        <w:t>Non</w:t>
      </w:r>
      <w:r>
        <w:rPr>
          <w:rFonts w:ascii="Book Antiqua" w:hAnsi="Book Antiqua" w:cs="Times New Roman" w:hint="eastAsia"/>
          <w:sz w:val="24"/>
          <w:szCs w:val="24"/>
          <w:lang w:val="en-US" w:eastAsia="zh-CN"/>
        </w:rPr>
        <w:t>-</w:t>
      </w:r>
      <w:r w:rsidRPr="006A39A0">
        <w:rPr>
          <w:rFonts w:ascii="Book Antiqua" w:hAnsi="Book Antiqua" w:cs="Times New Roman"/>
          <w:sz w:val="24"/>
          <w:szCs w:val="24"/>
          <w:lang w:val="en-US"/>
        </w:rPr>
        <w:t>alcoholic fatty liver disease</w:t>
      </w:r>
      <w:r>
        <w:rPr>
          <w:rFonts w:ascii="Book Antiqua" w:hAnsi="Book Antiqua" w:cs="Times New Roman" w:hint="eastAsia"/>
          <w:sz w:val="24"/>
          <w:szCs w:val="24"/>
          <w:lang w:val="en-US" w:eastAsia="zh-CN"/>
        </w:rPr>
        <w:t>;</w:t>
      </w:r>
      <w:r>
        <w:rPr>
          <w:rFonts w:ascii="Book Antiqua" w:hAnsi="Book Antiqua" w:cs="Times New Roman"/>
          <w:sz w:val="24"/>
          <w:szCs w:val="24"/>
          <w:lang w:val="en-US"/>
        </w:rPr>
        <w:t xml:space="preserve"> </w:t>
      </w:r>
      <w:r w:rsidRPr="006A39A0">
        <w:rPr>
          <w:rFonts w:ascii="Book Antiqua" w:hAnsi="Book Antiqua" w:cs="Times New Roman"/>
          <w:sz w:val="24"/>
          <w:szCs w:val="24"/>
          <w:lang w:val="en-US"/>
        </w:rPr>
        <w:t>Human adenovirus 36 and 36</w:t>
      </w:r>
      <w:r>
        <w:rPr>
          <w:rFonts w:ascii="Book Antiqua" w:hAnsi="Book Antiqua" w:cs="Times New Roman" w:hint="eastAsia"/>
          <w:sz w:val="24"/>
          <w:szCs w:val="24"/>
          <w:lang w:val="en-US" w:eastAsia="zh-CN"/>
        </w:rPr>
        <w:t>;</w:t>
      </w:r>
      <w:r w:rsidRPr="006A39A0">
        <w:rPr>
          <w:rFonts w:ascii="Book Antiqua" w:hAnsi="Book Antiqua" w:cs="Times New Roman"/>
          <w:sz w:val="24"/>
          <w:szCs w:val="24"/>
          <w:lang w:val="en-US"/>
        </w:rPr>
        <w:t xml:space="preserve"> </w:t>
      </w:r>
      <w:r w:rsidRPr="00C914A1">
        <w:rPr>
          <w:rFonts w:ascii="Book Antiqua" w:hAnsi="Book Antiqua" w:cs="Times New Roman"/>
          <w:caps/>
          <w:sz w:val="24"/>
          <w:szCs w:val="24"/>
          <w:lang w:val="en-US"/>
        </w:rPr>
        <w:t>o</w:t>
      </w:r>
      <w:r w:rsidRPr="006A39A0">
        <w:rPr>
          <w:rFonts w:ascii="Book Antiqua" w:hAnsi="Book Antiqua" w:cs="Times New Roman"/>
          <w:sz w:val="24"/>
          <w:szCs w:val="24"/>
          <w:lang w:val="en-US"/>
        </w:rPr>
        <w:t>besity</w:t>
      </w:r>
      <w:r>
        <w:rPr>
          <w:rFonts w:ascii="Book Antiqua" w:hAnsi="Book Antiqua" w:cs="Times New Roman" w:hint="eastAsia"/>
          <w:sz w:val="24"/>
          <w:szCs w:val="24"/>
          <w:lang w:val="en-US" w:eastAsia="zh-CN"/>
        </w:rPr>
        <w:t>;</w:t>
      </w:r>
      <w:r w:rsidRPr="006A39A0">
        <w:rPr>
          <w:rFonts w:ascii="Book Antiqua" w:hAnsi="Book Antiqua" w:cs="Times New Roman"/>
          <w:sz w:val="24"/>
          <w:szCs w:val="24"/>
          <w:lang w:val="en-US"/>
        </w:rPr>
        <w:t xml:space="preserve"> Insulin resistance</w:t>
      </w:r>
      <w:r>
        <w:rPr>
          <w:rFonts w:ascii="Book Antiqua" w:hAnsi="Book Antiqua" w:cs="Times New Roman" w:hint="eastAsia"/>
          <w:sz w:val="24"/>
          <w:szCs w:val="24"/>
          <w:lang w:val="en-US" w:eastAsia="zh-CN"/>
        </w:rPr>
        <w:t>;</w:t>
      </w:r>
      <w:r w:rsidRPr="006A39A0">
        <w:rPr>
          <w:rFonts w:ascii="Book Antiqua" w:hAnsi="Book Antiqua" w:cs="Times New Roman"/>
          <w:sz w:val="24"/>
          <w:szCs w:val="24"/>
          <w:lang w:val="en-US"/>
        </w:rPr>
        <w:t xml:space="preserve"> Mediterranean diet</w:t>
      </w:r>
      <w:r>
        <w:rPr>
          <w:rFonts w:ascii="Book Antiqua" w:hAnsi="Book Antiqua" w:cs="Times New Roman" w:hint="eastAsia"/>
          <w:sz w:val="24"/>
          <w:szCs w:val="24"/>
          <w:lang w:val="en-US" w:eastAsia="zh-CN"/>
        </w:rPr>
        <w:t>;</w:t>
      </w:r>
      <w:r w:rsidRPr="006A39A0">
        <w:rPr>
          <w:rFonts w:ascii="Book Antiqua" w:hAnsi="Book Antiqua" w:cs="Times New Roman"/>
          <w:sz w:val="24"/>
          <w:szCs w:val="24"/>
          <w:lang w:val="en-US"/>
        </w:rPr>
        <w:t xml:space="preserve"> Ultrasound</w:t>
      </w:r>
    </w:p>
    <w:p w:rsidR="000D6437" w:rsidRPr="006A39A0" w:rsidRDefault="000D6437" w:rsidP="008019CB">
      <w:pPr>
        <w:adjustRightInd w:val="0"/>
        <w:snapToGrid w:val="0"/>
        <w:spacing w:after="0" w:line="360" w:lineRule="auto"/>
        <w:jc w:val="both"/>
        <w:rPr>
          <w:rFonts w:ascii="Book Antiqua" w:hAnsi="Book Antiqua" w:cs="Times New Roman"/>
          <w:sz w:val="24"/>
          <w:szCs w:val="24"/>
          <w:lang w:val="en-US" w:eastAsia="zh-CN"/>
        </w:rPr>
      </w:pPr>
    </w:p>
    <w:p w:rsidR="000D6437" w:rsidRPr="006A39A0" w:rsidRDefault="00C914A1" w:rsidP="008019CB">
      <w:pPr>
        <w:adjustRightInd w:val="0"/>
        <w:snapToGrid w:val="0"/>
        <w:spacing w:after="0" w:line="360" w:lineRule="auto"/>
        <w:jc w:val="both"/>
        <w:rPr>
          <w:rFonts w:ascii="Book Antiqua" w:hAnsi="Book Antiqua" w:cs="Times New Roman"/>
          <w:sz w:val="24"/>
          <w:szCs w:val="24"/>
          <w:lang w:val="en-US"/>
        </w:rPr>
      </w:pPr>
      <w:r w:rsidRPr="00E7301E">
        <w:rPr>
          <w:rFonts w:ascii="Book Antiqua" w:eastAsia="Arial Unicode MS" w:hAnsi="Book Antiqua" w:cs="Arial Unicode MS"/>
          <w:b/>
          <w:sz w:val="24"/>
        </w:rPr>
        <w:t xml:space="preserve">Core </w:t>
      </w:r>
      <w:r w:rsidRPr="00E7301E">
        <w:rPr>
          <w:rFonts w:ascii="Book Antiqua" w:hAnsi="Book Antiqua" w:cs="Arial Unicode MS"/>
          <w:b/>
          <w:sz w:val="24"/>
        </w:rPr>
        <w:t>tip</w:t>
      </w:r>
      <w:r w:rsidRPr="00E7301E">
        <w:rPr>
          <w:rFonts w:ascii="Book Antiqua" w:eastAsia="Arial Unicode MS" w:hAnsi="Book Antiqua" w:cs="Arial Unicode MS"/>
          <w:b/>
          <w:sz w:val="24"/>
        </w:rPr>
        <w:t>:</w:t>
      </w:r>
      <w:r>
        <w:rPr>
          <w:rFonts w:ascii="Book Antiqua" w:eastAsia="Arial Unicode MS" w:hAnsi="Book Antiqua" w:cs="Arial Unicode MS" w:hint="eastAsia"/>
          <w:b/>
          <w:sz w:val="24"/>
          <w:lang w:eastAsia="zh-CN"/>
        </w:rPr>
        <w:t xml:space="preserve"> </w:t>
      </w:r>
      <w:r w:rsidR="000D6437" w:rsidRPr="006A39A0">
        <w:rPr>
          <w:rFonts w:ascii="Book Antiqua" w:hAnsi="Book Antiqua" w:cs="Times New Roman"/>
          <w:sz w:val="24"/>
          <w:szCs w:val="24"/>
          <w:lang w:val="en-US"/>
        </w:rPr>
        <w:t>There is evidence that environmental</w:t>
      </w:r>
      <w:r>
        <w:rPr>
          <w:rFonts w:ascii="Book Antiqua" w:hAnsi="Book Antiqua" w:cs="Times New Roman"/>
          <w:sz w:val="24"/>
          <w:szCs w:val="24"/>
          <w:lang w:val="en-US"/>
        </w:rPr>
        <w:t xml:space="preserve"> </w:t>
      </w:r>
      <w:r w:rsidR="000D6437" w:rsidRPr="006A39A0">
        <w:rPr>
          <w:rFonts w:ascii="Book Antiqua" w:hAnsi="Book Antiqua" w:cs="Times New Roman"/>
          <w:sz w:val="24"/>
          <w:szCs w:val="24"/>
          <w:lang w:val="en-US"/>
        </w:rPr>
        <w:t xml:space="preserve">infections, and notably </w:t>
      </w:r>
      <w:proofErr w:type="spellStart"/>
      <w:r w:rsidR="000D6437" w:rsidRPr="006A39A0">
        <w:rPr>
          <w:rFonts w:ascii="Book Antiqua" w:hAnsi="Book Antiqua" w:cs="Times New Roman"/>
          <w:sz w:val="24"/>
          <w:szCs w:val="24"/>
          <w:lang w:val="en-US"/>
        </w:rPr>
        <w:t>adipogenic</w:t>
      </w:r>
      <w:proofErr w:type="spellEnd"/>
      <w:r w:rsidR="000D6437" w:rsidRPr="006A39A0">
        <w:rPr>
          <w:rFonts w:ascii="Book Antiqua" w:hAnsi="Book Antiqua" w:cs="Times New Roman"/>
          <w:sz w:val="24"/>
          <w:szCs w:val="24"/>
          <w:lang w:val="en-US"/>
        </w:rPr>
        <w:t xml:space="preserve"> Adenoviruses ADV36 /ADV37 infections in humans, are associated with obesity, being causative contributing factors of obesity in humans and animals.</w:t>
      </w:r>
      <w:r>
        <w:rPr>
          <w:rFonts w:ascii="Book Antiqua" w:hAnsi="Book Antiqua" w:cs="Times New Roman" w:hint="eastAsia"/>
          <w:sz w:val="24"/>
          <w:szCs w:val="24"/>
          <w:lang w:val="en-US" w:eastAsia="zh-CN"/>
        </w:rPr>
        <w:t xml:space="preserve"> </w:t>
      </w:r>
      <w:r w:rsidR="000D6437" w:rsidRPr="006A39A0">
        <w:rPr>
          <w:rFonts w:ascii="Book Antiqua" w:hAnsi="Book Antiqua" w:cs="Times New Roman"/>
          <w:sz w:val="24"/>
          <w:szCs w:val="24"/>
          <w:lang w:val="en-US"/>
        </w:rPr>
        <w:t xml:space="preserve">Lifestyle-nutritional intervention, in patients with different ADV36 seropositive status, achieves different </w:t>
      </w:r>
      <w:r w:rsidR="000D6437" w:rsidRPr="006A39A0">
        <w:rPr>
          <w:rFonts w:ascii="Book Antiqua" w:hAnsi="Book Antiqua" w:cs="Times New Roman"/>
          <w:sz w:val="24"/>
          <w:szCs w:val="24"/>
          <w:lang w:val="en-US"/>
        </w:rPr>
        <w:lastRenderedPageBreak/>
        <w:t>clinical outcomes,</w:t>
      </w:r>
      <w:r w:rsidR="000D6437" w:rsidRPr="00C914A1">
        <w:rPr>
          <w:rFonts w:ascii="Book Antiqua" w:hAnsi="Book Antiqua" w:cs="Times New Roman"/>
          <w:i/>
          <w:sz w:val="24"/>
          <w:szCs w:val="24"/>
          <w:lang w:val="en-US"/>
        </w:rPr>
        <w:t xml:space="preserve"> </w:t>
      </w:r>
      <w:r w:rsidRPr="00C914A1">
        <w:rPr>
          <w:rFonts w:ascii="Book Antiqua" w:hAnsi="Book Antiqua" w:cs="Times New Roman"/>
          <w:i/>
          <w:sz w:val="24"/>
          <w:szCs w:val="24"/>
          <w:lang w:val="en-US"/>
        </w:rPr>
        <w:t>i.e.</w:t>
      </w:r>
      <w:r w:rsidR="000D6437" w:rsidRPr="006A39A0">
        <w:rPr>
          <w:rFonts w:ascii="Book Antiqua" w:hAnsi="Book Antiqua" w:cs="Times New Roman"/>
          <w:sz w:val="24"/>
          <w:szCs w:val="24"/>
          <w:lang w:val="en-US"/>
        </w:rPr>
        <w:t xml:space="preserve"> a greater effect, on bright liver</w:t>
      </w:r>
      <w:r>
        <w:rPr>
          <w:rFonts w:ascii="Book Antiqua" w:hAnsi="Book Antiqua" w:cs="Times New Roman"/>
          <w:sz w:val="24"/>
          <w:szCs w:val="24"/>
          <w:lang w:val="en-US"/>
        </w:rPr>
        <w:t>, insulin resistance</w:t>
      </w:r>
      <w:r w:rsidR="000D6437" w:rsidRPr="006A39A0">
        <w:rPr>
          <w:rFonts w:ascii="Book Antiqua" w:hAnsi="Book Antiqua" w:cs="Times New Roman"/>
          <w:sz w:val="24"/>
          <w:szCs w:val="24"/>
          <w:lang w:val="en-US"/>
        </w:rPr>
        <w:t xml:space="preserve"> and obesity is observed in comparison w</w:t>
      </w:r>
      <w:r>
        <w:rPr>
          <w:rFonts w:ascii="Book Antiqua" w:hAnsi="Book Antiqua" w:cs="Times New Roman"/>
          <w:sz w:val="24"/>
          <w:szCs w:val="24"/>
          <w:lang w:val="en-US"/>
        </w:rPr>
        <w:t xml:space="preserve">ith ADV36 </w:t>
      </w:r>
      <w:proofErr w:type="spellStart"/>
      <w:r>
        <w:rPr>
          <w:rFonts w:ascii="Book Antiqua" w:hAnsi="Book Antiqua" w:cs="Times New Roman"/>
          <w:sz w:val="24"/>
          <w:szCs w:val="24"/>
          <w:lang w:val="en-US"/>
        </w:rPr>
        <w:t>seronegative</w:t>
      </w:r>
      <w:proofErr w:type="spellEnd"/>
      <w:r>
        <w:rPr>
          <w:rFonts w:ascii="Book Antiqua" w:hAnsi="Book Antiqua" w:cs="Times New Roman"/>
          <w:sz w:val="24"/>
          <w:szCs w:val="24"/>
          <w:lang w:val="en-US"/>
        </w:rPr>
        <w:t xml:space="preserve"> patients</w:t>
      </w:r>
      <w:r w:rsidR="000D6437" w:rsidRPr="006A39A0">
        <w:rPr>
          <w:rFonts w:ascii="Book Antiqua" w:hAnsi="Book Antiqua" w:cs="Times New Roman"/>
          <w:sz w:val="24"/>
          <w:szCs w:val="24"/>
          <w:lang w:val="en-US"/>
        </w:rPr>
        <w:t>.</w:t>
      </w:r>
      <w:r>
        <w:rPr>
          <w:rFonts w:ascii="Book Antiqua" w:hAnsi="Book Antiqua" w:cs="Times New Roman" w:hint="eastAsia"/>
          <w:sz w:val="24"/>
          <w:szCs w:val="24"/>
          <w:lang w:val="en-US" w:eastAsia="zh-CN"/>
        </w:rPr>
        <w:t xml:space="preserve"> </w:t>
      </w:r>
      <w:r w:rsidR="000D6437" w:rsidRPr="006A39A0">
        <w:rPr>
          <w:rFonts w:ascii="Book Antiqua" w:hAnsi="Book Antiqua" w:cs="Times New Roman"/>
          <w:sz w:val="24"/>
          <w:szCs w:val="24"/>
          <w:lang w:val="en-US"/>
        </w:rPr>
        <w:t>These</w:t>
      </w:r>
      <w:r>
        <w:rPr>
          <w:rFonts w:ascii="Book Antiqua" w:hAnsi="Book Antiqua" w:cs="Times New Roman"/>
          <w:sz w:val="24"/>
          <w:szCs w:val="24"/>
          <w:lang w:val="en-US"/>
        </w:rPr>
        <w:t xml:space="preserve"> </w:t>
      </w:r>
      <w:r w:rsidR="000D6437" w:rsidRPr="006A39A0">
        <w:rPr>
          <w:rFonts w:ascii="Book Antiqua" w:hAnsi="Book Antiqua" w:cs="Times New Roman"/>
          <w:sz w:val="24"/>
          <w:szCs w:val="24"/>
          <w:lang w:val="en-US"/>
        </w:rPr>
        <w:t>effects are</w:t>
      </w:r>
      <w:r>
        <w:rPr>
          <w:rFonts w:ascii="Book Antiqua" w:hAnsi="Book Antiqua" w:cs="Times New Roman"/>
          <w:sz w:val="24"/>
          <w:szCs w:val="24"/>
          <w:lang w:val="en-US"/>
        </w:rPr>
        <w:t xml:space="preserve"> </w:t>
      </w:r>
      <w:r w:rsidR="000D6437" w:rsidRPr="006A39A0">
        <w:rPr>
          <w:rFonts w:ascii="Book Antiqua" w:hAnsi="Book Antiqua" w:cs="Times New Roman"/>
          <w:sz w:val="24"/>
          <w:szCs w:val="24"/>
          <w:lang w:val="en-US"/>
        </w:rPr>
        <w:t>not</w:t>
      </w:r>
      <w:r>
        <w:rPr>
          <w:rFonts w:ascii="Book Antiqua" w:hAnsi="Book Antiqua" w:cs="Times New Roman"/>
          <w:sz w:val="24"/>
          <w:szCs w:val="24"/>
          <w:lang w:val="en-US"/>
        </w:rPr>
        <w:t xml:space="preserve"> </w:t>
      </w:r>
      <w:r w:rsidR="000D6437" w:rsidRPr="006A39A0">
        <w:rPr>
          <w:rFonts w:ascii="Book Antiqua" w:hAnsi="Book Antiqua" w:cs="Times New Roman"/>
          <w:sz w:val="24"/>
          <w:szCs w:val="24"/>
          <w:lang w:val="en-US"/>
        </w:rPr>
        <w:t>dependent on</w:t>
      </w:r>
      <w:r>
        <w:rPr>
          <w:rFonts w:ascii="Book Antiqua" w:hAnsi="Book Antiqua" w:cs="Times New Roman"/>
          <w:sz w:val="24"/>
          <w:szCs w:val="24"/>
          <w:lang w:val="en-US"/>
        </w:rPr>
        <w:t xml:space="preserve"> </w:t>
      </w:r>
      <w:r w:rsidR="000D6437" w:rsidRPr="006A39A0">
        <w:rPr>
          <w:rFonts w:ascii="Book Antiqua" w:hAnsi="Book Antiqua" w:cs="Times New Roman"/>
          <w:sz w:val="24"/>
          <w:szCs w:val="24"/>
          <w:lang w:val="en-US"/>
        </w:rPr>
        <w:t>a greater</w:t>
      </w:r>
      <w:r>
        <w:rPr>
          <w:rFonts w:ascii="Book Antiqua" w:hAnsi="Book Antiqua" w:cs="Times New Roman"/>
          <w:sz w:val="24"/>
          <w:szCs w:val="24"/>
          <w:lang w:val="en-US"/>
        </w:rPr>
        <w:t xml:space="preserve"> </w:t>
      </w:r>
      <w:r w:rsidR="000D6437" w:rsidRPr="006A39A0">
        <w:rPr>
          <w:rFonts w:ascii="Book Antiqua" w:hAnsi="Book Antiqua" w:cs="Times New Roman"/>
          <w:sz w:val="24"/>
          <w:szCs w:val="24"/>
          <w:lang w:val="en-US"/>
        </w:rPr>
        <w:t>pre-interventional body weight</w:t>
      </w:r>
      <w:r>
        <w:rPr>
          <w:rFonts w:ascii="Book Antiqua" w:hAnsi="Book Antiqua" w:cs="Times New Roman"/>
          <w:sz w:val="24"/>
          <w:szCs w:val="24"/>
          <w:lang w:val="en-US"/>
        </w:rPr>
        <w:t xml:space="preserve"> </w:t>
      </w:r>
      <w:r w:rsidR="000D6437" w:rsidRPr="006A39A0">
        <w:rPr>
          <w:rFonts w:ascii="Book Antiqua" w:hAnsi="Book Antiqua" w:cs="Times New Roman"/>
          <w:sz w:val="24"/>
          <w:szCs w:val="24"/>
          <w:lang w:val="en-US"/>
        </w:rPr>
        <w:t>and</w:t>
      </w:r>
      <w:r>
        <w:rPr>
          <w:rFonts w:ascii="Book Antiqua" w:hAnsi="Book Antiqua" w:cs="Times New Roman"/>
          <w:sz w:val="24"/>
          <w:szCs w:val="24"/>
          <w:lang w:val="en-US"/>
        </w:rPr>
        <w:t xml:space="preserve"> </w:t>
      </w:r>
      <w:r w:rsidR="000D6437" w:rsidRPr="006A39A0">
        <w:rPr>
          <w:rFonts w:ascii="Book Antiqua" w:hAnsi="Book Antiqua" w:cs="Times New Roman"/>
          <w:sz w:val="24"/>
          <w:szCs w:val="24"/>
          <w:lang w:val="en-US"/>
        </w:rPr>
        <w:t>older</w:t>
      </w:r>
      <w:r>
        <w:rPr>
          <w:rFonts w:ascii="Book Antiqua" w:hAnsi="Book Antiqua" w:cs="Times New Roman"/>
          <w:sz w:val="24"/>
          <w:szCs w:val="24"/>
          <w:lang w:val="en-US"/>
        </w:rPr>
        <w:t xml:space="preserve"> </w:t>
      </w:r>
      <w:r w:rsidR="000D6437" w:rsidRPr="006A39A0">
        <w:rPr>
          <w:rFonts w:ascii="Book Antiqua" w:hAnsi="Book Antiqua" w:cs="Times New Roman"/>
          <w:sz w:val="24"/>
          <w:szCs w:val="24"/>
          <w:lang w:val="en-US"/>
        </w:rPr>
        <w:t>age.</w:t>
      </w:r>
      <w:r>
        <w:rPr>
          <w:rFonts w:ascii="Book Antiqua" w:hAnsi="Book Antiqua" w:cs="Times New Roman" w:hint="eastAsia"/>
          <w:sz w:val="24"/>
          <w:szCs w:val="24"/>
          <w:lang w:val="en-US" w:eastAsia="zh-CN"/>
        </w:rPr>
        <w:t xml:space="preserve"> </w:t>
      </w:r>
      <w:proofErr w:type="spellStart"/>
      <w:r w:rsidR="000D6437" w:rsidRPr="006A39A0">
        <w:rPr>
          <w:rFonts w:ascii="Book Antiqua" w:hAnsi="Book Antiqua" w:cs="Times New Roman"/>
          <w:sz w:val="24"/>
          <w:szCs w:val="24"/>
          <w:lang w:val="en-US"/>
        </w:rPr>
        <w:t>Adipogenic</w:t>
      </w:r>
      <w:proofErr w:type="spellEnd"/>
      <w:r w:rsidR="000D6437" w:rsidRPr="006A39A0">
        <w:rPr>
          <w:rFonts w:ascii="Book Antiqua" w:hAnsi="Book Antiqua" w:cs="Times New Roman"/>
          <w:sz w:val="24"/>
          <w:szCs w:val="24"/>
          <w:lang w:val="en-US"/>
        </w:rPr>
        <w:t xml:space="preserve"> Adenovirus infections in humans are associated with obesity, but also with allied conditions, such as fatty liver, and can have different</w:t>
      </w:r>
      <w:r>
        <w:rPr>
          <w:rFonts w:ascii="Book Antiqua" w:hAnsi="Book Antiqua" w:cs="Times New Roman"/>
          <w:sz w:val="24"/>
          <w:szCs w:val="24"/>
          <w:lang w:val="en-US"/>
        </w:rPr>
        <w:t xml:space="preserve"> </w:t>
      </w:r>
      <w:r w:rsidR="000D6437" w:rsidRPr="006A39A0">
        <w:rPr>
          <w:rFonts w:ascii="Book Antiqua" w:hAnsi="Book Antiqua" w:cs="Times New Roman"/>
          <w:sz w:val="24"/>
          <w:szCs w:val="24"/>
          <w:lang w:val="en-US"/>
        </w:rPr>
        <w:t>effects on the liver in humans and animals.</w:t>
      </w:r>
    </w:p>
    <w:p w:rsidR="00C914A1" w:rsidRDefault="00C914A1" w:rsidP="008019CB">
      <w:pPr>
        <w:adjustRightInd w:val="0"/>
        <w:snapToGrid w:val="0"/>
        <w:spacing w:after="0" w:line="360" w:lineRule="auto"/>
        <w:jc w:val="both"/>
        <w:rPr>
          <w:rFonts w:ascii="Book Antiqua" w:hAnsi="Book Antiqua" w:cs="Times New Roman"/>
          <w:sz w:val="24"/>
          <w:szCs w:val="24"/>
          <w:lang w:val="en-US" w:eastAsia="zh-CN"/>
        </w:rPr>
      </w:pPr>
    </w:p>
    <w:p w:rsidR="00C914A1" w:rsidRPr="00C914A1" w:rsidRDefault="00C914A1" w:rsidP="008019CB">
      <w:pPr>
        <w:adjustRightInd w:val="0"/>
        <w:snapToGrid w:val="0"/>
        <w:spacing w:after="0" w:line="360" w:lineRule="auto"/>
        <w:jc w:val="both"/>
        <w:rPr>
          <w:rFonts w:ascii="Book Antiqua" w:hAnsi="Book Antiqua" w:cs="Times New Roman"/>
          <w:sz w:val="24"/>
          <w:szCs w:val="24"/>
          <w:lang w:val="en-US" w:eastAsia="zh-CN"/>
        </w:rPr>
      </w:pPr>
      <w:r>
        <w:rPr>
          <w:rFonts w:ascii="Book Antiqua" w:hAnsi="Book Antiqua" w:cs="Times New Roman"/>
          <w:sz w:val="24"/>
          <w:szCs w:val="24"/>
        </w:rPr>
        <w:t>Trovato</w:t>
      </w:r>
      <w:r>
        <w:rPr>
          <w:rFonts w:ascii="Book Antiqua" w:hAnsi="Book Antiqua" w:cs="Times New Roman" w:hint="eastAsia"/>
          <w:sz w:val="24"/>
          <w:szCs w:val="24"/>
          <w:lang w:eastAsia="zh-CN"/>
        </w:rPr>
        <w:t xml:space="preserve"> FM</w:t>
      </w:r>
      <w:r>
        <w:rPr>
          <w:rFonts w:ascii="Book Antiqua" w:hAnsi="Book Antiqua" w:cs="Times New Roman"/>
          <w:sz w:val="24"/>
          <w:szCs w:val="24"/>
        </w:rPr>
        <w:t>, Catalano</w:t>
      </w:r>
      <w:r>
        <w:rPr>
          <w:rFonts w:ascii="Book Antiqua" w:hAnsi="Book Antiqua" w:cs="Times New Roman" w:hint="eastAsia"/>
          <w:sz w:val="24"/>
          <w:szCs w:val="24"/>
          <w:lang w:eastAsia="zh-CN"/>
        </w:rPr>
        <w:t xml:space="preserve"> D</w:t>
      </w:r>
      <w:r>
        <w:rPr>
          <w:rFonts w:ascii="Book Antiqua" w:hAnsi="Book Antiqua" w:cs="Times New Roman"/>
          <w:sz w:val="24"/>
          <w:szCs w:val="24"/>
        </w:rPr>
        <w:t>, Garozzo</w:t>
      </w:r>
      <w:r>
        <w:rPr>
          <w:rFonts w:ascii="Book Antiqua" w:hAnsi="Book Antiqua" w:cs="Times New Roman" w:hint="eastAsia"/>
          <w:sz w:val="24"/>
          <w:szCs w:val="24"/>
          <w:lang w:eastAsia="zh-CN"/>
        </w:rPr>
        <w:t xml:space="preserve"> A</w:t>
      </w:r>
      <w:r>
        <w:rPr>
          <w:rFonts w:ascii="Book Antiqua" w:hAnsi="Book Antiqua" w:cs="Times New Roman"/>
          <w:sz w:val="24"/>
          <w:szCs w:val="24"/>
        </w:rPr>
        <w:t>, Martines</w:t>
      </w:r>
      <w:r>
        <w:rPr>
          <w:rFonts w:ascii="Book Antiqua" w:hAnsi="Book Antiqua" w:cs="Times New Roman" w:hint="eastAsia"/>
          <w:sz w:val="24"/>
          <w:szCs w:val="24"/>
          <w:lang w:eastAsia="zh-CN"/>
        </w:rPr>
        <w:t xml:space="preserve"> GF</w:t>
      </w:r>
      <w:r>
        <w:rPr>
          <w:rFonts w:ascii="Book Antiqua" w:hAnsi="Book Antiqua" w:cs="Times New Roman"/>
          <w:sz w:val="24"/>
          <w:szCs w:val="24"/>
        </w:rPr>
        <w:t>, Pirri</w:t>
      </w:r>
      <w:r>
        <w:rPr>
          <w:rFonts w:ascii="Book Antiqua" w:hAnsi="Book Antiqua" w:cs="Times New Roman" w:hint="eastAsia"/>
          <w:sz w:val="24"/>
          <w:szCs w:val="24"/>
          <w:lang w:eastAsia="zh-CN"/>
        </w:rPr>
        <w:t xml:space="preserve"> C, </w:t>
      </w:r>
      <w:r>
        <w:rPr>
          <w:rFonts w:ascii="Book Antiqua" w:hAnsi="Book Antiqua" w:cs="Times New Roman"/>
          <w:sz w:val="24"/>
          <w:szCs w:val="24"/>
        </w:rPr>
        <w:t>Trovato</w:t>
      </w:r>
      <w:r>
        <w:rPr>
          <w:rFonts w:ascii="Book Antiqua" w:hAnsi="Book Antiqua" w:cs="Times New Roman" w:hint="eastAsia"/>
          <w:sz w:val="24"/>
          <w:szCs w:val="24"/>
          <w:lang w:eastAsia="zh-CN"/>
        </w:rPr>
        <w:t xml:space="preserve"> GM.</w:t>
      </w:r>
      <w:r w:rsidRPr="00C914A1">
        <w:rPr>
          <w:rFonts w:ascii="Book Antiqua" w:hAnsi="Book Antiqua" w:cs="Times New Roman" w:hint="eastAsia"/>
          <w:sz w:val="24"/>
          <w:szCs w:val="24"/>
          <w:lang w:eastAsia="zh-CN"/>
        </w:rPr>
        <w:t xml:space="preserve"> </w:t>
      </w:r>
      <w:proofErr w:type="gramStart"/>
      <w:r w:rsidRPr="00C914A1">
        <w:rPr>
          <w:rFonts w:ascii="Book Antiqua" w:hAnsi="Book Antiqua" w:cs="Times New Roman"/>
          <w:caps/>
          <w:sz w:val="24"/>
          <w:szCs w:val="24"/>
          <w:lang w:val="en-US"/>
        </w:rPr>
        <w:t>adv36</w:t>
      </w:r>
      <w:r w:rsidRPr="00C914A1">
        <w:rPr>
          <w:rFonts w:ascii="Book Antiqua" w:hAnsi="Book Antiqua" w:cs="Times New Roman"/>
          <w:sz w:val="24"/>
          <w:szCs w:val="24"/>
          <w:lang w:val="en-US"/>
        </w:rPr>
        <w:t xml:space="preserve"> </w:t>
      </w:r>
      <w:proofErr w:type="spellStart"/>
      <w:r w:rsidRPr="00C914A1">
        <w:rPr>
          <w:rFonts w:ascii="Book Antiqua" w:hAnsi="Book Antiqua" w:cs="Times New Roman"/>
          <w:sz w:val="24"/>
          <w:szCs w:val="24"/>
          <w:lang w:val="en-US"/>
        </w:rPr>
        <w:t>adipogenic</w:t>
      </w:r>
      <w:proofErr w:type="spellEnd"/>
      <w:r w:rsidRPr="00C914A1">
        <w:rPr>
          <w:rFonts w:ascii="Book Antiqua" w:hAnsi="Book Antiqua" w:cs="Times New Roman"/>
          <w:sz w:val="24"/>
          <w:szCs w:val="24"/>
          <w:lang w:val="en-US"/>
        </w:rPr>
        <w:t xml:space="preserve"> adenovirus in human liver disease</w:t>
      </w:r>
      <w:r>
        <w:rPr>
          <w:rFonts w:ascii="Book Antiqua" w:hAnsi="Book Antiqua" w:cs="Times New Roman" w:hint="eastAsia"/>
          <w:sz w:val="24"/>
          <w:szCs w:val="24"/>
          <w:lang w:val="en-US" w:eastAsia="zh-CN"/>
        </w:rPr>
        <w:t>.</w:t>
      </w:r>
      <w:proofErr w:type="gramEnd"/>
      <w:r>
        <w:rPr>
          <w:rFonts w:ascii="Book Antiqua" w:hAnsi="Book Antiqua" w:cs="Times New Roman" w:hint="eastAsia"/>
          <w:sz w:val="24"/>
          <w:szCs w:val="24"/>
          <w:lang w:val="en-US" w:eastAsia="zh-CN"/>
        </w:rPr>
        <w:t xml:space="preserve"> </w:t>
      </w:r>
      <w:r w:rsidRPr="00C914A1">
        <w:rPr>
          <w:rFonts w:ascii="Book Antiqua" w:hAnsi="Book Antiqua" w:cs="Times New Roman"/>
          <w:i/>
          <w:sz w:val="24"/>
          <w:szCs w:val="24"/>
          <w:lang w:val="en-US" w:eastAsia="zh-CN"/>
        </w:rPr>
        <w:t xml:space="preserve">World J </w:t>
      </w:r>
      <w:proofErr w:type="spellStart"/>
      <w:r w:rsidRPr="00C914A1">
        <w:rPr>
          <w:rFonts w:ascii="Book Antiqua" w:hAnsi="Book Antiqua" w:cs="Times New Roman"/>
          <w:i/>
          <w:sz w:val="24"/>
          <w:szCs w:val="24"/>
          <w:lang w:val="en-US" w:eastAsia="zh-CN"/>
        </w:rPr>
        <w:t>Gastroenterol</w:t>
      </w:r>
      <w:proofErr w:type="spellEnd"/>
      <w:r w:rsidRPr="00C914A1">
        <w:rPr>
          <w:rFonts w:ascii="Book Antiqua" w:hAnsi="Book Antiqua" w:cs="Times New Roman"/>
          <w:sz w:val="24"/>
          <w:szCs w:val="24"/>
          <w:lang w:val="en-US" w:eastAsia="zh-CN"/>
        </w:rPr>
        <w:t xml:space="preserve"> 201</w:t>
      </w:r>
      <w:r w:rsidRPr="00C914A1">
        <w:rPr>
          <w:rFonts w:ascii="Book Antiqua" w:hAnsi="Book Antiqua" w:cs="Times New Roman" w:hint="eastAsia"/>
          <w:sz w:val="24"/>
          <w:szCs w:val="24"/>
          <w:lang w:val="en-US" w:eastAsia="zh-CN"/>
        </w:rPr>
        <w:t>4</w:t>
      </w:r>
      <w:r w:rsidRPr="00C914A1">
        <w:rPr>
          <w:rFonts w:ascii="Book Antiqua" w:hAnsi="Book Antiqua" w:cs="Times New Roman"/>
          <w:sz w:val="24"/>
          <w:szCs w:val="24"/>
          <w:lang w:val="en-US" w:eastAsia="zh-CN"/>
        </w:rPr>
        <w:t xml:space="preserve">; </w:t>
      </w:r>
      <w:r w:rsidRPr="00C914A1">
        <w:rPr>
          <w:rFonts w:ascii="Book Antiqua" w:hAnsi="Book Antiqua" w:cs="Times New Roman" w:hint="eastAsia"/>
          <w:sz w:val="24"/>
          <w:szCs w:val="24"/>
          <w:lang w:val="en-US" w:eastAsia="zh-CN"/>
        </w:rPr>
        <w:t>In Press</w:t>
      </w:r>
    </w:p>
    <w:p w:rsidR="000D6437" w:rsidRPr="006A39A0" w:rsidRDefault="000D6437" w:rsidP="008019CB">
      <w:pPr>
        <w:adjustRightInd w:val="0"/>
        <w:snapToGrid w:val="0"/>
        <w:spacing w:after="0" w:line="360" w:lineRule="auto"/>
        <w:jc w:val="both"/>
        <w:rPr>
          <w:rFonts w:ascii="Book Antiqua" w:hAnsi="Book Antiqua" w:cs="Times New Roman"/>
          <w:sz w:val="24"/>
          <w:szCs w:val="24"/>
          <w:lang w:val="en-US" w:eastAsia="zh-CN"/>
        </w:rPr>
      </w:pPr>
    </w:p>
    <w:p w:rsidR="000D6437" w:rsidRPr="00C914A1" w:rsidRDefault="000D6437" w:rsidP="008019CB">
      <w:pPr>
        <w:adjustRightInd w:val="0"/>
        <w:snapToGrid w:val="0"/>
        <w:spacing w:after="0" w:line="360" w:lineRule="auto"/>
        <w:jc w:val="both"/>
        <w:rPr>
          <w:rFonts w:ascii="Book Antiqua" w:hAnsi="Book Antiqua" w:cs="Times New Roman"/>
          <w:b/>
          <w:sz w:val="24"/>
          <w:szCs w:val="24"/>
          <w:lang w:val="en-US"/>
        </w:rPr>
      </w:pPr>
      <w:r w:rsidRPr="00C914A1">
        <w:rPr>
          <w:rFonts w:ascii="Book Antiqua" w:hAnsi="Book Antiqua" w:cs="Times New Roman"/>
          <w:b/>
          <w:sz w:val="24"/>
          <w:szCs w:val="24"/>
          <w:lang w:val="en-US"/>
        </w:rPr>
        <w:t>OVERVIEW</w:t>
      </w:r>
    </w:p>
    <w:p w:rsidR="000D6437" w:rsidRPr="006A39A0" w:rsidRDefault="000D6437" w:rsidP="008019CB">
      <w:pPr>
        <w:adjustRightInd w:val="0"/>
        <w:snapToGrid w:val="0"/>
        <w:spacing w:after="0" w:line="360" w:lineRule="auto"/>
        <w:jc w:val="both"/>
        <w:rPr>
          <w:rFonts w:ascii="Book Antiqua" w:hAnsi="Book Antiqua" w:cs="Times New Roman"/>
          <w:sz w:val="24"/>
          <w:szCs w:val="24"/>
          <w:lang w:val="en-US"/>
        </w:rPr>
      </w:pPr>
      <w:r w:rsidRPr="006A39A0">
        <w:rPr>
          <w:rFonts w:ascii="Book Antiqua" w:hAnsi="Book Antiqua" w:cs="Times New Roman"/>
          <w:sz w:val="24"/>
          <w:szCs w:val="24"/>
          <w:lang w:val="en-US"/>
        </w:rPr>
        <w:t xml:space="preserve">Obesity and liver </w:t>
      </w:r>
      <w:proofErr w:type="spellStart"/>
      <w:r w:rsidRPr="006A39A0">
        <w:rPr>
          <w:rFonts w:ascii="Book Antiqua" w:hAnsi="Book Antiqua" w:cs="Times New Roman"/>
          <w:sz w:val="24"/>
          <w:szCs w:val="24"/>
          <w:lang w:val="en-US"/>
        </w:rPr>
        <w:t>steatosis</w:t>
      </w:r>
      <w:proofErr w:type="spellEnd"/>
      <w:r w:rsidRPr="006A39A0">
        <w:rPr>
          <w:rFonts w:ascii="Book Antiqua" w:hAnsi="Book Antiqua" w:cs="Times New Roman"/>
          <w:sz w:val="24"/>
          <w:szCs w:val="24"/>
          <w:lang w:val="en-US"/>
        </w:rPr>
        <w:t xml:space="preserve"> are generally </w:t>
      </w:r>
      <w:proofErr w:type="gramStart"/>
      <w:r w:rsidRPr="006A39A0">
        <w:rPr>
          <w:rFonts w:ascii="Book Antiqua" w:hAnsi="Book Antiqua" w:cs="Times New Roman"/>
          <w:sz w:val="24"/>
          <w:szCs w:val="24"/>
          <w:lang w:val="en-US"/>
        </w:rPr>
        <w:t>associated</w:t>
      </w:r>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1</w:t>
      </w:r>
      <w:r w:rsidR="00C914A1">
        <w:rPr>
          <w:rFonts w:ascii="Book Antiqua" w:hAnsi="Book Antiqua" w:cs="Times New Roman" w:hint="eastAsia"/>
          <w:sz w:val="24"/>
          <w:szCs w:val="24"/>
          <w:vertAlign w:val="superscript"/>
          <w:lang w:val="en-US" w:eastAsia="zh-CN"/>
        </w:rPr>
        <w:t>,</w:t>
      </w:r>
      <w:r w:rsidRPr="006A39A0">
        <w:rPr>
          <w:rFonts w:ascii="Book Antiqua" w:hAnsi="Book Antiqua" w:cs="Times New Roman"/>
          <w:sz w:val="24"/>
          <w:szCs w:val="24"/>
          <w:vertAlign w:val="superscript"/>
          <w:lang w:val="en-US"/>
        </w:rPr>
        <w:t>2]</w:t>
      </w:r>
      <w:r w:rsidRPr="006A39A0">
        <w:rPr>
          <w:rFonts w:ascii="Book Antiqua" w:hAnsi="Book Antiqua" w:cs="Times New Roman"/>
          <w:sz w:val="24"/>
          <w:szCs w:val="24"/>
          <w:lang w:val="en-US"/>
        </w:rPr>
        <w:t xml:space="preserve">. Nonetheless, some possible limitations of this so very definite statement have recently been reported and, even without clear-cut information, it is evident that lean individuals can actually have Non-alcoholic fatty liver disease (NAFLD) with a different clinical profile in comparison with overweight-obese individuals with </w:t>
      </w:r>
      <w:proofErr w:type="gramStart"/>
      <w:r w:rsidRPr="006A39A0">
        <w:rPr>
          <w:rFonts w:ascii="Book Antiqua" w:hAnsi="Book Antiqua" w:cs="Times New Roman"/>
          <w:sz w:val="24"/>
          <w:szCs w:val="24"/>
          <w:lang w:val="en-US"/>
        </w:rPr>
        <w:t>NAFLD</w:t>
      </w:r>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3]</w:t>
      </w:r>
      <w:r w:rsidRPr="006A39A0">
        <w:rPr>
          <w:rFonts w:ascii="Book Antiqua" w:hAnsi="Book Antiqua" w:cs="Times New Roman"/>
          <w:sz w:val="24"/>
          <w:szCs w:val="24"/>
          <w:lang w:val="en-US"/>
        </w:rPr>
        <w:t>. The basis and background of our approach to obesity and obesity-related conditions, notably NAFLD, have been developed over more than 25 years, taking into account that fatty liver, even in absence of alcohol abuse, is probably a condition detrimental for the liver, or, at least, associated with some liver “injury</w:t>
      </w:r>
      <w:proofErr w:type="gramStart"/>
      <w:r w:rsidRPr="006A39A0">
        <w:rPr>
          <w:rFonts w:ascii="Book Antiqua" w:hAnsi="Book Antiqua" w:cs="Times New Roman"/>
          <w:sz w:val="24"/>
          <w:szCs w:val="24"/>
          <w:lang w:val="en-US"/>
        </w:rPr>
        <w:t>”</w:t>
      </w:r>
      <w:r w:rsidRPr="006A39A0">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4-6]</w:t>
      </w:r>
      <w:r w:rsidRPr="006A39A0">
        <w:rPr>
          <w:rFonts w:ascii="Book Antiqua" w:hAnsi="Book Antiqua" w:cs="Times New Roman"/>
          <w:sz w:val="24"/>
          <w:szCs w:val="24"/>
          <w:lang w:val="en-US"/>
        </w:rPr>
        <w:t xml:space="preserve">. NAFLD is currently recognized as subsequent to unhealthy lifestyle, moreover, adherence to Mediterranean Diet, which is a proxy of healthy nutritional profiles, is significantly decreasing even among healthy </w:t>
      </w:r>
      <w:proofErr w:type="gramStart"/>
      <w:r w:rsidRPr="006A39A0">
        <w:rPr>
          <w:rFonts w:ascii="Book Antiqua" w:hAnsi="Book Antiqua" w:cs="Times New Roman"/>
          <w:sz w:val="24"/>
          <w:szCs w:val="24"/>
          <w:lang w:val="en-US"/>
        </w:rPr>
        <w:t>subjects</w:t>
      </w:r>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7]</w:t>
      </w:r>
      <w:r w:rsidRPr="006A39A0">
        <w:rPr>
          <w:rFonts w:ascii="Book Antiqua" w:hAnsi="Book Antiqua" w:cs="Times New Roman"/>
          <w:sz w:val="24"/>
          <w:szCs w:val="24"/>
          <w:lang w:val="en-US"/>
        </w:rPr>
        <w:t xml:space="preserve"> and a parallel increase of NAFLD is conceivably ensuing. Adherence to Mediterranean Diet Score (AMDS) has decreased significantly over the past 15 recent years, suggesting a rapid loss of adherence to healthy nutritional habits even in the Mediterranean area. Several intervention strategies, especially in childhood and adolescence, are currently being applied or are </w:t>
      </w:r>
      <w:proofErr w:type="gramStart"/>
      <w:r w:rsidRPr="006A39A0">
        <w:rPr>
          <w:rFonts w:ascii="Book Antiqua" w:hAnsi="Book Antiqua" w:cs="Times New Roman"/>
          <w:sz w:val="24"/>
          <w:szCs w:val="24"/>
          <w:lang w:val="en-US"/>
        </w:rPr>
        <w:t>envisaged</w:t>
      </w:r>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8]</w:t>
      </w:r>
      <w:r w:rsidRPr="006A39A0">
        <w:rPr>
          <w:rFonts w:ascii="Book Antiqua" w:hAnsi="Book Antiqua" w:cs="Times New Roman"/>
          <w:sz w:val="24"/>
          <w:szCs w:val="24"/>
          <w:lang w:val="en-US"/>
        </w:rPr>
        <w:t>, in an attempt to counteract more robust or subtle marketing strategies that tend to induce unfavorable nutritional habits; these last are sometimes definitely detrimental for the nutritional health of populations</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and increase the risk of cancer and cardiovascular and liver disease even in childhood. Nonetheless, national and international intervention planned and actuated were not sufficiently effective for the promotion of healthier lifestyles and did not succeed against unhealthy habits and foods. </w:t>
      </w:r>
      <w:r w:rsidRPr="006A39A0">
        <w:rPr>
          <w:rFonts w:ascii="Book Antiqua" w:hAnsi="Book Antiqua" w:cs="Times New Roman"/>
          <w:sz w:val="24"/>
          <w:szCs w:val="24"/>
          <w:lang w:val="en-US"/>
        </w:rPr>
        <w:lastRenderedPageBreak/>
        <w:t xml:space="preserve">Genetic-hereditary factors are extensively studied in </w:t>
      </w:r>
      <w:proofErr w:type="gramStart"/>
      <w:r w:rsidRPr="006A39A0">
        <w:rPr>
          <w:rFonts w:ascii="Book Antiqua" w:hAnsi="Book Antiqua" w:cs="Times New Roman"/>
          <w:sz w:val="24"/>
          <w:szCs w:val="24"/>
          <w:lang w:val="en-US"/>
        </w:rPr>
        <w:t>obesity</w:t>
      </w:r>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9-11]</w:t>
      </w:r>
      <w:r w:rsidRPr="006A39A0">
        <w:rPr>
          <w:rFonts w:ascii="Book Antiqua" w:hAnsi="Book Antiqua" w:cs="Times New Roman"/>
          <w:sz w:val="24"/>
          <w:szCs w:val="24"/>
          <w:lang w:val="en-US"/>
        </w:rPr>
        <w:t xml:space="preserve"> but also epigenetic mechanisms could be operating</w:t>
      </w:r>
      <w:r w:rsidR="00C914A1" w:rsidRPr="00C914A1">
        <w:rPr>
          <w:rFonts w:ascii="Book Antiqua" w:hAnsi="Book Antiqua" w:cs="Times New Roman"/>
          <w:sz w:val="24"/>
          <w:szCs w:val="24"/>
          <w:vertAlign w:val="superscript"/>
          <w:lang w:val="en-US"/>
        </w:rPr>
        <w:t>[</w:t>
      </w:r>
      <w:r w:rsidRPr="006A39A0">
        <w:rPr>
          <w:rFonts w:ascii="Book Antiqua" w:hAnsi="Book Antiqua" w:cs="Times New Roman"/>
          <w:sz w:val="24"/>
          <w:szCs w:val="24"/>
          <w:vertAlign w:val="superscript"/>
          <w:lang w:val="en-US"/>
        </w:rPr>
        <w:t>12-16]</w:t>
      </w:r>
      <w:r w:rsidRPr="006A39A0">
        <w:rPr>
          <w:rFonts w:ascii="Book Antiqua" w:hAnsi="Book Antiqua" w:cs="Times New Roman"/>
          <w:sz w:val="24"/>
          <w:szCs w:val="24"/>
          <w:lang w:val="en-US"/>
        </w:rPr>
        <w:t xml:space="preserve">. Environment can conceivably interfere in the </w:t>
      </w:r>
      <w:proofErr w:type="spellStart"/>
      <w:r w:rsidRPr="006A39A0">
        <w:rPr>
          <w:rFonts w:ascii="Book Antiqua" w:hAnsi="Book Antiqua" w:cs="Times New Roman"/>
          <w:sz w:val="24"/>
          <w:szCs w:val="24"/>
          <w:lang w:val="en-US"/>
        </w:rPr>
        <w:t>etiopathogenesis</w:t>
      </w:r>
      <w:proofErr w:type="spellEnd"/>
      <w:r w:rsidRPr="006A39A0">
        <w:rPr>
          <w:rFonts w:ascii="Book Antiqua" w:hAnsi="Book Antiqua" w:cs="Times New Roman"/>
          <w:sz w:val="24"/>
          <w:szCs w:val="24"/>
          <w:lang w:val="en-US"/>
        </w:rPr>
        <w:t xml:space="preserve"> of obesity and related </w:t>
      </w:r>
      <w:proofErr w:type="gramStart"/>
      <w:r w:rsidRPr="006A39A0">
        <w:rPr>
          <w:rFonts w:ascii="Book Antiqua" w:hAnsi="Book Antiqua" w:cs="Times New Roman"/>
          <w:sz w:val="24"/>
          <w:szCs w:val="24"/>
          <w:lang w:val="en-US"/>
        </w:rPr>
        <w:t>conditions</w:t>
      </w:r>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17</w:t>
      </w:r>
      <w:r w:rsidR="00C914A1">
        <w:rPr>
          <w:rFonts w:ascii="Book Antiqua" w:hAnsi="Book Antiqua" w:cs="Times New Roman" w:hint="eastAsia"/>
          <w:sz w:val="24"/>
          <w:szCs w:val="24"/>
          <w:vertAlign w:val="superscript"/>
          <w:lang w:val="en-US" w:eastAsia="zh-CN"/>
        </w:rPr>
        <w:t>,</w:t>
      </w:r>
      <w:r w:rsidRPr="006A39A0">
        <w:rPr>
          <w:rFonts w:ascii="Book Antiqua" w:hAnsi="Book Antiqua" w:cs="Times New Roman"/>
          <w:sz w:val="24"/>
          <w:szCs w:val="24"/>
          <w:vertAlign w:val="superscript"/>
          <w:lang w:val="en-US"/>
        </w:rPr>
        <w:t>18]</w:t>
      </w:r>
      <w:r w:rsidRPr="006A39A0">
        <w:rPr>
          <w:rFonts w:ascii="Book Antiqua" w:hAnsi="Book Antiqua" w:cs="Times New Roman"/>
          <w:sz w:val="24"/>
          <w:szCs w:val="24"/>
          <w:lang w:val="en-US"/>
        </w:rPr>
        <w:t>: the epidemiologic impact is not univocal, and, among other factors including climate, food availability and quality, pollution, urban mobility, physical exercise facilities, the role of</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bacterial and viral infections, also as individual </w:t>
      </w:r>
      <w:proofErr w:type="spellStart"/>
      <w:r w:rsidRPr="006A39A0">
        <w:rPr>
          <w:rFonts w:ascii="Book Antiqua" w:hAnsi="Book Antiqua" w:cs="Times New Roman"/>
          <w:sz w:val="24"/>
          <w:szCs w:val="24"/>
          <w:lang w:val="en-US"/>
        </w:rPr>
        <w:t>microbiome</w:t>
      </w:r>
      <w:proofErr w:type="spellEnd"/>
      <w:r w:rsidRPr="006A39A0">
        <w:rPr>
          <w:rFonts w:ascii="Book Antiqua" w:hAnsi="Book Antiqua" w:cs="Times New Roman"/>
          <w:sz w:val="24"/>
          <w:szCs w:val="24"/>
          <w:lang w:val="en-US"/>
        </w:rPr>
        <w:t xml:space="preserve"> must be considered. It can favor or reduce by different, opposite or concurrent mechanisms, body fat content, </w:t>
      </w:r>
      <w:proofErr w:type="spellStart"/>
      <w:r w:rsidRPr="006A39A0">
        <w:rPr>
          <w:rFonts w:ascii="Book Antiqua" w:hAnsi="Book Antiqua" w:cs="Times New Roman"/>
          <w:sz w:val="24"/>
          <w:szCs w:val="24"/>
          <w:lang w:val="en-US"/>
        </w:rPr>
        <w:t>adipogenesis</w:t>
      </w:r>
      <w:proofErr w:type="spellEnd"/>
      <w:r w:rsidRPr="006A39A0">
        <w:rPr>
          <w:rFonts w:ascii="Book Antiqua" w:hAnsi="Book Antiqua" w:cs="Times New Roman"/>
          <w:sz w:val="24"/>
          <w:szCs w:val="24"/>
          <w:lang w:val="en-US"/>
        </w:rPr>
        <w:t xml:space="preserve"> and fatty storage in several organs, notably the </w:t>
      </w:r>
      <w:proofErr w:type="gramStart"/>
      <w:r w:rsidRPr="006A39A0">
        <w:rPr>
          <w:rFonts w:ascii="Book Antiqua" w:hAnsi="Book Antiqua" w:cs="Times New Roman"/>
          <w:sz w:val="24"/>
          <w:szCs w:val="24"/>
          <w:lang w:val="en-US"/>
        </w:rPr>
        <w:t>liver</w:t>
      </w:r>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19]</w:t>
      </w:r>
      <w:r w:rsidRPr="006A39A0">
        <w:rPr>
          <w:rFonts w:ascii="Book Antiqua" w:hAnsi="Book Antiqua" w:cs="Times New Roman"/>
          <w:sz w:val="24"/>
          <w:szCs w:val="24"/>
          <w:lang w:val="en-US"/>
        </w:rPr>
        <w:t>.</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In summary, the target of intervention in clinical research and practice is the decrease of excessive and lasting over-nutrition and the abandonment of sedentary life, both pursued facilitating psychological dispositions</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and early life behaviors, along with parental-social conditioning</w:t>
      </w:r>
      <w:r w:rsidR="00C914A1" w:rsidRPr="00C914A1">
        <w:rPr>
          <w:rFonts w:ascii="Book Antiqua" w:hAnsi="Book Antiqua" w:cs="Times New Roman"/>
          <w:sz w:val="24"/>
          <w:szCs w:val="24"/>
          <w:vertAlign w:val="superscript"/>
          <w:lang w:val="en-US"/>
        </w:rPr>
        <w:t>[</w:t>
      </w:r>
      <w:r w:rsidRPr="006A39A0">
        <w:rPr>
          <w:rFonts w:ascii="Book Antiqua" w:hAnsi="Book Antiqua" w:cs="Times New Roman"/>
          <w:sz w:val="24"/>
          <w:szCs w:val="24"/>
          <w:vertAlign w:val="superscript"/>
          <w:lang w:val="en-US"/>
        </w:rPr>
        <w:t>17]</w:t>
      </w:r>
      <w:r w:rsidRPr="006A39A0">
        <w:rPr>
          <w:rFonts w:ascii="Book Antiqua" w:hAnsi="Book Antiqua" w:cs="Times New Roman"/>
          <w:sz w:val="24"/>
          <w:szCs w:val="24"/>
          <w:lang w:val="en-US"/>
        </w:rPr>
        <w:t xml:space="preserve">. </w:t>
      </w:r>
    </w:p>
    <w:p w:rsidR="000D6437" w:rsidRPr="006A39A0" w:rsidRDefault="000D6437" w:rsidP="008019CB">
      <w:pPr>
        <w:adjustRightInd w:val="0"/>
        <w:snapToGrid w:val="0"/>
        <w:spacing w:after="0" w:line="360" w:lineRule="auto"/>
        <w:ind w:firstLineChars="100" w:firstLine="240"/>
        <w:jc w:val="both"/>
        <w:rPr>
          <w:rFonts w:ascii="Book Antiqua" w:hAnsi="Book Antiqua" w:cs="Times New Roman"/>
          <w:sz w:val="24"/>
          <w:szCs w:val="24"/>
          <w:lang w:val="en-US"/>
        </w:rPr>
      </w:pPr>
      <w:r w:rsidRPr="006A39A0">
        <w:rPr>
          <w:rFonts w:ascii="Book Antiqua" w:hAnsi="Book Antiqua" w:cs="Times New Roman"/>
          <w:sz w:val="24"/>
          <w:szCs w:val="24"/>
          <w:lang w:val="en-US"/>
        </w:rPr>
        <w:t xml:space="preserve">Behavioral counseling focused on physical exercise and self-efficacy enhances dietary adherence and weight loss in </w:t>
      </w:r>
      <w:proofErr w:type="gramStart"/>
      <w:r w:rsidRPr="006A39A0">
        <w:rPr>
          <w:rFonts w:ascii="Book Antiqua" w:hAnsi="Book Antiqua" w:cs="Times New Roman"/>
          <w:sz w:val="24"/>
          <w:szCs w:val="24"/>
          <w:lang w:val="en-US"/>
        </w:rPr>
        <w:t>obesity</w:t>
      </w:r>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20</w:t>
      </w:r>
      <w:r w:rsidR="00C914A1">
        <w:rPr>
          <w:rFonts w:ascii="Book Antiqua" w:hAnsi="Book Antiqua" w:cs="Times New Roman" w:hint="eastAsia"/>
          <w:sz w:val="24"/>
          <w:szCs w:val="24"/>
          <w:vertAlign w:val="superscript"/>
          <w:lang w:val="en-US" w:eastAsia="zh-CN"/>
        </w:rPr>
        <w:t>,</w:t>
      </w:r>
      <w:r w:rsidRPr="006A39A0">
        <w:rPr>
          <w:rFonts w:ascii="Book Antiqua" w:hAnsi="Book Antiqua" w:cs="Times New Roman"/>
          <w:sz w:val="24"/>
          <w:szCs w:val="24"/>
          <w:vertAlign w:val="superscript"/>
          <w:lang w:val="en-US"/>
        </w:rPr>
        <w:t>21]</w:t>
      </w:r>
      <w:r w:rsidRPr="006A39A0">
        <w:rPr>
          <w:rFonts w:ascii="Book Antiqua" w:hAnsi="Book Antiqua" w:cs="Times New Roman"/>
          <w:sz w:val="24"/>
          <w:szCs w:val="24"/>
          <w:lang w:val="en-US"/>
        </w:rPr>
        <w:t xml:space="preserve">. Increased adherence to a healthier diet profile and to greater physical exercise activity concurs and improves liver appearance and function in NAFLD </w:t>
      </w:r>
      <w:proofErr w:type="gramStart"/>
      <w:r w:rsidRPr="006A39A0">
        <w:rPr>
          <w:rFonts w:ascii="Book Antiqua" w:hAnsi="Book Antiqua" w:cs="Times New Roman"/>
          <w:sz w:val="24"/>
          <w:szCs w:val="24"/>
          <w:lang w:val="en-US"/>
        </w:rPr>
        <w:t>patients</w:t>
      </w:r>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22</w:t>
      </w:r>
      <w:r w:rsidR="00C914A1">
        <w:rPr>
          <w:rFonts w:ascii="Book Antiqua" w:hAnsi="Book Antiqua" w:cs="Times New Roman" w:hint="eastAsia"/>
          <w:sz w:val="24"/>
          <w:szCs w:val="24"/>
          <w:vertAlign w:val="superscript"/>
          <w:lang w:val="en-US" w:eastAsia="zh-CN"/>
        </w:rPr>
        <w:t>,</w:t>
      </w:r>
      <w:r w:rsidRPr="006A39A0">
        <w:rPr>
          <w:rFonts w:ascii="Book Antiqua" w:hAnsi="Book Antiqua" w:cs="Times New Roman"/>
          <w:sz w:val="24"/>
          <w:szCs w:val="24"/>
          <w:vertAlign w:val="superscript"/>
          <w:lang w:val="en-US"/>
        </w:rPr>
        <w:t>23]</w:t>
      </w:r>
      <w:r w:rsidRPr="006A39A0">
        <w:rPr>
          <w:rFonts w:ascii="Book Antiqua" w:hAnsi="Book Antiqua" w:cs="Times New Roman"/>
          <w:sz w:val="24"/>
          <w:szCs w:val="24"/>
          <w:lang w:val="en-US"/>
        </w:rPr>
        <w:t xml:space="preserve"> as in other conditions</w:t>
      </w:r>
      <w:r w:rsidR="00C914A1" w:rsidRPr="00C914A1">
        <w:rPr>
          <w:rFonts w:ascii="Book Antiqua" w:hAnsi="Book Antiqua" w:cs="Times New Roman"/>
          <w:sz w:val="24"/>
          <w:szCs w:val="24"/>
          <w:vertAlign w:val="superscript"/>
          <w:lang w:val="en-US"/>
        </w:rPr>
        <w:t>[</w:t>
      </w:r>
      <w:r w:rsidRPr="006A39A0">
        <w:rPr>
          <w:rFonts w:ascii="Book Antiqua" w:hAnsi="Book Antiqua" w:cs="Times New Roman"/>
          <w:sz w:val="24"/>
          <w:szCs w:val="24"/>
          <w:vertAlign w:val="superscript"/>
          <w:lang w:val="en-US"/>
        </w:rPr>
        <w:t>24-30]</w:t>
      </w:r>
      <w:r w:rsidRPr="006A39A0">
        <w:rPr>
          <w:rFonts w:ascii="Book Antiqua" w:hAnsi="Book Antiqua" w:cs="Times New Roman"/>
          <w:sz w:val="24"/>
          <w:szCs w:val="24"/>
          <w:lang w:val="en-US"/>
        </w:rPr>
        <w:t xml:space="preserve">. Also Hepatitis C virus (HCV) is associated with liver </w:t>
      </w:r>
      <w:proofErr w:type="spellStart"/>
      <w:r w:rsidRPr="006A39A0">
        <w:rPr>
          <w:rFonts w:ascii="Book Antiqua" w:hAnsi="Book Antiqua" w:cs="Times New Roman"/>
          <w:sz w:val="24"/>
          <w:szCs w:val="24"/>
          <w:lang w:val="en-US"/>
        </w:rPr>
        <w:t>steatosis</w:t>
      </w:r>
      <w:proofErr w:type="spellEnd"/>
      <w:r w:rsidRPr="006A39A0">
        <w:rPr>
          <w:rFonts w:ascii="Book Antiqua" w:hAnsi="Book Antiqua" w:cs="Times New Roman"/>
          <w:sz w:val="24"/>
          <w:szCs w:val="24"/>
          <w:lang w:val="en-US"/>
        </w:rPr>
        <w:t xml:space="preserve">, but its persistence after virus eradication observed in several cases is considered, even conjecturally, the confirmation that different mechanisms are operating. Fat increase in liver by diets, sedentary life, genetics and environmental factors do not exclude that other viruses or the </w:t>
      </w:r>
      <w:proofErr w:type="spellStart"/>
      <w:r w:rsidRPr="006A39A0">
        <w:rPr>
          <w:rFonts w:ascii="Book Antiqua" w:hAnsi="Book Antiqua" w:cs="Times New Roman"/>
          <w:sz w:val="24"/>
          <w:szCs w:val="24"/>
          <w:lang w:val="en-US"/>
        </w:rPr>
        <w:t>microbiome</w:t>
      </w:r>
      <w:proofErr w:type="spellEnd"/>
      <w:r w:rsidRPr="006A39A0">
        <w:rPr>
          <w:rFonts w:ascii="Book Antiqua" w:hAnsi="Book Antiqua" w:cs="Times New Roman"/>
          <w:sz w:val="24"/>
          <w:szCs w:val="24"/>
          <w:lang w:val="en-US"/>
        </w:rPr>
        <w:t xml:space="preserve"> do not have a priori effects</w:t>
      </w:r>
      <w:r w:rsidRPr="006A39A0">
        <w:rPr>
          <w:rFonts w:ascii="Book Antiqua" w:hAnsi="Book Antiqua" w:cs="Times New Roman"/>
          <w:sz w:val="24"/>
          <w:szCs w:val="24"/>
          <w:vertAlign w:val="superscript"/>
          <w:lang w:val="en-US"/>
        </w:rPr>
        <w:t>[19]</w:t>
      </w:r>
      <w:r w:rsidRPr="006A39A0">
        <w:rPr>
          <w:rFonts w:ascii="Book Antiqua" w:hAnsi="Book Antiqua" w:cs="Times New Roman"/>
          <w:sz w:val="24"/>
          <w:szCs w:val="24"/>
          <w:lang w:val="en-US"/>
        </w:rPr>
        <w:t>.</w:t>
      </w:r>
      <w:r w:rsidR="00C914A1">
        <w:rPr>
          <w:rFonts w:ascii="Book Antiqua" w:hAnsi="Book Antiqua" w:cs="Times New Roman"/>
          <w:sz w:val="24"/>
          <w:szCs w:val="24"/>
          <w:lang w:val="en-US"/>
        </w:rPr>
        <w:t xml:space="preserve"> </w:t>
      </w:r>
    </w:p>
    <w:p w:rsidR="00C914A1" w:rsidRDefault="00C914A1" w:rsidP="008019CB">
      <w:pPr>
        <w:adjustRightInd w:val="0"/>
        <w:snapToGrid w:val="0"/>
        <w:spacing w:after="0" w:line="360" w:lineRule="auto"/>
        <w:jc w:val="both"/>
        <w:rPr>
          <w:rFonts w:ascii="Book Antiqua" w:hAnsi="Book Antiqua" w:cs="Times New Roman"/>
          <w:b/>
          <w:sz w:val="24"/>
          <w:szCs w:val="24"/>
          <w:lang w:val="en-US" w:eastAsia="zh-CN"/>
        </w:rPr>
      </w:pPr>
    </w:p>
    <w:p w:rsidR="000D6437" w:rsidRPr="00C914A1" w:rsidRDefault="000D6437" w:rsidP="008019CB">
      <w:pPr>
        <w:adjustRightInd w:val="0"/>
        <w:snapToGrid w:val="0"/>
        <w:spacing w:after="0" w:line="360" w:lineRule="auto"/>
        <w:jc w:val="both"/>
        <w:rPr>
          <w:rFonts w:ascii="Book Antiqua" w:hAnsi="Book Antiqua" w:cs="Times New Roman"/>
          <w:b/>
          <w:sz w:val="24"/>
          <w:szCs w:val="24"/>
          <w:lang w:val="en-US"/>
        </w:rPr>
      </w:pPr>
      <w:r w:rsidRPr="00C914A1">
        <w:rPr>
          <w:rFonts w:ascii="Book Antiqua" w:hAnsi="Book Antiqua" w:cs="Times New Roman"/>
          <w:b/>
          <w:sz w:val="24"/>
          <w:szCs w:val="24"/>
          <w:lang w:val="en-US"/>
        </w:rPr>
        <w:t>OBESITY</w:t>
      </w:r>
    </w:p>
    <w:p w:rsidR="000D6437" w:rsidRPr="006A39A0" w:rsidRDefault="000D6437" w:rsidP="008019CB">
      <w:pPr>
        <w:adjustRightInd w:val="0"/>
        <w:snapToGrid w:val="0"/>
        <w:spacing w:after="0" w:line="360" w:lineRule="auto"/>
        <w:jc w:val="both"/>
        <w:rPr>
          <w:rFonts w:ascii="Book Antiqua" w:hAnsi="Book Antiqua" w:cs="Times New Roman"/>
          <w:sz w:val="24"/>
          <w:szCs w:val="24"/>
          <w:lang w:val="en-US"/>
        </w:rPr>
      </w:pPr>
      <w:r w:rsidRPr="006A39A0">
        <w:rPr>
          <w:rFonts w:ascii="Book Antiqua" w:hAnsi="Book Antiqua" w:cs="Times New Roman"/>
          <w:sz w:val="24"/>
          <w:szCs w:val="24"/>
          <w:lang w:val="en-US"/>
        </w:rPr>
        <w:t>The investigations</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on the relationship between obesity and adenovirus</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are quite </w:t>
      </w:r>
      <w:proofErr w:type="gramStart"/>
      <w:r w:rsidRPr="006A39A0">
        <w:rPr>
          <w:rFonts w:ascii="Book Antiqua" w:hAnsi="Book Antiqua" w:cs="Times New Roman"/>
          <w:sz w:val="24"/>
          <w:szCs w:val="24"/>
          <w:lang w:val="en-US"/>
        </w:rPr>
        <w:t>recent</w:t>
      </w:r>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31]</w:t>
      </w:r>
      <w:r w:rsidRPr="006A39A0">
        <w:rPr>
          <w:rFonts w:ascii="Book Antiqua" w:hAnsi="Book Antiqua" w:cs="Times New Roman"/>
          <w:sz w:val="24"/>
          <w:szCs w:val="24"/>
          <w:lang w:val="en-US"/>
        </w:rPr>
        <w:t>. Ade</w:t>
      </w:r>
      <w:r w:rsidR="00C914A1">
        <w:rPr>
          <w:rFonts w:ascii="Book Antiqua" w:hAnsi="Book Antiqua" w:cs="Times New Roman"/>
          <w:sz w:val="24"/>
          <w:szCs w:val="24"/>
          <w:lang w:val="en-US"/>
        </w:rPr>
        <w:t>noviruses are medium sized, non</w:t>
      </w:r>
      <w:r w:rsidR="00C914A1">
        <w:rPr>
          <w:rFonts w:ascii="Book Antiqua" w:hAnsi="Book Antiqua" w:cs="Times New Roman" w:hint="eastAsia"/>
          <w:sz w:val="24"/>
          <w:szCs w:val="24"/>
          <w:lang w:val="en-US" w:eastAsia="zh-CN"/>
        </w:rPr>
        <w:t>-</w:t>
      </w:r>
      <w:r w:rsidRPr="006A39A0">
        <w:rPr>
          <w:rFonts w:ascii="Book Antiqua" w:hAnsi="Book Antiqua" w:cs="Times New Roman"/>
          <w:sz w:val="24"/>
          <w:szCs w:val="24"/>
          <w:lang w:val="en-US"/>
        </w:rPr>
        <w:t xml:space="preserve">enveloped, icosahedral shaped double stranded linear DNA viruses. They are commonly used as vectors in gene delivery systems. ADV36 is one of 56 serotypes in 7 subgroups of human </w:t>
      </w:r>
      <w:proofErr w:type="gramStart"/>
      <w:r w:rsidRPr="006A39A0">
        <w:rPr>
          <w:rFonts w:ascii="Book Antiqua" w:hAnsi="Book Antiqua" w:cs="Times New Roman"/>
          <w:sz w:val="24"/>
          <w:szCs w:val="24"/>
          <w:lang w:val="en-US"/>
        </w:rPr>
        <w:t>adenoviruses</w:t>
      </w:r>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32]</w:t>
      </w:r>
      <w:r w:rsidRPr="006A39A0">
        <w:rPr>
          <w:rFonts w:ascii="Book Antiqua" w:hAnsi="Book Antiqua" w:cs="Times New Roman"/>
          <w:sz w:val="24"/>
          <w:szCs w:val="24"/>
          <w:lang w:val="en-US"/>
        </w:rPr>
        <w:t xml:space="preserve">. It was observed that after ADV36 inoculation in either chickens or mice, body fat increased, visceral fat increased disproportionally to body fat, and serum lipids were paradoxically lower despite the </w:t>
      </w:r>
      <w:proofErr w:type="gramStart"/>
      <w:r w:rsidRPr="006A39A0">
        <w:rPr>
          <w:rFonts w:ascii="Book Antiqua" w:hAnsi="Book Antiqua" w:cs="Times New Roman"/>
          <w:sz w:val="24"/>
          <w:szCs w:val="24"/>
          <w:lang w:val="en-US"/>
        </w:rPr>
        <w:t>obesity</w:t>
      </w:r>
      <w:r w:rsidR="00C914A1" w:rsidRPr="00C914A1">
        <w:rPr>
          <w:rFonts w:ascii="Book Antiqua" w:hAnsi="Book Antiqua" w:cs="Times New Roman"/>
          <w:sz w:val="24"/>
          <w:szCs w:val="24"/>
          <w:vertAlign w:val="superscript"/>
          <w:lang w:val="en-US"/>
        </w:rPr>
        <w:t>[</w:t>
      </w:r>
      <w:proofErr w:type="gramEnd"/>
      <w:r w:rsidR="00C914A1">
        <w:rPr>
          <w:rFonts w:ascii="Book Antiqua" w:hAnsi="Book Antiqua" w:cs="Times New Roman"/>
          <w:sz w:val="24"/>
          <w:szCs w:val="24"/>
          <w:vertAlign w:val="superscript"/>
          <w:lang w:val="en-US"/>
        </w:rPr>
        <w:t>31,</w:t>
      </w:r>
      <w:r w:rsidRPr="006A39A0">
        <w:rPr>
          <w:rFonts w:ascii="Book Antiqua" w:hAnsi="Book Antiqua" w:cs="Times New Roman"/>
          <w:sz w:val="24"/>
          <w:szCs w:val="24"/>
          <w:vertAlign w:val="superscript"/>
          <w:lang w:val="en-US"/>
        </w:rPr>
        <w:t>33]</w:t>
      </w:r>
      <w:r w:rsidRPr="006A39A0">
        <w:rPr>
          <w:rFonts w:ascii="Book Antiqua" w:hAnsi="Book Antiqua" w:cs="Times New Roman"/>
          <w:sz w:val="24"/>
          <w:szCs w:val="24"/>
          <w:lang w:val="en-US"/>
        </w:rPr>
        <w:t xml:space="preserve">. ADV36 infection accelerates the differentiation of </w:t>
      </w:r>
      <w:proofErr w:type="spellStart"/>
      <w:r w:rsidRPr="006A39A0">
        <w:rPr>
          <w:rFonts w:ascii="Book Antiqua" w:hAnsi="Book Antiqua" w:cs="Times New Roman"/>
          <w:sz w:val="24"/>
          <w:szCs w:val="24"/>
          <w:lang w:val="en-US"/>
        </w:rPr>
        <w:t>preadipocytes</w:t>
      </w:r>
      <w:proofErr w:type="spellEnd"/>
      <w:r w:rsidRPr="006A39A0">
        <w:rPr>
          <w:rFonts w:ascii="Book Antiqua" w:hAnsi="Book Antiqua" w:cs="Times New Roman"/>
          <w:sz w:val="24"/>
          <w:szCs w:val="24"/>
          <w:lang w:val="en-US"/>
        </w:rPr>
        <w:t xml:space="preserve"> to adipocytes in 3T3-L1 cells and human </w:t>
      </w:r>
      <w:proofErr w:type="spellStart"/>
      <w:proofErr w:type="gramStart"/>
      <w:r w:rsidRPr="006A39A0">
        <w:rPr>
          <w:rFonts w:ascii="Book Antiqua" w:hAnsi="Book Antiqua" w:cs="Times New Roman"/>
          <w:sz w:val="24"/>
          <w:szCs w:val="24"/>
          <w:lang w:val="en-US"/>
        </w:rPr>
        <w:t>preadipocytes</w:t>
      </w:r>
      <w:proofErr w:type="spellEnd"/>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34]</w:t>
      </w:r>
      <w:r w:rsidRPr="006A39A0">
        <w:rPr>
          <w:rFonts w:ascii="Book Antiqua" w:hAnsi="Book Antiqua" w:cs="Times New Roman"/>
          <w:sz w:val="24"/>
          <w:szCs w:val="24"/>
          <w:lang w:val="en-US"/>
        </w:rPr>
        <w:t xml:space="preserve">. Moreover, ADV36 DNA was isolated from human adipose tissues of severe obese </w:t>
      </w:r>
      <w:proofErr w:type="gramStart"/>
      <w:r w:rsidRPr="006A39A0">
        <w:rPr>
          <w:rFonts w:ascii="Book Antiqua" w:hAnsi="Book Antiqua" w:cs="Times New Roman"/>
          <w:sz w:val="24"/>
          <w:szCs w:val="24"/>
          <w:lang w:val="en-US"/>
        </w:rPr>
        <w:t>subjects</w:t>
      </w:r>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35]</w:t>
      </w:r>
      <w:r w:rsidRPr="006A39A0">
        <w:rPr>
          <w:rFonts w:ascii="Book Antiqua" w:hAnsi="Book Antiqua" w:cs="Times New Roman"/>
          <w:sz w:val="24"/>
          <w:szCs w:val="24"/>
          <w:lang w:val="en-US"/>
        </w:rPr>
        <w:t xml:space="preserve">. We began investigating in 2002, through pioneering studies in animals and </w:t>
      </w:r>
      <w:proofErr w:type="gramStart"/>
      <w:r w:rsidRPr="006A39A0">
        <w:rPr>
          <w:rFonts w:ascii="Book Antiqua" w:hAnsi="Book Antiqua" w:cs="Times New Roman"/>
          <w:sz w:val="24"/>
          <w:szCs w:val="24"/>
          <w:lang w:val="en-US"/>
        </w:rPr>
        <w:t>humans</w:t>
      </w:r>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31-35]</w:t>
      </w:r>
      <w:r w:rsidRPr="006A39A0">
        <w:rPr>
          <w:rFonts w:ascii="Book Antiqua" w:hAnsi="Book Antiqua" w:cs="Times New Roman"/>
          <w:sz w:val="24"/>
          <w:szCs w:val="24"/>
          <w:lang w:val="en-US"/>
        </w:rPr>
        <w:t xml:space="preserve">, whether non-diabetic patients with previous ADV36 infection showed greater degrees of overweight-obesity, of insulin </w:t>
      </w:r>
      <w:r w:rsidRPr="006A39A0">
        <w:rPr>
          <w:rFonts w:ascii="Book Antiqua" w:hAnsi="Book Antiqua" w:cs="Times New Roman"/>
          <w:sz w:val="24"/>
          <w:szCs w:val="24"/>
          <w:lang w:val="en-US"/>
        </w:rPr>
        <w:lastRenderedPageBreak/>
        <w:t>resistance, assessed by homeostasis model assessment (HOMA), and/or of</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other related factors</w:t>
      </w:r>
      <w:r w:rsidR="00C914A1" w:rsidRPr="00C914A1">
        <w:rPr>
          <w:rFonts w:ascii="Book Antiqua" w:hAnsi="Book Antiqua" w:cs="Times New Roman"/>
          <w:sz w:val="24"/>
          <w:szCs w:val="24"/>
          <w:vertAlign w:val="superscript"/>
          <w:lang w:val="en-US"/>
        </w:rPr>
        <w:t>[</w:t>
      </w:r>
      <w:r w:rsidRPr="006A39A0">
        <w:rPr>
          <w:rFonts w:ascii="Book Antiqua" w:hAnsi="Book Antiqua" w:cs="Times New Roman"/>
          <w:sz w:val="24"/>
          <w:szCs w:val="24"/>
          <w:vertAlign w:val="superscript"/>
          <w:lang w:val="en-US"/>
        </w:rPr>
        <w:t>36]</w:t>
      </w:r>
      <w:r w:rsidRPr="006A39A0">
        <w:rPr>
          <w:rFonts w:ascii="Book Antiqua" w:hAnsi="Book Antiqua" w:cs="Times New Roman"/>
          <w:sz w:val="24"/>
          <w:szCs w:val="24"/>
          <w:lang w:val="en-US"/>
        </w:rPr>
        <w:t>. We considered carefully the need for excluding diabetes from an observational study, since addressing possible associations more than histology and virus identification in fat and liver cells, the need for excluding</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powerful confounding factors, as also B and C virus hepatitis, was necessary. Despite this relevant shortage of the population to be studied, we confirmed that a great prevalence of ADV36 </w:t>
      </w:r>
      <w:proofErr w:type="spellStart"/>
      <w:r w:rsidRPr="006A39A0">
        <w:rPr>
          <w:rFonts w:ascii="Book Antiqua" w:hAnsi="Book Antiqua" w:cs="Times New Roman"/>
          <w:sz w:val="24"/>
          <w:szCs w:val="24"/>
          <w:lang w:val="en-US"/>
        </w:rPr>
        <w:t>seropositivity</w:t>
      </w:r>
      <w:proofErr w:type="spellEnd"/>
      <w:r w:rsidRPr="006A39A0">
        <w:rPr>
          <w:rFonts w:ascii="Book Antiqua" w:hAnsi="Book Antiqua" w:cs="Times New Roman"/>
          <w:sz w:val="24"/>
          <w:szCs w:val="24"/>
          <w:lang w:val="en-US"/>
        </w:rPr>
        <w:t>, 43%,</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in </w:t>
      </w:r>
      <w:proofErr w:type="gramStart"/>
      <w:r w:rsidRPr="006A39A0">
        <w:rPr>
          <w:rFonts w:ascii="Book Antiqua" w:hAnsi="Book Antiqua" w:cs="Times New Roman"/>
          <w:sz w:val="24"/>
          <w:szCs w:val="24"/>
          <w:lang w:val="en-US"/>
        </w:rPr>
        <w:t>adults</w:t>
      </w:r>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 xml:space="preserve">36] </w:t>
      </w:r>
      <w:r w:rsidRPr="006A39A0">
        <w:rPr>
          <w:rFonts w:ascii="Book Antiqua" w:hAnsi="Book Antiqua" w:cs="Times New Roman"/>
          <w:sz w:val="24"/>
          <w:szCs w:val="24"/>
          <w:lang w:val="en-US"/>
        </w:rPr>
        <w:t xml:space="preserve">is present also in our population, in Italy. There are some gender-related differences: ADV36 </w:t>
      </w:r>
      <w:proofErr w:type="spellStart"/>
      <w:r w:rsidRPr="006A39A0">
        <w:rPr>
          <w:rFonts w:ascii="Book Antiqua" w:hAnsi="Book Antiqua" w:cs="Times New Roman"/>
          <w:sz w:val="24"/>
          <w:szCs w:val="24"/>
          <w:lang w:val="en-US"/>
        </w:rPr>
        <w:t>seropositivity</w:t>
      </w:r>
      <w:proofErr w:type="spellEnd"/>
      <w:r w:rsidRPr="006A39A0">
        <w:rPr>
          <w:rFonts w:ascii="Book Antiqua" w:hAnsi="Book Antiqua" w:cs="Times New Roman"/>
          <w:sz w:val="24"/>
          <w:szCs w:val="24"/>
          <w:lang w:val="en-US"/>
        </w:rPr>
        <w:t xml:space="preserve"> for neutralizing antibodies has a prevalence of 59% in women, and of 33% in men. This prevalence is comparable to the prevalence of </w:t>
      </w:r>
      <w:proofErr w:type="spellStart"/>
      <w:r w:rsidRPr="006A39A0">
        <w:rPr>
          <w:rFonts w:ascii="Book Antiqua" w:hAnsi="Book Antiqua" w:cs="Times New Roman"/>
          <w:sz w:val="24"/>
          <w:szCs w:val="24"/>
          <w:lang w:val="en-US"/>
        </w:rPr>
        <w:t>seropositivity</w:t>
      </w:r>
      <w:proofErr w:type="spellEnd"/>
      <w:r w:rsidRPr="006A39A0">
        <w:rPr>
          <w:rFonts w:ascii="Book Antiqua" w:hAnsi="Book Antiqua" w:cs="Times New Roman"/>
          <w:sz w:val="24"/>
          <w:szCs w:val="24"/>
          <w:lang w:val="en-US"/>
        </w:rPr>
        <w:t xml:space="preserve"> for ADV36 – around 50% in adults -</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neutralizing antibodies reported in the extensive international survey recently </w:t>
      </w:r>
      <w:proofErr w:type="gramStart"/>
      <w:r w:rsidRPr="006A39A0">
        <w:rPr>
          <w:rFonts w:ascii="Book Antiqua" w:hAnsi="Book Antiqua" w:cs="Times New Roman"/>
          <w:sz w:val="24"/>
          <w:szCs w:val="24"/>
          <w:lang w:val="en-US"/>
        </w:rPr>
        <w:t>published</w:t>
      </w:r>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37]</w:t>
      </w:r>
      <w:r w:rsidRPr="006A39A0">
        <w:rPr>
          <w:rFonts w:ascii="Book Antiqua" w:hAnsi="Book Antiqua" w:cs="Times New Roman"/>
          <w:sz w:val="24"/>
          <w:szCs w:val="24"/>
          <w:lang w:val="en-US"/>
        </w:rPr>
        <w:t>. The core of our study showed that prevalence in obese subjects</w:t>
      </w:r>
      <w:r w:rsidR="00C914A1">
        <w:rPr>
          <w:rFonts w:ascii="Book Antiqua" w:hAnsi="Book Antiqua" w:cs="Times New Roman"/>
          <w:sz w:val="24"/>
          <w:szCs w:val="24"/>
          <w:lang w:val="en-US"/>
        </w:rPr>
        <w:t xml:space="preserve"> is significantly higher, 64.7%</w:t>
      </w:r>
      <w:r w:rsidRPr="006A39A0">
        <w:rPr>
          <w:rFonts w:ascii="Book Antiqua" w:hAnsi="Book Antiqua" w:cs="Times New Roman"/>
          <w:sz w:val="24"/>
          <w:szCs w:val="24"/>
          <w:lang w:val="en-US"/>
        </w:rPr>
        <w:t>, in comparison with non-obese subjects, in which prevalence was 32.6</w:t>
      </w:r>
      <w:proofErr w:type="gramStart"/>
      <w:r w:rsidRPr="006A39A0">
        <w:rPr>
          <w:rFonts w:ascii="Book Antiqua" w:hAnsi="Book Antiqua" w:cs="Times New Roman"/>
          <w:sz w:val="24"/>
          <w:szCs w:val="24"/>
          <w:lang w:val="en-US"/>
        </w:rPr>
        <w:t>%</w:t>
      </w:r>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36]</w:t>
      </w:r>
      <w:r w:rsidRPr="006A39A0">
        <w:rPr>
          <w:rFonts w:ascii="Book Antiqua" w:hAnsi="Book Antiqua" w:cs="Times New Roman"/>
          <w:sz w:val="24"/>
          <w:szCs w:val="24"/>
          <w:lang w:val="en-US"/>
        </w:rPr>
        <w:t xml:space="preserve">. The main possible bias of our contribution is that the population studied is not randomly chosen, but represents, within the exclusion criteria (severe acute and chronic disease, cancer, alcohol and diabetes), the current referrals to our diagnostic and therapeutic unit, </w:t>
      </w:r>
      <w:r w:rsidR="00C914A1" w:rsidRPr="00C914A1">
        <w:rPr>
          <w:rFonts w:ascii="Book Antiqua" w:hAnsi="Book Antiqua" w:cs="Times New Roman"/>
          <w:i/>
          <w:sz w:val="24"/>
          <w:szCs w:val="24"/>
          <w:lang w:val="en-US"/>
        </w:rPr>
        <w:t>i.e.</w:t>
      </w:r>
      <w:r w:rsidRPr="006A39A0">
        <w:rPr>
          <w:rFonts w:ascii="Book Antiqua" w:hAnsi="Book Antiqua" w:cs="Times New Roman"/>
          <w:sz w:val="24"/>
          <w:szCs w:val="24"/>
          <w:lang w:val="en-US"/>
        </w:rPr>
        <w:t xml:space="preserve"> includes patients seeking liver ultrasound </w:t>
      </w:r>
      <w:r w:rsidR="00AE6DF8">
        <w:rPr>
          <w:rFonts w:ascii="Book Antiqua" w:hAnsi="Book Antiqua" w:cs="Times New Roman" w:hint="eastAsia"/>
          <w:sz w:val="24"/>
          <w:szCs w:val="24"/>
          <w:lang w:val="en-US" w:eastAsia="zh-CN"/>
        </w:rPr>
        <w:t>(</w:t>
      </w:r>
      <w:r w:rsidR="00AE6DF8" w:rsidRPr="00AE6DF8">
        <w:rPr>
          <w:rFonts w:ascii="Book Antiqua" w:hAnsi="Book Antiqua" w:cs="Times New Roman" w:hint="eastAsia"/>
          <w:caps/>
          <w:sz w:val="24"/>
          <w:szCs w:val="24"/>
          <w:lang w:val="en-US" w:eastAsia="zh-CN"/>
        </w:rPr>
        <w:t>us</w:t>
      </w:r>
      <w:r w:rsidR="00AE6DF8">
        <w:rPr>
          <w:rFonts w:ascii="Book Antiqua" w:hAnsi="Book Antiqua" w:cs="Times New Roman" w:hint="eastAsia"/>
          <w:sz w:val="24"/>
          <w:szCs w:val="24"/>
          <w:lang w:val="en-US" w:eastAsia="zh-CN"/>
        </w:rPr>
        <w:t xml:space="preserve">) </w:t>
      </w:r>
      <w:r w:rsidRPr="006A39A0">
        <w:rPr>
          <w:rFonts w:ascii="Book Antiqua" w:hAnsi="Book Antiqua" w:cs="Times New Roman"/>
          <w:sz w:val="24"/>
          <w:szCs w:val="24"/>
          <w:lang w:val="en-US"/>
        </w:rPr>
        <w:t>and nutritional assessment and advice for actual or perceived overweight-obesity.</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Fluctuation of body weight, from normal to overweight level, is a distinctive feature of most normal subjects: this could explain the relatively higher prevalence in our population group of ADV36 neutralizing antibodies </w:t>
      </w:r>
      <w:proofErr w:type="spellStart"/>
      <w:r w:rsidRPr="006A39A0">
        <w:rPr>
          <w:rFonts w:ascii="Book Antiqua" w:hAnsi="Book Antiqua" w:cs="Times New Roman"/>
          <w:sz w:val="24"/>
          <w:szCs w:val="24"/>
          <w:lang w:val="en-US"/>
        </w:rPr>
        <w:t>seropositivity</w:t>
      </w:r>
      <w:proofErr w:type="spellEnd"/>
      <w:r w:rsidRPr="006A39A0">
        <w:rPr>
          <w:rFonts w:ascii="Book Antiqua" w:hAnsi="Book Antiqua" w:cs="Times New Roman"/>
          <w:sz w:val="24"/>
          <w:szCs w:val="24"/>
          <w:lang w:val="en-US"/>
        </w:rPr>
        <w:t xml:space="preserve"> in comparison with other studies in younger population and even in children or adolescents, and to the fact that we are actually studying most subjects with an history of overweight-obesity. ADV36 </w:t>
      </w:r>
      <w:proofErr w:type="spellStart"/>
      <w:r w:rsidRPr="006A39A0">
        <w:rPr>
          <w:rFonts w:ascii="Book Antiqua" w:hAnsi="Book Antiqua" w:cs="Times New Roman"/>
          <w:sz w:val="24"/>
          <w:szCs w:val="24"/>
          <w:lang w:val="en-US"/>
        </w:rPr>
        <w:t>seropositivity</w:t>
      </w:r>
      <w:proofErr w:type="spellEnd"/>
      <w:r w:rsidRPr="006A39A0">
        <w:rPr>
          <w:rFonts w:ascii="Book Antiqua" w:hAnsi="Book Antiqua" w:cs="Times New Roman"/>
          <w:sz w:val="24"/>
          <w:szCs w:val="24"/>
          <w:lang w:val="en-US"/>
        </w:rPr>
        <w:t xml:space="preserve"> prevalence increases with ageing (20-29, 30-39, 40-49, 50-59,</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60-69 and ≥</w:t>
      </w:r>
      <w:r w:rsidR="00C914A1">
        <w:rPr>
          <w:rFonts w:ascii="Book Antiqua" w:hAnsi="Book Antiqua" w:cs="Times New Roman" w:hint="eastAsia"/>
          <w:sz w:val="24"/>
          <w:szCs w:val="24"/>
          <w:lang w:val="en-US" w:eastAsia="zh-CN"/>
        </w:rPr>
        <w:t xml:space="preserve"> </w:t>
      </w:r>
      <w:r w:rsidRPr="006A39A0">
        <w:rPr>
          <w:rFonts w:ascii="Book Antiqua" w:hAnsi="Book Antiqua" w:cs="Times New Roman"/>
          <w:sz w:val="24"/>
          <w:szCs w:val="24"/>
          <w:lang w:val="en-US"/>
        </w:rPr>
        <w:t>70 years) considering consecutive adult age decades in our population (</w:t>
      </w:r>
      <w:r w:rsidR="00C914A1">
        <w:rPr>
          <w:rFonts w:ascii="Book Antiqua" w:hAnsi="Book Antiqua" w:cs="Times New Roman"/>
          <w:sz w:val="24"/>
          <w:szCs w:val="24"/>
          <w:lang w:val="en-US"/>
        </w:rPr>
        <w:t>Figure</w:t>
      </w:r>
      <w:r w:rsidRPr="006A39A0">
        <w:rPr>
          <w:rFonts w:ascii="Book Antiqua" w:hAnsi="Book Antiqua" w:cs="Times New Roman"/>
          <w:sz w:val="24"/>
          <w:szCs w:val="24"/>
          <w:lang w:val="en-US"/>
        </w:rPr>
        <w:t xml:space="preserve"> 1).</w:t>
      </w:r>
    </w:p>
    <w:p w:rsidR="000D6437" w:rsidRPr="006A39A0" w:rsidRDefault="000D6437" w:rsidP="008019CB">
      <w:pPr>
        <w:adjustRightInd w:val="0"/>
        <w:snapToGrid w:val="0"/>
        <w:spacing w:after="0" w:line="360" w:lineRule="auto"/>
        <w:ind w:firstLineChars="100" w:firstLine="240"/>
        <w:jc w:val="both"/>
        <w:rPr>
          <w:rFonts w:ascii="Book Antiqua" w:hAnsi="Book Antiqua" w:cs="Times New Roman"/>
          <w:sz w:val="24"/>
          <w:szCs w:val="24"/>
          <w:lang w:val="en-US"/>
        </w:rPr>
      </w:pPr>
      <w:r w:rsidRPr="006A39A0">
        <w:rPr>
          <w:rFonts w:ascii="Book Antiqua" w:hAnsi="Book Antiqua" w:cs="Times New Roman"/>
          <w:sz w:val="24"/>
          <w:szCs w:val="24"/>
          <w:lang w:val="en-US"/>
        </w:rPr>
        <w:t>ADV36 seropositive subjects also have an increased prevalence of essential hypertension (</w:t>
      </w:r>
      <w:r w:rsidR="00C914A1" w:rsidRPr="00C914A1">
        <w:rPr>
          <w:rFonts w:ascii="Book Antiqua" w:hAnsi="Book Antiqua" w:cs="Times New Roman"/>
          <w:i/>
          <w:sz w:val="24"/>
          <w:szCs w:val="24"/>
          <w:lang w:val="en-US"/>
        </w:rPr>
        <w:t>i.e.</w:t>
      </w:r>
      <w:r w:rsidRPr="006A39A0">
        <w:rPr>
          <w:rFonts w:ascii="Book Antiqua" w:hAnsi="Book Antiqua" w:cs="Times New Roman"/>
          <w:sz w:val="24"/>
          <w:szCs w:val="24"/>
          <w:lang w:val="en-US"/>
        </w:rPr>
        <w:t xml:space="preserve"> slightly </w:t>
      </w:r>
      <w:r w:rsidR="00DA3252">
        <w:rPr>
          <w:rFonts w:ascii="Book Antiqua" w:hAnsi="Book Antiqua" w:cs="Times New Roman"/>
          <w:sz w:val="24"/>
          <w:szCs w:val="24"/>
          <w:lang w:val="en-US" w:eastAsia="zh-CN"/>
        </w:rPr>
        <w:t>“</w:t>
      </w:r>
      <w:r w:rsidRPr="006A39A0">
        <w:rPr>
          <w:rFonts w:ascii="Book Antiqua" w:hAnsi="Book Antiqua" w:cs="Times New Roman"/>
          <w:sz w:val="24"/>
          <w:szCs w:val="24"/>
          <w:lang w:val="en-US"/>
        </w:rPr>
        <w:t>high-normal</w:t>
      </w:r>
      <w:r w:rsidR="00DA3252">
        <w:rPr>
          <w:rFonts w:ascii="Book Antiqua" w:hAnsi="Book Antiqua" w:cs="Times New Roman"/>
          <w:sz w:val="24"/>
          <w:szCs w:val="24"/>
          <w:lang w:val="en-US" w:eastAsia="zh-CN"/>
        </w:rPr>
        <w:t>”</w:t>
      </w:r>
      <w:r w:rsidRPr="006A39A0">
        <w:rPr>
          <w:rFonts w:ascii="Book Antiqua" w:hAnsi="Book Antiqua" w:cs="Times New Roman"/>
          <w:sz w:val="24"/>
          <w:szCs w:val="24"/>
          <w:lang w:val="en-US"/>
        </w:rPr>
        <w:t xml:space="preserve"> diastolic blood pressure) and of greater insulin resistance (IR), in comparison with the control group of ADV </w:t>
      </w:r>
      <w:proofErr w:type="spellStart"/>
      <w:r w:rsidRPr="006A39A0">
        <w:rPr>
          <w:rFonts w:ascii="Book Antiqua" w:hAnsi="Book Antiqua" w:cs="Times New Roman"/>
          <w:sz w:val="24"/>
          <w:szCs w:val="24"/>
          <w:lang w:val="en-US"/>
        </w:rPr>
        <w:t>seronegative</w:t>
      </w:r>
      <w:proofErr w:type="spellEnd"/>
      <w:r w:rsidRPr="006A39A0">
        <w:rPr>
          <w:rFonts w:ascii="Book Antiqua" w:hAnsi="Book Antiqua" w:cs="Times New Roman"/>
          <w:sz w:val="24"/>
          <w:szCs w:val="24"/>
          <w:lang w:val="en-US"/>
        </w:rPr>
        <w:t xml:space="preserve"> subjects. In</w:t>
      </w:r>
      <w:r w:rsidR="00C914A1">
        <w:rPr>
          <w:rFonts w:ascii="Book Antiqua" w:hAnsi="Book Antiqua" w:cs="Times New Roman"/>
          <w:sz w:val="24"/>
          <w:szCs w:val="24"/>
          <w:lang w:val="en-US"/>
        </w:rPr>
        <w:t xml:space="preserve"> Figure</w:t>
      </w:r>
      <w:r w:rsidRPr="006A39A0">
        <w:rPr>
          <w:rFonts w:ascii="Book Antiqua" w:hAnsi="Book Antiqua" w:cs="Times New Roman"/>
          <w:sz w:val="24"/>
          <w:szCs w:val="24"/>
          <w:lang w:val="en-US"/>
        </w:rPr>
        <w:t xml:space="preserve"> 2 </w:t>
      </w:r>
      <w:proofErr w:type="gramStart"/>
      <w:r w:rsidRPr="006A39A0">
        <w:rPr>
          <w:rFonts w:ascii="Book Antiqua" w:hAnsi="Book Antiqua" w:cs="Times New Roman"/>
          <w:sz w:val="24"/>
          <w:szCs w:val="24"/>
          <w:lang w:val="en-US"/>
        </w:rPr>
        <w:t>The</w:t>
      </w:r>
      <w:proofErr w:type="gramEnd"/>
      <w:r w:rsidRPr="006A39A0">
        <w:rPr>
          <w:rFonts w:ascii="Book Antiqua" w:hAnsi="Book Antiqua" w:cs="Times New Roman"/>
          <w:sz w:val="24"/>
          <w:szCs w:val="24"/>
          <w:lang w:val="en-US"/>
        </w:rPr>
        <w:t xml:space="preserve"> Odds Ratios show an increased hazard</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of obesity associated with ADV36 </w:t>
      </w:r>
      <w:proofErr w:type="spellStart"/>
      <w:r w:rsidRPr="006A39A0">
        <w:rPr>
          <w:rFonts w:ascii="Book Antiqua" w:hAnsi="Book Antiqua" w:cs="Times New Roman"/>
          <w:sz w:val="24"/>
          <w:szCs w:val="24"/>
          <w:lang w:val="en-US"/>
        </w:rPr>
        <w:t>seropositivity</w:t>
      </w:r>
      <w:proofErr w:type="spellEnd"/>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w:t>
      </w:r>
      <w:r w:rsidR="00C914A1">
        <w:rPr>
          <w:rFonts w:ascii="Book Antiqua" w:hAnsi="Book Antiqua" w:cs="Times New Roman"/>
          <w:sz w:val="24"/>
          <w:szCs w:val="24"/>
          <w:lang w:val="en-US"/>
        </w:rPr>
        <w:t>OR =</w:t>
      </w:r>
      <w:r w:rsidRPr="006A39A0">
        <w:rPr>
          <w:rFonts w:ascii="Book Antiqua" w:hAnsi="Book Antiqua" w:cs="Times New Roman"/>
          <w:sz w:val="24"/>
          <w:szCs w:val="24"/>
          <w:lang w:val="en-US"/>
        </w:rPr>
        <w:t xml:space="preserve"> 6.879; </w:t>
      </w:r>
      <w:r w:rsidR="00C914A1">
        <w:rPr>
          <w:rFonts w:ascii="Book Antiqua" w:hAnsi="Book Antiqua" w:cs="Times New Roman"/>
          <w:sz w:val="24"/>
          <w:szCs w:val="24"/>
          <w:lang w:val="en-US"/>
        </w:rPr>
        <w:t>95%CI:</w:t>
      </w:r>
      <w:r w:rsidRPr="006A39A0">
        <w:rPr>
          <w:rFonts w:ascii="Book Antiqua" w:hAnsi="Book Antiqua" w:cs="Times New Roman"/>
          <w:sz w:val="24"/>
          <w:szCs w:val="24"/>
          <w:lang w:val="en-US"/>
        </w:rPr>
        <w:t xml:space="preserve"> 3.316–14.274), essential hypertension (</w:t>
      </w:r>
      <w:r w:rsidR="00C914A1">
        <w:rPr>
          <w:rFonts w:ascii="Book Antiqua" w:hAnsi="Book Antiqua" w:cs="Times New Roman"/>
          <w:sz w:val="24"/>
          <w:szCs w:val="24"/>
          <w:lang w:val="en-US"/>
        </w:rPr>
        <w:t>OR =</w:t>
      </w:r>
      <w:r w:rsidRPr="006A39A0">
        <w:rPr>
          <w:rFonts w:ascii="Book Antiqua" w:hAnsi="Book Antiqua" w:cs="Times New Roman"/>
          <w:sz w:val="24"/>
          <w:szCs w:val="24"/>
          <w:lang w:val="en-US"/>
        </w:rPr>
        <w:t xml:space="preserve"> 2.977; </w:t>
      </w:r>
      <w:r w:rsidR="00C914A1">
        <w:rPr>
          <w:rFonts w:ascii="Book Antiqua" w:hAnsi="Book Antiqua" w:cs="Times New Roman"/>
          <w:sz w:val="24"/>
          <w:szCs w:val="24"/>
          <w:lang w:val="en-US"/>
        </w:rPr>
        <w:t>95%CI:</w:t>
      </w:r>
      <w:r w:rsidRPr="006A39A0">
        <w:rPr>
          <w:rFonts w:ascii="Book Antiqua" w:hAnsi="Book Antiqua" w:cs="Times New Roman"/>
          <w:sz w:val="24"/>
          <w:szCs w:val="24"/>
          <w:lang w:val="en-US"/>
        </w:rPr>
        <w:t xml:space="preserve"> 1.625–5.451) and</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IR (</w:t>
      </w:r>
      <w:r w:rsidR="00C914A1">
        <w:rPr>
          <w:rFonts w:ascii="Book Antiqua" w:hAnsi="Book Antiqua" w:cs="Times New Roman"/>
          <w:sz w:val="24"/>
          <w:szCs w:val="24"/>
          <w:lang w:val="en-US"/>
        </w:rPr>
        <w:t>OR =</w:t>
      </w:r>
      <w:r w:rsidRPr="006A39A0">
        <w:rPr>
          <w:rFonts w:ascii="Book Antiqua" w:hAnsi="Book Antiqua" w:cs="Times New Roman"/>
          <w:sz w:val="24"/>
          <w:szCs w:val="24"/>
          <w:lang w:val="en-US"/>
        </w:rPr>
        <w:t xml:space="preserve"> 3.792; </w:t>
      </w:r>
      <w:r w:rsidR="00C914A1">
        <w:rPr>
          <w:rFonts w:ascii="Book Antiqua" w:hAnsi="Book Antiqua" w:cs="Times New Roman"/>
          <w:sz w:val="24"/>
          <w:szCs w:val="24"/>
          <w:lang w:val="en-US"/>
        </w:rPr>
        <w:t>95%CI:</w:t>
      </w:r>
      <w:r w:rsidRPr="006A39A0">
        <w:rPr>
          <w:rFonts w:ascii="Book Antiqua" w:hAnsi="Book Antiqua" w:cs="Times New Roman"/>
          <w:sz w:val="24"/>
          <w:szCs w:val="24"/>
          <w:lang w:val="en-US"/>
        </w:rPr>
        <w:t xml:space="preserve"> 2.052–7.006).</w:t>
      </w:r>
    </w:p>
    <w:p w:rsidR="000D6437" w:rsidRPr="006A39A0" w:rsidRDefault="000D6437" w:rsidP="008019CB">
      <w:pPr>
        <w:adjustRightInd w:val="0"/>
        <w:snapToGrid w:val="0"/>
        <w:spacing w:after="0" w:line="360" w:lineRule="auto"/>
        <w:ind w:firstLineChars="100" w:firstLine="240"/>
        <w:jc w:val="both"/>
        <w:rPr>
          <w:rFonts w:ascii="Book Antiqua" w:hAnsi="Book Antiqua" w:cs="Times New Roman"/>
          <w:sz w:val="24"/>
          <w:szCs w:val="24"/>
          <w:lang w:val="en-US"/>
        </w:rPr>
      </w:pPr>
      <w:r w:rsidRPr="006A39A0">
        <w:rPr>
          <w:rFonts w:ascii="Book Antiqua" w:hAnsi="Book Antiqua" w:cs="Times New Roman"/>
          <w:sz w:val="24"/>
          <w:szCs w:val="24"/>
          <w:lang w:val="en-US"/>
        </w:rPr>
        <w:t xml:space="preserve">We suggested that ADV36 seropositive status could be also a hallmark of a clinical-metabolic profile possibly preceding obesity and diabetes in non-obese </w:t>
      </w:r>
      <w:proofErr w:type="gramStart"/>
      <w:r w:rsidRPr="006A39A0">
        <w:rPr>
          <w:rFonts w:ascii="Book Antiqua" w:hAnsi="Book Antiqua" w:cs="Times New Roman"/>
          <w:sz w:val="24"/>
          <w:szCs w:val="24"/>
          <w:lang w:val="en-US"/>
        </w:rPr>
        <w:t>patients</w:t>
      </w:r>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36]</w:t>
      </w:r>
      <w:r w:rsidRPr="006A39A0">
        <w:rPr>
          <w:rFonts w:ascii="Book Antiqua" w:hAnsi="Book Antiqua" w:cs="Times New Roman"/>
          <w:sz w:val="24"/>
          <w:szCs w:val="24"/>
          <w:lang w:val="en-US"/>
        </w:rPr>
        <w:t xml:space="preserve">. By </w:t>
      </w:r>
      <w:r w:rsidRPr="006A39A0">
        <w:rPr>
          <w:rFonts w:ascii="Book Antiqua" w:hAnsi="Book Antiqua" w:cs="Times New Roman"/>
          <w:sz w:val="24"/>
          <w:szCs w:val="24"/>
          <w:lang w:val="en-US"/>
        </w:rPr>
        <w:lastRenderedPageBreak/>
        <w:t>means of a multiple linear regression (MLR) model, aimed at reaching a synthetic representation of our results, we challenged the predictability of body mass index (BMI), used as a measurement of the grade of obesity, and the predictability of</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HOMA, used as a measurement of insulin resistance. HOMA variance, in our model, is explained significantly only by BMI and triglycerides, and not by ADV36 </w:t>
      </w:r>
      <w:proofErr w:type="spellStart"/>
      <w:r w:rsidRPr="006A39A0">
        <w:rPr>
          <w:rFonts w:ascii="Book Antiqua" w:hAnsi="Book Antiqua" w:cs="Times New Roman"/>
          <w:sz w:val="24"/>
          <w:szCs w:val="24"/>
          <w:lang w:val="en-US"/>
        </w:rPr>
        <w:t>seropositivity</w:t>
      </w:r>
      <w:proofErr w:type="spellEnd"/>
      <w:r w:rsidRPr="006A39A0">
        <w:rPr>
          <w:rFonts w:ascii="Book Antiqua" w:hAnsi="Book Antiqua" w:cs="Times New Roman"/>
          <w:sz w:val="24"/>
          <w:szCs w:val="24"/>
          <w:lang w:val="en-US"/>
        </w:rPr>
        <w:t xml:space="preserve"> (Table 1). </w:t>
      </w:r>
    </w:p>
    <w:p w:rsidR="000D6437" w:rsidRPr="006A39A0" w:rsidRDefault="000D6437" w:rsidP="008019CB">
      <w:pPr>
        <w:adjustRightInd w:val="0"/>
        <w:snapToGrid w:val="0"/>
        <w:spacing w:after="0" w:line="360" w:lineRule="auto"/>
        <w:ind w:firstLineChars="100" w:firstLine="240"/>
        <w:jc w:val="both"/>
        <w:rPr>
          <w:rFonts w:ascii="Book Antiqua" w:hAnsi="Book Antiqua" w:cs="Times New Roman"/>
          <w:sz w:val="24"/>
          <w:szCs w:val="24"/>
          <w:lang w:val="en-US"/>
        </w:rPr>
      </w:pPr>
      <w:r w:rsidRPr="006A39A0">
        <w:rPr>
          <w:rFonts w:ascii="Book Antiqua" w:hAnsi="Book Antiqua" w:cs="Times New Roman"/>
          <w:sz w:val="24"/>
          <w:szCs w:val="24"/>
          <w:lang w:val="en-US"/>
        </w:rPr>
        <w:t xml:space="preserve">As a consequence, previous infection with ADV36 does not plausibly account for IR and the degrees of HOMA. Differently, ADV36 </w:t>
      </w:r>
      <w:proofErr w:type="spellStart"/>
      <w:r w:rsidRPr="006A39A0">
        <w:rPr>
          <w:rFonts w:ascii="Book Antiqua" w:hAnsi="Book Antiqua" w:cs="Times New Roman"/>
          <w:sz w:val="24"/>
          <w:szCs w:val="24"/>
          <w:lang w:val="en-US"/>
        </w:rPr>
        <w:t>seropositivity</w:t>
      </w:r>
      <w:proofErr w:type="spellEnd"/>
      <w:r w:rsidRPr="006A39A0">
        <w:rPr>
          <w:rFonts w:ascii="Book Antiqua" w:hAnsi="Book Antiqua" w:cs="Times New Roman"/>
          <w:sz w:val="24"/>
          <w:szCs w:val="24"/>
          <w:lang w:val="en-US"/>
        </w:rPr>
        <w:t xml:space="preserve"> is significantly present in the model to BMI and accounts reasonably and significantly for the BMI variance; in this model, a significant concurrent contribution of HOMA is also present in the mechanisms contributing to obesity.</w:t>
      </w:r>
    </w:p>
    <w:p w:rsidR="000D6437" w:rsidRPr="006A39A0" w:rsidRDefault="000D6437" w:rsidP="008019CB">
      <w:pPr>
        <w:adjustRightInd w:val="0"/>
        <w:snapToGrid w:val="0"/>
        <w:spacing w:after="0" w:line="360" w:lineRule="auto"/>
        <w:ind w:firstLineChars="100" w:firstLine="240"/>
        <w:jc w:val="both"/>
        <w:rPr>
          <w:rFonts w:ascii="Book Antiqua" w:hAnsi="Book Antiqua" w:cs="Times New Roman"/>
          <w:sz w:val="24"/>
          <w:szCs w:val="24"/>
          <w:lang w:val="en-US"/>
        </w:rPr>
      </w:pPr>
      <w:r w:rsidRPr="006A39A0">
        <w:rPr>
          <w:rFonts w:ascii="Book Antiqua" w:hAnsi="Book Antiqua" w:cs="Times New Roman"/>
          <w:sz w:val="24"/>
          <w:szCs w:val="24"/>
          <w:lang w:val="en-US"/>
        </w:rPr>
        <w:t>The conclusion was that a direct pathophysiological mechanism on establishment and/or maintaining obesity could be operating, and could be related to an earlier ADV36 infection;</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ADV36 </w:t>
      </w:r>
      <w:proofErr w:type="spellStart"/>
      <w:r w:rsidRPr="006A39A0">
        <w:rPr>
          <w:rFonts w:ascii="Book Antiqua" w:hAnsi="Book Antiqua" w:cs="Times New Roman"/>
          <w:sz w:val="24"/>
          <w:szCs w:val="24"/>
          <w:lang w:val="en-US"/>
        </w:rPr>
        <w:t>seropositivity</w:t>
      </w:r>
      <w:proofErr w:type="spellEnd"/>
      <w:r w:rsidRPr="006A39A0">
        <w:rPr>
          <w:rFonts w:ascii="Book Antiqua" w:hAnsi="Book Antiqua" w:cs="Times New Roman"/>
          <w:sz w:val="24"/>
          <w:szCs w:val="24"/>
          <w:lang w:val="en-US"/>
        </w:rPr>
        <w:t xml:space="preserve"> does not account for different degrees of HOMA, and thereafter, any likely evidence of effects of ADV36 mediated by insulin resistance is missing. All</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models are weighted by age since ADV36 </w:t>
      </w:r>
      <w:proofErr w:type="spellStart"/>
      <w:r w:rsidRPr="006A39A0">
        <w:rPr>
          <w:rFonts w:ascii="Book Antiqua" w:hAnsi="Book Antiqua" w:cs="Times New Roman"/>
          <w:sz w:val="24"/>
          <w:szCs w:val="24"/>
          <w:lang w:val="en-US"/>
        </w:rPr>
        <w:t>seropositivity</w:t>
      </w:r>
      <w:proofErr w:type="spellEnd"/>
      <w:r w:rsidRPr="006A39A0">
        <w:rPr>
          <w:rFonts w:ascii="Book Antiqua" w:hAnsi="Book Antiqua" w:cs="Times New Roman"/>
          <w:sz w:val="24"/>
          <w:szCs w:val="24"/>
          <w:lang w:val="en-US"/>
        </w:rPr>
        <w:t xml:space="preserve"> prevalence increases with ageing.</w:t>
      </w:r>
    </w:p>
    <w:p w:rsidR="00C914A1" w:rsidRDefault="00C914A1" w:rsidP="008019CB">
      <w:pPr>
        <w:adjustRightInd w:val="0"/>
        <w:snapToGrid w:val="0"/>
        <w:spacing w:after="0" w:line="360" w:lineRule="auto"/>
        <w:jc w:val="both"/>
        <w:rPr>
          <w:rFonts w:ascii="Book Antiqua" w:hAnsi="Book Antiqua" w:cs="Times New Roman"/>
          <w:b/>
          <w:sz w:val="24"/>
          <w:szCs w:val="24"/>
          <w:lang w:val="en-US" w:eastAsia="zh-CN"/>
        </w:rPr>
      </w:pPr>
    </w:p>
    <w:p w:rsidR="000D6437" w:rsidRPr="00C914A1" w:rsidRDefault="000D6437" w:rsidP="008019CB">
      <w:pPr>
        <w:adjustRightInd w:val="0"/>
        <w:snapToGrid w:val="0"/>
        <w:spacing w:after="0" w:line="360" w:lineRule="auto"/>
        <w:jc w:val="both"/>
        <w:rPr>
          <w:rFonts w:ascii="Book Antiqua" w:hAnsi="Book Antiqua" w:cs="Times New Roman"/>
          <w:b/>
          <w:sz w:val="24"/>
          <w:szCs w:val="24"/>
          <w:lang w:val="en-US"/>
        </w:rPr>
      </w:pPr>
      <w:r w:rsidRPr="00C914A1">
        <w:rPr>
          <w:rFonts w:ascii="Book Antiqua" w:hAnsi="Book Antiqua" w:cs="Times New Roman"/>
          <w:b/>
          <w:sz w:val="24"/>
          <w:szCs w:val="24"/>
          <w:lang w:val="en-US"/>
        </w:rPr>
        <w:t>LIVER</w:t>
      </w:r>
    </w:p>
    <w:p w:rsidR="000D6437" w:rsidRPr="006A39A0" w:rsidRDefault="000D6437" w:rsidP="008019CB">
      <w:pPr>
        <w:adjustRightInd w:val="0"/>
        <w:snapToGrid w:val="0"/>
        <w:spacing w:after="0" w:line="360" w:lineRule="auto"/>
        <w:jc w:val="both"/>
        <w:rPr>
          <w:rFonts w:ascii="Book Antiqua" w:hAnsi="Book Antiqua" w:cs="Times New Roman"/>
          <w:sz w:val="24"/>
          <w:szCs w:val="24"/>
          <w:lang w:val="en-US"/>
        </w:rPr>
      </w:pPr>
      <w:r w:rsidRPr="006A39A0">
        <w:rPr>
          <w:rFonts w:ascii="Book Antiqua" w:hAnsi="Book Antiqua" w:cs="Times New Roman"/>
          <w:sz w:val="24"/>
          <w:szCs w:val="24"/>
          <w:lang w:val="en-US"/>
        </w:rPr>
        <w:t xml:space="preserve">Obesity and liver </w:t>
      </w:r>
      <w:proofErr w:type="spellStart"/>
      <w:r w:rsidRPr="006A39A0">
        <w:rPr>
          <w:rFonts w:ascii="Book Antiqua" w:hAnsi="Book Antiqua" w:cs="Times New Roman"/>
          <w:sz w:val="24"/>
          <w:szCs w:val="24"/>
          <w:lang w:val="en-US"/>
        </w:rPr>
        <w:t>steatosis</w:t>
      </w:r>
      <w:proofErr w:type="spellEnd"/>
      <w:r w:rsidRPr="006A39A0">
        <w:rPr>
          <w:rFonts w:ascii="Book Antiqua" w:hAnsi="Book Antiqua" w:cs="Times New Roman"/>
          <w:sz w:val="24"/>
          <w:szCs w:val="24"/>
          <w:lang w:val="en-US"/>
        </w:rPr>
        <w:t xml:space="preserve"> are frequently described as related diseases, even with several exceptions, as indicated </w:t>
      </w:r>
      <w:proofErr w:type="gramStart"/>
      <w:r w:rsidRPr="006A39A0">
        <w:rPr>
          <w:rFonts w:ascii="Book Antiqua" w:hAnsi="Book Antiqua" w:cs="Times New Roman"/>
          <w:sz w:val="24"/>
          <w:szCs w:val="24"/>
          <w:lang w:val="en-US"/>
        </w:rPr>
        <w:t>above</w:t>
      </w:r>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3]</w:t>
      </w:r>
      <w:r w:rsidRPr="006A39A0">
        <w:rPr>
          <w:rFonts w:ascii="Book Antiqua" w:hAnsi="Book Antiqua" w:cs="Times New Roman"/>
          <w:sz w:val="24"/>
          <w:szCs w:val="24"/>
          <w:lang w:val="en-US"/>
        </w:rPr>
        <w:t xml:space="preserve">. Non-alcoholic fatty liver </w:t>
      </w:r>
      <w:proofErr w:type="gramStart"/>
      <w:r w:rsidRPr="006A39A0">
        <w:rPr>
          <w:rFonts w:ascii="Book Antiqua" w:hAnsi="Book Antiqua" w:cs="Times New Roman"/>
          <w:sz w:val="24"/>
          <w:szCs w:val="24"/>
          <w:lang w:val="en-US"/>
        </w:rPr>
        <w:t>disease,</w:t>
      </w:r>
      <w:proofErr w:type="gramEnd"/>
      <w:r w:rsidRPr="006A39A0">
        <w:rPr>
          <w:rFonts w:ascii="Book Antiqua" w:hAnsi="Book Antiqua" w:cs="Times New Roman"/>
          <w:sz w:val="24"/>
          <w:szCs w:val="24"/>
          <w:lang w:val="en-US"/>
        </w:rPr>
        <w:t xml:space="preserve"> is a condition whose natural history is related to, but is not completely explained by, over-nutrition,</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obesity and insulin resistance. Aminotransferase levels may fluctuate and, among subjects with fatty liver at </w:t>
      </w:r>
      <w:r w:rsidR="00AE6DF8">
        <w:rPr>
          <w:rFonts w:ascii="Book Antiqua" w:hAnsi="Book Antiqua" w:cs="Times New Roman" w:hint="eastAsia"/>
          <w:sz w:val="24"/>
          <w:szCs w:val="24"/>
          <w:lang w:val="en-US" w:eastAsia="zh-CN"/>
        </w:rPr>
        <w:t>US</w:t>
      </w:r>
      <w:r w:rsidRPr="006A39A0">
        <w:rPr>
          <w:rFonts w:ascii="Book Antiqua" w:hAnsi="Book Antiqua" w:cs="Times New Roman"/>
          <w:sz w:val="24"/>
          <w:szCs w:val="24"/>
          <w:lang w:val="en-US"/>
        </w:rPr>
        <w:t xml:space="preserve">, those with normal and abnormal alanine aminotransferase (ALT) levels show a similar or identical </w:t>
      </w:r>
      <w:proofErr w:type="gramStart"/>
      <w:r w:rsidRPr="006A39A0">
        <w:rPr>
          <w:rFonts w:ascii="Book Antiqua" w:hAnsi="Book Antiqua" w:cs="Times New Roman"/>
          <w:sz w:val="24"/>
          <w:szCs w:val="24"/>
          <w:lang w:val="en-US"/>
        </w:rPr>
        <w:t>pattern</w:t>
      </w:r>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38]</w:t>
      </w:r>
      <w:r w:rsidRPr="006A39A0">
        <w:rPr>
          <w:rFonts w:ascii="Book Antiqua" w:hAnsi="Book Antiqua" w:cs="Times New Roman"/>
          <w:sz w:val="24"/>
          <w:szCs w:val="24"/>
          <w:lang w:val="en-US"/>
        </w:rPr>
        <w:t>. This finding provides indirect evidence that ALT does not differentiate various conditions</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or</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stages</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of</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the</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disease in</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NAFLD, and, obviously,</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is not associated with the actual fat content of liver cells. </w:t>
      </w:r>
      <w:r w:rsidR="00AE6DF8">
        <w:rPr>
          <w:rFonts w:ascii="Book Antiqua" w:hAnsi="Book Antiqua" w:cs="Times New Roman"/>
          <w:sz w:val="24"/>
          <w:szCs w:val="24"/>
          <w:lang w:val="en-US"/>
        </w:rPr>
        <w:t>US</w:t>
      </w:r>
      <w:r w:rsidRPr="006A39A0">
        <w:rPr>
          <w:rFonts w:ascii="Book Antiqua" w:hAnsi="Book Antiqua" w:cs="Times New Roman"/>
          <w:sz w:val="24"/>
          <w:szCs w:val="24"/>
          <w:lang w:val="en-US"/>
        </w:rPr>
        <w:t xml:space="preserve"> bright liver pattern and its derived score (BLS) is one of</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the</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most</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comprehensive</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non-invasive</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diagnostic tools for bright/fatty liver assessment, with a satisfactory clinical </w:t>
      </w:r>
      <w:proofErr w:type="gramStart"/>
      <w:r w:rsidRPr="006A39A0">
        <w:rPr>
          <w:rFonts w:ascii="Book Antiqua" w:hAnsi="Book Antiqua" w:cs="Times New Roman"/>
          <w:sz w:val="24"/>
          <w:szCs w:val="24"/>
          <w:lang w:val="en-US"/>
        </w:rPr>
        <w:t>consistency</w:t>
      </w:r>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38]</w:t>
      </w:r>
      <w:r w:rsidRPr="006A39A0">
        <w:rPr>
          <w:rFonts w:ascii="Book Antiqua" w:hAnsi="Book Antiqua" w:cs="Times New Roman"/>
          <w:sz w:val="24"/>
          <w:szCs w:val="24"/>
          <w:lang w:val="en-US"/>
        </w:rPr>
        <w:t>, confirmed also in our clinical experience</w:t>
      </w:r>
      <w:r w:rsidR="00C914A1" w:rsidRPr="00C914A1">
        <w:rPr>
          <w:rFonts w:ascii="Book Antiqua" w:hAnsi="Book Antiqua" w:cs="Times New Roman"/>
          <w:sz w:val="24"/>
          <w:szCs w:val="24"/>
          <w:vertAlign w:val="superscript"/>
          <w:lang w:val="en-US"/>
        </w:rPr>
        <w:t>[</w:t>
      </w:r>
      <w:r w:rsidRPr="006A39A0">
        <w:rPr>
          <w:rFonts w:ascii="Book Antiqua" w:hAnsi="Book Antiqua" w:cs="Times New Roman"/>
          <w:sz w:val="24"/>
          <w:szCs w:val="24"/>
          <w:vertAlign w:val="superscript"/>
          <w:lang w:val="en-US"/>
        </w:rPr>
        <w:t>22]</w:t>
      </w:r>
      <w:r w:rsidRPr="006A39A0">
        <w:rPr>
          <w:rFonts w:ascii="Book Antiqua" w:hAnsi="Book Antiqua" w:cs="Times New Roman"/>
          <w:sz w:val="24"/>
          <w:szCs w:val="24"/>
          <w:lang w:val="en-US"/>
        </w:rPr>
        <w:t xml:space="preserve">. After on-site validation of the </w:t>
      </w:r>
      <w:proofErr w:type="spellStart"/>
      <w:r w:rsidRPr="006A39A0">
        <w:rPr>
          <w:rFonts w:ascii="Book Antiqua" w:hAnsi="Book Antiqua" w:cs="Times New Roman"/>
          <w:sz w:val="24"/>
          <w:szCs w:val="24"/>
          <w:lang w:val="en-US"/>
        </w:rPr>
        <w:t>Mathiesen’s</w:t>
      </w:r>
      <w:proofErr w:type="spellEnd"/>
      <w:r w:rsidRPr="006A39A0">
        <w:rPr>
          <w:rFonts w:ascii="Book Antiqua" w:hAnsi="Book Antiqua" w:cs="Times New Roman"/>
          <w:sz w:val="24"/>
          <w:szCs w:val="24"/>
          <w:lang w:val="en-US"/>
        </w:rPr>
        <w:t xml:space="preserve"> score (Bright Liver Score, </w:t>
      </w:r>
      <w:r w:rsidR="00C914A1" w:rsidRPr="00C914A1">
        <w:rPr>
          <w:rFonts w:ascii="Book Antiqua" w:hAnsi="Book Antiqua" w:cs="Times New Roman"/>
          <w:i/>
          <w:sz w:val="24"/>
          <w:szCs w:val="24"/>
          <w:lang w:val="en-US"/>
        </w:rPr>
        <w:t>i.e.</w:t>
      </w:r>
      <w:r w:rsidRPr="006A39A0">
        <w:rPr>
          <w:rFonts w:ascii="Book Antiqua" w:hAnsi="Book Antiqua" w:cs="Times New Roman"/>
          <w:sz w:val="24"/>
          <w:szCs w:val="24"/>
          <w:lang w:val="en-US"/>
        </w:rPr>
        <w:t xml:space="preserve"> BLS</w:t>
      </w:r>
      <w:proofErr w:type="gramStart"/>
      <w:r w:rsidRPr="006A39A0">
        <w:rPr>
          <w:rFonts w:ascii="Book Antiqua" w:hAnsi="Book Antiqua" w:cs="Times New Roman"/>
          <w:sz w:val="24"/>
          <w:szCs w:val="24"/>
          <w:lang w:val="en-US"/>
        </w:rPr>
        <w:t>)</w:t>
      </w:r>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22]</w:t>
      </w:r>
      <w:r w:rsidRPr="006A39A0">
        <w:rPr>
          <w:rFonts w:ascii="Book Antiqua" w:hAnsi="Book Antiqua" w:cs="Times New Roman"/>
          <w:sz w:val="24"/>
          <w:szCs w:val="24"/>
          <w:lang w:val="en-US"/>
        </w:rPr>
        <w:t>, we used and use in our studies this non-invasive tool as a reliable substitute for the diagnosis</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and staging of fatty/bright liver: </w:t>
      </w:r>
      <w:r w:rsidR="00AE6DF8" w:rsidRPr="00AE6DF8">
        <w:rPr>
          <w:rFonts w:ascii="Book Antiqua" w:hAnsi="Book Antiqua" w:cs="Times New Roman" w:hint="eastAsia"/>
          <w:caps/>
          <w:sz w:val="24"/>
          <w:szCs w:val="24"/>
          <w:lang w:val="en-US" w:eastAsia="zh-CN"/>
        </w:rPr>
        <w:t>us</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NAFLD diagnosis has also a good intra-observer reliability. This score provides comprehensive information, and </w:t>
      </w:r>
      <w:r w:rsidRPr="006A39A0">
        <w:rPr>
          <w:rFonts w:ascii="Book Antiqua" w:hAnsi="Book Antiqua" w:cs="Times New Roman"/>
          <w:sz w:val="24"/>
          <w:szCs w:val="24"/>
          <w:lang w:val="en-US"/>
        </w:rPr>
        <w:lastRenderedPageBreak/>
        <w:t xml:space="preserve">liver biopsy, by which sampling differences and/or errors can result in substantial misdiagnosis and staging inaccuracies in liver diffuse abnormalities, such as </w:t>
      </w:r>
      <w:proofErr w:type="spellStart"/>
      <w:proofErr w:type="gramStart"/>
      <w:r w:rsidRPr="006A39A0">
        <w:rPr>
          <w:rFonts w:ascii="Book Antiqua" w:hAnsi="Book Antiqua" w:cs="Times New Roman"/>
          <w:sz w:val="24"/>
          <w:szCs w:val="24"/>
          <w:lang w:val="en-US"/>
        </w:rPr>
        <w:t>steatosis</w:t>
      </w:r>
      <w:proofErr w:type="spellEnd"/>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39]</w:t>
      </w:r>
      <w:r w:rsidRPr="006A39A0">
        <w:rPr>
          <w:rFonts w:ascii="Book Antiqua" w:hAnsi="Book Antiqua" w:cs="Times New Roman"/>
          <w:sz w:val="24"/>
          <w:szCs w:val="24"/>
          <w:lang w:val="en-US"/>
        </w:rPr>
        <w:t xml:space="preserve">, is performed only for the definition of nodules or for investigating diffuse but scarcely defined lesions. Moreover, non-invasive </w:t>
      </w:r>
      <w:r w:rsidR="00AE6DF8" w:rsidRPr="00AE6DF8">
        <w:rPr>
          <w:rFonts w:ascii="Book Antiqua" w:hAnsi="Book Antiqua" w:cs="Times New Roman" w:hint="eastAsia"/>
          <w:caps/>
          <w:sz w:val="24"/>
          <w:szCs w:val="24"/>
          <w:lang w:val="en-US" w:eastAsia="zh-CN"/>
        </w:rPr>
        <w:t>us</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imaging allows a more complete visualization of the liver which, by liver biopsy, is reached in very limited and – hopefully – accurately chosen </w:t>
      </w:r>
      <w:proofErr w:type="gramStart"/>
      <w:r w:rsidRPr="006A39A0">
        <w:rPr>
          <w:rFonts w:ascii="Book Antiqua" w:hAnsi="Book Antiqua" w:cs="Times New Roman"/>
          <w:sz w:val="24"/>
          <w:szCs w:val="24"/>
          <w:lang w:val="en-US"/>
        </w:rPr>
        <w:t>areas</w:t>
      </w:r>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39]</w:t>
      </w:r>
      <w:r w:rsidRPr="006A39A0">
        <w:rPr>
          <w:rFonts w:ascii="Book Antiqua" w:hAnsi="Book Antiqua" w:cs="Times New Roman"/>
          <w:sz w:val="24"/>
          <w:szCs w:val="24"/>
          <w:lang w:val="en-US"/>
        </w:rPr>
        <w:t xml:space="preserve">; this method perhaps does not provide a sufficiently comprehensive description of the liver as a whole. In our experience, by </w:t>
      </w:r>
      <w:r w:rsidR="00AE6DF8">
        <w:rPr>
          <w:rFonts w:ascii="Book Antiqua" w:hAnsi="Book Antiqua" w:cs="Times New Roman" w:hint="eastAsia"/>
          <w:sz w:val="24"/>
          <w:szCs w:val="24"/>
          <w:lang w:val="en-US" w:eastAsia="zh-CN"/>
        </w:rPr>
        <w:t>US</w:t>
      </w:r>
      <w:r w:rsidRPr="006A39A0">
        <w:rPr>
          <w:rFonts w:ascii="Book Antiqua" w:hAnsi="Book Antiqua" w:cs="Times New Roman"/>
          <w:sz w:val="24"/>
          <w:szCs w:val="24"/>
          <w:lang w:val="en-US"/>
        </w:rPr>
        <w:t xml:space="preserve">-guided fine needle aspirate biopsy (FNAB, 20 Gauge), using echo-transducers with a central hole which allows the coaxial passage of the needle and the concurrent vision of the needle and the area to be reached, it is possible to get specimens of adequate length (2.5-5.0 cm) with a number of portal spaces sufficient to allow a reliable assessment of </w:t>
      </w:r>
      <w:proofErr w:type="spellStart"/>
      <w:r w:rsidRPr="006A39A0">
        <w:rPr>
          <w:rFonts w:ascii="Book Antiqua" w:hAnsi="Book Antiqua" w:cs="Times New Roman"/>
          <w:sz w:val="24"/>
          <w:szCs w:val="24"/>
          <w:lang w:val="en-US"/>
        </w:rPr>
        <w:t>steatosis</w:t>
      </w:r>
      <w:proofErr w:type="spellEnd"/>
      <w:r w:rsidRPr="006A39A0">
        <w:rPr>
          <w:rFonts w:ascii="Book Antiqua" w:hAnsi="Book Antiqua" w:cs="Times New Roman"/>
          <w:sz w:val="24"/>
          <w:szCs w:val="24"/>
          <w:lang w:val="en-US"/>
        </w:rPr>
        <w:t xml:space="preserve"> and </w:t>
      </w:r>
      <w:proofErr w:type="gramStart"/>
      <w:r w:rsidRPr="006A39A0">
        <w:rPr>
          <w:rFonts w:ascii="Book Antiqua" w:hAnsi="Book Antiqua" w:cs="Times New Roman"/>
          <w:sz w:val="24"/>
          <w:szCs w:val="24"/>
          <w:lang w:val="en-US"/>
        </w:rPr>
        <w:t>fibrosis</w:t>
      </w:r>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38]</w:t>
      </w:r>
      <w:r w:rsidRPr="006A39A0">
        <w:rPr>
          <w:rFonts w:ascii="Book Antiqua" w:hAnsi="Book Antiqua" w:cs="Times New Roman"/>
          <w:sz w:val="24"/>
          <w:szCs w:val="24"/>
          <w:lang w:val="en-US"/>
        </w:rPr>
        <w:t>. The method is safer than other biopsy procedures, is repeatable and is currently done when double specimens are to be taken (</w:t>
      </w:r>
      <w:proofErr w:type="spellStart"/>
      <w:r w:rsidRPr="006A39A0">
        <w:rPr>
          <w:rFonts w:ascii="Book Antiqua" w:hAnsi="Book Antiqua" w:cs="Times New Roman"/>
          <w:sz w:val="24"/>
          <w:szCs w:val="24"/>
          <w:lang w:val="en-US"/>
        </w:rPr>
        <w:t>intranodular</w:t>
      </w:r>
      <w:proofErr w:type="spellEnd"/>
      <w:r w:rsidRPr="006A39A0">
        <w:rPr>
          <w:rFonts w:ascii="Book Antiqua" w:hAnsi="Book Antiqua" w:cs="Times New Roman"/>
          <w:sz w:val="24"/>
          <w:szCs w:val="24"/>
          <w:lang w:val="en-US"/>
        </w:rPr>
        <w:t xml:space="preserve"> biopsy plus nearby liver</w:t>
      </w:r>
      <w:proofErr w:type="gramStart"/>
      <w:r w:rsidRPr="006A39A0">
        <w:rPr>
          <w:rFonts w:ascii="Book Antiqua" w:hAnsi="Book Antiqua" w:cs="Times New Roman"/>
          <w:sz w:val="24"/>
          <w:szCs w:val="24"/>
          <w:lang w:val="en-US"/>
        </w:rPr>
        <w:t>)</w:t>
      </w:r>
      <w:r w:rsidR="00C914A1" w:rsidRPr="00C914A1">
        <w:rPr>
          <w:rFonts w:ascii="Book Antiqua" w:hAnsi="Book Antiqua" w:cs="Times New Roman"/>
          <w:sz w:val="24"/>
          <w:szCs w:val="24"/>
          <w:vertAlign w:val="superscript"/>
          <w:lang w:val="en-US"/>
        </w:rPr>
        <w:t>[</w:t>
      </w:r>
      <w:proofErr w:type="gramEnd"/>
      <w:r w:rsidR="00C914A1">
        <w:rPr>
          <w:rFonts w:ascii="Book Antiqua" w:hAnsi="Book Antiqua" w:cs="Times New Roman"/>
          <w:sz w:val="24"/>
          <w:szCs w:val="24"/>
          <w:vertAlign w:val="superscript"/>
          <w:lang w:val="en-US"/>
        </w:rPr>
        <w:t>22,</w:t>
      </w:r>
      <w:r w:rsidRPr="006A39A0">
        <w:rPr>
          <w:rFonts w:ascii="Book Antiqua" w:hAnsi="Book Antiqua" w:cs="Times New Roman"/>
          <w:sz w:val="24"/>
          <w:szCs w:val="24"/>
          <w:vertAlign w:val="superscript"/>
          <w:lang w:val="en-US"/>
        </w:rPr>
        <w:t>40]</w:t>
      </w:r>
      <w:r w:rsidRPr="006A39A0">
        <w:rPr>
          <w:rFonts w:ascii="Book Antiqua" w:hAnsi="Book Antiqua" w:cs="Times New Roman"/>
          <w:sz w:val="24"/>
          <w:szCs w:val="24"/>
          <w:lang w:val="en-US"/>
        </w:rPr>
        <w:t xml:space="preserve"> if needed for diagnostic purposes. This is the case when non-invasive imaging is doubtful and there is the need of a differential diagnosis</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of Hepatocellular carcinoma, </w:t>
      </w:r>
      <w:proofErr w:type="spellStart"/>
      <w:r w:rsidRPr="006A39A0">
        <w:rPr>
          <w:rFonts w:ascii="Book Antiqua" w:hAnsi="Book Antiqua" w:cs="Times New Roman"/>
          <w:sz w:val="24"/>
          <w:szCs w:val="24"/>
          <w:lang w:val="en-US"/>
        </w:rPr>
        <w:t>Cholangiocarcinoma</w:t>
      </w:r>
      <w:proofErr w:type="spellEnd"/>
      <w:r w:rsidRPr="006A39A0">
        <w:rPr>
          <w:rFonts w:ascii="Book Antiqua" w:hAnsi="Book Antiqua" w:cs="Times New Roman"/>
          <w:sz w:val="24"/>
          <w:szCs w:val="24"/>
          <w:lang w:val="en-US"/>
        </w:rPr>
        <w:t>, Metastasis, Lymphoma, or of other diffuse non-neoplastic disease. With this indication, the parallel biopsy of the seemingly non-</w:t>
      </w:r>
      <w:proofErr w:type="spellStart"/>
      <w:r w:rsidRPr="006A39A0">
        <w:rPr>
          <w:rFonts w:ascii="Book Antiqua" w:hAnsi="Book Antiqua" w:cs="Times New Roman"/>
          <w:sz w:val="24"/>
          <w:szCs w:val="24"/>
          <w:lang w:val="en-US"/>
        </w:rPr>
        <w:t>tumoral</w:t>
      </w:r>
      <w:proofErr w:type="spellEnd"/>
      <w:r w:rsidRPr="006A39A0">
        <w:rPr>
          <w:rFonts w:ascii="Book Antiqua" w:hAnsi="Book Antiqua" w:cs="Times New Roman"/>
          <w:sz w:val="24"/>
          <w:szCs w:val="24"/>
          <w:lang w:val="en-US"/>
        </w:rPr>
        <w:t xml:space="preserve"> liver tissue is carried out to obtain information on the associated liver disease, if there is any. In </w:t>
      </w:r>
      <w:r w:rsidR="00C914A1">
        <w:rPr>
          <w:rFonts w:ascii="Book Antiqua" w:hAnsi="Book Antiqua" w:cs="Times New Roman"/>
          <w:sz w:val="24"/>
          <w:szCs w:val="24"/>
          <w:lang w:val="en-US"/>
        </w:rPr>
        <w:t>Figure</w:t>
      </w:r>
      <w:r w:rsidRPr="006A39A0">
        <w:rPr>
          <w:rFonts w:ascii="Book Antiqua" w:hAnsi="Book Antiqua" w:cs="Times New Roman"/>
          <w:sz w:val="24"/>
          <w:szCs w:val="24"/>
          <w:lang w:val="en-US"/>
        </w:rPr>
        <w:t xml:space="preserve"> 3 a convex </w:t>
      </w:r>
      <w:r w:rsidR="00AE6DF8">
        <w:rPr>
          <w:rFonts w:ascii="Book Antiqua" w:hAnsi="Book Antiqua" w:cs="Times New Roman" w:hint="eastAsia"/>
          <w:sz w:val="24"/>
          <w:szCs w:val="24"/>
          <w:lang w:val="en-US" w:eastAsia="zh-CN"/>
        </w:rPr>
        <w:t>US</w:t>
      </w:r>
      <w:r w:rsidR="00DA3252" w:rsidRPr="00DA3252">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transducer with a central hole for allowing co-axial biopsy is shown, along with four different specimens of liver FNAB in fatty liver performed with 20 G </w:t>
      </w:r>
      <w:proofErr w:type="gramStart"/>
      <w:r w:rsidRPr="006A39A0">
        <w:rPr>
          <w:rFonts w:ascii="Book Antiqua" w:hAnsi="Book Antiqua" w:cs="Times New Roman"/>
          <w:sz w:val="24"/>
          <w:szCs w:val="24"/>
          <w:lang w:val="en-US"/>
        </w:rPr>
        <w:t>needle</w:t>
      </w:r>
      <w:proofErr w:type="gramEnd"/>
      <w:r w:rsidRPr="006A39A0">
        <w:rPr>
          <w:rFonts w:ascii="Book Antiqua" w:hAnsi="Book Antiqua" w:cs="Times New Roman"/>
          <w:sz w:val="24"/>
          <w:szCs w:val="24"/>
          <w:lang w:val="en-US"/>
        </w:rPr>
        <w:t>.</w:t>
      </w:r>
    </w:p>
    <w:p w:rsidR="000D6437" w:rsidRPr="006A39A0" w:rsidRDefault="000D6437" w:rsidP="008019CB">
      <w:pPr>
        <w:adjustRightInd w:val="0"/>
        <w:snapToGrid w:val="0"/>
        <w:spacing w:after="0" w:line="360" w:lineRule="auto"/>
        <w:ind w:firstLineChars="100" w:firstLine="240"/>
        <w:jc w:val="both"/>
        <w:rPr>
          <w:rFonts w:ascii="Book Antiqua" w:hAnsi="Book Antiqua" w:cs="Times New Roman"/>
          <w:sz w:val="24"/>
          <w:szCs w:val="24"/>
          <w:lang w:val="en-US"/>
        </w:rPr>
      </w:pPr>
      <w:r w:rsidRPr="006A39A0">
        <w:rPr>
          <w:rFonts w:ascii="Book Antiqua" w:hAnsi="Book Antiqua" w:cs="Times New Roman"/>
          <w:sz w:val="24"/>
          <w:szCs w:val="24"/>
          <w:lang w:val="en-US"/>
        </w:rPr>
        <w:t>The pathology of</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NAFLD,</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its</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impact</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on</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hepatic</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fibrosis,</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animal models and biomarkers, molecular mechanisms of </w:t>
      </w:r>
      <w:proofErr w:type="spellStart"/>
      <w:r w:rsidRPr="006A39A0">
        <w:rPr>
          <w:rFonts w:ascii="Book Antiqua" w:hAnsi="Book Antiqua" w:cs="Times New Roman"/>
          <w:sz w:val="24"/>
          <w:szCs w:val="24"/>
          <w:lang w:val="en-US"/>
        </w:rPr>
        <w:t>lipotoxicity</w:t>
      </w:r>
      <w:proofErr w:type="spellEnd"/>
      <w:r w:rsidRPr="006A39A0">
        <w:rPr>
          <w:rFonts w:ascii="Book Antiqua" w:hAnsi="Book Antiqua" w:cs="Times New Roman"/>
          <w:sz w:val="24"/>
          <w:szCs w:val="24"/>
          <w:lang w:val="en-US"/>
        </w:rPr>
        <w:t>, diagnostic strategies, and associated conditions are among the most significant fields of clinical and translational research. Since healthier</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lifestyles,</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regarding correct </w:t>
      </w:r>
      <w:proofErr w:type="spellStart"/>
      <w:r w:rsidRPr="006A39A0">
        <w:rPr>
          <w:rFonts w:ascii="Book Antiqua" w:hAnsi="Book Antiqua" w:cs="Times New Roman"/>
          <w:sz w:val="24"/>
          <w:szCs w:val="24"/>
          <w:lang w:val="en-US"/>
        </w:rPr>
        <w:t>hypercaloric</w:t>
      </w:r>
      <w:proofErr w:type="spellEnd"/>
      <w:r w:rsidRPr="006A39A0">
        <w:rPr>
          <w:rFonts w:ascii="Book Antiqua" w:hAnsi="Book Antiqua" w:cs="Times New Roman"/>
          <w:sz w:val="24"/>
          <w:szCs w:val="24"/>
          <w:lang w:val="en-US"/>
        </w:rPr>
        <w:t xml:space="preserve">- unbalanced diets, diminishing sedentary lifestyle, and alcohol abuse withdrawal, are the most effective therapeutic interventional strategies in liver </w:t>
      </w:r>
      <w:proofErr w:type="spellStart"/>
      <w:r w:rsidRPr="006A39A0">
        <w:rPr>
          <w:rFonts w:ascii="Book Antiqua" w:hAnsi="Book Antiqua" w:cs="Times New Roman"/>
          <w:sz w:val="24"/>
          <w:szCs w:val="24"/>
          <w:lang w:val="en-US"/>
        </w:rPr>
        <w:t>steatosis</w:t>
      </w:r>
      <w:proofErr w:type="spellEnd"/>
      <w:r w:rsidRPr="006A39A0">
        <w:rPr>
          <w:rFonts w:ascii="Book Antiqua" w:hAnsi="Book Antiqua" w:cs="Times New Roman"/>
          <w:sz w:val="24"/>
          <w:szCs w:val="24"/>
          <w:lang w:val="en-US"/>
        </w:rPr>
        <w:t xml:space="preserve"> as they are in obesity management, and because no special information can be obtained by liver biopsy in subjects with the lone imaging evidence of fatty liver, without any visible associated liver lesion, liver biopsy is not only not recommended for the diagnosis, but could be even misleading due to the limitations described above.</w:t>
      </w:r>
    </w:p>
    <w:p w:rsidR="00C914A1" w:rsidRDefault="00C914A1" w:rsidP="008019CB">
      <w:pPr>
        <w:adjustRightInd w:val="0"/>
        <w:snapToGrid w:val="0"/>
        <w:spacing w:after="0" w:line="360" w:lineRule="auto"/>
        <w:jc w:val="both"/>
        <w:rPr>
          <w:rFonts w:ascii="Book Antiqua" w:hAnsi="Book Antiqua" w:cs="Times New Roman"/>
          <w:sz w:val="24"/>
          <w:szCs w:val="24"/>
          <w:lang w:val="en-US" w:eastAsia="zh-CN"/>
        </w:rPr>
      </w:pPr>
    </w:p>
    <w:p w:rsidR="000D6437" w:rsidRPr="00C914A1" w:rsidRDefault="000D6437" w:rsidP="008019CB">
      <w:pPr>
        <w:adjustRightInd w:val="0"/>
        <w:snapToGrid w:val="0"/>
        <w:spacing w:after="0" w:line="360" w:lineRule="auto"/>
        <w:jc w:val="both"/>
        <w:rPr>
          <w:rFonts w:ascii="Book Antiqua" w:hAnsi="Book Antiqua" w:cs="Times New Roman"/>
          <w:b/>
          <w:sz w:val="24"/>
          <w:szCs w:val="24"/>
          <w:lang w:val="en-US"/>
        </w:rPr>
      </w:pPr>
      <w:r w:rsidRPr="00C914A1">
        <w:rPr>
          <w:rFonts w:ascii="Book Antiqua" w:hAnsi="Book Antiqua" w:cs="Times New Roman"/>
          <w:b/>
          <w:sz w:val="24"/>
          <w:szCs w:val="24"/>
          <w:lang w:val="en-US"/>
        </w:rPr>
        <w:t>ADENOVIRUS ADV36</w:t>
      </w:r>
    </w:p>
    <w:p w:rsidR="000D6437" w:rsidRPr="006A39A0" w:rsidRDefault="000D6437" w:rsidP="008019CB">
      <w:pPr>
        <w:adjustRightInd w:val="0"/>
        <w:snapToGrid w:val="0"/>
        <w:spacing w:after="0" w:line="360" w:lineRule="auto"/>
        <w:jc w:val="both"/>
        <w:rPr>
          <w:rFonts w:ascii="Book Antiqua" w:hAnsi="Book Antiqua" w:cs="Times New Roman"/>
          <w:sz w:val="24"/>
          <w:szCs w:val="24"/>
          <w:lang w:val="en-US"/>
        </w:rPr>
      </w:pPr>
      <w:r w:rsidRPr="006A39A0">
        <w:rPr>
          <w:rFonts w:ascii="Book Antiqua" w:hAnsi="Book Antiqua" w:cs="Times New Roman"/>
          <w:sz w:val="24"/>
          <w:szCs w:val="24"/>
          <w:lang w:val="en-US"/>
        </w:rPr>
        <w:lastRenderedPageBreak/>
        <w:t>Obesity</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and</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fatty</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liver, notably</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NAFLD,</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can co-exist</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and</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can undergo</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exacerbation or remission</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independent of each other; concurrent straight, discrete and significant mutual linear relationships between insulin resistance, obesity and severity of fatty liver involvement are confirmed by previous </w:t>
      </w:r>
      <w:proofErr w:type="gramStart"/>
      <w:r w:rsidRPr="006A39A0">
        <w:rPr>
          <w:rFonts w:ascii="Book Antiqua" w:hAnsi="Book Antiqua" w:cs="Times New Roman"/>
          <w:sz w:val="24"/>
          <w:szCs w:val="24"/>
          <w:lang w:val="en-US"/>
        </w:rPr>
        <w:t>studies</w:t>
      </w:r>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22]</w:t>
      </w:r>
      <w:r w:rsidRPr="006A39A0">
        <w:rPr>
          <w:rFonts w:ascii="Book Antiqua" w:hAnsi="Book Antiqua" w:cs="Times New Roman"/>
          <w:sz w:val="24"/>
          <w:szCs w:val="24"/>
          <w:lang w:val="en-US"/>
        </w:rPr>
        <w:t>. Both obesity and NAFLD are easily quantifiable and can be</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assessed non-invasively. In fact, they could be considered two facets of an allied condition. The</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acknowledgement that a third factor, beyond food intake and adiposity, could be contributing to</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obesity</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and</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NAFLD</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prompted the</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investigation</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of the </w:t>
      </w:r>
      <w:proofErr w:type="spellStart"/>
      <w:r w:rsidRPr="006A39A0">
        <w:rPr>
          <w:rFonts w:ascii="Book Antiqua" w:hAnsi="Book Antiqua" w:cs="Times New Roman"/>
          <w:sz w:val="24"/>
          <w:szCs w:val="24"/>
          <w:lang w:val="en-US"/>
        </w:rPr>
        <w:t>adipogenic</w:t>
      </w:r>
      <w:proofErr w:type="spellEnd"/>
      <w:r w:rsidRPr="006A39A0">
        <w:rPr>
          <w:rFonts w:ascii="Book Antiqua" w:hAnsi="Book Antiqua" w:cs="Times New Roman"/>
          <w:sz w:val="24"/>
          <w:szCs w:val="24"/>
          <w:lang w:val="en-US"/>
        </w:rPr>
        <w:t xml:space="preserve"> adenoviruses ADV36 </w:t>
      </w:r>
      <w:proofErr w:type="spellStart"/>
      <w:r w:rsidRPr="006A39A0">
        <w:rPr>
          <w:rFonts w:ascii="Book Antiqua" w:hAnsi="Book Antiqua" w:cs="Times New Roman"/>
          <w:sz w:val="24"/>
          <w:szCs w:val="24"/>
          <w:lang w:val="en-US"/>
        </w:rPr>
        <w:t>seropositivity</w:t>
      </w:r>
      <w:proofErr w:type="spellEnd"/>
      <w:r w:rsidRPr="006A39A0">
        <w:rPr>
          <w:rFonts w:ascii="Book Antiqua" w:hAnsi="Book Antiqua" w:cs="Times New Roman"/>
          <w:sz w:val="24"/>
          <w:szCs w:val="24"/>
          <w:lang w:val="en-US"/>
        </w:rPr>
        <w:t xml:space="preserve"> relationship with</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fatty</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liver. In these</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investigations, the</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number</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of confounding variants</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was</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limited;</w:t>
      </w:r>
      <w:r w:rsidR="00C914A1">
        <w:rPr>
          <w:rFonts w:ascii="Book Antiqua" w:hAnsi="Book Antiqua" w:cs="Times New Roman"/>
          <w:sz w:val="24"/>
          <w:szCs w:val="24"/>
          <w:lang w:val="en-US"/>
        </w:rPr>
        <w:t xml:space="preserve"> </w:t>
      </w:r>
      <w:r w:rsidR="00C914A1" w:rsidRPr="00C914A1">
        <w:rPr>
          <w:rFonts w:ascii="Book Antiqua" w:hAnsi="Book Antiqua" w:cs="Times New Roman"/>
          <w:i/>
          <w:sz w:val="24"/>
          <w:szCs w:val="24"/>
          <w:lang w:val="en-US"/>
        </w:rPr>
        <w:t>i.e.</w:t>
      </w:r>
      <w:r w:rsidRPr="006A39A0">
        <w:rPr>
          <w:rFonts w:ascii="Book Antiqua" w:hAnsi="Book Antiqua" w:cs="Times New Roman"/>
          <w:sz w:val="24"/>
          <w:szCs w:val="24"/>
          <w:lang w:val="en-US"/>
        </w:rPr>
        <w:t xml:space="preserve"> subjects with different</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dietary profiles, diabetes, cancer</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and hepatitis C virus-related liver disease were excluded</w:t>
      </w:r>
      <w:r w:rsidR="00C914A1" w:rsidRPr="00C914A1">
        <w:rPr>
          <w:rFonts w:ascii="Book Antiqua" w:hAnsi="Book Antiqua" w:cs="Times New Roman"/>
          <w:sz w:val="24"/>
          <w:szCs w:val="24"/>
          <w:vertAlign w:val="superscript"/>
          <w:lang w:val="en-US"/>
        </w:rPr>
        <w:t>[</w:t>
      </w:r>
      <w:r w:rsidRPr="006A39A0">
        <w:rPr>
          <w:rFonts w:ascii="Book Antiqua" w:hAnsi="Book Antiqua" w:cs="Times New Roman"/>
          <w:sz w:val="24"/>
          <w:szCs w:val="24"/>
          <w:vertAlign w:val="superscript"/>
          <w:lang w:val="en-US"/>
        </w:rPr>
        <w:t>41]</w:t>
      </w:r>
      <w:r w:rsidRPr="006A39A0">
        <w:rPr>
          <w:rFonts w:ascii="Book Antiqua" w:hAnsi="Book Antiqua" w:cs="Times New Roman"/>
          <w:sz w:val="24"/>
          <w:szCs w:val="24"/>
          <w:lang w:val="en-US"/>
        </w:rPr>
        <w:t xml:space="preserve">. In this study we investigated prevalence of ADV36 </w:t>
      </w:r>
      <w:proofErr w:type="spellStart"/>
      <w:r w:rsidRPr="006A39A0">
        <w:rPr>
          <w:rFonts w:ascii="Book Antiqua" w:hAnsi="Book Antiqua" w:cs="Times New Roman"/>
          <w:sz w:val="24"/>
          <w:szCs w:val="24"/>
          <w:lang w:val="en-US"/>
        </w:rPr>
        <w:t>seropositivity</w:t>
      </w:r>
      <w:proofErr w:type="spellEnd"/>
      <w:r w:rsidRPr="006A39A0">
        <w:rPr>
          <w:rFonts w:ascii="Book Antiqua" w:hAnsi="Book Antiqua" w:cs="Times New Roman"/>
          <w:sz w:val="24"/>
          <w:szCs w:val="24"/>
          <w:lang w:val="en-US"/>
        </w:rPr>
        <w:t xml:space="preserve"> in NAFLD patients and observed a lower prevalence of ADV36 </w:t>
      </w:r>
      <w:proofErr w:type="spellStart"/>
      <w:r w:rsidRPr="006A39A0">
        <w:rPr>
          <w:rFonts w:ascii="Book Antiqua" w:hAnsi="Book Antiqua" w:cs="Times New Roman"/>
          <w:sz w:val="24"/>
          <w:szCs w:val="24"/>
          <w:lang w:val="en-US"/>
        </w:rPr>
        <w:t>seropositivity</w:t>
      </w:r>
      <w:proofErr w:type="spellEnd"/>
      <w:r w:rsidRPr="006A39A0">
        <w:rPr>
          <w:rFonts w:ascii="Book Antiqua" w:hAnsi="Book Antiqua" w:cs="Times New Roman"/>
          <w:sz w:val="24"/>
          <w:szCs w:val="24"/>
          <w:lang w:val="en-US"/>
        </w:rPr>
        <w:t xml:space="preserve"> (32.3%) in NAFLD patients in comparison with non-NAFLD subjects (46.5%), despite no difference of BMI, as averages, being observed in the two groups: 28.15</w:t>
      </w:r>
      <w:r w:rsidR="00C914A1">
        <w:rPr>
          <w:rFonts w:ascii="Book Antiqua" w:hAnsi="Book Antiqua" w:cs="Times New Roman" w:hint="eastAsia"/>
          <w:sz w:val="24"/>
          <w:szCs w:val="24"/>
          <w:lang w:val="en-US" w:eastAsia="zh-CN"/>
        </w:rPr>
        <w:t xml:space="preserve"> </w:t>
      </w:r>
      <w:r w:rsidRPr="006A39A0">
        <w:rPr>
          <w:rFonts w:ascii="Book Antiqua" w:hAnsi="Book Antiqua" w:cs="Times New Roman"/>
          <w:sz w:val="24"/>
          <w:szCs w:val="24"/>
          <w:lang w:val="en-US"/>
        </w:rPr>
        <w:t>±</w:t>
      </w:r>
      <w:r w:rsidR="00C914A1">
        <w:rPr>
          <w:rFonts w:ascii="Book Antiqua" w:hAnsi="Book Antiqua" w:cs="Times New Roman" w:hint="eastAsia"/>
          <w:sz w:val="24"/>
          <w:szCs w:val="24"/>
          <w:lang w:val="en-US" w:eastAsia="zh-CN"/>
        </w:rPr>
        <w:t xml:space="preserve"> </w:t>
      </w:r>
      <w:r w:rsidR="00C914A1">
        <w:rPr>
          <w:rFonts w:ascii="Book Antiqua" w:hAnsi="Book Antiqua" w:cs="Times New Roman"/>
          <w:sz w:val="24"/>
          <w:szCs w:val="24"/>
          <w:lang w:val="en-US"/>
        </w:rPr>
        <w:t xml:space="preserve">5.97 </w:t>
      </w:r>
      <w:r w:rsidR="00C914A1" w:rsidRPr="00C914A1">
        <w:rPr>
          <w:rFonts w:ascii="Book Antiqua" w:hAnsi="Book Antiqua" w:cs="Times New Roman"/>
          <w:i/>
          <w:sz w:val="24"/>
          <w:szCs w:val="24"/>
          <w:lang w:val="en-US"/>
        </w:rPr>
        <w:t>vs</w:t>
      </w:r>
      <w:r w:rsidRPr="006A39A0">
        <w:rPr>
          <w:rFonts w:ascii="Book Antiqua" w:hAnsi="Book Antiqua" w:cs="Times New Roman"/>
          <w:sz w:val="24"/>
          <w:szCs w:val="24"/>
          <w:lang w:val="en-US"/>
        </w:rPr>
        <w:t xml:space="preserve"> 27.11±5.36. </w:t>
      </w:r>
    </w:p>
    <w:p w:rsidR="000D6437" w:rsidRPr="006A39A0" w:rsidRDefault="000D6437" w:rsidP="008019CB">
      <w:pPr>
        <w:adjustRightInd w:val="0"/>
        <w:snapToGrid w:val="0"/>
        <w:spacing w:after="0" w:line="360" w:lineRule="auto"/>
        <w:ind w:firstLineChars="100" w:firstLine="240"/>
        <w:jc w:val="both"/>
        <w:rPr>
          <w:rFonts w:ascii="Book Antiqua" w:hAnsi="Book Antiqua" w:cs="Times New Roman"/>
          <w:sz w:val="24"/>
          <w:szCs w:val="24"/>
          <w:lang w:val="en-US"/>
        </w:rPr>
      </w:pPr>
      <w:r w:rsidRPr="006A39A0">
        <w:rPr>
          <w:rFonts w:ascii="Book Antiqua" w:hAnsi="Book Antiqua" w:cs="Times New Roman"/>
          <w:sz w:val="24"/>
          <w:szCs w:val="24"/>
          <w:lang w:val="en-US"/>
        </w:rPr>
        <w:t xml:space="preserve">By Odds Ratio, </w:t>
      </w:r>
      <w:r w:rsidR="00C914A1">
        <w:rPr>
          <w:rFonts w:ascii="Book Antiqua" w:hAnsi="Book Antiqua" w:cs="Times New Roman"/>
          <w:sz w:val="24"/>
          <w:szCs w:val="24"/>
          <w:lang w:val="en-US"/>
        </w:rPr>
        <w:t>Figure</w:t>
      </w:r>
      <w:r w:rsidRPr="006A39A0">
        <w:rPr>
          <w:rFonts w:ascii="Book Antiqua" w:hAnsi="Book Antiqua" w:cs="Times New Roman"/>
          <w:sz w:val="24"/>
          <w:szCs w:val="24"/>
          <w:lang w:val="en-US"/>
        </w:rPr>
        <w:t xml:space="preserve"> 4, a higher risk of non-alcoholic fatty liver disease is associated with insulin resistance and obesity, and a lower NAFLD risk is associated with ADV36 </w:t>
      </w:r>
      <w:proofErr w:type="spellStart"/>
      <w:proofErr w:type="gramStart"/>
      <w:r w:rsidRPr="006A39A0">
        <w:rPr>
          <w:rFonts w:ascii="Book Antiqua" w:hAnsi="Book Antiqua" w:cs="Times New Roman"/>
          <w:sz w:val="24"/>
          <w:szCs w:val="24"/>
          <w:lang w:val="en-US"/>
        </w:rPr>
        <w:t>seropositivity</w:t>
      </w:r>
      <w:proofErr w:type="spellEnd"/>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41]</w:t>
      </w:r>
      <w:r w:rsidRPr="006A39A0">
        <w:rPr>
          <w:rFonts w:ascii="Book Antiqua" w:hAnsi="Book Antiqua" w:cs="Times New Roman"/>
          <w:sz w:val="24"/>
          <w:szCs w:val="24"/>
          <w:lang w:val="en-US"/>
        </w:rPr>
        <w:t>.</w:t>
      </w:r>
    </w:p>
    <w:p w:rsidR="000D6437" w:rsidRPr="006A39A0" w:rsidRDefault="000D6437" w:rsidP="008019CB">
      <w:pPr>
        <w:adjustRightInd w:val="0"/>
        <w:snapToGrid w:val="0"/>
        <w:spacing w:after="0" w:line="360" w:lineRule="auto"/>
        <w:ind w:firstLineChars="100" w:firstLine="240"/>
        <w:jc w:val="both"/>
        <w:rPr>
          <w:rFonts w:ascii="Book Antiqua" w:hAnsi="Book Antiqua" w:cs="Times New Roman"/>
          <w:sz w:val="24"/>
          <w:szCs w:val="24"/>
          <w:lang w:val="en-US"/>
        </w:rPr>
      </w:pPr>
      <w:r w:rsidRPr="006A39A0">
        <w:rPr>
          <w:rFonts w:ascii="Book Antiqua" w:hAnsi="Book Antiqua" w:cs="Times New Roman"/>
          <w:sz w:val="24"/>
          <w:szCs w:val="24"/>
          <w:lang w:val="en-US"/>
        </w:rPr>
        <w:t>Considering all the NAFLD patients, the same grade of BLS, age, insulin resistance, cholesterol and triglycerides was observed, but a significant difference of BMI, greater in ADV36 positive subjects (30.58</w:t>
      </w:r>
      <w:r w:rsidR="00C914A1">
        <w:rPr>
          <w:rFonts w:ascii="Book Antiqua" w:hAnsi="Book Antiqua" w:cs="Times New Roman" w:hint="eastAsia"/>
          <w:sz w:val="24"/>
          <w:szCs w:val="24"/>
          <w:lang w:val="en-US" w:eastAsia="zh-CN"/>
        </w:rPr>
        <w:t xml:space="preserve"> </w:t>
      </w:r>
      <w:r w:rsidRPr="006A39A0">
        <w:rPr>
          <w:rFonts w:ascii="Book Antiqua" w:hAnsi="Book Antiqua" w:cs="Times New Roman"/>
          <w:sz w:val="24"/>
          <w:szCs w:val="24"/>
          <w:lang w:val="en-US"/>
        </w:rPr>
        <w:t>±</w:t>
      </w:r>
      <w:r w:rsidR="00C914A1">
        <w:rPr>
          <w:rFonts w:ascii="Book Antiqua" w:hAnsi="Book Antiqua" w:cs="Times New Roman" w:hint="eastAsia"/>
          <w:sz w:val="24"/>
          <w:szCs w:val="24"/>
          <w:lang w:val="en-US" w:eastAsia="zh-CN"/>
        </w:rPr>
        <w:t xml:space="preserve"> </w:t>
      </w:r>
      <w:r w:rsidR="00C914A1">
        <w:rPr>
          <w:rFonts w:ascii="Book Antiqua" w:hAnsi="Book Antiqua" w:cs="Times New Roman"/>
          <w:sz w:val="24"/>
          <w:szCs w:val="24"/>
          <w:lang w:val="en-US"/>
        </w:rPr>
        <w:t xml:space="preserve">5.81 </w:t>
      </w:r>
      <w:r w:rsidR="00C914A1" w:rsidRPr="00C914A1">
        <w:rPr>
          <w:rFonts w:ascii="Book Antiqua" w:hAnsi="Book Antiqua" w:cs="Times New Roman"/>
          <w:i/>
          <w:sz w:val="24"/>
          <w:szCs w:val="24"/>
          <w:lang w:val="en-US"/>
        </w:rPr>
        <w:t>vs</w:t>
      </w:r>
      <w:r w:rsidRPr="006A39A0">
        <w:rPr>
          <w:rFonts w:ascii="Book Antiqua" w:hAnsi="Book Antiqua" w:cs="Times New Roman"/>
          <w:sz w:val="24"/>
          <w:szCs w:val="24"/>
          <w:lang w:val="en-US"/>
        </w:rPr>
        <w:t xml:space="preserve"> 26.99</w:t>
      </w:r>
      <w:r w:rsidR="00C914A1">
        <w:rPr>
          <w:rFonts w:ascii="Book Antiqua" w:hAnsi="Book Antiqua" w:cs="Times New Roman" w:hint="eastAsia"/>
          <w:sz w:val="24"/>
          <w:szCs w:val="24"/>
          <w:lang w:val="en-US" w:eastAsia="zh-CN"/>
        </w:rPr>
        <w:t xml:space="preserve"> </w:t>
      </w:r>
      <w:r w:rsidRPr="006A39A0">
        <w:rPr>
          <w:rFonts w:ascii="Book Antiqua" w:hAnsi="Book Antiqua" w:cs="Times New Roman"/>
          <w:sz w:val="24"/>
          <w:szCs w:val="24"/>
          <w:lang w:val="en-US"/>
        </w:rPr>
        <w:t>± 5.76) was present.</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This suggested the possibility of an anti-</w:t>
      </w:r>
      <w:proofErr w:type="spellStart"/>
      <w:r w:rsidRPr="006A39A0">
        <w:rPr>
          <w:rFonts w:ascii="Book Antiqua" w:hAnsi="Book Antiqua" w:cs="Times New Roman"/>
          <w:sz w:val="24"/>
          <w:szCs w:val="24"/>
          <w:lang w:val="en-US"/>
        </w:rPr>
        <w:t>steatogenic</w:t>
      </w:r>
      <w:proofErr w:type="spellEnd"/>
      <w:r w:rsidRPr="006A39A0">
        <w:rPr>
          <w:rFonts w:ascii="Book Antiqua" w:hAnsi="Book Antiqua" w:cs="Times New Roman"/>
          <w:sz w:val="24"/>
          <w:szCs w:val="24"/>
          <w:lang w:val="en-US"/>
        </w:rPr>
        <w:t xml:space="preserve"> effect of ADV36 implying a</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better metabolic</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profile in ADV36 non-diabetic infected subjects, compared to the uninfected</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subjects which show the same degree of obesity. Whereas, recent cross-sectional and longitudinal studies showed</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that ADV36 </w:t>
      </w:r>
      <w:proofErr w:type="spellStart"/>
      <w:r w:rsidRPr="006A39A0">
        <w:rPr>
          <w:rFonts w:ascii="Book Antiqua" w:hAnsi="Book Antiqua" w:cs="Times New Roman"/>
          <w:sz w:val="24"/>
          <w:szCs w:val="24"/>
          <w:lang w:val="en-US"/>
        </w:rPr>
        <w:t>seropositivity</w:t>
      </w:r>
      <w:proofErr w:type="spellEnd"/>
      <w:r w:rsidRPr="006A39A0">
        <w:rPr>
          <w:rFonts w:ascii="Book Antiqua" w:hAnsi="Book Antiqua" w:cs="Times New Roman"/>
          <w:sz w:val="24"/>
          <w:szCs w:val="24"/>
          <w:lang w:val="en-US"/>
        </w:rPr>
        <w:t xml:space="preserve"> is associated</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with better</w:t>
      </w:r>
      <w:r w:rsidR="00C914A1">
        <w:rPr>
          <w:rFonts w:ascii="Book Antiqua" w:hAnsi="Book Antiqua" w:cs="Times New Roman"/>
          <w:sz w:val="24"/>
          <w:szCs w:val="24"/>
          <w:lang w:val="en-US"/>
        </w:rPr>
        <w:t xml:space="preserve"> </w:t>
      </w:r>
      <w:proofErr w:type="spellStart"/>
      <w:r w:rsidRPr="006A39A0">
        <w:rPr>
          <w:rFonts w:ascii="Book Antiqua" w:hAnsi="Book Antiqua" w:cs="Times New Roman"/>
          <w:sz w:val="24"/>
          <w:szCs w:val="24"/>
          <w:lang w:val="en-US"/>
        </w:rPr>
        <w:t>glycaemic</w:t>
      </w:r>
      <w:proofErr w:type="spellEnd"/>
      <w:r w:rsidRPr="006A39A0">
        <w:rPr>
          <w:rFonts w:ascii="Book Antiqua" w:hAnsi="Book Antiqua" w:cs="Times New Roman"/>
          <w:sz w:val="24"/>
          <w:szCs w:val="24"/>
          <w:lang w:val="en-US"/>
        </w:rPr>
        <w:t xml:space="preserve"> control in </w:t>
      </w:r>
      <w:proofErr w:type="gramStart"/>
      <w:r w:rsidRPr="006A39A0">
        <w:rPr>
          <w:rFonts w:ascii="Book Antiqua" w:hAnsi="Book Antiqua" w:cs="Times New Roman"/>
          <w:sz w:val="24"/>
          <w:szCs w:val="24"/>
          <w:lang w:val="en-US"/>
        </w:rPr>
        <w:t>humans</w:t>
      </w:r>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42-45]</w:t>
      </w:r>
      <w:r w:rsidRPr="006A39A0">
        <w:rPr>
          <w:rFonts w:ascii="Book Antiqua" w:hAnsi="Book Antiqua" w:cs="Times New Roman"/>
          <w:sz w:val="24"/>
          <w:szCs w:val="24"/>
          <w:lang w:val="en-US"/>
        </w:rPr>
        <w:t xml:space="preserve">. </w:t>
      </w:r>
    </w:p>
    <w:p w:rsidR="00C914A1" w:rsidRDefault="00C914A1" w:rsidP="008019CB">
      <w:pPr>
        <w:adjustRightInd w:val="0"/>
        <w:snapToGrid w:val="0"/>
        <w:spacing w:after="0" w:line="360" w:lineRule="auto"/>
        <w:jc w:val="both"/>
        <w:rPr>
          <w:rFonts w:ascii="Book Antiqua" w:hAnsi="Book Antiqua" w:cs="Times New Roman"/>
          <w:sz w:val="24"/>
          <w:szCs w:val="24"/>
          <w:lang w:val="en-US" w:eastAsia="zh-CN"/>
        </w:rPr>
      </w:pPr>
    </w:p>
    <w:p w:rsidR="000D6437" w:rsidRPr="00C914A1" w:rsidRDefault="000D6437" w:rsidP="008019CB">
      <w:pPr>
        <w:adjustRightInd w:val="0"/>
        <w:snapToGrid w:val="0"/>
        <w:spacing w:after="0" w:line="360" w:lineRule="auto"/>
        <w:jc w:val="both"/>
        <w:rPr>
          <w:rFonts w:ascii="Book Antiqua" w:hAnsi="Book Antiqua" w:cs="Times New Roman"/>
          <w:b/>
          <w:sz w:val="24"/>
          <w:szCs w:val="24"/>
          <w:lang w:val="en-US"/>
        </w:rPr>
      </w:pPr>
      <w:r w:rsidRPr="00C914A1">
        <w:rPr>
          <w:rFonts w:ascii="Book Antiqua" w:hAnsi="Book Antiqua" w:cs="Times New Roman"/>
          <w:b/>
          <w:sz w:val="24"/>
          <w:szCs w:val="24"/>
          <w:lang w:val="en-US"/>
        </w:rPr>
        <w:t>ADENOVIRUS ADV37</w:t>
      </w:r>
    </w:p>
    <w:p w:rsidR="000D6437" w:rsidRPr="006A39A0" w:rsidRDefault="000D6437" w:rsidP="008019CB">
      <w:pPr>
        <w:adjustRightInd w:val="0"/>
        <w:snapToGrid w:val="0"/>
        <w:spacing w:after="0" w:line="360" w:lineRule="auto"/>
        <w:jc w:val="both"/>
        <w:rPr>
          <w:rFonts w:ascii="Book Antiqua" w:hAnsi="Book Antiqua" w:cs="Times New Roman"/>
          <w:sz w:val="24"/>
          <w:szCs w:val="24"/>
          <w:lang w:val="en-US"/>
        </w:rPr>
      </w:pPr>
      <w:r w:rsidRPr="006A39A0">
        <w:rPr>
          <w:rFonts w:ascii="Book Antiqua" w:hAnsi="Book Antiqua" w:cs="Times New Roman"/>
          <w:sz w:val="24"/>
          <w:szCs w:val="24"/>
          <w:lang w:val="en-US"/>
        </w:rPr>
        <w:t>Along the same line of research we investigated also whether non- diabetic patients with</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previous ADV37 infection, under</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uniform, appropriate, and reasonably healthy dietary pro</w:t>
      </w:r>
      <w:r w:rsidRPr="006A39A0">
        <w:rPr>
          <w:rFonts w:ascii="Book Antiqua" w:hAnsi="Book Antiqua" w:cs="Times New Roman"/>
          <w:sz w:val="24"/>
          <w:szCs w:val="24"/>
        </w:rPr>
        <w:t>ﬁ</w:t>
      </w:r>
      <w:r w:rsidRPr="006A39A0">
        <w:rPr>
          <w:rFonts w:ascii="Book Antiqua" w:hAnsi="Book Antiqua" w:cs="Times New Roman"/>
          <w:sz w:val="24"/>
          <w:szCs w:val="24"/>
          <w:lang w:val="en-US"/>
        </w:rPr>
        <w:t>le prescriptions, show different</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prevalence of overweight-obesity, insulin resistance, assessed by</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HOMA, and/or fatty </w:t>
      </w:r>
      <w:proofErr w:type="gramStart"/>
      <w:r w:rsidRPr="006A39A0">
        <w:rPr>
          <w:rFonts w:ascii="Book Antiqua" w:hAnsi="Book Antiqua" w:cs="Times New Roman"/>
          <w:sz w:val="24"/>
          <w:szCs w:val="24"/>
          <w:lang w:val="en-US"/>
        </w:rPr>
        <w:t>liver</w:t>
      </w:r>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46]</w:t>
      </w:r>
      <w:r w:rsidRPr="006A39A0">
        <w:rPr>
          <w:rFonts w:ascii="Book Antiqua" w:hAnsi="Book Antiqua" w:cs="Times New Roman"/>
          <w:sz w:val="24"/>
          <w:szCs w:val="24"/>
          <w:lang w:val="en-US"/>
        </w:rPr>
        <w:t xml:space="preserve">. ADV37 </w:t>
      </w:r>
      <w:proofErr w:type="spellStart"/>
      <w:r w:rsidRPr="006A39A0">
        <w:rPr>
          <w:rFonts w:ascii="Book Antiqua" w:hAnsi="Book Antiqua" w:cs="Times New Roman"/>
          <w:sz w:val="24"/>
          <w:szCs w:val="24"/>
          <w:lang w:val="en-US"/>
        </w:rPr>
        <w:t>seropositivity</w:t>
      </w:r>
      <w:proofErr w:type="spellEnd"/>
      <w:r w:rsidRPr="006A39A0">
        <w:rPr>
          <w:rFonts w:ascii="Book Antiqua" w:hAnsi="Book Antiqua" w:cs="Times New Roman"/>
          <w:sz w:val="24"/>
          <w:szCs w:val="24"/>
          <w:lang w:val="en-US"/>
        </w:rPr>
        <w:t xml:space="preserve"> is not associated with a significant increase of prevalence and severity of obesity in comparison with ADV37 </w:t>
      </w:r>
      <w:proofErr w:type="spellStart"/>
      <w:r w:rsidRPr="006A39A0">
        <w:rPr>
          <w:rFonts w:ascii="Book Antiqua" w:hAnsi="Book Antiqua" w:cs="Times New Roman"/>
          <w:sz w:val="24"/>
          <w:szCs w:val="24"/>
          <w:lang w:val="en-US"/>
        </w:rPr>
        <w:lastRenderedPageBreak/>
        <w:t>seronegative</w:t>
      </w:r>
      <w:proofErr w:type="spellEnd"/>
      <w:r w:rsidRPr="006A39A0">
        <w:rPr>
          <w:rFonts w:ascii="Book Antiqua" w:hAnsi="Book Antiqua" w:cs="Times New Roman"/>
          <w:sz w:val="24"/>
          <w:szCs w:val="24"/>
          <w:lang w:val="en-US"/>
        </w:rPr>
        <w:t xml:space="preserve"> subjects</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but have a significantly greater prevalence of NAFLD, which is concurrently explained in a MLR model by ADC37 </w:t>
      </w:r>
      <w:proofErr w:type="spellStart"/>
      <w:r w:rsidRPr="006A39A0">
        <w:rPr>
          <w:rFonts w:ascii="Book Antiqua" w:hAnsi="Book Antiqua" w:cs="Times New Roman"/>
          <w:sz w:val="24"/>
          <w:szCs w:val="24"/>
          <w:lang w:val="en-US"/>
        </w:rPr>
        <w:t>seropositivity</w:t>
      </w:r>
      <w:proofErr w:type="spellEnd"/>
      <w:r w:rsidRPr="006A39A0">
        <w:rPr>
          <w:rFonts w:ascii="Book Antiqua" w:hAnsi="Book Antiqua" w:cs="Times New Roman"/>
          <w:sz w:val="24"/>
          <w:szCs w:val="24"/>
          <w:lang w:val="en-US"/>
        </w:rPr>
        <w:t xml:space="preserve"> and greater body weight (Table 2).</w:t>
      </w:r>
    </w:p>
    <w:p w:rsidR="000D6437" w:rsidRPr="006A39A0" w:rsidRDefault="000D6437" w:rsidP="008019CB">
      <w:pPr>
        <w:adjustRightInd w:val="0"/>
        <w:snapToGrid w:val="0"/>
        <w:spacing w:after="0" w:line="360" w:lineRule="auto"/>
        <w:ind w:firstLineChars="100" w:firstLine="240"/>
        <w:jc w:val="both"/>
        <w:rPr>
          <w:rFonts w:ascii="Book Antiqua" w:hAnsi="Book Antiqua" w:cs="Times New Roman"/>
          <w:sz w:val="24"/>
          <w:szCs w:val="24"/>
          <w:lang w:val="en-US"/>
        </w:rPr>
      </w:pPr>
      <w:r w:rsidRPr="006A39A0">
        <w:rPr>
          <w:rFonts w:ascii="Book Antiqua" w:hAnsi="Book Antiqua" w:cs="Times New Roman"/>
          <w:sz w:val="24"/>
          <w:szCs w:val="24"/>
          <w:lang w:val="en-US"/>
        </w:rPr>
        <w:t xml:space="preserve">There is a greater relative hazard of fatty liver for ADV37 seropositive patients, as expressed by the Odds ratio. </w:t>
      </w:r>
      <w:r w:rsidR="006D5475" w:rsidRPr="006A39A0">
        <w:rPr>
          <w:rFonts w:ascii="Book Antiqua" w:hAnsi="Book Antiqua" w:cs="Times New Roman"/>
          <w:sz w:val="24"/>
          <w:szCs w:val="24"/>
          <w:lang w:val="en-US"/>
        </w:rPr>
        <w:t xml:space="preserve">In </w:t>
      </w:r>
      <w:r w:rsidR="00C914A1">
        <w:rPr>
          <w:rFonts w:ascii="Book Antiqua" w:hAnsi="Book Antiqua" w:cs="Times New Roman"/>
          <w:sz w:val="24"/>
          <w:szCs w:val="24"/>
          <w:lang w:val="en-US"/>
        </w:rPr>
        <w:t>Figure</w:t>
      </w:r>
      <w:r w:rsidR="00423588">
        <w:rPr>
          <w:rFonts w:ascii="Book Antiqua" w:hAnsi="Book Antiqua" w:cs="Times New Roman" w:hint="eastAsia"/>
          <w:sz w:val="24"/>
          <w:szCs w:val="24"/>
          <w:lang w:val="en-US" w:eastAsia="zh-CN"/>
        </w:rPr>
        <w:t xml:space="preserve"> </w:t>
      </w:r>
      <w:r w:rsidRPr="006A39A0">
        <w:rPr>
          <w:rFonts w:ascii="Book Antiqua" w:hAnsi="Book Antiqua" w:cs="Times New Roman"/>
          <w:sz w:val="24"/>
          <w:szCs w:val="24"/>
          <w:lang w:val="en-US"/>
        </w:rPr>
        <w:t>5</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Odds</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ratios</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show</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that</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an</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increased risk of obesity (top)</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is associated with greater insulin resistance, C-reactive protein (CRP), and</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ADV37 </w:t>
      </w:r>
      <w:proofErr w:type="spellStart"/>
      <w:r w:rsidRPr="006A39A0">
        <w:rPr>
          <w:rFonts w:ascii="Book Antiqua" w:hAnsi="Book Antiqua" w:cs="Times New Roman"/>
          <w:sz w:val="24"/>
          <w:szCs w:val="24"/>
          <w:lang w:val="en-US"/>
        </w:rPr>
        <w:t>seropositivity</w:t>
      </w:r>
      <w:proofErr w:type="spellEnd"/>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(ADV37+),</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whereas</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higher</w:t>
      </w:r>
      <w:r w:rsidR="00C914A1">
        <w:rPr>
          <w:rFonts w:ascii="Book Antiqua" w:hAnsi="Book Antiqua" w:cs="Times New Roman"/>
          <w:sz w:val="24"/>
          <w:szCs w:val="24"/>
          <w:lang w:val="en-US"/>
        </w:rPr>
        <w:t xml:space="preserve"> </w:t>
      </w:r>
      <w:r w:rsidR="00DA6968" w:rsidRPr="006A39A0">
        <w:rPr>
          <w:rFonts w:ascii="Book Antiqua" w:hAnsi="Book Antiqua" w:cs="Times New Roman"/>
          <w:sz w:val="24"/>
          <w:szCs w:val="24"/>
          <w:lang w:val="en-US"/>
        </w:rPr>
        <w:t xml:space="preserve">high-density lipoprotein </w:t>
      </w:r>
      <w:r w:rsidR="00DA6968">
        <w:rPr>
          <w:rFonts w:ascii="Book Antiqua" w:hAnsi="Book Antiqua" w:cs="Times New Roman" w:hint="eastAsia"/>
          <w:sz w:val="24"/>
          <w:szCs w:val="24"/>
          <w:lang w:val="en-US" w:eastAsia="zh-CN"/>
        </w:rPr>
        <w:t>(</w:t>
      </w:r>
      <w:r w:rsidRPr="006A39A0">
        <w:rPr>
          <w:rFonts w:ascii="Book Antiqua" w:hAnsi="Book Antiqua" w:cs="Times New Roman"/>
          <w:sz w:val="24"/>
          <w:szCs w:val="24"/>
          <w:lang w:val="en-US"/>
        </w:rPr>
        <w:t>HDL</w:t>
      </w:r>
      <w:r w:rsidR="00DA6968">
        <w:rPr>
          <w:rFonts w:ascii="Book Antiqua" w:hAnsi="Book Antiqua" w:cs="Times New Roman" w:hint="eastAsia"/>
          <w:sz w:val="24"/>
          <w:szCs w:val="24"/>
          <w:lang w:val="en-US" w:eastAsia="zh-CN"/>
        </w:rPr>
        <w:t>)</w:t>
      </w:r>
      <w:r w:rsidRPr="006A39A0">
        <w:rPr>
          <w:rFonts w:ascii="Book Antiqua" w:hAnsi="Book Antiqua" w:cs="Times New Roman"/>
          <w:sz w:val="24"/>
          <w:szCs w:val="24"/>
          <w:lang w:val="en-US"/>
        </w:rPr>
        <w:t xml:space="preserve"> cholesterol is associated</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with</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lower</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prevalence of obesity.</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A more</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consistent</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association</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of ADV37+,</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greater insulin resistance, CRP, and</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obesity was observed with</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NAFLD (bottom), whereas</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higher</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HDL cholesterol was associated with a lower prevalence of NAFLD. No sex difference was found.</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 CRP indicates C-reactive protein; HDL, high-density lipoprotein; NAFLD, nonalcoholic fatty liver disease. This behavior is different, if not the opposite of, that of ADV36.</w:t>
      </w:r>
    </w:p>
    <w:p w:rsidR="000D6437" w:rsidRPr="006A39A0" w:rsidRDefault="000D6437" w:rsidP="008019CB">
      <w:pPr>
        <w:adjustRightInd w:val="0"/>
        <w:snapToGrid w:val="0"/>
        <w:spacing w:after="0" w:line="360" w:lineRule="auto"/>
        <w:jc w:val="both"/>
        <w:rPr>
          <w:rFonts w:ascii="Book Antiqua" w:hAnsi="Book Antiqua" w:cs="Times New Roman"/>
          <w:sz w:val="24"/>
          <w:szCs w:val="24"/>
          <w:lang w:val="en-US" w:eastAsia="zh-CN"/>
        </w:rPr>
      </w:pPr>
    </w:p>
    <w:p w:rsidR="000D6437" w:rsidRPr="00C914A1" w:rsidRDefault="000D6437" w:rsidP="008019CB">
      <w:pPr>
        <w:adjustRightInd w:val="0"/>
        <w:snapToGrid w:val="0"/>
        <w:spacing w:after="0" w:line="360" w:lineRule="auto"/>
        <w:jc w:val="both"/>
        <w:rPr>
          <w:rFonts w:ascii="Book Antiqua" w:hAnsi="Book Antiqua" w:cs="Times New Roman"/>
          <w:b/>
          <w:sz w:val="24"/>
          <w:szCs w:val="24"/>
          <w:lang w:val="en-US"/>
        </w:rPr>
      </w:pPr>
      <w:r w:rsidRPr="00C914A1">
        <w:rPr>
          <w:rFonts w:ascii="Book Antiqua" w:hAnsi="Book Antiqua" w:cs="Times New Roman"/>
          <w:b/>
          <w:sz w:val="24"/>
          <w:szCs w:val="24"/>
          <w:lang w:val="en-US"/>
        </w:rPr>
        <w:t>SOME REMARKS</w:t>
      </w:r>
    </w:p>
    <w:p w:rsidR="000D6437" w:rsidRPr="006A39A0" w:rsidRDefault="000D6437" w:rsidP="008019CB">
      <w:pPr>
        <w:adjustRightInd w:val="0"/>
        <w:snapToGrid w:val="0"/>
        <w:spacing w:after="0" w:line="360" w:lineRule="auto"/>
        <w:jc w:val="both"/>
        <w:rPr>
          <w:rFonts w:ascii="Book Antiqua" w:hAnsi="Book Antiqua" w:cs="Times New Roman"/>
          <w:sz w:val="24"/>
          <w:szCs w:val="24"/>
          <w:lang w:val="en-US"/>
        </w:rPr>
      </w:pPr>
      <w:r w:rsidRPr="006A39A0">
        <w:rPr>
          <w:rFonts w:ascii="Book Antiqua" w:hAnsi="Book Antiqua" w:cs="Times New Roman"/>
          <w:sz w:val="24"/>
          <w:szCs w:val="24"/>
          <w:lang w:val="en-US"/>
        </w:rPr>
        <w:t xml:space="preserve">These two </w:t>
      </w:r>
      <w:proofErr w:type="spellStart"/>
      <w:r w:rsidRPr="006A39A0">
        <w:rPr>
          <w:rFonts w:ascii="Book Antiqua" w:hAnsi="Book Antiqua" w:cs="Times New Roman"/>
          <w:sz w:val="24"/>
          <w:szCs w:val="24"/>
          <w:lang w:val="en-US"/>
        </w:rPr>
        <w:t>adipogenetic</w:t>
      </w:r>
      <w:proofErr w:type="spellEnd"/>
      <w:r w:rsidRPr="006A39A0">
        <w:rPr>
          <w:rFonts w:ascii="Book Antiqua" w:hAnsi="Book Antiqua" w:cs="Times New Roman"/>
          <w:sz w:val="24"/>
          <w:szCs w:val="24"/>
          <w:lang w:val="en-US"/>
        </w:rPr>
        <w:t xml:space="preserve"> Adenoviruses, ADV36 and ADV37,</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appear to be associated with different </w:t>
      </w:r>
      <w:proofErr w:type="spellStart"/>
      <w:r w:rsidRPr="006A39A0">
        <w:rPr>
          <w:rFonts w:ascii="Book Antiqua" w:hAnsi="Book Antiqua" w:cs="Times New Roman"/>
          <w:sz w:val="24"/>
          <w:szCs w:val="24"/>
          <w:lang w:val="en-US"/>
        </w:rPr>
        <w:t>lipidogenic</w:t>
      </w:r>
      <w:proofErr w:type="spellEnd"/>
      <w:r w:rsidRPr="006A39A0">
        <w:rPr>
          <w:rFonts w:ascii="Book Antiqua" w:hAnsi="Book Antiqua" w:cs="Times New Roman"/>
          <w:sz w:val="24"/>
          <w:szCs w:val="24"/>
          <w:lang w:val="en-US"/>
        </w:rPr>
        <w:t xml:space="preserve"> effects at least in two different organs, notably liver and fat cells. The need for additional longitudinal/prospective studies is obvious. Moreover, there are no data available </w:t>
      </w:r>
      <w:proofErr w:type="spellStart"/>
      <w:r w:rsidRPr="006A39A0">
        <w:rPr>
          <w:rFonts w:ascii="Book Antiqua" w:hAnsi="Book Antiqua" w:cs="Times New Roman"/>
          <w:sz w:val="24"/>
          <w:szCs w:val="24"/>
          <w:lang w:val="en-US"/>
        </w:rPr>
        <w:t>regardingearly</w:t>
      </w:r>
      <w:proofErr w:type="spellEnd"/>
      <w:r w:rsidRPr="006A39A0">
        <w:rPr>
          <w:rFonts w:ascii="Book Antiqua" w:hAnsi="Book Antiqua" w:cs="Times New Roman"/>
          <w:sz w:val="24"/>
          <w:szCs w:val="24"/>
          <w:lang w:val="en-US"/>
        </w:rPr>
        <w:t xml:space="preserve"> infection and subsequent </w:t>
      </w:r>
      <w:proofErr w:type="spellStart"/>
      <w:r w:rsidRPr="006A39A0">
        <w:rPr>
          <w:rFonts w:ascii="Book Antiqua" w:hAnsi="Book Antiqua" w:cs="Times New Roman"/>
          <w:sz w:val="24"/>
          <w:szCs w:val="24"/>
          <w:lang w:val="en-US"/>
        </w:rPr>
        <w:t>seroconversion</w:t>
      </w:r>
      <w:proofErr w:type="spellEnd"/>
      <w:r w:rsidRPr="006A39A0">
        <w:rPr>
          <w:rFonts w:ascii="Book Antiqua" w:hAnsi="Book Antiqua" w:cs="Times New Roman"/>
          <w:sz w:val="24"/>
          <w:szCs w:val="24"/>
          <w:lang w:val="en-US"/>
        </w:rPr>
        <w:t xml:space="preserve"> – no data are available for subjects shifting from a condition of </w:t>
      </w:r>
      <w:proofErr w:type="spellStart"/>
      <w:r w:rsidRPr="006A39A0">
        <w:rPr>
          <w:rFonts w:ascii="Book Antiqua" w:hAnsi="Book Antiqua" w:cs="Times New Roman"/>
          <w:sz w:val="24"/>
          <w:szCs w:val="24"/>
          <w:lang w:val="en-US"/>
        </w:rPr>
        <w:t>seropositivity</w:t>
      </w:r>
      <w:proofErr w:type="spellEnd"/>
      <w:r w:rsidRPr="006A39A0">
        <w:rPr>
          <w:rFonts w:ascii="Book Antiqua" w:hAnsi="Book Antiqua" w:cs="Times New Roman"/>
          <w:sz w:val="24"/>
          <w:szCs w:val="24"/>
          <w:lang w:val="en-US"/>
        </w:rPr>
        <w:t xml:space="preserve"> to </w:t>
      </w:r>
      <w:proofErr w:type="spellStart"/>
      <w:r w:rsidRPr="006A39A0">
        <w:rPr>
          <w:rFonts w:ascii="Book Antiqua" w:hAnsi="Book Antiqua" w:cs="Times New Roman"/>
          <w:sz w:val="24"/>
          <w:szCs w:val="24"/>
          <w:lang w:val="en-US"/>
        </w:rPr>
        <w:t>seronegativity</w:t>
      </w:r>
      <w:proofErr w:type="spellEnd"/>
      <w:r w:rsidRPr="006A39A0">
        <w:rPr>
          <w:rFonts w:ascii="Book Antiqua" w:hAnsi="Book Antiqua" w:cs="Times New Roman"/>
          <w:sz w:val="24"/>
          <w:szCs w:val="24"/>
          <w:lang w:val="en-US"/>
        </w:rPr>
        <w:t xml:space="preserve">. Last but not least, no clear-cut information is currently available on the compound ADV36/ADV37 </w:t>
      </w:r>
      <w:proofErr w:type="spellStart"/>
      <w:r w:rsidRPr="006A39A0">
        <w:rPr>
          <w:rFonts w:ascii="Book Antiqua" w:hAnsi="Book Antiqua" w:cs="Times New Roman"/>
          <w:sz w:val="24"/>
          <w:szCs w:val="24"/>
          <w:lang w:val="en-US"/>
        </w:rPr>
        <w:t>seropositivity</w:t>
      </w:r>
      <w:proofErr w:type="spellEnd"/>
      <w:r w:rsidRPr="006A39A0">
        <w:rPr>
          <w:rFonts w:ascii="Book Antiqua" w:hAnsi="Book Antiqua" w:cs="Times New Roman"/>
          <w:sz w:val="24"/>
          <w:szCs w:val="24"/>
          <w:lang w:val="en-US"/>
        </w:rPr>
        <w:t xml:space="preserve">. We observed that ADV36+ and ADV37+ compound </w:t>
      </w:r>
      <w:proofErr w:type="spellStart"/>
      <w:r w:rsidRPr="006A39A0">
        <w:rPr>
          <w:rFonts w:ascii="Book Antiqua" w:hAnsi="Book Antiqua" w:cs="Times New Roman"/>
          <w:sz w:val="24"/>
          <w:szCs w:val="24"/>
          <w:lang w:val="en-US"/>
        </w:rPr>
        <w:t>seropositivity</w:t>
      </w:r>
      <w:proofErr w:type="spellEnd"/>
      <w:r w:rsidRPr="006A39A0">
        <w:rPr>
          <w:rFonts w:ascii="Book Antiqua" w:hAnsi="Book Antiqua" w:cs="Times New Roman"/>
          <w:sz w:val="24"/>
          <w:szCs w:val="24"/>
          <w:lang w:val="en-US"/>
        </w:rPr>
        <w:t xml:space="preserve">, independently by difference of nutritional profile, has no additive effect on obesity and insulin </w:t>
      </w:r>
      <w:proofErr w:type="gramStart"/>
      <w:r w:rsidRPr="006A39A0">
        <w:rPr>
          <w:rFonts w:ascii="Book Antiqua" w:hAnsi="Book Antiqua" w:cs="Times New Roman"/>
          <w:sz w:val="24"/>
          <w:szCs w:val="24"/>
          <w:lang w:val="en-US"/>
        </w:rPr>
        <w:t>resistance</w:t>
      </w:r>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47]</w:t>
      </w:r>
      <w:r w:rsidRPr="006A39A0">
        <w:rPr>
          <w:rFonts w:ascii="Book Antiqua" w:hAnsi="Book Antiqua" w:cs="Times New Roman"/>
          <w:sz w:val="24"/>
          <w:szCs w:val="24"/>
          <w:lang w:val="en-US"/>
        </w:rPr>
        <w:t xml:space="preserve">. </w:t>
      </w:r>
    </w:p>
    <w:p w:rsidR="00C914A1" w:rsidRPr="00C914A1" w:rsidRDefault="00C914A1" w:rsidP="008019CB">
      <w:pPr>
        <w:adjustRightInd w:val="0"/>
        <w:snapToGrid w:val="0"/>
        <w:spacing w:after="0" w:line="360" w:lineRule="auto"/>
        <w:jc w:val="both"/>
        <w:rPr>
          <w:rFonts w:ascii="Book Antiqua" w:hAnsi="Book Antiqua" w:cs="Times New Roman"/>
          <w:b/>
          <w:sz w:val="24"/>
          <w:szCs w:val="24"/>
          <w:lang w:val="en-US" w:eastAsia="zh-CN"/>
        </w:rPr>
      </w:pPr>
    </w:p>
    <w:p w:rsidR="000D6437" w:rsidRPr="00C914A1" w:rsidRDefault="000D6437" w:rsidP="008019CB">
      <w:pPr>
        <w:adjustRightInd w:val="0"/>
        <w:snapToGrid w:val="0"/>
        <w:spacing w:after="0" w:line="360" w:lineRule="auto"/>
        <w:jc w:val="both"/>
        <w:rPr>
          <w:rFonts w:ascii="Book Antiqua" w:hAnsi="Book Antiqua" w:cs="Times New Roman"/>
          <w:b/>
          <w:sz w:val="24"/>
          <w:szCs w:val="24"/>
          <w:lang w:val="en-US"/>
        </w:rPr>
      </w:pPr>
      <w:r w:rsidRPr="00C914A1">
        <w:rPr>
          <w:rFonts w:ascii="Book Antiqua" w:hAnsi="Book Antiqua" w:cs="Times New Roman"/>
          <w:b/>
          <w:sz w:val="24"/>
          <w:szCs w:val="24"/>
          <w:lang w:val="en-US"/>
        </w:rPr>
        <w:t>NEED FOR AN INTERVENTION STUDY</w:t>
      </w:r>
    </w:p>
    <w:p w:rsidR="000D6437" w:rsidRPr="006A39A0" w:rsidRDefault="000D6437" w:rsidP="008019CB">
      <w:pPr>
        <w:adjustRightInd w:val="0"/>
        <w:snapToGrid w:val="0"/>
        <w:spacing w:after="0" w:line="360" w:lineRule="auto"/>
        <w:jc w:val="both"/>
        <w:rPr>
          <w:rFonts w:ascii="Book Antiqua" w:hAnsi="Book Antiqua" w:cs="Times New Roman"/>
          <w:sz w:val="24"/>
          <w:szCs w:val="24"/>
          <w:lang w:val="en-US"/>
        </w:rPr>
      </w:pPr>
      <w:r w:rsidRPr="006A39A0">
        <w:rPr>
          <w:rFonts w:ascii="Book Antiqua" w:hAnsi="Book Antiqua" w:cs="Times New Roman"/>
          <w:sz w:val="24"/>
          <w:szCs w:val="24"/>
          <w:lang w:val="en-US"/>
        </w:rPr>
        <w:t>Since correlation does not imply causation (cum hoc ergo propter hoc logical fallacy), and considering the ethical barriers against the proof of NAFLD induced by ADV36 inoculation in humans,</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we set out to discover, within our current lifestyle- nutritional interventions program, to</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seek to determine whether participants, NAFLD patients, achieve different clinical outcomes, and whether changes are blunted or enhanced according to ADV36 </w:t>
      </w:r>
      <w:proofErr w:type="spellStart"/>
      <w:r w:rsidRPr="006A39A0">
        <w:rPr>
          <w:rFonts w:ascii="Book Antiqua" w:hAnsi="Book Antiqua" w:cs="Times New Roman"/>
          <w:sz w:val="24"/>
          <w:szCs w:val="24"/>
          <w:lang w:val="en-US"/>
        </w:rPr>
        <w:t>seropositivity</w:t>
      </w:r>
      <w:proofErr w:type="spellEnd"/>
      <w:r w:rsidRPr="006A39A0">
        <w:rPr>
          <w:rFonts w:ascii="Book Antiqua" w:hAnsi="Book Antiqua" w:cs="Times New Roman"/>
          <w:sz w:val="24"/>
          <w:szCs w:val="24"/>
          <w:lang w:val="en-US"/>
        </w:rPr>
        <w:t xml:space="preserve"> </w:t>
      </w:r>
      <w:proofErr w:type="gramStart"/>
      <w:r w:rsidRPr="006A39A0">
        <w:rPr>
          <w:rFonts w:ascii="Book Antiqua" w:hAnsi="Book Antiqua" w:cs="Times New Roman"/>
          <w:sz w:val="24"/>
          <w:szCs w:val="24"/>
          <w:lang w:val="en-US"/>
        </w:rPr>
        <w:t>status</w:t>
      </w:r>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48]</w:t>
      </w:r>
      <w:r w:rsidRPr="006A39A0">
        <w:rPr>
          <w:rFonts w:ascii="Book Antiqua" w:hAnsi="Book Antiqua" w:cs="Times New Roman"/>
          <w:sz w:val="24"/>
          <w:szCs w:val="24"/>
          <w:lang w:val="en-US"/>
        </w:rPr>
        <w:t xml:space="preserve">. This intervention study, within a </w:t>
      </w:r>
      <w:r w:rsidRPr="006A39A0">
        <w:rPr>
          <w:rFonts w:ascii="Book Antiqua" w:hAnsi="Book Antiqua" w:cs="Times New Roman"/>
          <w:sz w:val="24"/>
          <w:szCs w:val="24"/>
          <w:lang w:val="en-US"/>
        </w:rPr>
        <w:lastRenderedPageBreak/>
        <w:t>homogeneous and established lifestyle-nutritional intervention program was carried out limiting</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possible confounding factors. Previous HCV infection is a recognized risk factor for development of liver </w:t>
      </w:r>
      <w:proofErr w:type="spellStart"/>
      <w:r w:rsidRPr="006A39A0">
        <w:rPr>
          <w:rFonts w:ascii="Book Antiqua" w:hAnsi="Book Antiqua" w:cs="Times New Roman"/>
          <w:sz w:val="24"/>
          <w:szCs w:val="24"/>
          <w:lang w:val="en-US"/>
        </w:rPr>
        <w:t>steatosis</w:t>
      </w:r>
      <w:proofErr w:type="spellEnd"/>
      <w:r w:rsidRPr="006A39A0">
        <w:rPr>
          <w:rFonts w:ascii="Book Antiqua" w:hAnsi="Book Antiqua" w:cs="Times New Roman"/>
          <w:sz w:val="24"/>
          <w:szCs w:val="24"/>
          <w:lang w:val="en-US"/>
        </w:rPr>
        <w:t xml:space="preserve"> and insulin resistance, particularly in patients with visceral obesity; also, in type-2 diabetic patients, NAFLD may develop and progress independent of the diabetes progression itself; both</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conditions</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were preliminarily excluded from the result of our study, in the attempt to minimize the number of confounding factors. The program of interventional health psychology is currently aimed, in our institution, at life-style modifications: the goal is a gradual weight loss of approximately 5% of the initial body weight within 6 months in obese overweight subjects. However, the key goal of the diet is to achieve an adequate nutritional status, with close reference to daily physical activity and to the degree of weight abnormality. Weight modifications through the prescribed diets are foreseen, but without the aim of reaching rapid effects both on weight and on liver </w:t>
      </w:r>
      <w:proofErr w:type="spellStart"/>
      <w:r w:rsidRPr="006A39A0">
        <w:rPr>
          <w:rFonts w:ascii="Book Antiqua" w:hAnsi="Book Antiqua" w:cs="Times New Roman"/>
          <w:sz w:val="24"/>
          <w:szCs w:val="24"/>
          <w:lang w:val="en-US"/>
        </w:rPr>
        <w:t>steatosis</w:t>
      </w:r>
      <w:proofErr w:type="spellEnd"/>
      <w:r w:rsidRPr="006A39A0">
        <w:rPr>
          <w:rFonts w:ascii="Book Antiqua" w:hAnsi="Book Antiqua" w:cs="Times New Roman"/>
          <w:sz w:val="24"/>
          <w:szCs w:val="24"/>
          <w:lang w:val="en-US"/>
        </w:rPr>
        <w:t>. Diet was provided with daily recommendations derived also from the specific software used (</w:t>
      </w:r>
      <w:proofErr w:type="spellStart"/>
      <w:r w:rsidRPr="006A39A0">
        <w:rPr>
          <w:rFonts w:ascii="Book Antiqua" w:hAnsi="Book Antiqua" w:cs="Times New Roman"/>
          <w:sz w:val="24"/>
          <w:szCs w:val="24"/>
          <w:lang w:val="en-US"/>
        </w:rPr>
        <w:t>DietosystemTM</w:t>
      </w:r>
      <w:proofErr w:type="spellEnd"/>
      <w:r w:rsidRPr="006A39A0">
        <w:rPr>
          <w:rFonts w:ascii="Book Antiqua" w:hAnsi="Book Antiqua" w:cs="Times New Roman"/>
          <w:sz w:val="24"/>
          <w:szCs w:val="24"/>
          <w:lang w:val="en-US"/>
        </w:rPr>
        <w:t>, Milan, Italy). ADV36 seropositive patients</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have a more consistent</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decrease in insulin resistance, fatty liver severity and body weight in comparison with ADV36</w:t>
      </w:r>
      <w:r w:rsidR="00C914A1">
        <w:rPr>
          <w:rFonts w:ascii="Book Antiqua" w:hAnsi="Book Antiqua" w:cs="Times New Roman"/>
          <w:sz w:val="24"/>
          <w:szCs w:val="24"/>
          <w:lang w:val="en-US"/>
        </w:rPr>
        <w:t xml:space="preserve"> </w:t>
      </w:r>
      <w:proofErr w:type="spellStart"/>
      <w:r w:rsidRPr="006A39A0">
        <w:rPr>
          <w:rFonts w:ascii="Book Antiqua" w:hAnsi="Book Antiqua" w:cs="Times New Roman"/>
          <w:sz w:val="24"/>
          <w:szCs w:val="24"/>
          <w:lang w:val="en-US"/>
        </w:rPr>
        <w:t>seronegative</w:t>
      </w:r>
      <w:proofErr w:type="spellEnd"/>
      <w:r w:rsidRPr="006A39A0">
        <w:rPr>
          <w:rFonts w:ascii="Book Antiqua" w:hAnsi="Book Antiqua" w:cs="Times New Roman"/>
          <w:sz w:val="24"/>
          <w:szCs w:val="24"/>
          <w:lang w:val="en-US"/>
        </w:rPr>
        <w:t xml:space="preserve"> patients, indicating a greater responsiveness to nutritional intervention. These</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effects were</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not</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associated with</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a greater</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pre-interventional body weight and older age, which could be explaining factors. ADV36</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seropositive status is associated significantly and independently with the reduction of</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bright liver and obesity. These results imply no obvious disadvantage and, seemingly, some</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benefit</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is linked</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to</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ADV36 </w:t>
      </w:r>
      <w:proofErr w:type="spellStart"/>
      <w:r w:rsidRPr="006A39A0">
        <w:rPr>
          <w:rFonts w:ascii="Book Antiqua" w:hAnsi="Book Antiqua" w:cs="Times New Roman"/>
          <w:sz w:val="24"/>
          <w:szCs w:val="24"/>
          <w:lang w:val="en-US"/>
        </w:rPr>
        <w:t>seropositivity</w:t>
      </w:r>
      <w:proofErr w:type="spellEnd"/>
      <w:r w:rsidRPr="006A39A0">
        <w:rPr>
          <w:rFonts w:ascii="Book Antiqua" w:hAnsi="Book Antiqua" w:cs="Times New Roman"/>
          <w:sz w:val="24"/>
          <w:szCs w:val="24"/>
          <w:lang w:val="en-US"/>
        </w:rPr>
        <w:t>, at least in NAFLD. All patients, in both groups, had a satisfactory adherence to the prescription, including abstinence for alcoholics. After our interventional approach, ADV36 seropositive</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patients have a more consistent decrease of insulin resistance and body weight, indicating a greater responsiveness to the nutritional intervention. </w:t>
      </w:r>
      <w:r w:rsidR="00C914A1">
        <w:rPr>
          <w:rFonts w:ascii="Book Antiqua" w:hAnsi="Book Antiqua" w:cs="Times New Roman"/>
          <w:sz w:val="24"/>
          <w:szCs w:val="24"/>
          <w:lang w:val="en-US"/>
        </w:rPr>
        <w:t>Figure</w:t>
      </w:r>
      <w:r w:rsidRPr="006A39A0">
        <w:rPr>
          <w:rFonts w:ascii="Book Antiqua" w:hAnsi="Book Antiqua" w:cs="Times New Roman"/>
          <w:sz w:val="24"/>
          <w:szCs w:val="24"/>
          <w:lang w:val="en-US"/>
        </w:rPr>
        <w:t xml:space="preserve"> 6</w:t>
      </w:r>
      <w:r w:rsidR="00591782">
        <w:rPr>
          <w:rFonts w:ascii="Book Antiqua" w:hAnsi="Book Antiqua" w:cs="Times New Roman" w:hint="eastAsia"/>
          <w:sz w:val="24"/>
          <w:szCs w:val="24"/>
          <w:lang w:val="en-US" w:eastAsia="zh-CN"/>
        </w:rPr>
        <w:t>A</w:t>
      </w:r>
      <w:r w:rsidRPr="006A39A0">
        <w:rPr>
          <w:rFonts w:ascii="Book Antiqua" w:hAnsi="Book Antiqua" w:cs="Times New Roman"/>
          <w:sz w:val="24"/>
          <w:szCs w:val="24"/>
          <w:lang w:val="en-US"/>
        </w:rPr>
        <w:t xml:space="preserve"> shows how, after a comprehensive nutritional and lifestyle intervention, the improvement is more relevant in ADV36 seropositive than in ADV36 </w:t>
      </w:r>
      <w:proofErr w:type="spellStart"/>
      <w:r w:rsidRPr="006A39A0">
        <w:rPr>
          <w:rFonts w:ascii="Book Antiqua" w:hAnsi="Book Antiqua" w:cs="Times New Roman"/>
          <w:sz w:val="24"/>
          <w:szCs w:val="24"/>
          <w:lang w:val="en-US"/>
        </w:rPr>
        <w:t>seronegative</w:t>
      </w:r>
      <w:proofErr w:type="spellEnd"/>
      <w:r w:rsidRPr="006A39A0">
        <w:rPr>
          <w:rFonts w:ascii="Book Antiqua" w:hAnsi="Book Antiqua" w:cs="Times New Roman"/>
          <w:sz w:val="24"/>
          <w:szCs w:val="24"/>
          <w:lang w:val="en-US"/>
        </w:rPr>
        <w:t xml:space="preserve"> NAFLD patients: a greater decrease of insulin resistance (HOMA) and of overweight (BMI) was achieved in ADV seropositive NAFLD patients.</w:t>
      </w:r>
    </w:p>
    <w:p w:rsidR="000D6437" w:rsidRPr="006A39A0" w:rsidRDefault="000D6437" w:rsidP="008019CB">
      <w:pPr>
        <w:adjustRightInd w:val="0"/>
        <w:snapToGrid w:val="0"/>
        <w:spacing w:after="0" w:line="360" w:lineRule="auto"/>
        <w:ind w:firstLineChars="100" w:firstLine="240"/>
        <w:jc w:val="both"/>
        <w:rPr>
          <w:rFonts w:ascii="Book Antiqua" w:hAnsi="Book Antiqua" w:cs="Times New Roman"/>
          <w:sz w:val="24"/>
          <w:szCs w:val="24"/>
          <w:lang w:val="en-US"/>
        </w:rPr>
      </w:pPr>
      <w:r w:rsidRPr="006A39A0">
        <w:rPr>
          <w:rFonts w:ascii="Book Antiqua" w:hAnsi="Book Antiqua" w:cs="Times New Roman"/>
          <w:sz w:val="24"/>
          <w:szCs w:val="24"/>
          <w:lang w:val="en-US"/>
        </w:rPr>
        <w:t xml:space="preserve">This was not due to greater obesity of ADV36 seropositive NAFLD patients, since the subsequent multiple liner regression model, BMI adjusted for eliminating the difference of BMI as a </w:t>
      </w:r>
      <w:proofErr w:type="gramStart"/>
      <w:r w:rsidRPr="006A39A0">
        <w:rPr>
          <w:rFonts w:ascii="Book Antiqua" w:hAnsi="Book Antiqua" w:cs="Times New Roman"/>
          <w:sz w:val="24"/>
          <w:szCs w:val="24"/>
          <w:lang w:val="en-US"/>
        </w:rPr>
        <w:t>potential</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 confounding</w:t>
      </w:r>
      <w:proofErr w:type="gramEnd"/>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 factor, confirms the relevance of ADV36 </w:t>
      </w:r>
      <w:proofErr w:type="spellStart"/>
      <w:r w:rsidRPr="006A39A0">
        <w:rPr>
          <w:rFonts w:ascii="Book Antiqua" w:hAnsi="Book Antiqua" w:cs="Times New Roman"/>
          <w:sz w:val="24"/>
          <w:szCs w:val="24"/>
          <w:lang w:val="en-US"/>
        </w:rPr>
        <w:t>seropositivity</w:t>
      </w:r>
      <w:proofErr w:type="spellEnd"/>
      <w:r w:rsidRPr="006A39A0">
        <w:rPr>
          <w:rFonts w:ascii="Book Antiqua" w:hAnsi="Book Antiqua" w:cs="Times New Roman"/>
          <w:sz w:val="24"/>
          <w:szCs w:val="24"/>
          <w:lang w:val="en-US"/>
        </w:rPr>
        <w:t>,</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lastRenderedPageBreak/>
        <w:t xml:space="preserve">not dependent on a greater pre-interventional body weight. The model indicates that both fat mass decrease and ADV36 seropositive status account significantly and independently for the disappearance of bright liver (Table 3). </w:t>
      </w:r>
    </w:p>
    <w:p w:rsidR="000D6437" w:rsidRPr="006A39A0" w:rsidRDefault="00C914A1" w:rsidP="008019CB">
      <w:pPr>
        <w:adjustRightInd w:val="0"/>
        <w:snapToGrid w:val="0"/>
        <w:spacing w:after="0" w:line="360" w:lineRule="auto"/>
        <w:ind w:firstLineChars="100" w:firstLine="240"/>
        <w:jc w:val="both"/>
        <w:rPr>
          <w:rFonts w:ascii="Book Antiqua" w:hAnsi="Book Antiqua" w:cs="Times New Roman"/>
          <w:sz w:val="24"/>
          <w:szCs w:val="24"/>
          <w:lang w:val="en-US"/>
        </w:rPr>
      </w:pPr>
      <w:r>
        <w:rPr>
          <w:rFonts w:ascii="Book Antiqua" w:hAnsi="Book Antiqua" w:cs="Times New Roman"/>
          <w:sz w:val="24"/>
          <w:szCs w:val="24"/>
          <w:lang w:val="en-US"/>
        </w:rPr>
        <w:t>Figure</w:t>
      </w:r>
      <w:r w:rsidR="000D6437" w:rsidRPr="006A39A0">
        <w:rPr>
          <w:rFonts w:ascii="Book Antiqua" w:hAnsi="Book Antiqua" w:cs="Times New Roman"/>
          <w:sz w:val="24"/>
          <w:szCs w:val="24"/>
          <w:lang w:val="en-US"/>
        </w:rPr>
        <w:t xml:space="preserve"> </w:t>
      </w:r>
      <w:r w:rsidR="00591782">
        <w:rPr>
          <w:rFonts w:ascii="Book Antiqua" w:hAnsi="Book Antiqua" w:cs="Times New Roman" w:hint="eastAsia"/>
          <w:sz w:val="24"/>
          <w:szCs w:val="24"/>
          <w:lang w:val="en-US" w:eastAsia="zh-CN"/>
        </w:rPr>
        <w:t>6B</w:t>
      </w:r>
      <w:r w:rsidR="000D6437" w:rsidRPr="006A39A0">
        <w:rPr>
          <w:rFonts w:ascii="Book Antiqua" w:hAnsi="Book Antiqua" w:cs="Times New Roman"/>
          <w:sz w:val="24"/>
          <w:szCs w:val="24"/>
          <w:lang w:val="en-US"/>
        </w:rPr>
        <w:t xml:space="preserve"> shows how, after a comprehensive nutritional and lifestyle intervention, the Odds of bright liver persistence is associated with lack of insulin resistance (HOMA)</w:t>
      </w:r>
      <w:r>
        <w:rPr>
          <w:rFonts w:ascii="Book Antiqua" w:hAnsi="Book Antiqua" w:cs="Times New Roman"/>
          <w:sz w:val="24"/>
          <w:szCs w:val="24"/>
          <w:lang w:val="en-US"/>
        </w:rPr>
        <w:t xml:space="preserve"> </w:t>
      </w:r>
      <w:r w:rsidR="000D6437" w:rsidRPr="006A39A0">
        <w:rPr>
          <w:rFonts w:ascii="Book Antiqua" w:hAnsi="Book Antiqua" w:cs="Times New Roman"/>
          <w:sz w:val="24"/>
          <w:szCs w:val="24"/>
          <w:lang w:val="en-US"/>
        </w:rPr>
        <w:t xml:space="preserve">and body weight (BMI) decrease, while a relevant association with improvement, </w:t>
      </w:r>
      <w:r w:rsidRPr="00C914A1">
        <w:rPr>
          <w:rFonts w:ascii="Book Antiqua" w:hAnsi="Book Antiqua" w:cs="Times New Roman"/>
          <w:i/>
          <w:sz w:val="24"/>
          <w:szCs w:val="24"/>
          <w:lang w:val="en-US"/>
        </w:rPr>
        <w:t>i.e.</w:t>
      </w:r>
      <w:r w:rsidR="000D6437" w:rsidRPr="006A39A0">
        <w:rPr>
          <w:rFonts w:ascii="Book Antiqua" w:hAnsi="Book Antiqua" w:cs="Times New Roman"/>
          <w:sz w:val="24"/>
          <w:szCs w:val="24"/>
          <w:lang w:val="en-US"/>
        </w:rPr>
        <w:t xml:space="preserve"> Bright Liver</w:t>
      </w:r>
      <w:r>
        <w:rPr>
          <w:rFonts w:ascii="Book Antiqua" w:hAnsi="Book Antiqua" w:cs="Times New Roman"/>
          <w:sz w:val="24"/>
          <w:szCs w:val="24"/>
          <w:lang w:val="en-US"/>
        </w:rPr>
        <w:t xml:space="preserve"> </w:t>
      </w:r>
      <w:r w:rsidR="000D6437" w:rsidRPr="006A39A0">
        <w:rPr>
          <w:rFonts w:ascii="Book Antiqua" w:hAnsi="Book Antiqua" w:cs="Times New Roman"/>
          <w:sz w:val="24"/>
          <w:szCs w:val="24"/>
          <w:lang w:val="en-US"/>
        </w:rPr>
        <w:t>disappearance, is observed in ADV36 seropositive NAFLD patients.</w:t>
      </w:r>
    </w:p>
    <w:p w:rsidR="000D6437" w:rsidRPr="006A39A0" w:rsidRDefault="000D6437" w:rsidP="008019CB">
      <w:pPr>
        <w:adjustRightInd w:val="0"/>
        <w:snapToGrid w:val="0"/>
        <w:spacing w:after="0" w:line="360" w:lineRule="auto"/>
        <w:ind w:firstLineChars="100" w:firstLine="240"/>
        <w:jc w:val="both"/>
        <w:rPr>
          <w:rFonts w:ascii="Book Antiqua" w:hAnsi="Book Antiqua" w:cs="Times New Roman"/>
          <w:sz w:val="24"/>
          <w:szCs w:val="24"/>
          <w:lang w:val="en-US"/>
        </w:rPr>
      </w:pPr>
      <w:r w:rsidRPr="006A39A0">
        <w:rPr>
          <w:rFonts w:ascii="Book Antiqua" w:hAnsi="Book Antiqua" w:cs="Times New Roman"/>
          <w:sz w:val="24"/>
          <w:szCs w:val="24"/>
          <w:lang w:val="en-US"/>
        </w:rPr>
        <w:t>Differently from our original hypothesis, bright liver disappearance seems to be not blunted by ADV36 positive serological status and is associated with a greater fat mass loss.</w:t>
      </w:r>
    </w:p>
    <w:p w:rsidR="00C914A1" w:rsidRDefault="00C914A1" w:rsidP="008019CB">
      <w:pPr>
        <w:adjustRightInd w:val="0"/>
        <w:snapToGrid w:val="0"/>
        <w:spacing w:after="0" w:line="360" w:lineRule="auto"/>
        <w:jc w:val="both"/>
        <w:rPr>
          <w:rFonts w:ascii="Book Antiqua" w:hAnsi="Book Antiqua" w:cs="Times New Roman"/>
          <w:sz w:val="24"/>
          <w:szCs w:val="24"/>
          <w:lang w:val="en-US" w:eastAsia="zh-CN"/>
        </w:rPr>
      </w:pPr>
    </w:p>
    <w:p w:rsidR="000D6437" w:rsidRPr="00C914A1" w:rsidRDefault="000D6437" w:rsidP="008019CB">
      <w:pPr>
        <w:adjustRightInd w:val="0"/>
        <w:snapToGrid w:val="0"/>
        <w:spacing w:after="0" w:line="360" w:lineRule="auto"/>
        <w:jc w:val="both"/>
        <w:rPr>
          <w:rFonts w:ascii="Book Antiqua" w:hAnsi="Book Antiqua" w:cs="Times New Roman"/>
          <w:b/>
          <w:sz w:val="24"/>
          <w:szCs w:val="24"/>
          <w:lang w:val="en-US"/>
        </w:rPr>
      </w:pPr>
      <w:r w:rsidRPr="00C914A1">
        <w:rPr>
          <w:rFonts w:ascii="Book Antiqua" w:hAnsi="Book Antiqua" w:cs="Times New Roman"/>
          <w:b/>
          <w:sz w:val="24"/>
          <w:szCs w:val="24"/>
          <w:lang w:val="en-US"/>
        </w:rPr>
        <w:t>CURRENT HYPOTHESIS AND ENVISAGED MECHANISMS</w:t>
      </w:r>
    </w:p>
    <w:p w:rsidR="000D6437" w:rsidRPr="006A39A0" w:rsidRDefault="000D6437" w:rsidP="008019CB">
      <w:pPr>
        <w:adjustRightInd w:val="0"/>
        <w:snapToGrid w:val="0"/>
        <w:spacing w:after="0" w:line="360" w:lineRule="auto"/>
        <w:jc w:val="both"/>
        <w:rPr>
          <w:rFonts w:ascii="Book Antiqua" w:hAnsi="Book Antiqua" w:cs="Times New Roman"/>
          <w:sz w:val="24"/>
          <w:szCs w:val="24"/>
          <w:lang w:val="en-US"/>
        </w:rPr>
      </w:pPr>
      <w:r w:rsidRPr="006A39A0">
        <w:rPr>
          <w:rFonts w:ascii="Book Antiqua" w:hAnsi="Book Antiqua" w:cs="Times New Roman"/>
          <w:sz w:val="24"/>
          <w:szCs w:val="24"/>
          <w:lang w:val="en-US"/>
        </w:rPr>
        <w:t xml:space="preserve">ADV36 can modify the machinery of human cells by several mechanisms, and particularly the most direct one, </w:t>
      </w:r>
      <w:r w:rsidR="00C914A1" w:rsidRPr="00C914A1">
        <w:rPr>
          <w:rFonts w:ascii="Book Antiqua" w:hAnsi="Book Antiqua" w:cs="Times New Roman"/>
          <w:i/>
          <w:sz w:val="24"/>
          <w:szCs w:val="24"/>
          <w:lang w:val="en-US"/>
        </w:rPr>
        <w:t>i.e.</w:t>
      </w:r>
      <w:r w:rsidRPr="006A39A0">
        <w:rPr>
          <w:rFonts w:ascii="Book Antiqua" w:hAnsi="Book Antiqua" w:cs="Times New Roman"/>
          <w:sz w:val="24"/>
          <w:szCs w:val="24"/>
          <w:lang w:val="en-US"/>
        </w:rPr>
        <w:t xml:space="preserve"> the persistence of the virus in any tissue or organ, including fat cells and/or hepatocytes. ADV36 induces the synthesis of specific protein, </w:t>
      </w:r>
      <w:proofErr w:type="gramStart"/>
      <w:r w:rsidRPr="006A39A0">
        <w:rPr>
          <w:rFonts w:ascii="Book Antiqua" w:hAnsi="Book Antiqua" w:cs="Times New Roman"/>
          <w:sz w:val="24"/>
          <w:szCs w:val="24"/>
          <w:lang w:val="en-US"/>
        </w:rPr>
        <w:t>E4orf1</w:t>
      </w:r>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43]</w:t>
      </w:r>
      <w:r w:rsidRPr="006A39A0">
        <w:rPr>
          <w:rFonts w:ascii="Book Antiqua" w:hAnsi="Book Antiqua" w:cs="Times New Roman"/>
          <w:sz w:val="24"/>
          <w:szCs w:val="24"/>
          <w:lang w:val="en-US"/>
        </w:rPr>
        <w:t xml:space="preserve">; this can be also a consequence of an epigenetic effect, </w:t>
      </w:r>
      <w:r w:rsidR="00C914A1" w:rsidRPr="00C914A1">
        <w:rPr>
          <w:rFonts w:ascii="Book Antiqua" w:hAnsi="Book Antiqua" w:cs="Times New Roman"/>
          <w:i/>
          <w:sz w:val="24"/>
          <w:szCs w:val="24"/>
          <w:lang w:val="en-US"/>
        </w:rPr>
        <w:t>i.e.</w:t>
      </w:r>
      <w:r w:rsidRPr="006A39A0">
        <w:rPr>
          <w:rFonts w:ascii="Book Antiqua" w:hAnsi="Book Antiqua" w:cs="Times New Roman"/>
          <w:sz w:val="24"/>
          <w:szCs w:val="24"/>
          <w:lang w:val="en-US"/>
        </w:rPr>
        <w:t xml:space="preserve"> the result of</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functionally relevant changes to the genome that do not involve a change in the nucleotide sequence nor any integration</w:t>
      </w:r>
      <w:r w:rsidR="00C914A1" w:rsidRPr="00C914A1">
        <w:rPr>
          <w:rFonts w:ascii="Book Antiqua" w:hAnsi="Book Antiqua" w:cs="Times New Roman"/>
          <w:sz w:val="24"/>
          <w:szCs w:val="24"/>
          <w:vertAlign w:val="superscript"/>
          <w:lang w:val="en-US"/>
        </w:rPr>
        <w:t>[</w:t>
      </w:r>
      <w:r w:rsidRPr="006A39A0">
        <w:rPr>
          <w:rFonts w:ascii="Book Antiqua" w:hAnsi="Book Antiqua" w:cs="Times New Roman"/>
          <w:sz w:val="24"/>
          <w:szCs w:val="24"/>
          <w:vertAlign w:val="superscript"/>
          <w:lang w:val="en-US"/>
        </w:rPr>
        <w:t>49]</w:t>
      </w:r>
      <w:r w:rsidRPr="006A39A0">
        <w:rPr>
          <w:rFonts w:ascii="Book Antiqua" w:hAnsi="Book Antiqua" w:cs="Times New Roman"/>
          <w:sz w:val="24"/>
          <w:szCs w:val="24"/>
          <w:lang w:val="en-US"/>
        </w:rPr>
        <w:t xml:space="preserve">. </w:t>
      </w:r>
      <w:proofErr w:type="spellStart"/>
      <w:r w:rsidRPr="006A39A0">
        <w:rPr>
          <w:rFonts w:ascii="Book Antiqua" w:hAnsi="Book Antiqua" w:cs="Times New Roman"/>
          <w:sz w:val="24"/>
          <w:szCs w:val="24"/>
          <w:lang w:val="en-US"/>
        </w:rPr>
        <w:t>Preadipocytes</w:t>
      </w:r>
      <w:proofErr w:type="spellEnd"/>
      <w:r w:rsidRPr="006A39A0">
        <w:rPr>
          <w:rFonts w:ascii="Book Antiqua" w:hAnsi="Book Antiqua" w:cs="Times New Roman"/>
          <w:sz w:val="24"/>
          <w:szCs w:val="24"/>
          <w:lang w:val="en-US"/>
        </w:rPr>
        <w:t xml:space="preserve"> of the ADV36 DNA positive subjects showed about 8-fold greater ability to differentiate into fat </w:t>
      </w:r>
      <w:proofErr w:type="gramStart"/>
      <w:r w:rsidRPr="006A39A0">
        <w:rPr>
          <w:rFonts w:ascii="Book Antiqua" w:hAnsi="Book Antiqua" w:cs="Times New Roman"/>
          <w:sz w:val="24"/>
          <w:szCs w:val="24"/>
          <w:lang w:val="en-US"/>
        </w:rPr>
        <w:t>cells,</w:t>
      </w:r>
      <w:proofErr w:type="gramEnd"/>
      <w:r w:rsidRPr="006A39A0">
        <w:rPr>
          <w:rFonts w:ascii="Book Antiqua" w:hAnsi="Book Antiqua" w:cs="Times New Roman"/>
          <w:sz w:val="24"/>
          <w:szCs w:val="24"/>
          <w:lang w:val="en-US"/>
        </w:rPr>
        <w:t xml:space="preserve"> compared to that of the ADV36 DNA negative subjects. These findings are in agreement with the ability of ADV36 to induce </w:t>
      </w:r>
      <w:proofErr w:type="spellStart"/>
      <w:r w:rsidRPr="006A39A0">
        <w:rPr>
          <w:rFonts w:ascii="Book Antiqua" w:hAnsi="Book Antiqua" w:cs="Times New Roman"/>
          <w:sz w:val="24"/>
          <w:szCs w:val="24"/>
          <w:lang w:val="en-US"/>
        </w:rPr>
        <w:t>adipogenic</w:t>
      </w:r>
      <w:proofErr w:type="spellEnd"/>
      <w:r w:rsidRPr="006A39A0">
        <w:rPr>
          <w:rFonts w:ascii="Book Antiqua" w:hAnsi="Book Antiqua" w:cs="Times New Roman"/>
          <w:sz w:val="24"/>
          <w:szCs w:val="24"/>
          <w:lang w:val="en-US"/>
        </w:rPr>
        <w:t xml:space="preserve"> differentiation and lipid accumulation in adipocyte progenitors. Can it suggest a persistent replication of ADV36 in seropositive persons? In animal models, ADV36 appears to alleviate hyperglycemia by increasing glucose uptake by adipose tissue and skeletal muscle and by reducing hepatic glucose output, along with a robust </w:t>
      </w:r>
      <w:proofErr w:type="spellStart"/>
      <w:r w:rsidRPr="006A39A0">
        <w:rPr>
          <w:rFonts w:ascii="Book Antiqua" w:hAnsi="Book Antiqua" w:cs="Times New Roman"/>
          <w:sz w:val="24"/>
          <w:szCs w:val="24"/>
          <w:lang w:val="en-US"/>
        </w:rPr>
        <w:t>upregulation</w:t>
      </w:r>
      <w:proofErr w:type="spellEnd"/>
      <w:r w:rsidRPr="006A39A0">
        <w:rPr>
          <w:rFonts w:ascii="Book Antiqua" w:hAnsi="Book Antiqua" w:cs="Times New Roman"/>
          <w:sz w:val="24"/>
          <w:szCs w:val="24"/>
          <w:lang w:val="en-US"/>
        </w:rPr>
        <w:t xml:space="preserve"> of </w:t>
      </w:r>
      <w:proofErr w:type="spellStart"/>
      <w:r w:rsidRPr="006A39A0">
        <w:rPr>
          <w:rFonts w:ascii="Book Antiqua" w:hAnsi="Book Antiqua" w:cs="Times New Roman"/>
          <w:sz w:val="24"/>
          <w:szCs w:val="24"/>
          <w:lang w:val="en-US"/>
        </w:rPr>
        <w:t>adiponectin</w:t>
      </w:r>
      <w:proofErr w:type="spellEnd"/>
      <w:r w:rsidRPr="006A39A0">
        <w:rPr>
          <w:rFonts w:ascii="Book Antiqua" w:hAnsi="Book Antiqua" w:cs="Times New Roman"/>
          <w:sz w:val="24"/>
          <w:szCs w:val="24"/>
          <w:lang w:val="en-US"/>
        </w:rPr>
        <w:t xml:space="preserve"> and an attenuation of hepatic </w:t>
      </w:r>
      <w:proofErr w:type="spellStart"/>
      <w:proofErr w:type="gramStart"/>
      <w:r w:rsidRPr="006A39A0">
        <w:rPr>
          <w:rFonts w:ascii="Book Antiqua" w:hAnsi="Book Antiqua" w:cs="Times New Roman"/>
          <w:sz w:val="24"/>
          <w:szCs w:val="24"/>
          <w:lang w:val="en-US"/>
        </w:rPr>
        <w:t>steatosis</w:t>
      </w:r>
      <w:proofErr w:type="spellEnd"/>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50-53]</w:t>
      </w:r>
      <w:r w:rsidRPr="006A39A0">
        <w:rPr>
          <w:rFonts w:ascii="Book Antiqua" w:hAnsi="Book Antiqua" w:cs="Times New Roman"/>
          <w:sz w:val="24"/>
          <w:szCs w:val="24"/>
          <w:lang w:val="en-US"/>
        </w:rPr>
        <w:t xml:space="preserve">. A working model to explain the </w:t>
      </w:r>
      <w:proofErr w:type="spellStart"/>
      <w:r w:rsidRPr="006A39A0">
        <w:rPr>
          <w:rFonts w:ascii="Book Antiqua" w:hAnsi="Book Antiqua" w:cs="Times New Roman"/>
          <w:sz w:val="24"/>
          <w:szCs w:val="24"/>
          <w:lang w:val="en-US"/>
        </w:rPr>
        <w:t>antidiabetic</w:t>
      </w:r>
      <w:proofErr w:type="spellEnd"/>
      <w:r w:rsidRPr="006A39A0">
        <w:rPr>
          <w:rFonts w:ascii="Book Antiqua" w:hAnsi="Book Antiqua" w:cs="Times New Roman"/>
          <w:sz w:val="24"/>
          <w:szCs w:val="24"/>
          <w:lang w:val="en-US"/>
        </w:rPr>
        <w:t xml:space="preserve"> effect of ADV36 was </w:t>
      </w:r>
      <w:proofErr w:type="gramStart"/>
      <w:r w:rsidRPr="006A39A0">
        <w:rPr>
          <w:rFonts w:ascii="Book Antiqua" w:hAnsi="Book Antiqua" w:cs="Times New Roman"/>
          <w:sz w:val="24"/>
          <w:szCs w:val="24"/>
          <w:lang w:val="en-US"/>
        </w:rPr>
        <w:t>developed</w:t>
      </w:r>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54]</w:t>
      </w:r>
      <w:r w:rsidRPr="006A39A0">
        <w:rPr>
          <w:rFonts w:ascii="Book Antiqua" w:hAnsi="Book Antiqua" w:cs="Times New Roman"/>
          <w:sz w:val="24"/>
          <w:szCs w:val="24"/>
          <w:lang w:val="en-US"/>
        </w:rPr>
        <w:t xml:space="preserve">. Overall in adipose tissue, skeletal muscle, and liver of mice, ADV36 </w:t>
      </w:r>
      <w:proofErr w:type="spellStart"/>
      <w:r w:rsidRPr="006A39A0">
        <w:rPr>
          <w:rFonts w:ascii="Book Antiqua" w:hAnsi="Book Antiqua" w:cs="Times New Roman"/>
          <w:sz w:val="24"/>
          <w:szCs w:val="24"/>
          <w:lang w:val="en-US"/>
        </w:rPr>
        <w:t>downregulates</w:t>
      </w:r>
      <w:proofErr w:type="spellEnd"/>
      <w:r w:rsidRPr="006A39A0">
        <w:rPr>
          <w:rFonts w:ascii="Book Antiqua" w:hAnsi="Book Antiqua" w:cs="Times New Roman"/>
          <w:sz w:val="24"/>
          <w:szCs w:val="24"/>
          <w:lang w:val="en-US"/>
        </w:rPr>
        <w:t xml:space="preserve"> insulin signaling yet </w:t>
      </w:r>
      <w:proofErr w:type="spellStart"/>
      <w:r w:rsidRPr="006A39A0">
        <w:rPr>
          <w:rFonts w:ascii="Book Antiqua" w:hAnsi="Book Antiqua" w:cs="Times New Roman"/>
          <w:sz w:val="24"/>
          <w:szCs w:val="24"/>
          <w:lang w:val="en-US"/>
        </w:rPr>
        <w:t>upregulates</w:t>
      </w:r>
      <w:proofErr w:type="spellEnd"/>
      <w:r w:rsidRPr="006A39A0">
        <w:rPr>
          <w:rFonts w:ascii="Book Antiqua" w:hAnsi="Book Antiqua" w:cs="Times New Roman"/>
          <w:sz w:val="24"/>
          <w:szCs w:val="24"/>
          <w:lang w:val="en-US"/>
        </w:rPr>
        <w:t xml:space="preserve"> the Ras-PI3K pathway, which </w:t>
      </w:r>
      <w:proofErr w:type="spellStart"/>
      <w:r w:rsidRPr="006A39A0">
        <w:rPr>
          <w:rFonts w:ascii="Book Antiqua" w:hAnsi="Book Antiqua" w:cs="Times New Roman"/>
          <w:sz w:val="24"/>
          <w:szCs w:val="24"/>
          <w:lang w:val="en-US"/>
        </w:rPr>
        <w:t>upregulates</w:t>
      </w:r>
      <w:proofErr w:type="spellEnd"/>
      <w:r w:rsidRPr="006A39A0">
        <w:rPr>
          <w:rFonts w:ascii="Book Antiqua" w:hAnsi="Book Antiqua" w:cs="Times New Roman"/>
          <w:sz w:val="24"/>
          <w:szCs w:val="24"/>
          <w:lang w:val="en-US"/>
        </w:rPr>
        <w:t xml:space="preserve"> Glut1 and Glut4 in skeletal muscle and adipose tissue and </w:t>
      </w:r>
      <w:proofErr w:type="spellStart"/>
      <w:r w:rsidRPr="006A39A0">
        <w:rPr>
          <w:rFonts w:ascii="Book Antiqua" w:hAnsi="Book Antiqua" w:cs="Times New Roman"/>
          <w:sz w:val="24"/>
          <w:szCs w:val="24"/>
          <w:lang w:val="en-US"/>
        </w:rPr>
        <w:t>downregulates</w:t>
      </w:r>
      <w:proofErr w:type="spellEnd"/>
      <w:r w:rsidRPr="006A39A0">
        <w:rPr>
          <w:rFonts w:ascii="Book Antiqua" w:hAnsi="Book Antiqua" w:cs="Times New Roman"/>
          <w:sz w:val="24"/>
          <w:szCs w:val="24"/>
          <w:lang w:val="en-US"/>
        </w:rPr>
        <w:t xml:space="preserve"> Glut2 in liver. Furthermore, ADV36 increases </w:t>
      </w:r>
      <w:proofErr w:type="spellStart"/>
      <w:r w:rsidRPr="006A39A0">
        <w:rPr>
          <w:rFonts w:ascii="Book Antiqua" w:hAnsi="Book Antiqua" w:cs="Times New Roman"/>
          <w:sz w:val="24"/>
          <w:szCs w:val="24"/>
          <w:lang w:val="en-US"/>
        </w:rPr>
        <w:t>adiponectin</w:t>
      </w:r>
      <w:proofErr w:type="spellEnd"/>
      <w:r w:rsidRPr="006A39A0">
        <w:rPr>
          <w:rFonts w:ascii="Book Antiqua" w:hAnsi="Book Antiqua" w:cs="Times New Roman"/>
          <w:sz w:val="24"/>
          <w:szCs w:val="24"/>
          <w:lang w:val="en-US"/>
        </w:rPr>
        <w:t>, which may activate AMPK. Collectively, this leads to greater glucose uptake by adipose tissue and skeletal muscle and reduces hepatic glucose release, which may contribute to ADV36-induced improvement in systemic glycemic control (</w:t>
      </w:r>
      <w:r w:rsidR="00C914A1">
        <w:rPr>
          <w:rFonts w:ascii="Book Antiqua" w:hAnsi="Book Antiqua" w:cs="Times New Roman"/>
          <w:sz w:val="24"/>
          <w:szCs w:val="24"/>
          <w:lang w:val="en-US"/>
        </w:rPr>
        <w:t>Figure</w:t>
      </w:r>
      <w:r w:rsidRPr="006A39A0">
        <w:rPr>
          <w:rFonts w:ascii="Book Antiqua" w:hAnsi="Book Antiqua" w:cs="Times New Roman"/>
          <w:sz w:val="24"/>
          <w:szCs w:val="24"/>
          <w:lang w:val="en-US"/>
        </w:rPr>
        <w:t xml:space="preserve"> </w:t>
      </w:r>
      <w:r w:rsidR="00591782">
        <w:rPr>
          <w:rFonts w:ascii="Book Antiqua" w:hAnsi="Book Antiqua" w:cs="Times New Roman" w:hint="eastAsia"/>
          <w:sz w:val="24"/>
          <w:szCs w:val="24"/>
          <w:lang w:val="en-US" w:eastAsia="zh-CN"/>
        </w:rPr>
        <w:t>7</w:t>
      </w:r>
      <w:r w:rsidRPr="006A39A0">
        <w:rPr>
          <w:rFonts w:ascii="Book Antiqua" w:hAnsi="Book Antiqua" w:cs="Times New Roman"/>
          <w:sz w:val="24"/>
          <w:szCs w:val="24"/>
          <w:lang w:val="en-US"/>
        </w:rPr>
        <w:t>).</w:t>
      </w:r>
      <w:r w:rsidR="00C914A1">
        <w:rPr>
          <w:rFonts w:ascii="Book Antiqua" w:hAnsi="Book Antiqua" w:cs="Times New Roman"/>
          <w:sz w:val="24"/>
          <w:szCs w:val="24"/>
          <w:lang w:val="en-US"/>
        </w:rPr>
        <w:t xml:space="preserve"> </w:t>
      </w:r>
    </w:p>
    <w:p w:rsidR="000D6437" w:rsidRPr="006A39A0" w:rsidRDefault="000D6437" w:rsidP="008019CB">
      <w:pPr>
        <w:adjustRightInd w:val="0"/>
        <w:snapToGrid w:val="0"/>
        <w:spacing w:after="0" w:line="360" w:lineRule="auto"/>
        <w:ind w:firstLineChars="100" w:firstLine="240"/>
        <w:jc w:val="both"/>
        <w:rPr>
          <w:rFonts w:ascii="Book Antiqua" w:hAnsi="Book Antiqua" w:cs="Times New Roman"/>
          <w:sz w:val="24"/>
          <w:szCs w:val="24"/>
          <w:lang w:val="en-US"/>
        </w:rPr>
      </w:pPr>
      <w:r w:rsidRPr="006A39A0">
        <w:rPr>
          <w:rFonts w:ascii="Book Antiqua" w:hAnsi="Book Antiqua" w:cs="Times New Roman"/>
          <w:sz w:val="24"/>
          <w:szCs w:val="24"/>
          <w:lang w:val="en-US"/>
        </w:rPr>
        <w:lastRenderedPageBreak/>
        <w:t xml:space="preserve">ADV36 infection stimulated an inflammatory state by increasing the level of MCP-1 (monocyte </w:t>
      </w:r>
      <w:proofErr w:type="spellStart"/>
      <w:r w:rsidRPr="006A39A0">
        <w:rPr>
          <w:rFonts w:ascii="Book Antiqua" w:hAnsi="Book Antiqua" w:cs="Times New Roman"/>
          <w:sz w:val="24"/>
          <w:szCs w:val="24"/>
          <w:lang w:val="en-US"/>
        </w:rPr>
        <w:t>chemoattractant</w:t>
      </w:r>
      <w:proofErr w:type="spellEnd"/>
      <w:r w:rsidRPr="006A39A0">
        <w:rPr>
          <w:rFonts w:ascii="Book Antiqua" w:hAnsi="Book Antiqua" w:cs="Times New Roman"/>
          <w:sz w:val="24"/>
          <w:szCs w:val="24"/>
          <w:lang w:val="en-US"/>
        </w:rPr>
        <w:t xml:space="preserve"> protein-1) through the activation of nuclear factor </w:t>
      </w:r>
      <w:r w:rsidRPr="006A39A0">
        <w:rPr>
          <w:rFonts w:ascii="Book Antiqua" w:hAnsi="Book Antiqua" w:cs="Times New Roman"/>
          <w:sz w:val="24"/>
          <w:szCs w:val="24"/>
        </w:rPr>
        <w:t>κ</w:t>
      </w:r>
      <w:r w:rsidRPr="006A39A0">
        <w:rPr>
          <w:rFonts w:ascii="Book Antiqua" w:hAnsi="Book Antiqua" w:cs="Times New Roman"/>
          <w:sz w:val="24"/>
          <w:szCs w:val="24"/>
          <w:lang w:val="en-US"/>
        </w:rPr>
        <w:t>B, which in turn induces</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the infiltration of macrophages into adipocytes. Knockout (MCP-1(-/-)) mice are protected from ADV36-induced inflammation and obesity so that virus-induced inflammation could be the cellular mechanism underlying ADV36-induced obesity and</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MCP-1 may be a therapeutic target in preventing virus-induced obesity</w:t>
      </w:r>
      <w:r w:rsidR="00C914A1" w:rsidRPr="00C914A1">
        <w:rPr>
          <w:rFonts w:ascii="Book Antiqua" w:hAnsi="Book Antiqua" w:cs="Times New Roman"/>
          <w:sz w:val="24"/>
          <w:szCs w:val="24"/>
          <w:vertAlign w:val="superscript"/>
          <w:lang w:val="en-US"/>
        </w:rPr>
        <w:t>[</w:t>
      </w:r>
      <w:r w:rsidRPr="006A39A0">
        <w:rPr>
          <w:rFonts w:ascii="Book Antiqua" w:hAnsi="Book Antiqua" w:cs="Times New Roman"/>
          <w:sz w:val="24"/>
          <w:szCs w:val="24"/>
          <w:vertAlign w:val="superscript"/>
          <w:lang w:val="en-US"/>
        </w:rPr>
        <w:t>55]</w:t>
      </w:r>
      <w:r w:rsidRPr="006A39A0">
        <w:rPr>
          <w:rFonts w:ascii="Book Antiqua" w:hAnsi="Book Antiqua" w:cs="Times New Roman"/>
          <w:sz w:val="24"/>
          <w:szCs w:val="24"/>
          <w:lang w:val="en-US"/>
        </w:rPr>
        <w:t xml:space="preserve">. Increase in glycemic control and </w:t>
      </w:r>
      <w:proofErr w:type="spellStart"/>
      <w:r w:rsidRPr="006A39A0">
        <w:rPr>
          <w:rFonts w:ascii="Book Antiqua" w:hAnsi="Book Antiqua" w:cs="Times New Roman"/>
          <w:sz w:val="24"/>
          <w:szCs w:val="24"/>
          <w:lang w:val="en-US"/>
        </w:rPr>
        <w:t>adipogenesis</w:t>
      </w:r>
      <w:proofErr w:type="spellEnd"/>
      <w:r w:rsidRPr="006A39A0">
        <w:rPr>
          <w:rFonts w:ascii="Book Antiqua" w:hAnsi="Book Antiqua" w:cs="Times New Roman"/>
          <w:sz w:val="24"/>
          <w:szCs w:val="24"/>
          <w:lang w:val="en-US"/>
        </w:rPr>
        <w:t xml:space="preserve"> can be uncoupled. The E4orf1 gene of ADV36 has been shown to be responsible for its </w:t>
      </w:r>
      <w:proofErr w:type="spellStart"/>
      <w:r w:rsidRPr="006A39A0">
        <w:rPr>
          <w:rFonts w:ascii="Book Antiqua" w:hAnsi="Book Antiqua" w:cs="Times New Roman"/>
          <w:sz w:val="24"/>
          <w:szCs w:val="24"/>
          <w:lang w:val="en-US"/>
        </w:rPr>
        <w:t>adipogenic</w:t>
      </w:r>
      <w:proofErr w:type="spellEnd"/>
      <w:r w:rsidRPr="006A39A0">
        <w:rPr>
          <w:rFonts w:ascii="Book Antiqua" w:hAnsi="Book Antiqua" w:cs="Times New Roman"/>
          <w:sz w:val="24"/>
          <w:szCs w:val="24"/>
          <w:lang w:val="en-US"/>
        </w:rPr>
        <w:t xml:space="preserve"> effect. E4orf1 protein of ADV36 was recently identified as the protein likely to mediate ADV36 induced improvements in glucose </w:t>
      </w:r>
      <w:proofErr w:type="gramStart"/>
      <w:r w:rsidRPr="006A39A0">
        <w:rPr>
          <w:rFonts w:ascii="Book Antiqua" w:hAnsi="Book Antiqua" w:cs="Times New Roman"/>
          <w:sz w:val="24"/>
          <w:szCs w:val="24"/>
          <w:lang w:val="en-US"/>
        </w:rPr>
        <w:t>disposal</w:t>
      </w:r>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43]</w:t>
      </w:r>
      <w:r w:rsidRPr="006A39A0">
        <w:rPr>
          <w:rFonts w:ascii="Book Antiqua" w:hAnsi="Book Antiqua" w:cs="Times New Roman"/>
          <w:sz w:val="24"/>
          <w:szCs w:val="24"/>
          <w:lang w:val="en-US"/>
        </w:rPr>
        <w:t xml:space="preserve">. ADV36 E4orf1 may reduce glucose output in basal and </w:t>
      </w:r>
      <w:proofErr w:type="spellStart"/>
      <w:r w:rsidRPr="006A39A0">
        <w:rPr>
          <w:rFonts w:ascii="Book Antiqua" w:hAnsi="Book Antiqua" w:cs="Times New Roman"/>
          <w:sz w:val="24"/>
          <w:szCs w:val="24"/>
          <w:lang w:val="en-US"/>
        </w:rPr>
        <w:t>gluconeogenic</w:t>
      </w:r>
      <w:proofErr w:type="spellEnd"/>
      <w:r w:rsidRPr="006A39A0">
        <w:rPr>
          <w:rFonts w:ascii="Book Antiqua" w:hAnsi="Book Antiqua" w:cs="Times New Roman"/>
          <w:sz w:val="24"/>
          <w:szCs w:val="24"/>
          <w:lang w:val="en-US"/>
        </w:rPr>
        <w:t xml:space="preserve"> conditions, reduce de-novo </w:t>
      </w:r>
      <w:proofErr w:type="spellStart"/>
      <w:r w:rsidRPr="006A39A0">
        <w:rPr>
          <w:rFonts w:ascii="Book Antiqua" w:hAnsi="Book Antiqua" w:cs="Times New Roman"/>
          <w:sz w:val="24"/>
          <w:szCs w:val="24"/>
          <w:lang w:val="en-US"/>
        </w:rPr>
        <w:t>lipogenesis</w:t>
      </w:r>
      <w:proofErr w:type="spellEnd"/>
      <w:r w:rsidRPr="006A39A0">
        <w:rPr>
          <w:rFonts w:ascii="Book Antiqua" w:hAnsi="Book Antiqua" w:cs="Times New Roman"/>
          <w:sz w:val="24"/>
          <w:szCs w:val="24"/>
          <w:lang w:val="en-US"/>
        </w:rPr>
        <w:t>, increase complete fatty acid oxidation and promote lipid transport.</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These mechanisms, collectively, may contribute to lower hepatic lipid accumulation and to a better glycemic control. Several alterations in hepatic lipid metabolism can result in insulin resistance and hepatic </w:t>
      </w:r>
      <w:proofErr w:type="spellStart"/>
      <w:r w:rsidRPr="006A39A0">
        <w:rPr>
          <w:rFonts w:ascii="Book Antiqua" w:hAnsi="Book Antiqua" w:cs="Times New Roman"/>
          <w:sz w:val="24"/>
          <w:szCs w:val="24"/>
          <w:lang w:val="en-US"/>
        </w:rPr>
        <w:t>steatosis</w:t>
      </w:r>
      <w:proofErr w:type="spellEnd"/>
      <w:r w:rsidRPr="006A39A0">
        <w:rPr>
          <w:rFonts w:ascii="Book Antiqua" w:hAnsi="Book Antiqua" w:cs="Times New Roman"/>
          <w:sz w:val="24"/>
          <w:szCs w:val="24"/>
          <w:lang w:val="en-US"/>
        </w:rPr>
        <w:t xml:space="preserve"> such as impaired suppression of glucose output under </w:t>
      </w:r>
      <w:proofErr w:type="spellStart"/>
      <w:r w:rsidRPr="006A39A0">
        <w:rPr>
          <w:rFonts w:ascii="Book Antiqua" w:hAnsi="Book Antiqua" w:cs="Times New Roman"/>
          <w:sz w:val="24"/>
          <w:szCs w:val="24"/>
          <w:lang w:val="en-US"/>
        </w:rPr>
        <w:t>gluconeogenic</w:t>
      </w:r>
      <w:proofErr w:type="spellEnd"/>
      <w:r w:rsidRPr="006A39A0">
        <w:rPr>
          <w:rFonts w:ascii="Book Antiqua" w:hAnsi="Book Antiqua" w:cs="Times New Roman"/>
          <w:sz w:val="24"/>
          <w:szCs w:val="24"/>
          <w:lang w:val="en-US"/>
        </w:rPr>
        <w:t xml:space="preserve"> conditions, impaired fatty acid oxidation, decreased lipid export, and increased de-novo </w:t>
      </w:r>
      <w:proofErr w:type="spellStart"/>
      <w:r w:rsidRPr="006A39A0">
        <w:rPr>
          <w:rFonts w:ascii="Book Antiqua" w:hAnsi="Book Antiqua" w:cs="Times New Roman"/>
          <w:sz w:val="24"/>
          <w:szCs w:val="24"/>
          <w:lang w:val="en-US"/>
        </w:rPr>
        <w:t>lipogenesis</w:t>
      </w:r>
      <w:proofErr w:type="spellEnd"/>
      <w:r w:rsidRPr="006A39A0">
        <w:rPr>
          <w:rFonts w:ascii="Book Antiqua" w:hAnsi="Book Antiqua" w:cs="Times New Roman"/>
          <w:sz w:val="24"/>
          <w:szCs w:val="24"/>
          <w:lang w:val="en-US"/>
        </w:rPr>
        <w:t xml:space="preserve">. In vitro studies showed that E4orf1 protein is necessary and sufficient for ADV36 to increase cellular glucose uptake from adipocytes and myoblasts and to reduce glucose output from hepatocytes: E4orf1 also reduced DNL, and up-regulated </w:t>
      </w:r>
      <w:proofErr w:type="spellStart"/>
      <w:r w:rsidRPr="006A39A0">
        <w:rPr>
          <w:rFonts w:ascii="Book Antiqua" w:hAnsi="Book Antiqua" w:cs="Times New Roman"/>
          <w:sz w:val="24"/>
          <w:szCs w:val="24"/>
          <w:lang w:val="en-US"/>
        </w:rPr>
        <w:t>ApoB</w:t>
      </w:r>
      <w:proofErr w:type="spellEnd"/>
      <w:r w:rsidRPr="006A39A0">
        <w:rPr>
          <w:rFonts w:ascii="Book Antiqua" w:hAnsi="Book Antiqua" w:cs="Times New Roman"/>
          <w:sz w:val="24"/>
          <w:szCs w:val="24"/>
          <w:lang w:val="en-US"/>
        </w:rPr>
        <w:t xml:space="preserve"> secretion, which is indicative of lipid export. This action of E4orf1 may be sufficient to attenuate hepatic triglyceride accumulation, as observed in ADV36 infected C57BL/6J mice on high fat </w:t>
      </w:r>
      <w:proofErr w:type="gramStart"/>
      <w:r w:rsidRPr="006A39A0">
        <w:rPr>
          <w:rFonts w:ascii="Book Antiqua" w:hAnsi="Book Antiqua" w:cs="Times New Roman"/>
          <w:sz w:val="24"/>
          <w:szCs w:val="24"/>
          <w:lang w:val="en-US"/>
        </w:rPr>
        <w:t>diet</w:t>
      </w:r>
      <w:r w:rsidR="00C914A1" w:rsidRPr="00C914A1">
        <w:rPr>
          <w:rFonts w:ascii="Book Antiqua" w:hAnsi="Book Antiqua" w:cs="Times New Roman"/>
          <w:sz w:val="24"/>
          <w:szCs w:val="24"/>
          <w:vertAlign w:val="superscript"/>
          <w:lang w:val="en-US"/>
        </w:rPr>
        <w:t>[</w:t>
      </w:r>
      <w:proofErr w:type="gramEnd"/>
      <w:r w:rsidR="00C914A1">
        <w:rPr>
          <w:rFonts w:ascii="Book Antiqua" w:hAnsi="Book Antiqua" w:cs="Times New Roman"/>
          <w:sz w:val="24"/>
          <w:szCs w:val="24"/>
          <w:vertAlign w:val="superscript"/>
          <w:lang w:val="en-US"/>
        </w:rPr>
        <w:t>43,</w:t>
      </w:r>
      <w:r w:rsidRPr="006A39A0">
        <w:rPr>
          <w:rFonts w:ascii="Book Antiqua" w:hAnsi="Book Antiqua" w:cs="Times New Roman"/>
          <w:sz w:val="24"/>
          <w:szCs w:val="24"/>
          <w:vertAlign w:val="superscript"/>
          <w:lang w:val="en-US"/>
        </w:rPr>
        <w:t>56</w:t>
      </w:r>
      <w:r w:rsidR="00C914A1">
        <w:rPr>
          <w:rFonts w:ascii="Book Antiqua" w:hAnsi="Book Antiqua" w:cs="Times New Roman" w:hint="eastAsia"/>
          <w:sz w:val="24"/>
          <w:szCs w:val="24"/>
          <w:vertAlign w:val="superscript"/>
          <w:lang w:val="en-US" w:eastAsia="zh-CN"/>
        </w:rPr>
        <w:t>,</w:t>
      </w:r>
      <w:r w:rsidRPr="006A39A0">
        <w:rPr>
          <w:rFonts w:ascii="Book Antiqua" w:hAnsi="Book Antiqua" w:cs="Times New Roman"/>
          <w:sz w:val="24"/>
          <w:szCs w:val="24"/>
          <w:vertAlign w:val="superscript"/>
          <w:lang w:val="en-US"/>
        </w:rPr>
        <w:t>57]</w:t>
      </w:r>
      <w:r w:rsidR="006D5475" w:rsidRPr="006A39A0">
        <w:rPr>
          <w:rFonts w:ascii="Book Antiqua" w:hAnsi="Book Antiqua" w:cs="Times New Roman"/>
          <w:sz w:val="24"/>
          <w:szCs w:val="24"/>
          <w:lang w:val="en-US"/>
        </w:rPr>
        <w:t>.</w:t>
      </w:r>
    </w:p>
    <w:p w:rsidR="00C914A1" w:rsidRPr="00C914A1" w:rsidRDefault="00C914A1" w:rsidP="008019CB">
      <w:pPr>
        <w:adjustRightInd w:val="0"/>
        <w:snapToGrid w:val="0"/>
        <w:spacing w:after="0" w:line="360" w:lineRule="auto"/>
        <w:jc w:val="both"/>
        <w:rPr>
          <w:rFonts w:ascii="Book Antiqua" w:hAnsi="Book Antiqua" w:cs="Times New Roman"/>
          <w:b/>
          <w:sz w:val="24"/>
          <w:szCs w:val="24"/>
          <w:lang w:val="en-US" w:eastAsia="zh-CN"/>
        </w:rPr>
      </w:pPr>
    </w:p>
    <w:p w:rsidR="000D6437" w:rsidRPr="00C914A1" w:rsidRDefault="000D6437" w:rsidP="008019CB">
      <w:pPr>
        <w:adjustRightInd w:val="0"/>
        <w:snapToGrid w:val="0"/>
        <w:spacing w:after="0" w:line="360" w:lineRule="auto"/>
        <w:jc w:val="both"/>
        <w:rPr>
          <w:rFonts w:ascii="Book Antiqua" w:hAnsi="Book Antiqua" w:cs="Times New Roman"/>
          <w:b/>
          <w:sz w:val="24"/>
          <w:szCs w:val="24"/>
          <w:lang w:val="en-US"/>
        </w:rPr>
      </w:pPr>
      <w:r w:rsidRPr="00C914A1">
        <w:rPr>
          <w:rFonts w:ascii="Book Antiqua" w:hAnsi="Book Antiqua" w:cs="Times New Roman"/>
          <w:b/>
          <w:sz w:val="24"/>
          <w:szCs w:val="24"/>
          <w:lang w:val="en-US"/>
        </w:rPr>
        <w:t>LIMITATIONS AND FUTURE PERSPECTIVES</w:t>
      </w:r>
    </w:p>
    <w:p w:rsidR="000D6437" w:rsidRPr="006A39A0" w:rsidRDefault="000D6437" w:rsidP="008019CB">
      <w:pPr>
        <w:adjustRightInd w:val="0"/>
        <w:snapToGrid w:val="0"/>
        <w:spacing w:after="0" w:line="360" w:lineRule="auto"/>
        <w:jc w:val="both"/>
        <w:rPr>
          <w:rFonts w:ascii="Book Antiqua" w:hAnsi="Book Antiqua" w:cs="Times New Roman"/>
          <w:sz w:val="24"/>
          <w:szCs w:val="24"/>
          <w:lang w:val="en-US"/>
        </w:rPr>
      </w:pPr>
      <w:r w:rsidRPr="006A39A0">
        <w:rPr>
          <w:rFonts w:ascii="Book Antiqua" w:hAnsi="Book Antiqua" w:cs="Times New Roman"/>
          <w:sz w:val="24"/>
          <w:szCs w:val="24"/>
          <w:lang w:val="en-US"/>
        </w:rPr>
        <w:t>We are aware that present evidence in not supported by evidence based on Koch's postulates and/or by the demonstration of the presence of ADV36 or of any of its component in the liver. Our observational investigation was merged within the current chosen approach for the management of fatty liver disease, in non</w:t>
      </w:r>
      <w:r w:rsidR="00C914A1">
        <w:rPr>
          <w:rFonts w:ascii="Book Antiqua" w:hAnsi="Book Antiqua" w:cs="Times New Roman" w:hint="eastAsia"/>
          <w:sz w:val="24"/>
          <w:szCs w:val="24"/>
          <w:lang w:val="en-US" w:eastAsia="zh-CN"/>
        </w:rPr>
        <w:t>-</w:t>
      </w:r>
      <w:r w:rsidRPr="006A39A0">
        <w:rPr>
          <w:rFonts w:ascii="Book Antiqua" w:hAnsi="Book Antiqua" w:cs="Times New Roman"/>
          <w:sz w:val="24"/>
          <w:szCs w:val="24"/>
          <w:lang w:val="en-US"/>
        </w:rPr>
        <w:t xml:space="preserve">diabetics, without alcohol abuse and without viral hepatitis disease. In this subset the only clinical clue for fatty liver could be overweight-obesity. A bias was that patients were not randomly selected from a definite population, but were all subjects coming to our outpatient clinic for </w:t>
      </w:r>
      <w:r w:rsidR="00AE6DF8">
        <w:rPr>
          <w:rFonts w:ascii="Book Antiqua" w:hAnsi="Book Antiqua" w:cs="Times New Roman" w:hint="eastAsia"/>
          <w:sz w:val="24"/>
          <w:szCs w:val="24"/>
          <w:lang w:val="en-US" w:eastAsia="zh-CN"/>
        </w:rPr>
        <w:t>US</w:t>
      </w:r>
      <w:r w:rsidRPr="006A39A0">
        <w:rPr>
          <w:rFonts w:ascii="Book Antiqua" w:hAnsi="Book Antiqua" w:cs="Times New Roman"/>
          <w:sz w:val="24"/>
          <w:szCs w:val="24"/>
          <w:lang w:val="en-US"/>
        </w:rPr>
        <w:t xml:space="preserve"> assessment and nutritional evaluation and counseling, with or without presenting </w:t>
      </w:r>
      <w:r w:rsidRPr="006A39A0">
        <w:rPr>
          <w:rFonts w:ascii="Book Antiqua" w:hAnsi="Book Antiqua" w:cs="Times New Roman"/>
          <w:sz w:val="24"/>
          <w:szCs w:val="24"/>
          <w:lang w:val="en-US"/>
        </w:rPr>
        <w:lastRenderedPageBreak/>
        <w:t>currently overweight or obesity. Most of the normal weight subjects,</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however, were overweight or obese in the preceding years. According to our knowledge and practice, we rely on lifestyle assessment and management of obesity and fatty liver, with a common approach. Despite this, we challenged the possibility that a factor, such as this infection with widespread human viruses with </w:t>
      </w:r>
      <w:proofErr w:type="spellStart"/>
      <w:r w:rsidRPr="006A39A0">
        <w:rPr>
          <w:rFonts w:ascii="Book Antiqua" w:hAnsi="Book Antiqua" w:cs="Times New Roman"/>
          <w:sz w:val="24"/>
          <w:szCs w:val="24"/>
          <w:lang w:val="en-US"/>
        </w:rPr>
        <w:t>obesogenic</w:t>
      </w:r>
      <w:proofErr w:type="spellEnd"/>
      <w:r w:rsidRPr="006A39A0">
        <w:rPr>
          <w:rFonts w:ascii="Book Antiqua" w:hAnsi="Book Antiqua" w:cs="Times New Roman"/>
          <w:sz w:val="24"/>
          <w:szCs w:val="24"/>
          <w:lang w:val="en-US"/>
        </w:rPr>
        <w:t xml:space="preserve"> effects in animals is, could have similar effect in humans. We tried to explain how these effects, if any, could be inter-related with the obesity-associated liver disease which, in its more “pure” form, is currently defined NAFLD.</w:t>
      </w:r>
    </w:p>
    <w:p w:rsidR="000D6437" w:rsidRPr="006A39A0" w:rsidRDefault="000D6437" w:rsidP="008019CB">
      <w:pPr>
        <w:adjustRightInd w:val="0"/>
        <w:snapToGrid w:val="0"/>
        <w:spacing w:after="0" w:line="360" w:lineRule="auto"/>
        <w:ind w:firstLineChars="100" w:firstLine="240"/>
        <w:jc w:val="both"/>
        <w:rPr>
          <w:rFonts w:ascii="Book Antiqua" w:hAnsi="Book Antiqua" w:cs="Times New Roman"/>
          <w:sz w:val="24"/>
          <w:szCs w:val="24"/>
          <w:lang w:val="en-US"/>
        </w:rPr>
      </w:pPr>
      <w:r w:rsidRPr="006A39A0">
        <w:rPr>
          <w:rFonts w:ascii="Book Antiqua" w:hAnsi="Book Antiqua" w:cs="Times New Roman"/>
          <w:sz w:val="24"/>
          <w:szCs w:val="24"/>
          <w:lang w:val="en-US"/>
        </w:rPr>
        <w:t xml:space="preserve">The envisaged molecular mechanisms are the results of the studies of different investigators with different methodological approaches. E4orf1 is not a secretory protein, and therefore does not have a cell surface receptor for cell entry. Moreover, a long term delivery of E4orf1 may be required to influence metabolism in vivo. Therefore, a suitable delivery system such as a retrovirus or </w:t>
      </w:r>
      <w:proofErr w:type="spellStart"/>
      <w:r w:rsidRPr="006A39A0">
        <w:rPr>
          <w:rFonts w:ascii="Book Antiqua" w:hAnsi="Book Antiqua" w:cs="Times New Roman"/>
          <w:sz w:val="24"/>
          <w:szCs w:val="24"/>
          <w:lang w:val="en-US"/>
        </w:rPr>
        <w:t>nano</w:t>
      </w:r>
      <w:proofErr w:type="spellEnd"/>
      <w:r w:rsidRPr="006A39A0">
        <w:rPr>
          <w:rFonts w:ascii="Book Antiqua" w:hAnsi="Book Antiqua" w:cs="Times New Roman"/>
          <w:sz w:val="24"/>
          <w:szCs w:val="24"/>
          <w:lang w:val="en-US"/>
        </w:rPr>
        <w:t xml:space="preserve">-particles that express E4orf1 is required to test the effects of E4orf1 in vivo. Nonetheless, E4orf1 may provide novel signaling targets to prevent NAFLD and insulin resistance even in the presence of a high fat </w:t>
      </w:r>
      <w:proofErr w:type="gramStart"/>
      <w:r w:rsidRPr="006A39A0">
        <w:rPr>
          <w:rFonts w:ascii="Book Antiqua" w:hAnsi="Book Antiqua" w:cs="Times New Roman"/>
          <w:sz w:val="24"/>
          <w:szCs w:val="24"/>
          <w:lang w:val="en-US"/>
        </w:rPr>
        <w:t>diet</w:t>
      </w:r>
      <w:r w:rsidR="00C914A1" w:rsidRPr="00C914A1">
        <w:rPr>
          <w:rFonts w:ascii="Book Antiqua" w:hAnsi="Book Antiqua" w:cs="Times New Roman"/>
          <w:sz w:val="24"/>
          <w:szCs w:val="24"/>
          <w:vertAlign w:val="superscript"/>
          <w:lang w:val="en-US"/>
        </w:rPr>
        <w:t>[</w:t>
      </w:r>
      <w:proofErr w:type="gramEnd"/>
      <w:r w:rsidR="00C914A1">
        <w:rPr>
          <w:rFonts w:ascii="Book Antiqua" w:hAnsi="Book Antiqua" w:cs="Times New Roman"/>
          <w:sz w:val="24"/>
          <w:szCs w:val="24"/>
          <w:vertAlign w:val="superscript"/>
          <w:lang w:val="en-US"/>
        </w:rPr>
        <w:t>43,</w:t>
      </w:r>
      <w:r w:rsidRPr="006A39A0">
        <w:rPr>
          <w:rFonts w:ascii="Book Antiqua" w:hAnsi="Book Antiqua" w:cs="Times New Roman"/>
          <w:sz w:val="24"/>
          <w:szCs w:val="24"/>
          <w:vertAlign w:val="superscript"/>
          <w:lang w:val="en-US"/>
        </w:rPr>
        <w:t>57</w:t>
      </w:r>
      <w:r w:rsidR="00B72441">
        <w:rPr>
          <w:rFonts w:ascii="Book Antiqua" w:hAnsi="Book Antiqua" w:cs="Times New Roman" w:hint="eastAsia"/>
          <w:sz w:val="24"/>
          <w:szCs w:val="24"/>
          <w:vertAlign w:val="superscript"/>
          <w:lang w:val="en-US" w:eastAsia="zh-CN"/>
        </w:rPr>
        <w:t>,</w:t>
      </w:r>
      <w:r w:rsidR="00B72441" w:rsidRPr="006A39A0">
        <w:rPr>
          <w:rFonts w:ascii="Book Antiqua" w:hAnsi="Book Antiqua" w:cs="Times New Roman"/>
          <w:sz w:val="24"/>
          <w:szCs w:val="24"/>
          <w:vertAlign w:val="superscript"/>
          <w:lang w:val="en-US"/>
        </w:rPr>
        <w:t>5</w:t>
      </w:r>
      <w:r w:rsidR="00B72441">
        <w:rPr>
          <w:rFonts w:ascii="Book Antiqua" w:hAnsi="Book Antiqua" w:cs="Times New Roman" w:hint="eastAsia"/>
          <w:sz w:val="24"/>
          <w:szCs w:val="24"/>
          <w:vertAlign w:val="superscript"/>
          <w:lang w:val="en-US" w:eastAsia="zh-CN"/>
        </w:rPr>
        <w:t>8</w:t>
      </w:r>
      <w:r w:rsidRPr="006A39A0">
        <w:rPr>
          <w:rFonts w:ascii="Book Antiqua" w:hAnsi="Book Antiqua" w:cs="Times New Roman"/>
          <w:sz w:val="24"/>
          <w:szCs w:val="24"/>
          <w:vertAlign w:val="superscript"/>
          <w:lang w:val="en-US"/>
        </w:rPr>
        <w:t>]</w:t>
      </w:r>
      <w:r w:rsidRPr="006A39A0">
        <w:rPr>
          <w:rFonts w:ascii="Book Antiqua" w:hAnsi="Book Antiqua" w:cs="Times New Roman"/>
          <w:sz w:val="24"/>
          <w:szCs w:val="24"/>
          <w:lang w:val="en-US"/>
        </w:rPr>
        <w:t>.</w:t>
      </w:r>
    </w:p>
    <w:p w:rsidR="000D6437" w:rsidRPr="006A39A0" w:rsidRDefault="000D6437" w:rsidP="008019CB">
      <w:pPr>
        <w:adjustRightInd w:val="0"/>
        <w:snapToGrid w:val="0"/>
        <w:spacing w:after="0" w:line="360" w:lineRule="auto"/>
        <w:ind w:firstLineChars="100" w:firstLine="240"/>
        <w:jc w:val="both"/>
        <w:rPr>
          <w:rFonts w:ascii="Book Antiqua" w:hAnsi="Book Antiqua" w:cs="Times New Roman"/>
          <w:sz w:val="24"/>
          <w:szCs w:val="24"/>
          <w:lang w:val="en-US"/>
        </w:rPr>
      </w:pPr>
      <w:r w:rsidRPr="006A39A0">
        <w:rPr>
          <w:rFonts w:ascii="Book Antiqua" w:hAnsi="Book Antiqua" w:cs="Times New Roman"/>
          <w:sz w:val="24"/>
          <w:szCs w:val="24"/>
          <w:lang w:val="en-US"/>
        </w:rPr>
        <w:t xml:space="preserve">More information of the effects of ADV36/37 on cultured human cells, </w:t>
      </w:r>
      <w:r w:rsidR="00C914A1" w:rsidRPr="00C914A1">
        <w:rPr>
          <w:rFonts w:ascii="Book Antiqua" w:hAnsi="Book Antiqua" w:cs="Times New Roman"/>
          <w:i/>
          <w:sz w:val="24"/>
          <w:szCs w:val="24"/>
          <w:lang w:val="en-US"/>
        </w:rPr>
        <w:t>i.e.</w:t>
      </w:r>
      <w:r w:rsidRPr="006A39A0">
        <w:rPr>
          <w:rFonts w:ascii="Book Antiqua" w:hAnsi="Book Antiqua" w:cs="Times New Roman"/>
          <w:sz w:val="24"/>
          <w:szCs w:val="24"/>
          <w:lang w:val="en-US"/>
        </w:rPr>
        <w:t xml:space="preserve"> adipocytes, hepatocytes and others are still needed, as too are additional longitudinal epidemiological studies. Prospective studies on seropositive subjects shifting from</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conditions of </w:t>
      </w:r>
      <w:proofErr w:type="spellStart"/>
      <w:r w:rsidRPr="006A39A0">
        <w:rPr>
          <w:rFonts w:ascii="Book Antiqua" w:hAnsi="Book Antiqua" w:cs="Times New Roman"/>
          <w:sz w:val="24"/>
          <w:szCs w:val="24"/>
          <w:lang w:val="en-US"/>
        </w:rPr>
        <w:t>seropositivity</w:t>
      </w:r>
      <w:proofErr w:type="spellEnd"/>
      <w:r w:rsidRPr="006A39A0">
        <w:rPr>
          <w:rFonts w:ascii="Book Antiqua" w:hAnsi="Book Antiqua" w:cs="Times New Roman"/>
          <w:sz w:val="24"/>
          <w:szCs w:val="24"/>
          <w:lang w:val="en-US"/>
        </w:rPr>
        <w:t xml:space="preserve"> to </w:t>
      </w:r>
      <w:proofErr w:type="spellStart"/>
      <w:r w:rsidRPr="006A39A0">
        <w:rPr>
          <w:rFonts w:ascii="Book Antiqua" w:hAnsi="Book Antiqua" w:cs="Times New Roman"/>
          <w:sz w:val="24"/>
          <w:szCs w:val="24"/>
          <w:lang w:val="en-US"/>
        </w:rPr>
        <w:t>seronegativity</w:t>
      </w:r>
      <w:proofErr w:type="spellEnd"/>
      <w:r w:rsidRPr="006A39A0">
        <w:rPr>
          <w:rFonts w:ascii="Book Antiqua" w:hAnsi="Book Antiqua" w:cs="Times New Roman"/>
          <w:sz w:val="24"/>
          <w:szCs w:val="24"/>
          <w:lang w:val="en-US"/>
        </w:rPr>
        <w:t xml:space="preserve"> could provide useful information. Assessment of combined ADV36/ADV37 </w:t>
      </w:r>
      <w:proofErr w:type="spellStart"/>
      <w:r w:rsidRPr="006A39A0">
        <w:rPr>
          <w:rFonts w:ascii="Book Antiqua" w:hAnsi="Book Antiqua" w:cs="Times New Roman"/>
          <w:sz w:val="24"/>
          <w:szCs w:val="24"/>
          <w:lang w:val="en-US"/>
        </w:rPr>
        <w:t>seropositivity</w:t>
      </w:r>
      <w:proofErr w:type="spellEnd"/>
      <w:r w:rsidRPr="006A39A0">
        <w:rPr>
          <w:rFonts w:ascii="Book Antiqua" w:hAnsi="Book Antiqua" w:cs="Times New Roman"/>
          <w:sz w:val="24"/>
          <w:szCs w:val="24"/>
          <w:lang w:val="en-US"/>
        </w:rPr>
        <w:t xml:space="preserve"> on liver and, notably, on liver fibrosis and </w:t>
      </w:r>
      <w:proofErr w:type="spellStart"/>
      <w:r w:rsidRPr="006A39A0">
        <w:rPr>
          <w:rFonts w:ascii="Book Antiqua" w:hAnsi="Book Antiqua" w:cs="Times New Roman"/>
          <w:sz w:val="24"/>
          <w:szCs w:val="24"/>
          <w:lang w:val="en-US"/>
        </w:rPr>
        <w:t>steatosis</w:t>
      </w:r>
      <w:proofErr w:type="spellEnd"/>
      <w:r w:rsidRPr="006A39A0">
        <w:rPr>
          <w:rFonts w:ascii="Book Antiqua" w:hAnsi="Book Antiqua" w:cs="Times New Roman"/>
          <w:sz w:val="24"/>
          <w:szCs w:val="24"/>
          <w:lang w:val="en-US"/>
        </w:rPr>
        <w:t>, are a field of current investigation; we preliminary reported that compound</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ADV36/ADV37 </w:t>
      </w:r>
      <w:proofErr w:type="spellStart"/>
      <w:r w:rsidRPr="006A39A0">
        <w:rPr>
          <w:rFonts w:ascii="Book Antiqua" w:hAnsi="Book Antiqua" w:cs="Times New Roman"/>
          <w:sz w:val="24"/>
          <w:szCs w:val="24"/>
          <w:lang w:val="en-US"/>
        </w:rPr>
        <w:t>seropositivity</w:t>
      </w:r>
      <w:proofErr w:type="spellEnd"/>
      <w:r w:rsidRPr="006A39A0">
        <w:rPr>
          <w:rFonts w:ascii="Book Antiqua" w:hAnsi="Book Antiqua" w:cs="Times New Roman"/>
          <w:sz w:val="24"/>
          <w:szCs w:val="24"/>
          <w:lang w:val="en-US"/>
        </w:rPr>
        <w:t xml:space="preserve"> is associated with a risk profile more similar to ADV37 </w:t>
      </w:r>
      <w:proofErr w:type="spellStart"/>
      <w:r w:rsidRPr="006A39A0">
        <w:rPr>
          <w:rFonts w:ascii="Book Antiqua" w:hAnsi="Book Antiqua" w:cs="Times New Roman"/>
          <w:sz w:val="24"/>
          <w:szCs w:val="24"/>
          <w:lang w:val="en-US"/>
        </w:rPr>
        <w:t>seropositivity</w:t>
      </w:r>
      <w:proofErr w:type="spellEnd"/>
      <w:r w:rsidRPr="006A39A0">
        <w:rPr>
          <w:rFonts w:ascii="Book Antiqua" w:hAnsi="Book Antiqua" w:cs="Times New Roman"/>
          <w:sz w:val="24"/>
          <w:szCs w:val="24"/>
          <w:lang w:val="en-US"/>
        </w:rPr>
        <w:t xml:space="preserve"> (</w:t>
      </w:r>
      <w:r w:rsidR="00C914A1">
        <w:rPr>
          <w:rFonts w:ascii="Book Antiqua" w:hAnsi="Book Antiqua" w:cs="Times New Roman"/>
          <w:sz w:val="24"/>
          <w:szCs w:val="24"/>
          <w:lang w:val="en-US"/>
        </w:rPr>
        <w:t>Figure</w:t>
      </w:r>
      <w:r w:rsidRPr="006A39A0">
        <w:rPr>
          <w:rFonts w:ascii="Book Antiqua" w:hAnsi="Book Antiqua" w:cs="Times New Roman"/>
          <w:sz w:val="24"/>
          <w:szCs w:val="24"/>
          <w:lang w:val="en-US"/>
        </w:rPr>
        <w:t xml:space="preserve"> </w:t>
      </w:r>
      <w:r w:rsidR="00591782">
        <w:rPr>
          <w:rFonts w:ascii="Book Antiqua" w:hAnsi="Book Antiqua" w:cs="Times New Roman" w:hint="eastAsia"/>
          <w:sz w:val="24"/>
          <w:szCs w:val="24"/>
          <w:lang w:val="en-US" w:eastAsia="zh-CN"/>
        </w:rPr>
        <w:t>8</w:t>
      </w:r>
      <w:r w:rsidRPr="006A39A0">
        <w:rPr>
          <w:rFonts w:ascii="Book Antiqua" w:hAnsi="Book Antiqua" w:cs="Times New Roman"/>
          <w:sz w:val="24"/>
          <w:szCs w:val="24"/>
          <w:lang w:val="en-US"/>
        </w:rPr>
        <w:t xml:space="preserve">), whose effect is not blunted by ADV36 </w:t>
      </w:r>
      <w:proofErr w:type="spellStart"/>
      <w:r w:rsidRPr="006A39A0">
        <w:rPr>
          <w:rFonts w:ascii="Book Antiqua" w:hAnsi="Book Antiqua" w:cs="Times New Roman"/>
          <w:sz w:val="24"/>
          <w:szCs w:val="24"/>
          <w:lang w:val="en-US"/>
        </w:rPr>
        <w:t>seropositivity</w:t>
      </w:r>
      <w:proofErr w:type="spellEnd"/>
      <w:r w:rsidRPr="006A39A0">
        <w:rPr>
          <w:rFonts w:ascii="Book Antiqua" w:hAnsi="Book Antiqua" w:cs="Times New Roman"/>
          <w:sz w:val="24"/>
          <w:szCs w:val="24"/>
          <w:lang w:val="en-US"/>
        </w:rPr>
        <w:t xml:space="preserve">. </w:t>
      </w:r>
    </w:p>
    <w:p w:rsidR="000D6437" w:rsidRPr="006A39A0" w:rsidRDefault="000D6437" w:rsidP="008019CB">
      <w:pPr>
        <w:adjustRightInd w:val="0"/>
        <w:snapToGrid w:val="0"/>
        <w:spacing w:after="0" w:line="360" w:lineRule="auto"/>
        <w:jc w:val="both"/>
        <w:rPr>
          <w:rFonts w:ascii="Book Antiqua" w:hAnsi="Book Antiqua" w:cs="Times New Roman"/>
          <w:sz w:val="24"/>
          <w:szCs w:val="24"/>
          <w:lang w:val="en-US"/>
        </w:rPr>
      </w:pPr>
      <w:r w:rsidRPr="006A39A0">
        <w:rPr>
          <w:rFonts w:ascii="Book Antiqua" w:hAnsi="Book Antiqua" w:cs="Times New Roman"/>
          <w:sz w:val="24"/>
          <w:szCs w:val="24"/>
          <w:lang w:val="en-US"/>
        </w:rPr>
        <w:t xml:space="preserve"> </w:t>
      </w:r>
      <w:r w:rsidR="00C914A1">
        <w:rPr>
          <w:rFonts w:ascii="Book Antiqua" w:hAnsi="Book Antiqua" w:cs="Times New Roman" w:hint="eastAsia"/>
          <w:sz w:val="24"/>
          <w:szCs w:val="24"/>
          <w:lang w:val="en-US" w:eastAsia="zh-CN"/>
        </w:rPr>
        <w:t xml:space="preserve"> </w:t>
      </w:r>
      <w:r w:rsidRPr="006A39A0">
        <w:rPr>
          <w:rFonts w:ascii="Book Antiqua" w:hAnsi="Book Antiqua" w:cs="Times New Roman"/>
          <w:sz w:val="24"/>
          <w:szCs w:val="24"/>
          <w:lang w:val="en-US"/>
        </w:rPr>
        <w:t xml:space="preserve">In this subset, a search for groups with early first infections and subsequent modality of </w:t>
      </w:r>
      <w:proofErr w:type="spellStart"/>
      <w:r w:rsidRPr="006A39A0">
        <w:rPr>
          <w:rFonts w:ascii="Book Antiqua" w:hAnsi="Book Antiqua" w:cs="Times New Roman"/>
          <w:sz w:val="24"/>
          <w:szCs w:val="24"/>
          <w:lang w:val="en-US"/>
        </w:rPr>
        <w:t>seroconversion</w:t>
      </w:r>
      <w:proofErr w:type="spellEnd"/>
      <w:r w:rsidRPr="006A39A0">
        <w:rPr>
          <w:rFonts w:ascii="Book Antiqua" w:hAnsi="Book Antiqua" w:cs="Times New Roman"/>
          <w:sz w:val="24"/>
          <w:szCs w:val="24"/>
          <w:lang w:val="en-US"/>
        </w:rPr>
        <w:t xml:space="preserve"> could provide useful information. The study</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of identical</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twins</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and</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the assessment</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of different susceptibility,</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if any, of patients</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with</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combined</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ADV36/ADV37 </w:t>
      </w:r>
      <w:proofErr w:type="spellStart"/>
      <w:r w:rsidRPr="006A39A0">
        <w:rPr>
          <w:rFonts w:ascii="Book Antiqua" w:hAnsi="Book Antiqua" w:cs="Times New Roman"/>
          <w:sz w:val="24"/>
          <w:szCs w:val="24"/>
          <w:lang w:val="en-US"/>
        </w:rPr>
        <w:t>seropositivity</w:t>
      </w:r>
      <w:proofErr w:type="spellEnd"/>
      <w:r w:rsidRPr="006A39A0">
        <w:rPr>
          <w:rFonts w:ascii="Book Antiqua" w:hAnsi="Book Antiqua" w:cs="Times New Roman"/>
          <w:sz w:val="24"/>
          <w:szCs w:val="24"/>
          <w:lang w:val="en-US"/>
        </w:rPr>
        <w:t xml:space="preserve"> would also</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be useful.</w:t>
      </w:r>
      <w:r w:rsidR="00C914A1">
        <w:rPr>
          <w:rFonts w:ascii="Book Antiqua" w:hAnsi="Book Antiqua" w:cs="Times New Roman"/>
          <w:sz w:val="24"/>
          <w:szCs w:val="24"/>
          <w:lang w:val="en-US"/>
        </w:rPr>
        <w:t xml:space="preserve"> </w:t>
      </w:r>
    </w:p>
    <w:p w:rsidR="000D6437" w:rsidRPr="006A39A0" w:rsidRDefault="000D6437" w:rsidP="008019CB">
      <w:pPr>
        <w:adjustRightInd w:val="0"/>
        <w:snapToGrid w:val="0"/>
        <w:spacing w:after="0" w:line="360" w:lineRule="auto"/>
        <w:ind w:firstLineChars="100" w:firstLine="240"/>
        <w:jc w:val="both"/>
        <w:rPr>
          <w:rFonts w:ascii="Book Antiqua" w:hAnsi="Book Antiqua" w:cs="Times New Roman"/>
          <w:sz w:val="24"/>
          <w:szCs w:val="24"/>
          <w:lang w:val="en-US"/>
        </w:rPr>
      </w:pPr>
      <w:r w:rsidRPr="006A39A0">
        <w:rPr>
          <w:rFonts w:ascii="Book Antiqua" w:hAnsi="Book Antiqua" w:cs="Times New Roman"/>
          <w:sz w:val="24"/>
          <w:szCs w:val="24"/>
          <w:lang w:val="en-US"/>
        </w:rPr>
        <w:t>The</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availability</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of affordable predictive application tools will foster both epidemiological and</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preventive</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strategies</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and</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prospective intervention </w:t>
      </w:r>
      <w:proofErr w:type="gramStart"/>
      <w:r w:rsidRPr="006A39A0">
        <w:rPr>
          <w:rFonts w:ascii="Book Antiqua" w:hAnsi="Book Antiqua" w:cs="Times New Roman"/>
          <w:sz w:val="24"/>
          <w:szCs w:val="24"/>
          <w:lang w:val="en-US"/>
        </w:rPr>
        <w:t>actions</w:t>
      </w:r>
      <w:r w:rsidR="00C914A1" w:rsidRPr="00C914A1">
        <w:rPr>
          <w:rFonts w:ascii="Book Antiqua" w:hAnsi="Book Antiqua" w:cs="Times New Roman"/>
          <w:sz w:val="24"/>
          <w:szCs w:val="24"/>
          <w:vertAlign w:val="superscript"/>
          <w:lang w:val="en-US"/>
        </w:rPr>
        <w:t>[</w:t>
      </w:r>
      <w:proofErr w:type="gramEnd"/>
      <w:r w:rsidRPr="006A39A0">
        <w:rPr>
          <w:rFonts w:ascii="Book Antiqua" w:hAnsi="Book Antiqua" w:cs="Times New Roman"/>
          <w:sz w:val="24"/>
          <w:szCs w:val="24"/>
          <w:vertAlign w:val="superscript"/>
          <w:lang w:val="en-US"/>
        </w:rPr>
        <w:t>19]</w:t>
      </w:r>
      <w:r w:rsidRPr="006A39A0">
        <w:rPr>
          <w:rFonts w:ascii="Book Antiqua" w:hAnsi="Book Antiqua" w:cs="Times New Roman"/>
          <w:sz w:val="24"/>
          <w:szCs w:val="24"/>
          <w:lang w:val="en-US"/>
        </w:rPr>
        <w:t xml:space="preserve">. The possibility of using </w:t>
      </w:r>
      <w:proofErr w:type="gramStart"/>
      <w:r w:rsidRPr="006A39A0">
        <w:rPr>
          <w:rFonts w:ascii="Book Antiqua" w:hAnsi="Book Antiqua" w:cs="Times New Roman"/>
          <w:sz w:val="24"/>
          <w:szCs w:val="24"/>
          <w:lang w:val="en-US"/>
        </w:rPr>
        <w:t>a</w:t>
      </w:r>
      <w:proofErr w:type="gramEnd"/>
      <w:r w:rsidRPr="006A39A0">
        <w:rPr>
          <w:rFonts w:ascii="Book Antiqua" w:hAnsi="Book Antiqua" w:cs="Times New Roman"/>
          <w:sz w:val="24"/>
          <w:szCs w:val="24"/>
          <w:lang w:val="en-US"/>
        </w:rPr>
        <w:t xml:space="preserve"> ADV36 vaccine in humans and the use of substances with inhibitory action on ADV36 replication and/or on its </w:t>
      </w:r>
      <w:proofErr w:type="spellStart"/>
      <w:r w:rsidRPr="006A39A0">
        <w:rPr>
          <w:rFonts w:ascii="Book Antiqua" w:hAnsi="Book Antiqua" w:cs="Times New Roman"/>
          <w:sz w:val="24"/>
          <w:szCs w:val="24"/>
          <w:lang w:val="en-US"/>
        </w:rPr>
        <w:t>adipogenic</w:t>
      </w:r>
      <w:proofErr w:type="spellEnd"/>
      <w:r w:rsidRPr="006A39A0">
        <w:rPr>
          <w:rFonts w:ascii="Book Antiqua" w:hAnsi="Book Antiqua" w:cs="Times New Roman"/>
          <w:sz w:val="24"/>
          <w:szCs w:val="24"/>
          <w:lang w:val="en-US"/>
        </w:rPr>
        <w:t xml:space="preserve"> effects are currently being investigated, despite its questionable usefulness according to our current knowledge. </w:t>
      </w:r>
    </w:p>
    <w:p w:rsidR="000D6437" w:rsidRPr="006A39A0" w:rsidRDefault="000D6437" w:rsidP="008019CB">
      <w:pPr>
        <w:adjustRightInd w:val="0"/>
        <w:snapToGrid w:val="0"/>
        <w:spacing w:after="0" w:line="360" w:lineRule="auto"/>
        <w:ind w:firstLineChars="100" w:firstLine="240"/>
        <w:jc w:val="both"/>
        <w:rPr>
          <w:rFonts w:ascii="Book Antiqua" w:hAnsi="Book Antiqua" w:cs="Times New Roman"/>
          <w:sz w:val="24"/>
          <w:szCs w:val="24"/>
          <w:lang w:val="en-US"/>
        </w:rPr>
      </w:pPr>
      <w:r w:rsidRPr="006A39A0">
        <w:rPr>
          <w:rFonts w:ascii="Book Antiqua" w:hAnsi="Book Antiqua" w:cs="Times New Roman"/>
          <w:sz w:val="24"/>
          <w:szCs w:val="24"/>
          <w:lang w:val="en-US"/>
        </w:rPr>
        <w:lastRenderedPageBreak/>
        <w:t>Nonetheless, despite overweight-obesity being considered invariably ominous for health, under several conditions, also in this case of ADV36 associated obesity being overweight appears “protective” (obesity paradox), not only</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against renal and heart failure</w:t>
      </w:r>
      <w:r w:rsidR="00C914A1" w:rsidRPr="00C914A1">
        <w:rPr>
          <w:rFonts w:ascii="Book Antiqua" w:hAnsi="Book Antiqua" w:cs="Times New Roman"/>
          <w:sz w:val="24"/>
          <w:szCs w:val="24"/>
          <w:vertAlign w:val="superscript"/>
          <w:lang w:val="en-US"/>
        </w:rPr>
        <w:t>[</w:t>
      </w:r>
      <w:r w:rsidR="00B72441">
        <w:rPr>
          <w:rFonts w:ascii="Book Antiqua" w:hAnsi="Book Antiqua" w:cs="Times New Roman" w:hint="eastAsia"/>
          <w:sz w:val="24"/>
          <w:szCs w:val="24"/>
          <w:vertAlign w:val="superscript"/>
          <w:lang w:val="en-US" w:eastAsia="zh-CN"/>
        </w:rPr>
        <w:t>59</w:t>
      </w:r>
      <w:r w:rsidRPr="006A39A0">
        <w:rPr>
          <w:rFonts w:ascii="Book Antiqua" w:hAnsi="Book Antiqua" w:cs="Times New Roman"/>
          <w:sz w:val="24"/>
          <w:szCs w:val="24"/>
          <w:vertAlign w:val="superscript"/>
          <w:lang w:val="en-US"/>
        </w:rPr>
        <w:t>]</w:t>
      </w:r>
      <w:r w:rsidRPr="006A39A0">
        <w:rPr>
          <w:rFonts w:ascii="Book Antiqua" w:hAnsi="Book Antiqua" w:cs="Times New Roman"/>
          <w:sz w:val="24"/>
          <w:szCs w:val="24"/>
          <w:lang w:val="en-US"/>
        </w:rPr>
        <w:t>, but also against NAFLD</w:t>
      </w:r>
      <w:r w:rsidR="00C914A1" w:rsidRPr="00C914A1">
        <w:rPr>
          <w:rFonts w:ascii="Book Antiqua" w:hAnsi="Book Antiqua" w:cs="Times New Roman"/>
          <w:sz w:val="24"/>
          <w:szCs w:val="24"/>
          <w:vertAlign w:val="superscript"/>
          <w:lang w:val="en-US"/>
        </w:rPr>
        <w:t>[</w:t>
      </w:r>
      <w:r w:rsidR="00C914A1">
        <w:rPr>
          <w:rFonts w:ascii="Book Antiqua" w:hAnsi="Book Antiqua" w:cs="Times New Roman"/>
          <w:sz w:val="24"/>
          <w:szCs w:val="24"/>
          <w:vertAlign w:val="superscript"/>
          <w:lang w:val="en-US"/>
        </w:rPr>
        <w:t>41,</w:t>
      </w:r>
      <w:r w:rsidRPr="006A39A0">
        <w:rPr>
          <w:rFonts w:ascii="Book Antiqua" w:hAnsi="Book Antiqua" w:cs="Times New Roman"/>
          <w:sz w:val="24"/>
          <w:szCs w:val="24"/>
          <w:vertAlign w:val="superscript"/>
          <w:lang w:val="en-US"/>
        </w:rPr>
        <w:t>48]</w:t>
      </w:r>
      <w:r w:rsidRPr="006A39A0">
        <w:rPr>
          <w:rFonts w:ascii="Book Antiqua" w:hAnsi="Book Antiqua" w:cs="Times New Roman"/>
          <w:sz w:val="24"/>
          <w:szCs w:val="24"/>
          <w:lang w:val="en-US"/>
        </w:rPr>
        <w:t>. This issue is debated, but the core of the problem is that we still lack a good definition of the healthy overweight person, if any, and of his/her relationship with a healthy dietary profile and with appropriate physical exercise. Within this comprehensive frame, obesity is regarded as exclusive consequence of an imbalance between food intake and physical exercise, modulated by endocrine and genetic causes, and influenced by behavioral mechanisms which are conditioned by economic, societal and psychological factors. Economists and, obviously, epidemiologists mention the environment: but they skip the evidence that environmental</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infections, and notably </w:t>
      </w:r>
      <w:proofErr w:type="spellStart"/>
      <w:r w:rsidRPr="006A39A0">
        <w:rPr>
          <w:rFonts w:ascii="Book Antiqua" w:hAnsi="Book Antiqua" w:cs="Times New Roman"/>
          <w:sz w:val="24"/>
          <w:szCs w:val="24"/>
          <w:lang w:val="en-US"/>
        </w:rPr>
        <w:t>adipogenic</w:t>
      </w:r>
      <w:proofErr w:type="spellEnd"/>
      <w:r w:rsidRPr="006A39A0">
        <w:rPr>
          <w:rFonts w:ascii="Book Antiqua" w:hAnsi="Book Antiqua" w:cs="Times New Roman"/>
          <w:sz w:val="24"/>
          <w:szCs w:val="24"/>
          <w:lang w:val="en-US"/>
        </w:rPr>
        <w:t xml:space="preserve"> adenoviruses infections in humans, are associated with obesity, and allied conditions, such as fatty liver, and that these can be the factors influencing obesity and consequent disease in humans and </w:t>
      </w:r>
      <w:proofErr w:type="gramStart"/>
      <w:r w:rsidRPr="006A39A0">
        <w:rPr>
          <w:rFonts w:ascii="Book Antiqua" w:hAnsi="Book Antiqua" w:cs="Times New Roman"/>
          <w:sz w:val="24"/>
          <w:szCs w:val="24"/>
          <w:lang w:val="en-US"/>
        </w:rPr>
        <w:t>animals</w:t>
      </w:r>
      <w:r w:rsidR="00C914A1" w:rsidRPr="00C914A1">
        <w:rPr>
          <w:rFonts w:ascii="Book Antiqua" w:hAnsi="Book Antiqua" w:cs="Times New Roman"/>
          <w:sz w:val="24"/>
          <w:szCs w:val="24"/>
          <w:vertAlign w:val="superscript"/>
          <w:lang w:val="en-US"/>
        </w:rPr>
        <w:t>[</w:t>
      </w:r>
      <w:proofErr w:type="gramEnd"/>
      <w:r w:rsidR="00B72441">
        <w:rPr>
          <w:rFonts w:ascii="Book Antiqua" w:hAnsi="Book Antiqua" w:cs="Times New Roman" w:hint="eastAsia"/>
          <w:sz w:val="24"/>
          <w:szCs w:val="24"/>
          <w:vertAlign w:val="superscript"/>
          <w:lang w:val="en-US" w:eastAsia="zh-CN"/>
        </w:rPr>
        <w:t>60</w:t>
      </w:r>
      <w:r w:rsidRPr="006A39A0">
        <w:rPr>
          <w:rFonts w:ascii="Book Antiqua" w:hAnsi="Book Antiqua" w:cs="Times New Roman"/>
          <w:sz w:val="24"/>
          <w:szCs w:val="24"/>
          <w:vertAlign w:val="superscript"/>
          <w:lang w:val="en-US"/>
        </w:rPr>
        <w:t>]</w:t>
      </w:r>
      <w:r w:rsidRPr="006A39A0">
        <w:rPr>
          <w:rFonts w:ascii="Book Antiqua" w:hAnsi="Book Antiqua" w:cs="Times New Roman"/>
          <w:sz w:val="24"/>
          <w:szCs w:val="24"/>
          <w:lang w:val="en-US"/>
        </w:rPr>
        <w:t>, since obesity itself is a factor influencing the outcome in virus disease</w:t>
      </w:r>
      <w:r w:rsidR="00C914A1" w:rsidRPr="00C914A1">
        <w:rPr>
          <w:rFonts w:ascii="Book Antiqua" w:hAnsi="Book Antiqua" w:cs="Times New Roman"/>
          <w:sz w:val="24"/>
          <w:szCs w:val="24"/>
          <w:vertAlign w:val="superscript"/>
          <w:lang w:val="en-US"/>
        </w:rPr>
        <w:t>[</w:t>
      </w:r>
      <w:r w:rsidR="00B72441">
        <w:rPr>
          <w:rFonts w:ascii="Book Antiqua" w:hAnsi="Book Antiqua" w:cs="Times New Roman" w:hint="eastAsia"/>
          <w:sz w:val="24"/>
          <w:szCs w:val="24"/>
          <w:vertAlign w:val="superscript"/>
          <w:lang w:val="en-US" w:eastAsia="zh-CN"/>
        </w:rPr>
        <w:t>61</w:t>
      </w:r>
      <w:r w:rsidRPr="006A39A0">
        <w:rPr>
          <w:rFonts w:ascii="Book Antiqua" w:hAnsi="Book Antiqua" w:cs="Times New Roman"/>
          <w:sz w:val="24"/>
          <w:szCs w:val="24"/>
          <w:vertAlign w:val="superscript"/>
          <w:lang w:val="en-US"/>
        </w:rPr>
        <w:t>]</w:t>
      </w:r>
      <w:r w:rsidRPr="006A39A0">
        <w:rPr>
          <w:rFonts w:ascii="Book Antiqua" w:hAnsi="Book Antiqua" w:cs="Times New Roman"/>
          <w:sz w:val="24"/>
          <w:szCs w:val="24"/>
          <w:lang w:val="en-US"/>
        </w:rPr>
        <w:t>. Our contribution is hopefully a step towards enhancing a more comprehensive approach to NAFLD knowle</w:t>
      </w:r>
      <w:r w:rsidR="006D5475" w:rsidRPr="006A39A0">
        <w:rPr>
          <w:rFonts w:ascii="Book Antiqua" w:hAnsi="Book Antiqua" w:cs="Times New Roman"/>
          <w:sz w:val="24"/>
          <w:szCs w:val="24"/>
          <w:lang w:val="en-US"/>
        </w:rPr>
        <w:t>dge, assessment and treatment</w:t>
      </w:r>
      <w:r w:rsidRPr="006A39A0">
        <w:rPr>
          <w:rFonts w:ascii="Book Antiqua" w:hAnsi="Book Antiqua" w:cs="Times New Roman"/>
          <w:sz w:val="24"/>
          <w:szCs w:val="24"/>
          <w:lang w:val="en-US"/>
        </w:rPr>
        <w:t>.</w:t>
      </w:r>
    </w:p>
    <w:p w:rsidR="000D6437" w:rsidRPr="006A39A0" w:rsidRDefault="000D6437" w:rsidP="008019CB">
      <w:pPr>
        <w:adjustRightInd w:val="0"/>
        <w:snapToGrid w:val="0"/>
        <w:spacing w:after="0" w:line="360" w:lineRule="auto"/>
        <w:jc w:val="both"/>
        <w:rPr>
          <w:rFonts w:ascii="Book Antiqua" w:hAnsi="Book Antiqua" w:cs="Times New Roman"/>
          <w:sz w:val="24"/>
          <w:szCs w:val="24"/>
          <w:lang w:val="en-US"/>
        </w:rPr>
      </w:pPr>
    </w:p>
    <w:p w:rsidR="000D6437" w:rsidRDefault="000D6437" w:rsidP="008019CB">
      <w:pPr>
        <w:adjustRightInd w:val="0"/>
        <w:snapToGrid w:val="0"/>
        <w:spacing w:after="0" w:line="360" w:lineRule="auto"/>
        <w:jc w:val="both"/>
        <w:rPr>
          <w:rFonts w:ascii="Book Antiqua" w:hAnsi="Book Antiqua" w:cs="Times New Roman"/>
          <w:b/>
          <w:sz w:val="21"/>
          <w:szCs w:val="24"/>
          <w:lang w:val="en-US" w:eastAsia="zh-CN"/>
        </w:rPr>
      </w:pPr>
      <w:r w:rsidRPr="00B72441">
        <w:rPr>
          <w:rFonts w:ascii="Book Antiqua" w:hAnsi="Book Antiqua" w:cs="Times New Roman"/>
          <w:b/>
          <w:sz w:val="21"/>
          <w:szCs w:val="24"/>
          <w:lang w:val="en-US"/>
        </w:rPr>
        <w:t>REFERENCES</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1</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Roden M</w:t>
      </w:r>
      <w:r w:rsidRPr="001441B9">
        <w:rPr>
          <w:rFonts w:ascii="Book Antiqua" w:eastAsia="宋体" w:hAnsi="Book Antiqua" w:cs="宋体"/>
          <w:color w:val="000000"/>
          <w:sz w:val="21"/>
          <w:szCs w:val="21"/>
        </w:rPr>
        <w:t>. Mechanisms of Disease: hepatic steatosis in type 2 diabetes--pathogenesis and clinical relevance.</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Nat Clin Pract Endocrinol Metab</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2006;</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2</w:t>
      </w:r>
      <w:r w:rsidRPr="001441B9">
        <w:rPr>
          <w:rFonts w:ascii="Book Antiqua" w:eastAsia="宋体" w:hAnsi="Book Antiqua" w:cs="宋体"/>
          <w:color w:val="000000"/>
          <w:sz w:val="21"/>
          <w:szCs w:val="21"/>
        </w:rPr>
        <w:t>: 335-348 [PMID: 16932311]</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2</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Petersen KF</w:t>
      </w:r>
      <w:r w:rsidRPr="001441B9">
        <w:rPr>
          <w:rFonts w:ascii="Book Antiqua" w:eastAsia="宋体" w:hAnsi="Book Antiqua" w:cs="宋体"/>
          <w:color w:val="000000"/>
          <w:sz w:val="21"/>
          <w:szCs w:val="21"/>
        </w:rPr>
        <w:t>, Dufour S, Feng J, Befroy D, Dziura J, Dalla Man C, Cobelli C, Shulman GI. Increased prevalence of insulin resistance and nonalcoholic fatty liver disease in Asian-Indian men.</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 xml:space="preserve">Proc Natl Acad Sci </w:t>
      </w:r>
      <w:r w:rsidRPr="0048098B">
        <w:rPr>
          <w:rFonts w:ascii="Book Antiqua" w:eastAsia="宋体" w:hAnsi="Book Antiqua" w:cs="宋体"/>
          <w:i/>
          <w:iCs/>
          <w:color w:val="000000"/>
          <w:sz w:val="21"/>
          <w:szCs w:val="21"/>
        </w:rPr>
        <w:t>USA</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2006;</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103</w:t>
      </w:r>
      <w:r w:rsidRPr="001441B9">
        <w:rPr>
          <w:rFonts w:ascii="Book Antiqua" w:eastAsia="宋体" w:hAnsi="Book Antiqua" w:cs="宋体"/>
          <w:color w:val="000000"/>
          <w:sz w:val="21"/>
          <w:szCs w:val="21"/>
        </w:rPr>
        <w:t>: 18273-18277 [PMID: 17114290]</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3</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Younossi ZM</w:t>
      </w:r>
      <w:r w:rsidRPr="001441B9">
        <w:rPr>
          <w:rFonts w:ascii="Book Antiqua" w:eastAsia="宋体" w:hAnsi="Book Antiqua" w:cs="宋体"/>
          <w:color w:val="000000"/>
          <w:sz w:val="21"/>
          <w:szCs w:val="21"/>
        </w:rPr>
        <w:t>, Stepanova M, Negro F, Hallaji S, Younossi Y, Lam B, Srishord M. Nonalcoholic fatty liver disease in lean individuals in the United States.</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 xml:space="preserve">Medicine </w:t>
      </w:r>
      <w:r w:rsidRPr="001441B9">
        <w:rPr>
          <w:rFonts w:ascii="Book Antiqua" w:eastAsia="宋体" w:hAnsi="Book Antiqua" w:cs="宋体"/>
          <w:iCs/>
          <w:color w:val="000000"/>
          <w:sz w:val="21"/>
          <w:szCs w:val="21"/>
        </w:rPr>
        <w:t>(Baltimore)</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2012;</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91</w:t>
      </w:r>
      <w:r w:rsidRPr="001441B9">
        <w:rPr>
          <w:rFonts w:ascii="Book Antiqua" w:eastAsia="宋体" w:hAnsi="Book Antiqua" w:cs="宋体"/>
          <w:color w:val="000000"/>
          <w:sz w:val="21"/>
          <w:szCs w:val="21"/>
        </w:rPr>
        <w:t>: 319-327 [PMID: 23117851 DOI: 10.1097/MD.0b013e3182779d49</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4</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Petersen KF</w:t>
      </w:r>
      <w:r w:rsidRPr="001441B9">
        <w:rPr>
          <w:rFonts w:ascii="Book Antiqua" w:eastAsia="宋体" w:hAnsi="Book Antiqua" w:cs="宋体"/>
          <w:color w:val="000000"/>
          <w:sz w:val="21"/>
          <w:szCs w:val="21"/>
        </w:rPr>
        <w:t>, Dufour S, Befroy D, Lehrke M, Hendler RE, Shulman GI. Reversal of nonalcoholic hepatic steatosis, hepatic insulin resistance, and hyperglycemia by moderate weight reduction in patients with type 2 diabetes.</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Diabetes</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2005;</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54</w:t>
      </w:r>
      <w:r w:rsidRPr="001441B9">
        <w:rPr>
          <w:rFonts w:ascii="Book Antiqua" w:eastAsia="宋体" w:hAnsi="Book Antiqua" w:cs="宋体"/>
          <w:color w:val="000000"/>
          <w:sz w:val="21"/>
          <w:szCs w:val="21"/>
        </w:rPr>
        <w:t>: 603-608 [PMID: 15734833]</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5</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Yeh MM</w:t>
      </w:r>
      <w:r w:rsidRPr="001441B9">
        <w:rPr>
          <w:rFonts w:ascii="Book Antiqua" w:eastAsia="宋体" w:hAnsi="Book Antiqua" w:cs="宋体"/>
          <w:color w:val="000000"/>
          <w:sz w:val="21"/>
          <w:szCs w:val="21"/>
        </w:rPr>
        <w:t>, Brunt EM. Pathology of nonalcoholic fatty liver disease.</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Am J Clin Pathol</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2007;</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128</w:t>
      </w:r>
      <w:r w:rsidRPr="001441B9">
        <w:rPr>
          <w:rFonts w:ascii="Book Antiqua" w:eastAsia="宋体" w:hAnsi="Book Antiqua" w:cs="宋体"/>
          <w:color w:val="000000"/>
          <w:sz w:val="21"/>
          <w:szCs w:val="21"/>
        </w:rPr>
        <w:t>: 837-847 [PMID: 17951208]</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6</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Lim YS</w:t>
      </w:r>
      <w:r w:rsidRPr="001441B9">
        <w:rPr>
          <w:rFonts w:ascii="Book Antiqua" w:eastAsia="宋体" w:hAnsi="Book Antiqua" w:cs="宋体"/>
          <w:color w:val="000000"/>
          <w:sz w:val="21"/>
          <w:szCs w:val="21"/>
        </w:rPr>
        <w:t>, Kim WR. The global impact of hepatic fibrosis and end-stage liver disease.</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Clin Liver Dis</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2008;</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12</w:t>
      </w:r>
      <w:r w:rsidRPr="001441B9">
        <w:rPr>
          <w:rFonts w:ascii="Book Antiqua" w:eastAsia="宋体" w:hAnsi="Book Antiqua" w:cs="宋体"/>
          <w:color w:val="000000"/>
          <w:sz w:val="21"/>
          <w:szCs w:val="21"/>
        </w:rPr>
        <w:t>: 733-46, vii [PMID: 18984463 DOI: 10.1016/j.cld.2008.07.007</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lastRenderedPageBreak/>
        <w:t>7</w:t>
      </w:r>
      <w:r w:rsidRPr="0048098B">
        <w:rPr>
          <w:rFonts w:ascii="Book Antiqua" w:eastAsia="宋体" w:hAnsi="Book Antiqua" w:cs="宋体"/>
          <w:color w:val="000000"/>
          <w:sz w:val="21"/>
          <w:szCs w:val="21"/>
        </w:rPr>
        <w:t xml:space="preserve"> </w:t>
      </w:r>
      <w:r w:rsidRPr="001441B9">
        <w:rPr>
          <w:rFonts w:ascii="Book Antiqua" w:eastAsia="宋体" w:hAnsi="Book Antiqua" w:cs="宋体"/>
          <w:b/>
          <w:color w:val="000000"/>
          <w:sz w:val="21"/>
          <w:szCs w:val="21"/>
        </w:rPr>
        <w:t>Trovato GM</w:t>
      </w:r>
      <w:r w:rsidRPr="001441B9">
        <w:rPr>
          <w:rFonts w:ascii="Book Antiqua" w:eastAsia="宋体" w:hAnsi="Book Antiqua" w:cs="宋体"/>
          <w:color w:val="000000"/>
          <w:sz w:val="21"/>
          <w:szCs w:val="21"/>
        </w:rPr>
        <w:t xml:space="preserve">, Martines GF, Catalano D. Mediterranean Diet adherence is decreasing in healthy subjects over the years 1996-2010 also in Mediterranean area. </w:t>
      </w:r>
      <w:r w:rsidRPr="001441B9">
        <w:rPr>
          <w:rFonts w:ascii="Book Antiqua" w:eastAsia="宋体" w:hAnsi="Book Antiqua" w:cs="宋体"/>
          <w:i/>
          <w:color w:val="000000"/>
          <w:sz w:val="21"/>
          <w:szCs w:val="21"/>
        </w:rPr>
        <w:t>FASEB J</w:t>
      </w:r>
      <w:r w:rsidRPr="001441B9">
        <w:rPr>
          <w:rFonts w:ascii="Book Antiqua" w:eastAsia="宋体" w:hAnsi="Book Antiqua" w:cs="宋体"/>
          <w:color w:val="000000"/>
          <w:sz w:val="21"/>
          <w:szCs w:val="21"/>
        </w:rPr>
        <w:t xml:space="preserve"> 2012</w:t>
      </w:r>
      <w:r w:rsidRPr="0048098B">
        <w:rPr>
          <w:rFonts w:ascii="Book Antiqua" w:eastAsia="宋体" w:hAnsi="Book Antiqua" w:cs="宋体"/>
          <w:color w:val="000000"/>
          <w:sz w:val="21"/>
          <w:szCs w:val="21"/>
        </w:rPr>
        <w:t>;</w:t>
      </w:r>
      <w:r w:rsidRPr="001441B9">
        <w:rPr>
          <w:rFonts w:ascii="Book Antiqua" w:eastAsia="宋体" w:hAnsi="Book Antiqua" w:cs="宋体"/>
          <w:color w:val="000000"/>
          <w:sz w:val="21"/>
          <w:szCs w:val="21"/>
        </w:rPr>
        <w:t xml:space="preserve"> </w:t>
      </w:r>
      <w:r w:rsidRPr="001441B9">
        <w:rPr>
          <w:rFonts w:ascii="Book Antiqua" w:eastAsia="宋体" w:hAnsi="Book Antiqua" w:cs="宋体"/>
          <w:b/>
          <w:color w:val="000000"/>
          <w:sz w:val="21"/>
          <w:szCs w:val="21"/>
        </w:rPr>
        <w:t>26</w:t>
      </w:r>
      <w:r w:rsidRPr="001441B9">
        <w:rPr>
          <w:rFonts w:ascii="Book Antiqua" w:eastAsia="宋体" w:hAnsi="Book Antiqua" w:cs="宋体"/>
          <w:color w:val="000000"/>
          <w:sz w:val="21"/>
          <w:szCs w:val="21"/>
        </w:rPr>
        <w:t>: 1004</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48098B">
        <w:rPr>
          <w:rFonts w:ascii="Book Antiqua" w:eastAsia="宋体" w:hAnsi="Book Antiqua" w:cs="宋体"/>
          <w:color w:val="000000"/>
          <w:sz w:val="21"/>
          <w:szCs w:val="21"/>
        </w:rPr>
        <w:t>8</w:t>
      </w:r>
      <w:r w:rsidRPr="001441B9">
        <w:rPr>
          <w:rFonts w:ascii="Book Antiqua" w:eastAsia="宋体" w:hAnsi="Book Antiqua" w:cs="宋体"/>
          <w:color w:val="000000"/>
          <w:sz w:val="21"/>
          <w:szCs w:val="21"/>
        </w:rPr>
        <w:t xml:space="preserve"> </w:t>
      </w:r>
      <w:r w:rsidRPr="001441B9">
        <w:rPr>
          <w:rFonts w:ascii="Book Antiqua" w:eastAsia="宋体" w:hAnsi="Book Antiqua" w:cs="宋体"/>
          <w:b/>
          <w:color w:val="000000"/>
          <w:sz w:val="21"/>
          <w:szCs w:val="21"/>
        </w:rPr>
        <w:t>Trovato GM</w:t>
      </w:r>
      <w:r w:rsidRPr="001441B9">
        <w:rPr>
          <w:rFonts w:ascii="Book Antiqua" w:eastAsia="宋体" w:hAnsi="Book Antiqua" w:cs="宋体"/>
          <w:color w:val="000000"/>
          <w:sz w:val="21"/>
          <w:szCs w:val="21"/>
        </w:rPr>
        <w:t>, Alonzo E, Cacciola S, Cannizzaro V, La Carrubba R, Pisana P, Purrello A, Raiti ME, Fardella M. The Spontaneous Plants' Recipes Project for enhancing Mediterranean Diet profile change: A sustainable strategy for obesity prevention in childhood, and for contributing to biodiversity maintenance. An intervention of the Italian Food and Nutrition Public Provincial Service</w:t>
      </w:r>
      <w:r w:rsidRPr="0048098B">
        <w:rPr>
          <w:rFonts w:ascii="Book Antiqua" w:eastAsia="宋体" w:hAnsi="Book Antiqua" w:cs="宋体"/>
          <w:color w:val="000000"/>
          <w:sz w:val="21"/>
          <w:szCs w:val="21"/>
        </w:rPr>
        <w:t>.</w:t>
      </w:r>
      <w:r w:rsidRPr="001441B9">
        <w:rPr>
          <w:rFonts w:ascii="Book Antiqua" w:eastAsia="宋体" w:hAnsi="Book Antiqua" w:cs="宋体"/>
          <w:color w:val="000000"/>
          <w:sz w:val="21"/>
          <w:szCs w:val="21"/>
        </w:rPr>
        <w:t xml:space="preserve"> </w:t>
      </w:r>
      <w:r w:rsidRPr="001441B9">
        <w:rPr>
          <w:rFonts w:ascii="Book Antiqua" w:eastAsia="宋体" w:hAnsi="Book Antiqua" w:cs="宋体"/>
          <w:i/>
          <w:color w:val="000000"/>
          <w:sz w:val="21"/>
          <w:szCs w:val="21"/>
        </w:rPr>
        <w:t xml:space="preserve">FASEB J </w:t>
      </w:r>
      <w:r w:rsidRPr="001441B9">
        <w:rPr>
          <w:rFonts w:ascii="Book Antiqua" w:eastAsia="宋体" w:hAnsi="Book Antiqua" w:cs="宋体"/>
          <w:color w:val="000000"/>
          <w:sz w:val="21"/>
          <w:szCs w:val="21"/>
        </w:rPr>
        <w:t>2013</w:t>
      </w:r>
      <w:r w:rsidRPr="0048098B">
        <w:rPr>
          <w:rFonts w:ascii="Book Antiqua" w:eastAsia="宋体" w:hAnsi="Book Antiqua" w:cs="宋体"/>
          <w:color w:val="000000"/>
          <w:sz w:val="21"/>
          <w:szCs w:val="21"/>
        </w:rPr>
        <w:t>;</w:t>
      </w:r>
      <w:r w:rsidRPr="001441B9">
        <w:rPr>
          <w:rFonts w:ascii="Book Antiqua" w:eastAsia="宋体" w:hAnsi="Book Antiqua" w:cs="宋体"/>
          <w:color w:val="000000"/>
          <w:sz w:val="21"/>
          <w:szCs w:val="21"/>
        </w:rPr>
        <w:t xml:space="preserve"> </w:t>
      </w:r>
      <w:r w:rsidRPr="001441B9">
        <w:rPr>
          <w:rFonts w:ascii="Book Antiqua" w:eastAsia="宋体" w:hAnsi="Book Antiqua" w:cs="宋体"/>
          <w:b/>
          <w:color w:val="000000"/>
          <w:sz w:val="21"/>
          <w:szCs w:val="21"/>
        </w:rPr>
        <w:t>27</w:t>
      </w:r>
      <w:r w:rsidRPr="001441B9">
        <w:rPr>
          <w:rFonts w:ascii="Book Antiqua" w:eastAsia="宋体" w:hAnsi="Book Antiqua" w:cs="宋体"/>
          <w:color w:val="000000"/>
          <w:sz w:val="21"/>
          <w:szCs w:val="21"/>
        </w:rPr>
        <w:t>: 617</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9</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Younossi ZM</w:t>
      </w:r>
      <w:r w:rsidRPr="001441B9">
        <w:rPr>
          <w:rFonts w:ascii="Book Antiqua" w:eastAsia="宋体" w:hAnsi="Book Antiqua" w:cs="宋体"/>
          <w:color w:val="000000"/>
          <w:sz w:val="21"/>
          <w:szCs w:val="21"/>
        </w:rPr>
        <w:t>, Baranova A, Ziegler K, Del Giacco L, Schlauch K, Born TL, Elariny H, Gorreta F, VanMeter A, Younoszai A, Ong JP, Goodman Z, Chandhoke V. A genomic and proteomic study of the spectrum of nonalcoholic fatty liver disease.</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Hepatology</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2005;</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42</w:t>
      </w:r>
      <w:r w:rsidRPr="001441B9">
        <w:rPr>
          <w:rFonts w:ascii="Book Antiqua" w:eastAsia="宋体" w:hAnsi="Book Antiqua" w:cs="宋体"/>
          <w:color w:val="000000"/>
          <w:sz w:val="21"/>
          <w:szCs w:val="21"/>
        </w:rPr>
        <w:t>: 665-674 [PMID: 16116632]</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10</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Bell LN</w:t>
      </w:r>
      <w:r w:rsidRPr="001441B9">
        <w:rPr>
          <w:rFonts w:ascii="Book Antiqua" w:eastAsia="宋体" w:hAnsi="Book Antiqua" w:cs="宋体"/>
          <w:color w:val="000000"/>
          <w:sz w:val="21"/>
          <w:szCs w:val="21"/>
        </w:rPr>
        <w:t>, Theodorakis JL, Vuppalanchi R, Saxena R, Bemis KG, Wang M, Chalasani N. Serum proteomics and biomarker discovery across the spectrum of nonalcoholic fatty liver disease.</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Hepatology</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2010;</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51</w:t>
      </w:r>
      <w:r w:rsidRPr="001441B9">
        <w:rPr>
          <w:rFonts w:ascii="Book Antiqua" w:eastAsia="宋体" w:hAnsi="Book Antiqua" w:cs="宋体"/>
          <w:color w:val="000000"/>
          <w:sz w:val="21"/>
          <w:szCs w:val="21"/>
        </w:rPr>
        <w:t>: 111-120 [PMID: 19885878 DOI: 10.1002/hep.23271</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11</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Puri P</w:t>
      </w:r>
      <w:r w:rsidRPr="001441B9">
        <w:rPr>
          <w:rFonts w:ascii="Book Antiqua" w:eastAsia="宋体" w:hAnsi="Book Antiqua" w:cs="宋体"/>
          <w:color w:val="000000"/>
          <w:sz w:val="21"/>
          <w:szCs w:val="21"/>
        </w:rPr>
        <w:t>, Wiest MM, Cheung O, Mirshahi F, Sargeant C, Min HK, Contos MJ, Sterling RK, Fuchs M, Zhou H, Watkins SM, Sanyal AJ. The plasma lipidomic signature of nonalcoholic steatohepatitis.</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Hepatology</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2009;</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50</w:t>
      </w:r>
      <w:r w:rsidRPr="001441B9">
        <w:rPr>
          <w:rFonts w:ascii="Book Antiqua" w:eastAsia="宋体" w:hAnsi="Book Antiqua" w:cs="宋体"/>
          <w:color w:val="000000"/>
          <w:sz w:val="21"/>
          <w:szCs w:val="21"/>
        </w:rPr>
        <w:t>: 1827-1838 [PMID: 19937697 DOI: 10.1002/hep.23229</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12</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Cordero P</w:t>
      </w:r>
      <w:r w:rsidRPr="001441B9">
        <w:rPr>
          <w:rFonts w:ascii="Book Antiqua" w:eastAsia="宋体" w:hAnsi="Book Antiqua" w:cs="宋体"/>
          <w:color w:val="000000"/>
          <w:sz w:val="21"/>
          <w:szCs w:val="21"/>
        </w:rPr>
        <w:t>, Campion J, Milagro FI, Martinez JA. Transcriptomic and epigenetic changes in early liver steatosis associated to obesity: effect of dietary methyl donor supplementation.</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Mol Genet Metab</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2013;</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110</w:t>
      </w:r>
      <w:r w:rsidRPr="001441B9">
        <w:rPr>
          <w:rFonts w:ascii="Book Antiqua" w:eastAsia="宋体" w:hAnsi="Book Antiqua" w:cs="宋体"/>
          <w:color w:val="000000"/>
          <w:sz w:val="21"/>
          <w:szCs w:val="21"/>
        </w:rPr>
        <w:t>: 388-395 [PMID: 24084163 DOI: 10.1016/j.ymgme.2013.08.022</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13</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Sookoian S</w:t>
      </w:r>
      <w:r w:rsidRPr="001441B9">
        <w:rPr>
          <w:rFonts w:ascii="Book Antiqua" w:eastAsia="宋体" w:hAnsi="Book Antiqua" w:cs="宋体"/>
          <w:color w:val="000000"/>
          <w:sz w:val="21"/>
          <w:szCs w:val="21"/>
        </w:rPr>
        <w:t>, Pirola CJ. Systems biology elucidates common pathogenic mechanisms between nonalcoholic and alcoholic-fatty liver disease.</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PLoS One</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2013;</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8</w:t>
      </w:r>
      <w:r w:rsidRPr="001441B9">
        <w:rPr>
          <w:rFonts w:ascii="Book Antiqua" w:eastAsia="宋体" w:hAnsi="Book Antiqua" w:cs="宋体"/>
          <w:color w:val="000000"/>
          <w:sz w:val="21"/>
          <w:szCs w:val="21"/>
        </w:rPr>
        <w:t>: e58895 [PMID: 23516571 DOI: 10.1371/journal.pone.0058895</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14</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Li YY</w:t>
      </w:r>
      <w:r w:rsidRPr="001441B9">
        <w:rPr>
          <w:rFonts w:ascii="Book Antiqua" w:eastAsia="宋体" w:hAnsi="Book Antiqua" w:cs="宋体"/>
          <w:color w:val="000000"/>
          <w:sz w:val="21"/>
          <w:szCs w:val="21"/>
        </w:rPr>
        <w:t>. Genetic and epigenetic variants influencing the development of nonalcoholic fatty liver disease.</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World J Gastroenterol</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2012;</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18</w:t>
      </w:r>
      <w:r w:rsidRPr="001441B9">
        <w:rPr>
          <w:rFonts w:ascii="Book Antiqua" w:eastAsia="宋体" w:hAnsi="Book Antiqua" w:cs="宋体"/>
          <w:color w:val="000000"/>
          <w:sz w:val="21"/>
          <w:szCs w:val="21"/>
        </w:rPr>
        <w:t>: 6546-6551 [PMID: 23236228 DOI: 10.3748/wjg.v18.i45.6546</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15</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Pirola CJ</w:t>
      </w:r>
      <w:r w:rsidRPr="001441B9">
        <w:rPr>
          <w:rFonts w:ascii="Book Antiqua" w:eastAsia="宋体" w:hAnsi="Book Antiqua" w:cs="宋体"/>
          <w:color w:val="000000"/>
          <w:sz w:val="21"/>
          <w:szCs w:val="21"/>
        </w:rPr>
        <w:t>, Gianotti TF, Burgueño AL, Rey-Funes M, Loidl CF, Mallardi P, Martino JS, Castaño GO, Sookoian S. Epigenetic modification of liver mitochondrial DNA is associated with histological severity of nonalcoholic fatty liver disease.</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Gut</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2013;</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62</w:t>
      </w:r>
      <w:r w:rsidRPr="001441B9">
        <w:rPr>
          <w:rFonts w:ascii="Book Antiqua" w:eastAsia="宋体" w:hAnsi="Book Antiqua" w:cs="宋体"/>
          <w:color w:val="000000"/>
          <w:sz w:val="21"/>
          <w:szCs w:val="21"/>
        </w:rPr>
        <w:t>: 1356-1363 [PMID: 22879518 DOI: 10.1136/gutjnl-2012-302962</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16</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Sanal MG</w:t>
      </w:r>
      <w:r w:rsidRPr="001441B9">
        <w:rPr>
          <w:rFonts w:ascii="Book Antiqua" w:eastAsia="宋体" w:hAnsi="Book Antiqua" w:cs="宋体"/>
          <w:color w:val="000000"/>
          <w:sz w:val="21"/>
          <w:szCs w:val="21"/>
        </w:rPr>
        <w:t>. The blind men 'see' the elephant-the many faces of fatty liver disease.</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World J Gastroenterol</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2008;</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14</w:t>
      </w:r>
      <w:r w:rsidRPr="001441B9">
        <w:rPr>
          <w:rFonts w:ascii="Book Antiqua" w:eastAsia="宋体" w:hAnsi="Book Antiqua" w:cs="宋体"/>
          <w:color w:val="000000"/>
          <w:sz w:val="21"/>
          <w:szCs w:val="21"/>
        </w:rPr>
        <w:t>: 831-844 [PMID: 18240340]</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17</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Trovato GM</w:t>
      </w:r>
      <w:r w:rsidRPr="001441B9">
        <w:rPr>
          <w:rFonts w:ascii="Book Antiqua" w:eastAsia="宋体" w:hAnsi="Book Antiqua" w:cs="宋体"/>
          <w:color w:val="000000"/>
          <w:sz w:val="21"/>
          <w:szCs w:val="21"/>
        </w:rPr>
        <w:t>. Behavior, nutrition and lifestyle in a comprehensive health and disease paradigm: skills and knowledge for a predictive, preventive and personalized medicine.</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EPMA J</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2012;</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3</w:t>
      </w:r>
      <w:r w:rsidRPr="001441B9">
        <w:rPr>
          <w:rFonts w:ascii="Book Antiqua" w:eastAsia="宋体" w:hAnsi="Book Antiqua" w:cs="宋体"/>
          <w:color w:val="000000"/>
          <w:sz w:val="21"/>
          <w:szCs w:val="21"/>
        </w:rPr>
        <w:t>: 8 [PMID: 22738244 DOI: 10.1007/s13167-012-0141-2</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18</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Tan HH</w:t>
      </w:r>
      <w:r w:rsidRPr="001441B9">
        <w:rPr>
          <w:rFonts w:ascii="Book Antiqua" w:eastAsia="宋体" w:hAnsi="Book Antiqua" w:cs="宋体"/>
          <w:color w:val="000000"/>
          <w:sz w:val="21"/>
          <w:szCs w:val="21"/>
        </w:rPr>
        <w:t>, Fiel MI, Sun Q, Guo J, Gordon RE, Chen LC, Friedman SL, Odin JA, Allina J. Kupffer cell activation by ambient air particulate matter exposure may exacerbate non-alcoholic fatty liver disease.</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J Immunotoxicol</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2009;</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6</w:t>
      </w:r>
      <w:r w:rsidRPr="001441B9">
        <w:rPr>
          <w:rFonts w:ascii="Book Antiqua" w:eastAsia="宋体" w:hAnsi="Book Antiqua" w:cs="宋体"/>
          <w:color w:val="000000"/>
          <w:sz w:val="21"/>
          <w:szCs w:val="21"/>
        </w:rPr>
        <w:t>: 266-275 [PMID: 19908945 DOI: 10.1080/15476910903241704</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lastRenderedPageBreak/>
        <w:t xml:space="preserve">19 </w:t>
      </w:r>
      <w:r w:rsidRPr="00586AC3">
        <w:rPr>
          <w:rFonts w:ascii="Book Antiqua" w:eastAsia="宋体" w:hAnsi="Book Antiqua" w:cs="宋体"/>
          <w:b/>
          <w:color w:val="000000"/>
          <w:sz w:val="21"/>
          <w:szCs w:val="21"/>
        </w:rPr>
        <w:t>Dhurandhar NV</w:t>
      </w:r>
      <w:r w:rsidRPr="00586AC3">
        <w:rPr>
          <w:rFonts w:ascii="Book Antiqua" w:eastAsia="宋体" w:hAnsi="Book Antiqua" w:cs="宋体"/>
          <w:color w:val="000000"/>
          <w:sz w:val="21"/>
          <w:szCs w:val="21"/>
        </w:rPr>
        <w:t>, Geurts L, Atkinson RL, Casteilla L, Clement K, Gerard P, Vijay-Kumar M, Nam JH, Nieuwdorp M, Trovato G, Sørensen TI, Vidal-Puig A, Cani PD.</w:t>
      </w:r>
      <w:r>
        <w:rPr>
          <w:rFonts w:ascii="Book Antiqua" w:eastAsia="宋体" w:hAnsi="Book Antiqua" w:cs="宋体" w:hint="eastAsia"/>
          <w:color w:val="000000"/>
          <w:sz w:val="21"/>
          <w:szCs w:val="21"/>
          <w:lang w:eastAsia="zh-CN"/>
        </w:rPr>
        <w:t xml:space="preserve"> </w:t>
      </w:r>
      <w:r w:rsidRPr="001441B9">
        <w:rPr>
          <w:rFonts w:ascii="Book Antiqua" w:eastAsia="宋体" w:hAnsi="Book Antiqua" w:cs="宋体"/>
          <w:color w:val="000000"/>
          <w:sz w:val="21"/>
          <w:szCs w:val="21"/>
        </w:rPr>
        <w:t>Harnessing the beneficial properties of adipogenic microbes for improving human health.</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Obes Rev</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2013;</w:t>
      </w:r>
      <w:r w:rsidRPr="0048098B">
        <w:rPr>
          <w:rFonts w:ascii="Book Antiqua" w:eastAsia="宋体" w:hAnsi="Book Antiqua" w:cs="宋体"/>
          <w:color w:val="000000"/>
          <w:sz w:val="21"/>
          <w:szCs w:val="21"/>
        </w:rPr>
        <w:t> </w:t>
      </w:r>
      <w:r w:rsidRPr="00586AC3">
        <w:rPr>
          <w:rFonts w:ascii="Book Antiqua" w:eastAsia="宋体" w:hAnsi="Book Antiqua" w:cs="宋体"/>
          <w:color w:val="000000"/>
          <w:sz w:val="21"/>
          <w:szCs w:val="21"/>
        </w:rPr>
        <w:t>Epub ahead of print</w:t>
      </w:r>
      <w:r w:rsidRPr="001441B9">
        <w:rPr>
          <w:rFonts w:ascii="Book Antiqua" w:eastAsia="宋体" w:hAnsi="Book Antiqua" w:cs="宋体"/>
          <w:color w:val="000000"/>
          <w:sz w:val="21"/>
          <w:szCs w:val="21"/>
        </w:rPr>
        <w:t xml:space="preserve"> [PMID: 23663746 DOI: 10.1111/obr.12045</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lang w:eastAsia="zh-CN"/>
        </w:rPr>
      </w:pPr>
      <w:r w:rsidRPr="001441B9">
        <w:rPr>
          <w:rFonts w:ascii="Book Antiqua" w:eastAsia="宋体" w:hAnsi="Book Antiqua" w:cs="宋体"/>
          <w:color w:val="000000"/>
          <w:sz w:val="21"/>
          <w:szCs w:val="21"/>
        </w:rPr>
        <w:t>20</w:t>
      </w:r>
      <w:r>
        <w:rPr>
          <w:rFonts w:ascii="Book Antiqua" w:eastAsia="宋体" w:hAnsi="Book Antiqua" w:cs="宋体" w:hint="eastAsia"/>
          <w:color w:val="000000"/>
          <w:sz w:val="21"/>
          <w:szCs w:val="21"/>
          <w:lang w:eastAsia="zh-CN"/>
        </w:rPr>
        <w:t xml:space="preserve"> </w:t>
      </w:r>
      <w:r w:rsidRPr="001441B9">
        <w:rPr>
          <w:rFonts w:ascii="Book Antiqua" w:eastAsia="宋体" w:hAnsi="Book Antiqua" w:cs="宋体"/>
          <w:b/>
          <w:color w:val="000000"/>
          <w:sz w:val="21"/>
          <w:szCs w:val="21"/>
        </w:rPr>
        <w:t>Trovato GM</w:t>
      </w:r>
      <w:r w:rsidRPr="001441B9">
        <w:rPr>
          <w:rFonts w:ascii="Book Antiqua" w:eastAsia="宋体" w:hAnsi="Book Antiqua" w:cs="宋体"/>
          <w:color w:val="000000"/>
          <w:sz w:val="21"/>
          <w:szCs w:val="21"/>
        </w:rPr>
        <w:t xml:space="preserve">, Catalano D, Pennisi A, Trovato FM, Pace P, Martines GF, Pirri C. NAFLD (Non-Alcoholic-Fatty-Liver--Disease) reversal by a comprehensive nutritional-physical exercise intervention. </w:t>
      </w:r>
      <w:r w:rsidRPr="001441B9">
        <w:rPr>
          <w:rFonts w:ascii="Book Antiqua" w:eastAsia="宋体" w:hAnsi="Book Antiqua" w:cs="宋体"/>
          <w:i/>
          <w:color w:val="000000"/>
          <w:sz w:val="21"/>
          <w:szCs w:val="21"/>
        </w:rPr>
        <w:t>FASEB J</w:t>
      </w:r>
      <w:r w:rsidRPr="001441B9">
        <w:rPr>
          <w:rFonts w:ascii="Book Antiqua" w:eastAsia="宋体" w:hAnsi="Book Antiqua" w:cs="宋体"/>
          <w:color w:val="000000"/>
          <w:sz w:val="21"/>
          <w:szCs w:val="21"/>
        </w:rPr>
        <w:t xml:space="preserve"> 2012</w:t>
      </w:r>
      <w:r>
        <w:rPr>
          <w:rFonts w:ascii="Book Antiqua" w:eastAsia="宋体" w:hAnsi="Book Antiqua" w:cs="宋体" w:hint="eastAsia"/>
          <w:color w:val="000000"/>
          <w:sz w:val="21"/>
          <w:szCs w:val="21"/>
          <w:lang w:eastAsia="zh-CN"/>
        </w:rPr>
        <w:t>;</w:t>
      </w:r>
      <w:r w:rsidRPr="001441B9">
        <w:rPr>
          <w:rFonts w:ascii="Book Antiqua" w:eastAsia="宋体" w:hAnsi="Book Antiqua" w:cs="宋体"/>
          <w:color w:val="000000"/>
          <w:sz w:val="21"/>
          <w:szCs w:val="21"/>
        </w:rPr>
        <w:t xml:space="preserve"> </w:t>
      </w:r>
      <w:r w:rsidRPr="001441B9">
        <w:rPr>
          <w:rFonts w:ascii="Book Antiqua" w:eastAsia="宋体" w:hAnsi="Book Antiqua" w:cs="宋体"/>
          <w:b/>
          <w:color w:val="000000"/>
          <w:sz w:val="21"/>
          <w:szCs w:val="21"/>
        </w:rPr>
        <w:t>26</w:t>
      </w:r>
      <w:r>
        <w:rPr>
          <w:rFonts w:ascii="Book Antiqua" w:eastAsia="宋体" w:hAnsi="Book Antiqua" w:cs="宋体"/>
          <w:color w:val="000000"/>
          <w:sz w:val="21"/>
          <w:szCs w:val="21"/>
        </w:rPr>
        <w:t>: 819</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21</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Allison DB</w:t>
      </w:r>
      <w:r w:rsidRPr="001441B9">
        <w:rPr>
          <w:rFonts w:ascii="Book Antiqua" w:eastAsia="宋体" w:hAnsi="Book Antiqua" w:cs="宋体"/>
          <w:color w:val="000000"/>
          <w:sz w:val="21"/>
          <w:szCs w:val="21"/>
        </w:rPr>
        <w:t>, Downey M, Atkinson RL, Billington CJ, Bray GA, Eckel RH, Finkelstein EA, Jensen MD, Tremblay A. Obesity as a disease: a white paper on evidence and arguments commissioned by the Council of the Obesity Society.</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 xml:space="preserve">Obesity </w:t>
      </w:r>
      <w:r w:rsidRPr="001441B9">
        <w:rPr>
          <w:rFonts w:ascii="Book Antiqua" w:eastAsia="宋体" w:hAnsi="Book Antiqua" w:cs="宋体"/>
          <w:iCs/>
          <w:color w:val="000000"/>
          <w:sz w:val="21"/>
          <w:szCs w:val="21"/>
        </w:rPr>
        <w:t>(Silver Spring)</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2008;</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16</w:t>
      </w:r>
      <w:r w:rsidRPr="001441B9">
        <w:rPr>
          <w:rFonts w:ascii="Book Antiqua" w:eastAsia="宋体" w:hAnsi="Book Antiqua" w:cs="宋体"/>
          <w:color w:val="000000"/>
          <w:sz w:val="21"/>
          <w:szCs w:val="21"/>
        </w:rPr>
        <w:t>: 1161-1177 [PMID: 18464753 DOI: 10.1038/oby.2008.231</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22</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Catalano D</w:t>
      </w:r>
      <w:r w:rsidRPr="001441B9">
        <w:rPr>
          <w:rFonts w:ascii="Book Antiqua" w:eastAsia="宋体" w:hAnsi="Book Antiqua" w:cs="宋体"/>
          <w:color w:val="000000"/>
          <w:sz w:val="21"/>
          <w:szCs w:val="21"/>
        </w:rPr>
        <w:t>, Trovato GM, Martines GF, Randazzo M, Tonzuso A. Bright liver, body composition and insulin resistance changes with nutritional intervention: a follow-up study.</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Liver Int</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2008;</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28</w:t>
      </w:r>
      <w:r w:rsidRPr="001441B9">
        <w:rPr>
          <w:rFonts w:ascii="Book Antiqua" w:eastAsia="宋体" w:hAnsi="Book Antiqua" w:cs="宋体"/>
          <w:color w:val="000000"/>
          <w:sz w:val="21"/>
          <w:szCs w:val="21"/>
        </w:rPr>
        <w:t>: 1280-1287 [PMID: 18435716 DOI: 10.1111/j.1478-3231.2008.01742.x</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23</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Trovato GM</w:t>
      </w:r>
      <w:r w:rsidRPr="001441B9">
        <w:rPr>
          <w:rFonts w:ascii="Book Antiqua" w:eastAsia="宋体" w:hAnsi="Book Antiqua" w:cs="宋体"/>
          <w:color w:val="000000"/>
          <w:sz w:val="21"/>
          <w:szCs w:val="21"/>
        </w:rPr>
        <w:t>, Catalano D, Martines GF, Pirri C, Trovato FM. Western dietary pattern and sedentary life: independent effects of diet and physical exercise intensity on NAFLD.</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Am J Gastroenterol</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2013;</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108</w:t>
      </w:r>
      <w:r w:rsidRPr="001441B9">
        <w:rPr>
          <w:rFonts w:ascii="Book Antiqua" w:eastAsia="宋体" w:hAnsi="Book Antiqua" w:cs="宋体"/>
          <w:color w:val="000000"/>
          <w:sz w:val="21"/>
          <w:szCs w:val="21"/>
        </w:rPr>
        <w:t>: 1932-1933 [PMID: 24300872 DOI: 10.1038/ajg.2013.356</w:t>
      </w:r>
      <w:r w:rsidRPr="0048098B">
        <w:rPr>
          <w:rFonts w:ascii="Book Antiqua" w:eastAsia="宋体" w:hAnsi="Book Antiqua" w:cs="宋体"/>
          <w:color w:val="000000"/>
          <w:sz w:val="21"/>
          <w:szCs w:val="21"/>
        </w:rPr>
        <w:t>]</w:t>
      </w:r>
    </w:p>
    <w:p w:rsidR="00586AC3" w:rsidRPr="001441B9" w:rsidRDefault="00DA3252" w:rsidP="008019CB">
      <w:pPr>
        <w:adjustRightInd w:val="0"/>
        <w:snapToGrid w:val="0"/>
        <w:spacing w:after="0" w:line="360" w:lineRule="auto"/>
        <w:jc w:val="both"/>
        <w:rPr>
          <w:rFonts w:ascii="Book Antiqua" w:eastAsia="宋体" w:hAnsi="Book Antiqua" w:cs="宋体"/>
          <w:color w:val="000000"/>
          <w:sz w:val="21"/>
          <w:szCs w:val="21"/>
        </w:rPr>
      </w:pPr>
      <w:r w:rsidRPr="00DA3252">
        <w:rPr>
          <w:rFonts w:ascii="Book Antiqua" w:hAnsi="Book Antiqua"/>
          <w:color w:val="000000"/>
          <w:sz w:val="21"/>
          <w:szCs w:val="21"/>
          <w:lang w:eastAsia="zh-CN"/>
        </w:rPr>
        <w:t>24</w:t>
      </w:r>
      <w:r w:rsidRPr="00DA3252">
        <w:rPr>
          <w:rStyle w:val="apple-converted-space"/>
          <w:rFonts w:ascii="Book Antiqua" w:hAnsi="Book Antiqua"/>
          <w:color w:val="000000"/>
          <w:sz w:val="21"/>
          <w:szCs w:val="21"/>
        </w:rPr>
        <w:t> </w:t>
      </w:r>
      <w:r w:rsidRPr="00DA3252">
        <w:rPr>
          <w:rFonts w:ascii="Book Antiqua" w:hAnsi="Book Antiqua"/>
          <w:b/>
          <w:bCs/>
          <w:color w:val="000000"/>
          <w:sz w:val="21"/>
          <w:szCs w:val="21"/>
        </w:rPr>
        <w:t>Trovato GM</w:t>
      </w:r>
      <w:r w:rsidRPr="00DA3252">
        <w:rPr>
          <w:rFonts w:ascii="Book Antiqua" w:hAnsi="Book Antiqua"/>
          <w:color w:val="000000"/>
          <w:sz w:val="21"/>
          <w:szCs w:val="21"/>
        </w:rPr>
        <w:t>, Martines GF, Trovato FM, Catalano D. Re: "Relation of the traditional Mediterranean diet to cerebrovascular disease in a Mediterranean population".</w:t>
      </w:r>
      <w:r w:rsidRPr="00DA3252">
        <w:rPr>
          <w:rStyle w:val="apple-converted-space"/>
          <w:rFonts w:ascii="Book Antiqua" w:hAnsi="Book Antiqua"/>
          <w:color w:val="000000"/>
          <w:sz w:val="21"/>
          <w:szCs w:val="21"/>
        </w:rPr>
        <w:t> </w:t>
      </w:r>
      <w:r w:rsidRPr="00DA3252">
        <w:rPr>
          <w:rFonts w:ascii="Book Antiqua" w:hAnsi="Book Antiqua"/>
          <w:i/>
          <w:iCs/>
          <w:color w:val="000000"/>
          <w:sz w:val="21"/>
          <w:szCs w:val="21"/>
        </w:rPr>
        <w:t>Am J Epidemiol</w:t>
      </w:r>
      <w:r w:rsidRPr="00DA3252">
        <w:rPr>
          <w:rStyle w:val="apple-converted-space"/>
          <w:rFonts w:ascii="Book Antiqua" w:hAnsi="Book Antiqua"/>
          <w:color w:val="000000"/>
          <w:sz w:val="21"/>
          <w:szCs w:val="21"/>
        </w:rPr>
        <w:t> </w:t>
      </w:r>
      <w:r w:rsidRPr="00DA3252">
        <w:rPr>
          <w:rFonts w:ascii="Book Antiqua" w:hAnsi="Book Antiqua"/>
          <w:color w:val="000000"/>
          <w:sz w:val="21"/>
          <w:szCs w:val="21"/>
        </w:rPr>
        <w:t>2013;</w:t>
      </w:r>
      <w:r w:rsidRPr="00DA3252">
        <w:rPr>
          <w:rStyle w:val="apple-converted-space"/>
          <w:rFonts w:ascii="Book Antiqua" w:hAnsi="Book Antiqua"/>
          <w:color w:val="000000"/>
          <w:sz w:val="21"/>
          <w:szCs w:val="21"/>
        </w:rPr>
        <w:t> </w:t>
      </w:r>
      <w:r w:rsidRPr="00DA3252">
        <w:rPr>
          <w:rFonts w:ascii="Book Antiqua" w:hAnsi="Book Antiqua"/>
          <w:b/>
          <w:bCs/>
          <w:color w:val="000000"/>
          <w:sz w:val="21"/>
          <w:szCs w:val="21"/>
        </w:rPr>
        <w:t>178</w:t>
      </w:r>
      <w:r w:rsidRPr="00DA3252">
        <w:rPr>
          <w:rFonts w:ascii="Book Antiqua" w:hAnsi="Book Antiqua"/>
          <w:color w:val="000000"/>
          <w:sz w:val="21"/>
          <w:szCs w:val="21"/>
        </w:rPr>
        <w:t>: 661 [PMID: 23788673 DOI: 10.1093/aje/kwt125]</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25</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Catalano D</w:t>
      </w:r>
      <w:r w:rsidRPr="001441B9">
        <w:rPr>
          <w:rFonts w:ascii="Book Antiqua" w:eastAsia="宋体" w:hAnsi="Book Antiqua" w:cs="宋体"/>
          <w:color w:val="000000"/>
          <w:sz w:val="21"/>
          <w:szCs w:val="21"/>
        </w:rPr>
        <w:t>, Trovato GM, Pace P, Martines GF, Trovato FM. Mediterranean diet and physical activity: an intervention study. Does olive oil exercise the body through the mind?</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Int J Cardiol</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2013;</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168</w:t>
      </w:r>
      <w:r w:rsidRPr="001441B9">
        <w:rPr>
          <w:rFonts w:ascii="Book Antiqua" w:eastAsia="宋体" w:hAnsi="Book Antiqua" w:cs="宋体"/>
          <w:color w:val="000000"/>
          <w:sz w:val="21"/>
          <w:szCs w:val="21"/>
        </w:rPr>
        <w:t>: 4408-4409 [PMID: 23714600 DOI: 10.1016/j.ijcard.2013.05.034</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26</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Trovato GM</w:t>
      </w:r>
      <w:r w:rsidRPr="001441B9">
        <w:rPr>
          <w:rFonts w:ascii="Book Antiqua" w:eastAsia="宋体" w:hAnsi="Book Antiqua" w:cs="宋体"/>
          <w:color w:val="000000"/>
          <w:sz w:val="21"/>
          <w:szCs w:val="21"/>
        </w:rPr>
        <w:t>, Pace P, Martines GF, Trovato FM, Pirri C, Catalano D. Stress, abdominal obesity and intrarenal resistive index in essential hypertension.</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Clin Ter</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2012;</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163</w:t>
      </w:r>
      <w:r w:rsidRPr="001441B9">
        <w:rPr>
          <w:rFonts w:ascii="Book Antiqua" w:eastAsia="宋体" w:hAnsi="Book Antiqua" w:cs="宋体"/>
          <w:color w:val="000000"/>
          <w:sz w:val="21"/>
          <w:szCs w:val="21"/>
        </w:rPr>
        <w:t>: 299-305 [PMID: 23007813]</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27</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Trovato GM</w:t>
      </w:r>
      <w:r w:rsidRPr="001441B9">
        <w:rPr>
          <w:rFonts w:ascii="Book Antiqua" w:eastAsia="宋体" w:hAnsi="Book Antiqua" w:cs="宋体"/>
          <w:color w:val="000000"/>
          <w:sz w:val="21"/>
          <w:szCs w:val="21"/>
        </w:rPr>
        <w:t>, Pace P, Cangemi E, Martines GF, Trovato FM, Catalano D. Gender, lifestyles, illness perception and stress in stable atrial fibrillation.</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Clin Ter</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2012;</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163</w:t>
      </w:r>
      <w:r w:rsidRPr="001441B9">
        <w:rPr>
          <w:rFonts w:ascii="Book Antiqua" w:eastAsia="宋体" w:hAnsi="Book Antiqua" w:cs="宋体"/>
          <w:color w:val="000000"/>
          <w:sz w:val="21"/>
          <w:szCs w:val="21"/>
        </w:rPr>
        <w:t>: 281-286 [PMID: 23007810]</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28</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Trovato GM</w:t>
      </w:r>
      <w:r w:rsidRPr="001441B9">
        <w:rPr>
          <w:rFonts w:ascii="Book Antiqua" w:eastAsia="宋体" w:hAnsi="Book Antiqua" w:cs="宋体"/>
          <w:color w:val="000000"/>
          <w:sz w:val="21"/>
          <w:szCs w:val="21"/>
        </w:rPr>
        <w:t>, Martines GF, Trovato FM, Pirri C, Pace P, Catalano D. Renal resistive index and parathyroid hormone relationship with renal function in nondiabetic patients.</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Endocr Res</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2012;</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37</w:t>
      </w:r>
      <w:r w:rsidRPr="001441B9">
        <w:rPr>
          <w:rFonts w:ascii="Book Antiqua" w:eastAsia="宋体" w:hAnsi="Book Antiqua" w:cs="宋体"/>
          <w:color w:val="000000"/>
          <w:sz w:val="21"/>
          <w:szCs w:val="21"/>
        </w:rPr>
        <w:t>: 47-58 [PMID: 22007967 DOI: 10.3109/07435800.2011.625513</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29</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Catalano D</w:t>
      </w:r>
      <w:r w:rsidRPr="001441B9">
        <w:rPr>
          <w:rFonts w:ascii="Book Antiqua" w:eastAsia="宋体" w:hAnsi="Book Antiqua" w:cs="宋体"/>
          <w:color w:val="000000"/>
          <w:sz w:val="21"/>
          <w:szCs w:val="21"/>
        </w:rPr>
        <w:t>, Trovato GM, Martines GF, Pirri C, Trovato FM. Renal function and severity of bright liver. Relationship with insulin resistance, intrarenal resistive index, and glomerular filtration rate.</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Hepatol Int</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2011;</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5</w:t>
      </w:r>
      <w:r w:rsidRPr="001441B9">
        <w:rPr>
          <w:rFonts w:ascii="Book Antiqua" w:eastAsia="宋体" w:hAnsi="Book Antiqua" w:cs="宋体"/>
          <w:color w:val="000000"/>
          <w:sz w:val="21"/>
          <w:szCs w:val="21"/>
        </w:rPr>
        <w:t>: 822-829 [PMID: 21484130 DOI: 10.1007/s12072-011-9254-2</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30</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Trovato GM</w:t>
      </w:r>
      <w:r w:rsidRPr="001441B9">
        <w:rPr>
          <w:rFonts w:ascii="Book Antiqua" w:eastAsia="宋体" w:hAnsi="Book Antiqua" w:cs="宋体"/>
          <w:color w:val="000000"/>
          <w:sz w:val="21"/>
          <w:szCs w:val="21"/>
        </w:rPr>
        <w:t>, Pirri C, Martines GF, Tonzuso A, Trovato F, Catalano D. Lifestyle interventions, insulin resistance, and renal artery stiffness in essential hypertension.</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Clin Exp Hypertens</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2010;</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32</w:t>
      </w:r>
      <w:r w:rsidRPr="001441B9">
        <w:rPr>
          <w:rFonts w:ascii="Book Antiqua" w:eastAsia="宋体" w:hAnsi="Book Antiqua" w:cs="宋体"/>
          <w:color w:val="000000"/>
          <w:sz w:val="21"/>
          <w:szCs w:val="21"/>
        </w:rPr>
        <w:t>: 262-269 [PMID: 20662726 DOI: 10.3109/10641960903265204</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lastRenderedPageBreak/>
        <w:t>31</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Dhurandhar NV</w:t>
      </w:r>
      <w:r w:rsidRPr="001441B9">
        <w:rPr>
          <w:rFonts w:ascii="Book Antiqua" w:eastAsia="宋体" w:hAnsi="Book Antiqua" w:cs="宋体"/>
          <w:color w:val="000000"/>
          <w:sz w:val="21"/>
          <w:szCs w:val="21"/>
        </w:rPr>
        <w:t>, Kulkarni P, Ajinkya SM, Sherikar A. Effect of adenovirus infection on adiposity in chicken.</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Vet Microbiol</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1992;</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31</w:t>
      </w:r>
      <w:r w:rsidRPr="001441B9">
        <w:rPr>
          <w:rFonts w:ascii="Book Antiqua" w:eastAsia="宋体" w:hAnsi="Book Antiqua" w:cs="宋体"/>
          <w:color w:val="000000"/>
          <w:sz w:val="21"/>
          <w:szCs w:val="21"/>
        </w:rPr>
        <w:t>: 101-107 [PMID: 1320784]</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32</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Dhurandhar NV</w:t>
      </w:r>
      <w:r w:rsidRPr="001441B9">
        <w:rPr>
          <w:rFonts w:ascii="Book Antiqua" w:eastAsia="宋体" w:hAnsi="Book Antiqua" w:cs="宋体"/>
          <w:color w:val="000000"/>
          <w:sz w:val="21"/>
          <w:szCs w:val="21"/>
        </w:rPr>
        <w:t>, Israel BA, Kolesar JM, Mayhew GF, Cook ME, Atkinson RL. Increased adiposity in animals due to a human virus.</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Int J Obes Relat Metab Disord</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2000;</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24</w:t>
      </w:r>
      <w:r w:rsidRPr="001441B9">
        <w:rPr>
          <w:rFonts w:ascii="Book Antiqua" w:eastAsia="宋体" w:hAnsi="Book Antiqua" w:cs="宋体"/>
          <w:color w:val="000000"/>
          <w:sz w:val="21"/>
          <w:szCs w:val="21"/>
        </w:rPr>
        <w:t>: 989-996 [PMID: 10951537]</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33</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Vangipuram SD</w:t>
      </w:r>
      <w:r w:rsidRPr="001441B9">
        <w:rPr>
          <w:rFonts w:ascii="Book Antiqua" w:eastAsia="宋体" w:hAnsi="Book Antiqua" w:cs="宋体"/>
          <w:color w:val="000000"/>
          <w:sz w:val="21"/>
          <w:szCs w:val="21"/>
        </w:rPr>
        <w:t>, Sheele J, Atkinson RL, Holland TC, Dhurandhar NV. A human adenovirus enhances preadipocyte differentiation.</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Obes Res</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2004;</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12</w:t>
      </w:r>
      <w:r w:rsidRPr="001441B9">
        <w:rPr>
          <w:rFonts w:ascii="Book Antiqua" w:eastAsia="宋体" w:hAnsi="Book Antiqua" w:cs="宋体"/>
          <w:color w:val="000000"/>
          <w:sz w:val="21"/>
          <w:szCs w:val="21"/>
        </w:rPr>
        <w:t>: 770-777 [PMID: 15166297]</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34</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Atkinson RL</w:t>
      </w:r>
      <w:r w:rsidRPr="001441B9">
        <w:rPr>
          <w:rFonts w:ascii="Book Antiqua" w:eastAsia="宋体" w:hAnsi="Book Antiqua" w:cs="宋体"/>
          <w:color w:val="000000"/>
          <w:sz w:val="21"/>
          <w:szCs w:val="21"/>
        </w:rPr>
        <w:t>, Dhurandhar NV, Allison DB, Bowen RL, Israel BA, Albu JB, Augustus AS. Human adenovirus-36 is associated with increased body weight and paradoxical reduction of serum lipids.</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 xml:space="preserve">Int J Obes </w:t>
      </w:r>
      <w:r w:rsidRPr="001441B9">
        <w:rPr>
          <w:rFonts w:ascii="Book Antiqua" w:eastAsia="宋体" w:hAnsi="Book Antiqua" w:cs="宋体"/>
          <w:iCs/>
          <w:color w:val="000000"/>
          <w:sz w:val="21"/>
          <w:szCs w:val="21"/>
        </w:rPr>
        <w:t>(Lond)</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2005;</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29</w:t>
      </w:r>
      <w:r w:rsidRPr="001441B9">
        <w:rPr>
          <w:rFonts w:ascii="Book Antiqua" w:eastAsia="宋体" w:hAnsi="Book Antiqua" w:cs="宋体"/>
          <w:color w:val="000000"/>
          <w:sz w:val="21"/>
          <w:szCs w:val="21"/>
        </w:rPr>
        <w:t>: 281-286 [PMID: 15611785]</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35</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Salehian B</w:t>
      </w:r>
      <w:r w:rsidRPr="001441B9">
        <w:rPr>
          <w:rFonts w:ascii="Book Antiqua" w:eastAsia="宋体" w:hAnsi="Book Antiqua" w:cs="宋体"/>
          <w:color w:val="000000"/>
          <w:sz w:val="21"/>
          <w:szCs w:val="21"/>
        </w:rPr>
        <w:t>, Forman SJ, Kandeel FR, Bruner DE, He J, Atkinson RL. Adenovirus 36 DNA in adipose tissue of patient with unusual visceral obesity.</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Emerg Infect Dis</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2010;</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16</w:t>
      </w:r>
      <w:r w:rsidRPr="001441B9">
        <w:rPr>
          <w:rFonts w:ascii="Book Antiqua" w:eastAsia="宋体" w:hAnsi="Book Antiqua" w:cs="宋体"/>
          <w:color w:val="000000"/>
          <w:sz w:val="21"/>
          <w:szCs w:val="21"/>
        </w:rPr>
        <w:t>: 850-852 [PMID: 20409382 DOI: 10.3201/eid1605.091271</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36</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Trovato GM</w:t>
      </w:r>
      <w:r w:rsidRPr="001441B9">
        <w:rPr>
          <w:rFonts w:ascii="Book Antiqua" w:eastAsia="宋体" w:hAnsi="Book Antiqua" w:cs="宋体"/>
          <w:color w:val="000000"/>
          <w:sz w:val="21"/>
          <w:szCs w:val="21"/>
        </w:rPr>
        <w:t>, Castro A, Tonzuso A, Garozzo A, Martines GF, Pirri C, Trovato F, Catalano D. Human obesity relationship with Ad36 adenovirus and insulin resistance.</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 xml:space="preserve">Int J Obes </w:t>
      </w:r>
      <w:r w:rsidRPr="001441B9">
        <w:rPr>
          <w:rFonts w:ascii="Book Antiqua" w:eastAsia="宋体" w:hAnsi="Book Antiqua" w:cs="宋体"/>
          <w:iCs/>
          <w:color w:val="000000"/>
          <w:sz w:val="21"/>
          <w:szCs w:val="21"/>
        </w:rPr>
        <w:t>(Lond)</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2009;</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33</w:t>
      </w:r>
      <w:r w:rsidRPr="001441B9">
        <w:rPr>
          <w:rFonts w:ascii="Book Antiqua" w:eastAsia="宋体" w:hAnsi="Book Antiqua" w:cs="宋体"/>
          <w:color w:val="000000"/>
          <w:sz w:val="21"/>
          <w:szCs w:val="21"/>
        </w:rPr>
        <w:t>: 1402-1409 [PMID: 19786969 DOI: 10.1038/ijo.2009.196</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37</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Mast TC</w:t>
      </w:r>
      <w:r w:rsidRPr="001441B9">
        <w:rPr>
          <w:rFonts w:ascii="Book Antiqua" w:eastAsia="宋体" w:hAnsi="Book Antiqua" w:cs="宋体"/>
          <w:color w:val="000000"/>
          <w:sz w:val="21"/>
          <w:szCs w:val="21"/>
        </w:rPr>
        <w:t>, Kierstead L, Gupta SB, Nikas AA, Kallas EG, Novitsky V, Mbewe B, Pitisuttithum P, Schechter M, Vardas E, Wolfe ND, Aste-Amezaga M, Casimiro DR, Coplan P, Straus WL, Shiver JW. International epidemiology of human pre-existing adenovirus (Ad) type-5, type-6, type-26 and type-36 neutralizing antibodies: correlates of high Ad5 titers and implications for potential HIV vaccine trials.</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Vaccine</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2010;</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28</w:t>
      </w:r>
      <w:r w:rsidRPr="001441B9">
        <w:rPr>
          <w:rFonts w:ascii="Book Antiqua" w:eastAsia="宋体" w:hAnsi="Book Antiqua" w:cs="宋体"/>
          <w:color w:val="000000"/>
          <w:sz w:val="21"/>
          <w:szCs w:val="21"/>
        </w:rPr>
        <w:t>: 950-957 [PMID: 19925902 DOI: 10.1016/j.vaccine.2009.10.145</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38</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Mathiesen UL</w:t>
      </w:r>
      <w:r w:rsidRPr="001441B9">
        <w:rPr>
          <w:rFonts w:ascii="Book Antiqua" w:eastAsia="宋体" w:hAnsi="Book Antiqua" w:cs="宋体"/>
          <w:color w:val="000000"/>
          <w:sz w:val="21"/>
          <w:szCs w:val="21"/>
        </w:rPr>
        <w:t>, Franzén LE, Aselius H, Resjö M, Jacobsson L, Foberg U, Frydén A, Bodemar G. Increased liver echogenicity at ultrasound examination reflects degree of steatosis but not of fibrosis in asymptomatic patients with mild/moderate abnormalities of liver transaminases.</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Dig Liver Dis</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2002;</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34</w:t>
      </w:r>
      <w:r w:rsidRPr="001441B9">
        <w:rPr>
          <w:rFonts w:ascii="Book Antiqua" w:eastAsia="宋体" w:hAnsi="Book Antiqua" w:cs="宋体"/>
          <w:color w:val="000000"/>
          <w:sz w:val="21"/>
          <w:szCs w:val="21"/>
        </w:rPr>
        <w:t>: 516-522 [PMID: 12236486]</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39</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Caturelli E</w:t>
      </w:r>
      <w:r w:rsidRPr="001441B9">
        <w:rPr>
          <w:rFonts w:ascii="Book Antiqua" w:eastAsia="宋体" w:hAnsi="Book Antiqua" w:cs="宋体"/>
          <w:color w:val="000000"/>
          <w:sz w:val="21"/>
          <w:szCs w:val="21"/>
        </w:rPr>
        <w:t>, Pompili M, Bartolucci F, Siena DA, Sperandeo M, Andriulli A, Bisceglia M. Hemangioma-like lesions in chronic liver disease: diagnostic evaluation in patients.</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Radiology</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2001;</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220</w:t>
      </w:r>
      <w:r w:rsidRPr="001441B9">
        <w:rPr>
          <w:rFonts w:ascii="Book Antiqua" w:eastAsia="宋体" w:hAnsi="Book Antiqua" w:cs="宋体"/>
          <w:color w:val="000000"/>
          <w:sz w:val="21"/>
          <w:szCs w:val="21"/>
        </w:rPr>
        <w:t>: 337-342 [PMID: 11477234]</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40</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Ratziu V</w:t>
      </w:r>
      <w:r w:rsidRPr="001441B9">
        <w:rPr>
          <w:rFonts w:ascii="Book Antiqua" w:eastAsia="宋体" w:hAnsi="Book Antiqua" w:cs="宋体"/>
          <w:color w:val="000000"/>
          <w:sz w:val="21"/>
          <w:szCs w:val="21"/>
        </w:rPr>
        <w:t>, Charlotte F, Heurtier A, Gombert S, Giral P, Bruckert E, Grimaldi A, Capron F, Poynard T</w:t>
      </w:r>
      <w:r w:rsidR="00DA3252" w:rsidRPr="00DA3252">
        <w:rPr>
          <w:rFonts w:ascii="Book Antiqua" w:eastAsia="宋体" w:hAnsi="Book Antiqua" w:cs="宋体"/>
          <w:color w:val="000000"/>
          <w:sz w:val="21"/>
          <w:szCs w:val="21"/>
        </w:rPr>
        <w:t>; LIDO Study Group.</w:t>
      </w:r>
      <w:r w:rsidRPr="001441B9">
        <w:rPr>
          <w:rFonts w:ascii="Book Antiqua" w:eastAsia="宋体" w:hAnsi="Book Antiqua" w:cs="宋体"/>
          <w:color w:val="000000"/>
          <w:sz w:val="21"/>
          <w:szCs w:val="21"/>
        </w:rPr>
        <w:t xml:space="preserve"> Sampling variability of liver biopsy in nonalcoholic fatty liver disease.</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Gastroenterology</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2005;</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128</w:t>
      </w:r>
      <w:r w:rsidRPr="001441B9">
        <w:rPr>
          <w:rFonts w:ascii="Book Antiqua" w:eastAsia="宋体" w:hAnsi="Book Antiqua" w:cs="宋体"/>
          <w:color w:val="000000"/>
          <w:sz w:val="21"/>
          <w:szCs w:val="21"/>
        </w:rPr>
        <w:t>: 1898-1906 [PMID: 15940625]</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41</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Trovato GM</w:t>
      </w:r>
      <w:r w:rsidRPr="001441B9">
        <w:rPr>
          <w:rFonts w:ascii="Book Antiqua" w:eastAsia="宋体" w:hAnsi="Book Antiqua" w:cs="宋体"/>
          <w:color w:val="000000"/>
          <w:sz w:val="21"/>
          <w:szCs w:val="21"/>
        </w:rPr>
        <w:t>, Martines GF, Garozzo A, Tonzuso A, Timpanaro R, Pirri C, Trovato FM, Catalano D. Ad36 adipogenic adenovirus in human non-alcoholic fatty liver disease.</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Liver Int</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2010;</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30</w:t>
      </w:r>
      <w:r w:rsidRPr="001441B9">
        <w:rPr>
          <w:rFonts w:ascii="Book Antiqua" w:eastAsia="宋体" w:hAnsi="Book Antiqua" w:cs="宋体"/>
          <w:color w:val="000000"/>
          <w:sz w:val="21"/>
          <w:szCs w:val="21"/>
        </w:rPr>
        <w:t>: 184-190 [PMID: 19840251 DOI: 10.1111/j.1478-3231.2009.02127.x</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42</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Atkinson RL</w:t>
      </w:r>
      <w:r w:rsidRPr="001441B9">
        <w:rPr>
          <w:rFonts w:ascii="Book Antiqua" w:eastAsia="宋体" w:hAnsi="Book Antiqua" w:cs="宋体"/>
          <w:color w:val="000000"/>
          <w:sz w:val="21"/>
          <w:szCs w:val="21"/>
        </w:rPr>
        <w:t>. Human adenovirus-36 and non-alcoholic fatty liver disease.</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Liver Int</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2010;</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30</w:t>
      </w:r>
      <w:r w:rsidRPr="001441B9">
        <w:rPr>
          <w:rFonts w:ascii="Book Antiqua" w:eastAsia="宋体" w:hAnsi="Book Antiqua" w:cs="宋体"/>
          <w:color w:val="000000"/>
          <w:sz w:val="21"/>
          <w:szCs w:val="21"/>
        </w:rPr>
        <w:t>: 164-165 [PMID: 20456035 DOI: 10.1111/j.1478-3231.2009.02190.x</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lastRenderedPageBreak/>
        <w:t>43</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Dhurandhar EJ</w:t>
      </w:r>
      <w:r w:rsidRPr="001441B9">
        <w:rPr>
          <w:rFonts w:ascii="Book Antiqua" w:eastAsia="宋体" w:hAnsi="Book Antiqua" w:cs="宋体"/>
          <w:color w:val="000000"/>
          <w:sz w:val="21"/>
          <w:szCs w:val="21"/>
        </w:rPr>
        <w:t>, Krishnapuram R, Hegde V, Dubuisson O, Tao R, Dong XC, Ye J, Dhurandhar NV. E4orf1 improves lipid and glucose metabolism in hepatocytes: a template to improve steatosis &amp; amp; hyperglycemia.</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PLoS One</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2012;</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7</w:t>
      </w:r>
      <w:r w:rsidRPr="001441B9">
        <w:rPr>
          <w:rFonts w:ascii="Book Antiqua" w:eastAsia="宋体" w:hAnsi="Book Antiqua" w:cs="宋体"/>
          <w:color w:val="000000"/>
          <w:sz w:val="21"/>
          <w:szCs w:val="21"/>
        </w:rPr>
        <w:t>: e47813 [PMID: 23110104 DOI: 10.1371/journal.pone.0047813</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44</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Lin WY</w:t>
      </w:r>
      <w:r w:rsidRPr="001441B9">
        <w:rPr>
          <w:rFonts w:ascii="Book Antiqua" w:eastAsia="宋体" w:hAnsi="Book Antiqua" w:cs="宋体"/>
          <w:color w:val="000000"/>
          <w:sz w:val="21"/>
          <w:szCs w:val="21"/>
        </w:rPr>
        <w:t>, Dubuisson O, Rubicz R, Liu N, Allison DB, Curran JE, Comuzzie AG, Blangero J, Leach CT, Göring H, Dhurandhar NV. Long-term changes in adiposity and glycemic control are associated with past adenovirus infection.</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Diabetes Care</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2013;</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36</w:t>
      </w:r>
      <w:r w:rsidRPr="001441B9">
        <w:rPr>
          <w:rFonts w:ascii="Book Antiqua" w:eastAsia="宋体" w:hAnsi="Book Antiqua" w:cs="宋体"/>
          <w:color w:val="000000"/>
          <w:sz w:val="21"/>
          <w:szCs w:val="21"/>
        </w:rPr>
        <w:t>: 701-707 [PMID: 23160725 DOI: 10.2337/dc12-1089</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45</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Trovato GM</w:t>
      </w:r>
      <w:r w:rsidRPr="001441B9">
        <w:rPr>
          <w:rFonts w:ascii="Book Antiqua" w:eastAsia="宋体" w:hAnsi="Book Antiqua" w:cs="宋体"/>
          <w:color w:val="000000"/>
          <w:sz w:val="21"/>
          <w:szCs w:val="21"/>
        </w:rPr>
        <w:t>, Catalano D, Martines GF, Trovato FM. Comment on: Lin et al. Long-term changes in adiposity and glycemic control are associated with past adenovirus infection. Diabetes Care 2013; 36: 701-707.</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Diabetes Care</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2013;</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36</w:t>
      </w:r>
      <w:r w:rsidRPr="001441B9">
        <w:rPr>
          <w:rFonts w:ascii="Book Antiqua" w:eastAsia="宋体" w:hAnsi="Book Antiqua" w:cs="宋体"/>
          <w:color w:val="000000"/>
          <w:sz w:val="21"/>
          <w:szCs w:val="21"/>
        </w:rPr>
        <w:t>: e184 [PMID: 24065857 DOI: 10.2337/dc13-0671</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46</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Trovato GM</w:t>
      </w:r>
      <w:r w:rsidRPr="001441B9">
        <w:rPr>
          <w:rFonts w:ascii="Book Antiqua" w:eastAsia="宋体" w:hAnsi="Book Antiqua" w:cs="宋体"/>
          <w:color w:val="000000"/>
          <w:sz w:val="21"/>
          <w:szCs w:val="21"/>
        </w:rPr>
        <w:t>, Martines GF, Pirri C, Trovato FM, Castro A, Garozzo A, Catalano D. Obesity-independent association of human adenovirus Ad37 seropositivity with nonalcoholic fatty liver disease.</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J Clin Gastroenterol</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2012;</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46</w:t>
      </w:r>
      <w:r w:rsidRPr="001441B9">
        <w:rPr>
          <w:rFonts w:ascii="Book Antiqua" w:eastAsia="宋体" w:hAnsi="Book Antiqua" w:cs="宋体"/>
          <w:color w:val="000000"/>
          <w:sz w:val="21"/>
          <w:szCs w:val="21"/>
        </w:rPr>
        <w:t>: e46-e54 [PMID: 22476041 DOI: 10.1097/MCG.0b013e31824b225c</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 xml:space="preserve">47 </w:t>
      </w:r>
      <w:r w:rsidRPr="001441B9">
        <w:rPr>
          <w:rFonts w:ascii="Book Antiqua" w:eastAsia="宋体" w:hAnsi="Book Antiqua" w:cs="宋体"/>
          <w:b/>
          <w:color w:val="000000"/>
          <w:sz w:val="21"/>
          <w:szCs w:val="21"/>
        </w:rPr>
        <w:t>Trovato GM</w:t>
      </w:r>
      <w:r w:rsidRPr="001441B9">
        <w:rPr>
          <w:rFonts w:ascii="Book Antiqua" w:eastAsia="宋体" w:hAnsi="Book Antiqua" w:cs="宋体"/>
          <w:color w:val="000000"/>
          <w:sz w:val="21"/>
          <w:szCs w:val="21"/>
        </w:rPr>
        <w:t>, Catalano D, Martines GF, Trovato FM, Garozzo A, Pirri C, Tonzuso A. Compound Seropositivity of neutralizing antibodies against Adipogenic</w:t>
      </w:r>
      <w:r w:rsidRPr="0048098B">
        <w:rPr>
          <w:rFonts w:ascii="Book Antiqua" w:eastAsia="宋体" w:hAnsi="Book Antiqua" w:cs="宋体"/>
          <w:color w:val="000000"/>
          <w:sz w:val="21"/>
          <w:szCs w:val="21"/>
        </w:rPr>
        <w:t xml:space="preserve"> Adenoviruses (ADV36 and ADV 37</w:t>
      </w:r>
      <w:r w:rsidRPr="001441B9">
        <w:rPr>
          <w:rFonts w:ascii="Book Antiqua" w:eastAsia="宋体" w:hAnsi="Book Antiqua" w:cs="宋体"/>
          <w:color w:val="000000"/>
          <w:sz w:val="21"/>
          <w:szCs w:val="21"/>
        </w:rPr>
        <w:t>): no additive effect on overweight-obesity and on Insulin Resistance (IRHOMA). The microbiome across the obesity and into the liver</w:t>
      </w:r>
      <w:r w:rsidRPr="0048098B">
        <w:rPr>
          <w:rFonts w:ascii="Book Antiqua" w:eastAsia="宋体" w:hAnsi="Book Antiqua" w:cs="宋体"/>
          <w:color w:val="000000"/>
          <w:sz w:val="21"/>
          <w:szCs w:val="21"/>
        </w:rPr>
        <w:t>.</w:t>
      </w:r>
      <w:r w:rsidRPr="001441B9">
        <w:rPr>
          <w:rFonts w:ascii="Book Antiqua" w:eastAsia="宋体" w:hAnsi="Book Antiqua" w:cs="宋体"/>
          <w:color w:val="000000"/>
          <w:sz w:val="21"/>
          <w:szCs w:val="21"/>
        </w:rPr>
        <w:t xml:space="preserve"> </w:t>
      </w:r>
      <w:r w:rsidRPr="001441B9">
        <w:rPr>
          <w:rFonts w:ascii="Book Antiqua" w:eastAsia="宋体" w:hAnsi="Book Antiqua" w:cs="宋体"/>
          <w:i/>
          <w:color w:val="000000"/>
          <w:sz w:val="21"/>
          <w:szCs w:val="21"/>
        </w:rPr>
        <w:t>FASEB J</w:t>
      </w:r>
      <w:r w:rsidRPr="001441B9">
        <w:rPr>
          <w:rFonts w:ascii="Book Antiqua" w:eastAsia="宋体" w:hAnsi="Book Antiqua" w:cs="宋体"/>
          <w:color w:val="000000"/>
          <w:sz w:val="21"/>
          <w:szCs w:val="21"/>
        </w:rPr>
        <w:t xml:space="preserve"> 2013</w:t>
      </w:r>
      <w:r w:rsidRPr="0048098B">
        <w:rPr>
          <w:rFonts w:ascii="Book Antiqua" w:eastAsia="宋体" w:hAnsi="Book Antiqua" w:cs="宋体"/>
          <w:color w:val="000000"/>
          <w:sz w:val="21"/>
          <w:szCs w:val="21"/>
        </w:rPr>
        <w:t>;</w:t>
      </w:r>
      <w:r w:rsidRPr="001441B9">
        <w:rPr>
          <w:rFonts w:ascii="Book Antiqua" w:eastAsia="宋体" w:hAnsi="Book Antiqua" w:cs="宋体"/>
          <w:color w:val="000000"/>
          <w:sz w:val="21"/>
          <w:szCs w:val="21"/>
        </w:rPr>
        <w:t xml:space="preserve"> </w:t>
      </w:r>
      <w:r w:rsidRPr="001441B9">
        <w:rPr>
          <w:rFonts w:ascii="Book Antiqua" w:eastAsia="宋体" w:hAnsi="Book Antiqua" w:cs="宋体"/>
          <w:b/>
          <w:color w:val="000000"/>
          <w:sz w:val="21"/>
          <w:szCs w:val="21"/>
        </w:rPr>
        <w:t>27</w:t>
      </w:r>
      <w:r w:rsidRPr="001441B9">
        <w:rPr>
          <w:rFonts w:ascii="Book Antiqua" w:eastAsia="宋体" w:hAnsi="Book Antiqua" w:cs="宋体"/>
          <w:color w:val="000000"/>
          <w:sz w:val="21"/>
          <w:szCs w:val="21"/>
        </w:rPr>
        <w:t>: 1056</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48</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Trovato GM</w:t>
      </w:r>
      <w:r w:rsidRPr="001441B9">
        <w:rPr>
          <w:rFonts w:ascii="Book Antiqua" w:eastAsia="宋体" w:hAnsi="Book Antiqua" w:cs="宋体"/>
          <w:color w:val="000000"/>
          <w:sz w:val="21"/>
          <w:szCs w:val="21"/>
        </w:rPr>
        <w:t>, Martines GF, Trovato FM, Pirri C, Pace P, Garozzo A, Castro A, Catalano D. Adenovirus-36 seropositivity enhances effects of nutritional intervention on obesity, bright liver, and insulin resistance.</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Dig Dis Sci</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2012;</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57</w:t>
      </w:r>
      <w:r w:rsidRPr="001441B9">
        <w:rPr>
          <w:rFonts w:ascii="Book Antiqua" w:eastAsia="宋体" w:hAnsi="Book Antiqua" w:cs="宋体"/>
          <w:color w:val="000000"/>
          <w:sz w:val="21"/>
          <w:szCs w:val="21"/>
        </w:rPr>
        <w:t>: 535-544 [PMID: 21953137 DOI: 10.1007/s10620-011-1903-8</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49</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von Scholten BJ</w:t>
      </w:r>
      <w:r w:rsidRPr="001441B9">
        <w:rPr>
          <w:rFonts w:ascii="Book Antiqua" w:eastAsia="宋体" w:hAnsi="Book Antiqua" w:cs="宋体"/>
          <w:color w:val="000000"/>
          <w:sz w:val="21"/>
          <w:szCs w:val="21"/>
        </w:rPr>
        <w:t>, Andresen EN, Sørensen TI, Jess T. Aetiological factors behind adipose tissue inflammation: an unexplored research area.</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Public Health Nutr</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2013;</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16</w:t>
      </w:r>
      <w:r w:rsidRPr="001441B9">
        <w:rPr>
          <w:rFonts w:ascii="Book Antiqua" w:eastAsia="宋体" w:hAnsi="Book Antiqua" w:cs="宋体"/>
          <w:color w:val="000000"/>
          <w:sz w:val="21"/>
          <w:szCs w:val="21"/>
        </w:rPr>
        <w:t>: 27-35 [PMID: 22464010 DOI: 10.1017/S1368980012000894</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50</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Rathod M</w:t>
      </w:r>
      <w:r w:rsidRPr="001441B9">
        <w:rPr>
          <w:rFonts w:ascii="Book Antiqua" w:eastAsia="宋体" w:hAnsi="Book Antiqua" w:cs="宋体"/>
          <w:color w:val="000000"/>
          <w:sz w:val="21"/>
          <w:szCs w:val="21"/>
        </w:rPr>
        <w:t>, Vangipuram SD, Krishnan B, Heydari AR, Holland TC, Dhurandhar NV. Viral mRNA expression but not DNA replication is required for lipogenic effect of human adenovirus Ad-36 in preadipocytes.</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 xml:space="preserve">Int J Obes </w:t>
      </w:r>
      <w:r w:rsidRPr="001441B9">
        <w:rPr>
          <w:rFonts w:ascii="Book Antiqua" w:eastAsia="宋体" w:hAnsi="Book Antiqua" w:cs="宋体"/>
          <w:iCs/>
          <w:color w:val="000000"/>
          <w:sz w:val="21"/>
          <w:szCs w:val="21"/>
        </w:rPr>
        <w:t>(Lond)</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2007;</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31</w:t>
      </w:r>
      <w:r w:rsidRPr="001441B9">
        <w:rPr>
          <w:rFonts w:ascii="Book Antiqua" w:eastAsia="宋体" w:hAnsi="Book Antiqua" w:cs="宋体"/>
          <w:color w:val="000000"/>
          <w:sz w:val="21"/>
          <w:szCs w:val="21"/>
        </w:rPr>
        <w:t>: 78-86 [PMID: 16652125]</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51</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Vangipuram SD</w:t>
      </w:r>
      <w:r w:rsidRPr="001441B9">
        <w:rPr>
          <w:rFonts w:ascii="Book Antiqua" w:eastAsia="宋体" w:hAnsi="Book Antiqua" w:cs="宋体"/>
          <w:color w:val="000000"/>
          <w:sz w:val="21"/>
          <w:szCs w:val="21"/>
        </w:rPr>
        <w:t>, Yu M, Tian J, Stanhope KL, Pasarica M, Havel PJ, Heydari AR, Dhurandhar NV. Adipogenic human adenovirus-36 reduces leptin expression and secretion and increases glucose uptake by fat cells.</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 xml:space="preserve">Int J Obes </w:t>
      </w:r>
      <w:r w:rsidRPr="001441B9">
        <w:rPr>
          <w:rFonts w:ascii="Book Antiqua" w:eastAsia="宋体" w:hAnsi="Book Antiqua" w:cs="宋体"/>
          <w:iCs/>
          <w:color w:val="000000"/>
          <w:sz w:val="21"/>
          <w:szCs w:val="21"/>
        </w:rPr>
        <w:t>(Lond)</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2007;</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31</w:t>
      </w:r>
      <w:r w:rsidRPr="001441B9">
        <w:rPr>
          <w:rFonts w:ascii="Book Antiqua" w:eastAsia="宋体" w:hAnsi="Book Antiqua" w:cs="宋体"/>
          <w:color w:val="000000"/>
          <w:sz w:val="21"/>
          <w:szCs w:val="21"/>
        </w:rPr>
        <w:t>: 87-96 [PMID: 16703005]</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52</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Pasarica M</w:t>
      </w:r>
      <w:r w:rsidRPr="001441B9">
        <w:rPr>
          <w:rFonts w:ascii="Book Antiqua" w:eastAsia="宋体" w:hAnsi="Book Antiqua" w:cs="宋体"/>
          <w:color w:val="000000"/>
          <w:sz w:val="21"/>
          <w:szCs w:val="21"/>
        </w:rPr>
        <w:t>, Mashtalir N, McAllister EJ, Kilroy GE, Koska J, Permana P, de Courten B, Yu M, Ravussin E, Gimble JM, Dhurandhar NV. Adipogenic human adenovirus Ad-36 induces commitment, differentiation, and lipid accumulation in human adipose-derived stem cells.</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Stem Cells</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2008;</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26</w:t>
      </w:r>
      <w:r w:rsidRPr="001441B9">
        <w:rPr>
          <w:rFonts w:ascii="Book Antiqua" w:eastAsia="宋体" w:hAnsi="Book Antiqua" w:cs="宋体"/>
          <w:color w:val="000000"/>
          <w:sz w:val="21"/>
          <w:szCs w:val="21"/>
        </w:rPr>
        <w:t>: 969-978 [PMID: 18203674 DOI: 10.1634/stemcells.2007-0868</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53</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Rathod MA</w:t>
      </w:r>
      <w:r w:rsidRPr="001441B9">
        <w:rPr>
          <w:rFonts w:ascii="Book Antiqua" w:eastAsia="宋体" w:hAnsi="Book Antiqua" w:cs="宋体"/>
          <w:color w:val="000000"/>
          <w:sz w:val="21"/>
          <w:szCs w:val="21"/>
        </w:rPr>
        <w:t>, Rogers PM, Vangipuram SD, McAllister EJ, Dhurandhar NV. Adipogenic cascade can be induced without adipogenic media by a human adenovirus.</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 xml:space="preserve">Obesity </w:t>
      </w:r>
      <w:r w:rsidRPr="001441B9">
        <w:rPr>
          <w:rFonts w:ascii="Book Antiqua" w:eastAsia="宋体" w:hAnsi="Book Antiqua" w:cs="宋体"/>
          <w:iCs/>
          <w:color w:val="000000"/>
          <w:sz w:val="21"/>
          <w:szCs w:val="21"/>
        </w:rPr>
        <w:t>(Silver Spring)</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2009;</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17</w:t>
      </w:r>
      <w:r w:rsidRPr="001441B9">
        <w:rPr>
          <w:rFonts w:ascii="Book Antiqua" w:eastAsia="宋体" w:hAnsi="Book Antiqua" w:cs="宋体"/>
          <w:color w:val="000000"/>
          <w:sz w:val="21"/>
          <w:szCs w:val="21"/>
        </w:rPr>
        <w:t>: 657-664 [PMID: 19165154 DOI: 10.1038/oby.2008.630</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lastRenderedPageBreak/>
        <w:t>54</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Krishnapuram R</w:t>
      </w:r>
      <w:r w:rsidRPr="001441B9">
        <w:rPr>
          <w:rFonts w:ascii="Book Antiqua" w:eastAsia="宋体" w:hAnsi="Book Antiqua" w:cs="宋体"/>
          <w:color w:val="000000"/>
          <w:sz w:val="21"/>
          <w:szCs w:val="21"/>
        </w:rPr>
        <w:t>, Dhurandhar EJ, Dubuisson O, Kirk-Ballard H, Bajpeyi S, Butte N, Sothern MS, Larsen-Meyer E, Chalew S, Bennett B, Gupta AK, Greenway FL, Johnson W, Brashear M, Reinhart G, Rankinen T, Bouchard C, Cefalu WT, Ye J, Javier R, Zuberi A, Dhurandhar NV. Template to improve glycemic control without reducing adiposity or dietary fat.</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Am J Physiol Endocrinol Metab</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2011;</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300</w:t>
      </w:r>
      <w:r w:rsidRPr="001441B9">
        <w:rPr>
          <w:rFonts w:ascii="Book Antiqua" w:eastAsia="宋体" w:hAnsi="Book Antiqua" w:cs="宋体"/>
          <w:color w:val="000000"/>
          <w:sz w:val="21"/>
          <w:szCs w:val="21"/>
        </w:rPr>
        <w:t>: E779-E789 [PMID: 21266671 DOI: 10.1152/ajpendo.00703.2010</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55</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Na HN</w:t>
      </w:r>
      <w:r w:rsidRPr="001441B9">
        <w:rPr>
          <w:rFonts w:ascii="Book Antiqua" w:eastAsia="宋体" w:hAnsi="Book Antiqua" w:cs="宋体"/>
          <w:color w:val="000000"/>
          <w:sz w:val="21"/>
          <w:szCs w:val="21"/>
        </w:rPr>
        <w:t>, Nam JH. Adenovirus 36 as an obesity agent maintains the obesity state by increasing MCP-1 and inducing inflammation.</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J Infect Dis</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2012;</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205</w:t>
      </w:r>
      <w:r w:rsidRPr="001441B9">
        <w:rPr>
          <w:rFonts w:ascii="Book Antiqua" w:eastAsia="宋体" w:hAnsi="Book Antiqua" w:cs="宋体"/>
          <w:color w:val="000000"/>
          <w:sz w:val="21"/>
          <w:szCs w:val="21"/>
        </w:rPr>
        <w:t>: 914-922 [PMID: 22275403 DOI: 10.1093/infdis/jir864</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56</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Krishnapuram R</w:t>
      </w:r>
      <w:r w:rsidRPr="001441B9">
        <w:rPr>
          <w:rFonts w:ascii="Book Antiqua" w:eastAsia="宋体" w:hAnsi="Book Antiqua" w:cs="宋体"/>
          <w:color w:val="000000"/>
          <w:sz w:val="21"/>
          <w:szCs w:val="21"/>
        </w:rPr>
        <w:t>, Dhurandhar EJ, Dubuisson O, Hegde V, Dhurandhar NV. Doxycycline-regulated 3T3-L1 preadipocyte cell line with inducible, stable expression of adenoviral E4orf1 gene: a cell model to study insulin-independent glucose disposal.</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PLoS One</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2013;</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8</w:t>
      </w:r>
      <w:r w:rsidRPr="001441B9">
        <w:rPr>
          <w:rFonts w:ascii="Book Antiqua" w:eastAsia="宋体" w:hAnsi="Book Antiqua" w:cs="宋体"/>
          <w:color w:val="000000"/>
          <w:sz w:val="21"/>
          <w:szCs w:val="21"/>
        </w:rPr>
        <w:t>: e60651 [PMID: 23544159 DOI: 10.1371/journal.pone.0060651</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57</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Dhurandhar NV</w:t>
      </w:r>
      <w:r w:rsidRPr="001441B9">
        <w:rPr>
          <w:rFonts w:ascii="Book Antiqua" w:eastAsia="宋体" w:hAnsi="Book Antiqua" w:cs="宋体"/>
          <w:color w:val="000000"/>
          <w:sz w:val="21"/>
          <w:szCs w:val="21"/>
        </w:rPr>
        <w:t>. Insulin sparing action of adenovirus 36 and its E4orf1 protein.</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J Diabetes Complications</w:t>
      </w:r>
      <w:r w:rsidRPr="0048098B">
        <w:rPr>
          <w:rFonts w:ascii="Book Antiqua" w:eastAsia="宋体" w:hAnsi="Book Antiqua" w:cs="宋体"/>
          <w:color w:val="000000"/>
          <w:sz w:val="21"/>
          <w:szCs w:val="21"/>
        </w:rPr>
        <w:t> 2013</w:t>
      </w:r>
      <w:r w:rsidRPr="001441B9">
        <w:rPr>
          <w:rFonts w:ascii="Book Antiqua" w:eastAsia="宋体" w:hAnsi="Book Antiqua" w:cs="宋体"/>
          <w:color w:val="000000"/>
          <w:sz w:val="21"/>
          <w:szCs w:val="21"/>
        </w:rPr>
        <w:t>;</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27</w:t>
      </w:r>
      <w:r w:rsidRPr="001441B9">
        <w:rPr>
          <w:rFonts w:ascii="Book Antiqua" w:eastAsia="宋体" w:hAnsi="Book Antiqua" w:cs="宋体"/>
          <w:color w:val="000000"/>
          <w:sz w:val="21"/>
          <w:szCs w:val="21"/>
        </w:rPr>
        <w:t>: 191-199 [PMID: 23246247 DOI: 10.1016/j.jdiacomp.2012.09.006</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1441B9">
        <w:rPr>
          <w:rFonts w:ascii="Book Antiqua" w:eastAsia="宋体" w:hAnsi="Book Antiqua" w:cs="宋体"/>
          <w:color w:val="000000"/>
          <w:sz w:val="21"/>
          <w:szCs w:val="21"/>
        </w:rPr>
        <w:t>5</w:t>
      </w:r>
      <w:r w:rsidRPr="0048098B">
        <w:rPr>
          <w:rFonts w:ascii="Book Antiqua" w:eastAsia="宋体" w:hAnsi="Book Antiqua" w:cs="宋体"/>
          <w:color w:val="000000"/>
          <w:sz w:val="21"/>
          <w:szCs w:val="21"/>
        </w:rPr>
        <w:t>8 </w:t>
      </w:r>
      <w:r w:rsidRPr="001441B9">
        <w:rPr>
          <w:rFonts w:ascii="Book Antiqua" w:eastAsia="宋体" w:hAnsi="Book Antiqua" w:cs="宋体"/>
          <w:b/>
          <w:bCs/>
          <w:color w:val="000000"/>
          <w:sz w:val="21"/>
          <w:szCs w:val="21"/>
        </w:rPr>
        <w:t>Dhurandhar EJ</w:t>
      </w:r>
      <w:r w:rsidRPr="001441B9">
        <w:rPr>
          <w:rFonts w:ascii="Book Antiqua" w:eastAsia="宋体" w:hAnsi="Book Antiqua" w:cs="宋体"/>
          <w:color w:val="000000"/>
          <w:sz w:val="21"/>
          <w:szCs w:val="21"/>
        </w:rPr>
        <w:t>, Dubuisson O, Mashtalir N, Krishnapuram R, Hegde V, Dhurandhar NV. E4orf1: a novel ligand that improves glucose disposal in cell culture.</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PLoS One</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2011;</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6</w:t>
      </w:r>
      <w:r w:rsidRPr="001441B9">
        <w:rPr>
          <w:rFonts w:ascii="Book Antiqua" w:eastAsia="宋体" w:hAnsi="Book Antiqua" w:cs="宋体"/>
          <w:color w:val="000000"/>
          <w:sz w:val="21"/>
          <w:szCs w:val="21"/>
        </w:rPr>
        <w:t>: e23394 [PMID: 21886789 DOI: 10.1371/journal.pone.0023394</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48098B">
        <w:rPr>
          <w:rFonts w:ascii="Book Antiqua" w:eastAsia="宋体" w:hAnsi="Book Antiqua" w:cs="宋体"/>
          <w:color w:val="000000"/>
          <w:sz w:val="21"/>
          <w:szCs w:val="21"/>
        </w:rPr>
        <w:t>59 </w:t>
      </w:r>
      <w:r w:rsidRPr="001441B9">
        <w:rPr>
          <w:rFonts w:ascii="Book Antiqua" w:eastAsia="宋体" w:hAnsi="Book Antiqua" w:cs="宋体"/>
          <w:b/>
          <w:bCs/>
          <w:color w:val="000000"/>
          <w:sz w:val="21"/>
          <w:szCs w:val="21"/>
        </w:rPr>
        <w:t>Greenberg JA</w:t>
      </w:r>
      <w:r w:rsidRPr="001441B9">
        <w:rPr>
          <w:rFonts w:ascii="Book Antiqua" w:eastAsia="宋体" w:hAnsi="Book Antiqua" w:cs="宋体"/>
          <w:color w:val="000000"/>
          <w:sz w:val="21"/>
          <w:szCs w:val="21"/>
        </w:rPr>
        <w:t>. The obesity paradox in the US population.</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Am J Clin Nutr</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2013;</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97</w:t>
      </w:r>
      <w:r w:rsidRPr="001441B9">
        <w:rPr>
          <w:rFonts w:ascii="Book Antiqua" w:eastAsia="宋体" w:hAnsi="Book Antiqua" w:cs="宋体"/>
          <w:color w:val="000000"/>
          <w:sz w:val="21"/>
          <w:szCs w:val="21"/>
        </w:rPr>
        <w:t>: 1195-1200 [PMID: 23636238 DOI: 10.3945/ajcn.112.045815</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48098B">
        <w:rPr>
          <w:rFonts w:ascii="Book Antiqua" w:eastAsia="宋体" w:hAnsi="Book Antiqua" w:cs="宋体"/>
          <w:color w:val="000000"/>
          <w:sz w:val="21"/>
          <w:szCs w:val="21"/>
        </w:rPr>
        <w:t>60 </w:t>
      </w:r>
      <w:r w:rsidRPr="001441B9">
        <w:rPr>
          <w:rFonts w:ascii="Book Antiqua" w:eastAsia="宋体" w:hAnsi="Book Antiqua" w:cs="宋体"/>
          <w:b/>
          <w:bCs/>
          <w:color w:val="000000"/>
          <w:sz w:val="21"/>
          <w:szCs w:val="21"/>
        </w:rPr>
        <w:t>Trovato GM</w:t>
      </w:r>
      <w:r w:rsidRPr="001441B9">
        <w:rPr>
          <w:rFonts w:ascii="Book Antiqua" w:eastAsia="宋体" w:hAnsi="Book Antiqua" w:cs="宋体"/>
          <w:color w:val="000000"/>
          <w:sz w:val="21"/>
          <w:szCs w:val="21"/>
        </w:rPr>
        <w:t>, Catalano D, Trovato FM. The challenge of obesity: can we look to the moon instead of the finger?</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J Am Coll Cardiol</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2013;</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62</w:t>
      </w:r>
      <w:r w:rsidRPr="001441B9">
        <w:rPr>
          <w:rFonts w:ascii="Book Antiqua" w:eastAsia="宋体" w:hAnsi="Book Antiqua" w:cs="宋体"/>
          <w:color w:val="000000"/>
          <w:sz w:val="21"/>
          <w:szCs w:val="21"/>
        </w:rPr>
        <w:t>: 1036 [PMID: 23643506 DOI: 10.1016/j.jacc.2013.03.066</w:t>
      </w:r>
      <w:r w:rsidRPr="0048098B">
        <w:rPr>
          <w:rFonts w:ascii="Book Antiqua" w:eastAsia="宋体" w:hAnsi="Book Antiqua" w:cs="宋体"/>
          <w:color w:val="000000"/>
          <w:sz w:val="21"/>
          <w:szCs w:val="21"/>
        </w:rPr>
        <w:t>]</w:t>
      </w:r>
    </w:p>
    <w:p w:rsidR="00586AC3" w:rsidRPr="001441B9" w:rsidRDefault="00586AC3" w:rsidP="008019CB">
      <w:pPr>
        <w:adjustRightInd w:val="0"/>
        <w:snapToGrid w:val="0"/>
        <w:spacing w:after="0" w:line="360" w:lineRule="auto"/>
        <w:jc w:val="both"/>
        <w:rPr>
          <w:rFonts w:ascii="Book Antiqua" w:eastAsia="宋体" w:hAnsi="Book Antiqua" w:cs="宋体"/>
          <w:color w:val="000000"/>
          <w:sz w:val="21"/>
          <w:szCs w:val="21"/>
        </w:rPr>
      </w:pPr>
      <w:r w:rsidRPr="0048098B">
        <w:rPr>
          <w:rFonts w:ascii="Book Antiqua" w:eastAsia="宋体" w:hAnsi="Book Antiqua" w:cs="宋体"/>
          <w:color w:val="000000"/>
          <w:sz w:val="21"/>
          <w:szCs w:val="21"/>
        </w:rPr>
        <w:t>61 </w:t>
      </w:r>
      <w:r w:rsidRPr="001441B9">
        <w:rPr>
          <w:rFonts w:ascii="Book Antiqua" w:eastAsia="宋体" w:hAnsi="Book Antiqua" w:cs="宋体"/>
          <w:b/>
          <w:bCs/>
          <w:color w:val="000000"/>
          <w:sz w:val="21"/>
          <w:szCs w:val="21"/>
        </w:rPr>
        <w:t>Fezeu L</w:t>
      </w:r>
      <w:r w:rsidRPr="001441B9">
        <w:rPr>
          <w:rFonts w:ascii="Book Antiqua" w:eastAsia="宋体" w:hAnsi="Book Antiqua" w:cs="宋体"/>
          <w:color w:val="000000"/>
          <w:sz w:val="21"/>
          <w:szCs w:val="21"/>
        </w:rPr>
        <w:t>, Julia C, Henegar A, Bitu J, Hu FB, Grobbee DE, Kengne AP, Hercberg S, Czernichow S. Obesity is associated with higher risk of intensive care unit admission and death in influenza A (H1N1) patients: a systematic review and meta-analysis.</w:t>
      </w:r>
      <w:r w:rsidRPr="0048098B">
        <w:rPr>
          <w:rFonts w:ascii="Book Antiqua" w:eastAsia="宋体" w:hAnsi="Book Antiqua" w:cs="宋体"/>
          <w:color w:val="000000"/>
          <w:sz w:val="21"/>
          <w:szCs w:val="21"/>
        </w:rPr>
        <w:t> </w:t>
      </w:r>
      <w:r w:rsidRPr="001441B9">
        <w:rPr>
          <w:rFonts w:ascii="Book Antiqua" w:eastAsia="宋体" w:hAnsi="Book Antiqua" w:cs="宋体"/>
          <w:i/>
          <w:iCs/>
          <w:color w:val="000000"/>
          <w:sz w:val="21"/>
          <w:szCs w:val="21"/>
        </w:rPr>
        <w:t>Obes Rev</w:t>
      </w:r>
      <w:r w:rsidRPr="0048098B">
        <w:rPr>
          <w:rFonts w:ascii="Book Antiqua" w:eastAsia="宋体" w:hAnsi="Book Antiqua" w:cs="宋体"/>
          <w:color w:val="000000"/>
          <w:sz w:val="21"/>
          <w:szCs w:val="21"/>
        </w:rPr>
        <w:t> </w:t>
      </w:r>
      <w:r w:rsidRPr="001441B9">
        <w:rPr>
          <w:rFonts w:ascii="Book Antiqua" w:eastAsia="宋体" w:hAnsi="Book Antiqua" w:cs="宋体"/>
          <w:color w:val="000000"/>
          <w:sz w:val="21"/>
          <w:szCs w:val="21"/>
        </w:rPr>
        <w:t>2011;</w:t>
      </w:r>
      <w:r w:rsidRPr="0048098B">
        <w:rPr>
          <w:rFonts w:ascii="Book Antiqua" w:eastAsia="宋体" w:hAnsi="Book Antiqua" w:cs="宋体"/>
          <w:color w:val="000000"/>
          <w:sz w:val="21"/>
          <w:szCs w:val="21"/>
        </w:rPr>
        <w:t> </w:t>
      </w:r>
      <w:r w:rsidRPr="001441B9">
        <w:rPr>
          <w:rFonts w:ascii="Book Antiqua" w:eastAsia="宋体" w:hAnsi="Book Antiqua" w:cs="宋体"/>
          <w:b/>
          <w:bCs/>
          <w:color w:val="000000"/>
          <w:sz w:val="21"/>
          <w:szCs w:val="21"/>
        </w:rPr>
        <w:t>12</w:t>
      </w:r>
      <w:r w:rsidRPr="001441B9">
        <w:rPr>
          <w:rFonts w:ascii="Book Antiqua" w:eastAsia="宋体" w:hAnsi="Book Antiqua" w:cs="宋体"/>
          <w:color w:val="000000"/>
          <w:sz w:val="21"/>
          <w:szCs w:val="21"/>
        </w:rPr>
        <w:t>: 653-659 [PMID: 21457180 DOI: 10.1111/j.1467-789X.2011.00864.x]</w:t>
      </w:r>
    </w:p>
    <w:p w:rsidR="00586AC3" w:rsidRPr="0048098B" w:rsidRDefault="00586AC3" w:rsidP="008019CB">
      <w:pPr>
        <w:adjustRightInd w:val="0"/>
        <w:snapToGrid w:val="0"/>
        <w:spacing w:after="0" w:line="360" w:lineRule="auto"/>
        <w:jc w:val="both"/>
        <w:rPr>
          <w:rFonts w:ascii="Book Antiqua" w:hAnsi="Book Antiqua"/>
          <w:sz w:val="21"/>
          <w:szCs w:val="21"/>
        </w:rPr>
      </w:pPr>
    </w:p>
    <w:p w:rsidR="00586AC3" w:rsidRPr="00DA3252" w:rsidRDefault="00586AC3" w:rsidP="008019CB">
      <w:pPr>
        <w:adjustRightInd w:val="0"/>
        <w:snapToGrid w:val="0"/>
        <w:spacing w:after="0" w:line="360" w:lineRule="auto"/>
        <w:ind w:left="316" w:hangingChars="150" w:hanging="316"/>
        <w:jc w:val="right"/>
        <w:rPr>
          <w:rFonts w:ascii="Book Antiqua" w:hAnsi="Book Antiqua"/>
          <w:sz w:val="21"/>
        </w:rPr>
      </w:pPr>
      <w:r w:rsidRPr="00DA3252">
        <w:rPr>
          <w:rFonts w:ascii="Book Antiqua" w:hAnsi="Book Antiqua"/>
          <w:b/>
          <w:bCs/>
          <w:sz w:val="21"/>
        </w:rPr>
        <w:t>P-Reviewer</w:t>
      </w:r>
      <w:r w:rsidR="00DA3252" w:rsidRPr="00DA3252">
        <w:rPr>
          <w:rFonts w:ascii="Book Antiqua" w:hAnsi="Book Antiqua" w:hint="eastAsia"/>
          <w:b/>
          <w:bCs/>
          <w:sz w:val="21"/>
          <w:lang w:eastAsia="zh-CN"/>
        </w:rPr>
        <w:t>s</w:t>
      </w:r>
      <w:r w:rsidRPr="00DA3252">
        <w:rPr>
          <w:rFonts w:ascii="Book Antiqua" w:hAnsi="Book Antiqua" w:hint="eastAsia"/>
          <w:b/>
          <w:bCs/>
          <w:sz w:val="21"/>
        </w:rPr>
        <w:t>:</w:t>
      </w:r>
      <w:r w:rsidRPr="00DA3252">
        <w:rPr>
          <w:rFonts w:ascii="Book Antiqua" w:hAnsi="Book Antiqua"/>
          <w:bCs/>
          <w:sz w:val="21"/>
        </w:rPr>
        <w:t xml:space="preserve"> </w:t>
      </w:r>
      <w:r w:rsidR="00DA3252" w:rsidRPr="00DA3252">
        <w:rPr>
          <w:rFonts w:ascii="Book Antiqua" w:hAnsi="Book Antiqua"/>
          <w:bCs/>
          <w:sz w:val="21"/>
        </w:rPr>
        <w:t>Guan YS</w:t>
      </w:r>
      <w:r w:rsidR="00DA3252" w:rsidRPr="00DA3252">
        <w:rPr>
          <w:rFonts w:ascii="Book Antiqua" w:hAnsi="Book Antiqua" w:hint="eastAsia"/>
          <w:bCs/>
          <w:sz w:val="21"/>
          <w:lang w:eastAsia="zh-CN"/>
        </w:rPr>
        <w:t xml:space="preserve">, </w:t>
      </w:r>
      <w:r w:rsidR="00DA3252" w:rsidRPr="00DA3252">
        <w:rPr>
          <w:rFonts w:ascii="Book Antiqua" w:hAnsi="Book Antiqua"/>
          <w:bCs/>
          <w:sz w:val="21"/>
          <w:lang w:eastAsia="zh-CN"/>
        </w:rPr>
        <w:t>Su CQ</w:t>
      </w:r>
      <w:r w:rsidR="00DA3252" w:rsidRPr="00DA3252">
        <w:rPr>
          <w:rFonts w:ascii="Book Antiqua" w:hAnsi="Book Antiqua"/>
          <w:b/>
          <w:bCs/>
          <w:sz w:val="21"/>
          <w:lang w:eastAsia="zh-CN"/>
        </w:rPr>
        <w:t xml:space="preserve"> </w:t>
      </w:r>
      <w:r w:rsidR="00DA3252" w:rsidRPr="00DA3252">
        <w:rPr>
          <w:rFonts w:ascii="Book Antiqua" w:hAnsi="Book Antiqua" w:hint="eastAsia"/>
          <w:b/>
          <w:bCs/>
          <w:sz w:val="21"/>
          <w:lang w:eastAsia="zh-CN"/>
        </w:rPr>
        <w:t xml:space="preserve"> </w:t>
      </w:r>
      <w:r w:rsidRPr="00DA3252">
        <w:rPr>
          <w:rFonts w:ascii="Book Antiqua" w:hAnsi="Book Antiqua"/>
          <w:b/>
          <w:bCs/>
          <w:sz w:val="21"/>
        </w:rPr>
        <w:t>S-Editor</w:t>
      </w:r>
      <w:r w:rsidRPr="00DA3252">
        <w:rPr>
          <w:rFonts w:ascii="Book Antiqua" w:hAnsi="Book Antiqua" w:hint="eastAsia"/>
          <w:b/>
          <w:bCs/>
          <w:sz w:val="21"/>
        </w:rPr>
        <w:t>:</w:t>
      </w:r>
      <w:r w:rsidRPr="00DA3252">
        <w:rPr>
          <w:rFonts w:ascii="Book Antiqua" w:hAnsi="Book Antiqua"/>
          <w:sz w:val="21"/>
        </w:rPr>
        <w:t xml:space="preserve"> </w:t>
      </w:r>
      <w:r w:rsidRPr="00DA3252">
        <w:rPr>
          <w:rFonts w:ascii="Book Antiqua" w:hAnsi="Book Antiqua" w:hint="eastAsia"/>
          <w:sz w:val="21"/>
          <w:lang w:eastAsia="zh-CN"/>
        </w:rPr>
        <w:t xml:space="preserve">Ma YJ </w:t>
      </w:r>
      <w:r w:rsidRPr="00DA3252">
        <w:rPr>
          <w:rFonts w:ascii="Book Antiqua" w:hAnsi="Book Antiqua"/>
          <w:b/>
          <w:bCs/>
          <w:sz w:val="21"/>
        </w:rPr>
        <w:t>L-Editor</w:t>
      </w:r>
      <w:r w:rsidRPr="00DA3252">
        <w:rPr>
          <w:rFonts w:ascii="Book Antiqua" w:hAnsi="Book Antiqua" w:hint="eastAsia"/>
          <w:b/>
          <w:bCs/>
          <w:sz w:val="21"/>
        </w:rPr>
        <w:t>:</w:t>
      </w:r>
      <w:r w:rsidRPr="00DA3252">
        <w:rPr>
          <w:rFonts w:ascii="Book Antiqua" w:hAnsi="Book Antiqua"/>
          <w:sz w:val="21"/>
        </w:rPr>
        <w:t xml:space="preserve">  </w:t>
      </w:r>
      <w:r w:rsidRPr="00DA3252">
        <w:rPr>
          <w:rFonts w:ascii="Book Antiqua" w:hAnsi="Book Antiqua"/>
          <w:b/>
          <w:bCs/>
          <w:sz w:val="21"/>
        </w:rPr>
        <w:t>E-Editor</w:t>
      </w:r>
      <w:r w:rsidRPr="00DA3252">
        <w:rPr>
          <w:rFonts w:ascii="Book Antiqua" w:hAnsi="Book Antiqua" w:hint="eastAsia"/>
          <w:b/>
          <w:bCs/>
          <w:sz w:val="21"/>
        </w:rPr>
        <w:t>:</w:t>
      </w:r>
    </w:p>
    <w:p w:rsidR="00DA3252" w:rsidRDefault="00DA3252" w:rsidP="008019CB">
      <w:pPr>
        <w:adjustRightInd w:val="0"/>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br w:type="page"/>
      </w:r>
    </w:p>
    <w:p w:rsidR="00DA3252" w:rsidRDefault="00DA3252" w:rsidP="008019CB">
      <w:pPr>
        <w:adjustRightInd w:val="0"/>
        <w:snapToGrid w:val="0"/>
        <w:spacing w:after="0" w:line="360" w:lineRule="auto"/>
        <w:jc w:val="both"/>
        <w:rPr>
          <w:rFonts w:ascii="Book Antiqua" w:hAnsi="Book Antiqua" w:cs="Times New Roman"/>
          <w:sz w:val="24"/>
          <w:szCs w:val="24"/>
          <w:lang w:val="en-US" w:eastAsia="zh-CN"/>
        </w:rPr>
      </w:pPr>
      <w:r>
        <w:rPr>
          <w:noProof/>
          <w:lang w:val="en-US" w:eastAsia="zh-CN"/>
        </w:rPr>
        <w:lastRenderedPageBreak/>
        <w:drawing>
          <wp:inline distT="0" distB="0" distL="0" distR="0" wp14:anchorId="636799A5" wp14:editId="187E366C">
            <wp:extent cx="1742032" cy="1481729"/>
            <wp:effectExtent l="0" t="0" r="0" b="0"/>
            <wp:docPr id="4" name="Immagine 2"/>
            <wp:cNvGraphicFramePr/>
            <a:graphic xmlns:a="http://schemas.openxmlformats.org/drawingml/2006/main">
              <a:graphicData uri="http://schemas.openxmlformats.org/drawingml/2006/picture">
                <pic:pic xmlns:pic="http://schemas.openxmlformats.org/drawingml/2006/picture">
                  <pic:nvPicPr>
                    <pic:cNvPr id="4" name="Immagine 2"/>
                    <pic:cNvPicPr/>
                  </pic:nvPicPr>
                  <pic:blipFill>
                    <a:blip r:embed="rId7"/>
                    <a:srcRect/>
                    <a:stretch>
                      <a:fillRect/>
                    </a:stretch>
                  </pic:blipFill>
                  <pic:spPr bwMode="auto">
                    <a:xfrm>
                      <a:off x="0" y="0"/>
                      <a:ext cx="1740564" cy="1480480"/>
                    </a:xfrm>
                    <a:prstGeom prst="rect">
                      <a:avLst/>
                    </a:prstGeom>
                    <a:noFill/>
                    <a:ln w="9525">
                      <a:noFill/>
                      <a:miter lim="800000"/>
                      <a:headEnd/>
                      <a:tailEnd/>
                    </a:ln>
                  </pic:spPr>
                </pic:pic>
              </a:graphicData>
            </a:graphic>
          </wp:inline>
        </w:drawing>
      </w:r>
      <w:r>
        <w:rPr>
          <w:rFonts w:ascii="Book Antiqua" w:hAnsi="Book Antiqua" w:cs="Times New Roman"/>
          <w:sz w:val="24"/>
          <w:szCs w:val="24"/>
          <w:lang w:val="en-US"/>
        </w:rPr>
        <w:t xml:space="preserve"> </w:t>
      </w:r>
    </w:p>
    <w:p w:rsidR="000D6437" w:rsidRPr="00DA3252" w:rsidRDefault="00C914A1" w:rsidP="008019CB">
      <w:pPr>
        <w:adjustRightInd w:val="0"/>
        <w:snapToGrid w:val="0"/>
        <w:spacing w:after="0" w:line="360" w:lineRule="auto"/>
        <w:jc w:val="both"/>
        <w:rPr>
          <w:rFonts w:ascii="Book Antiqua" w:hAnsi="Book Antiqua" w:cs="Times New Roman"/>
          <w:b/>
          <w:sz w:val="24"/>
          <w:szCs w:val="24"/>
          <w:lang w:val="en-US" w:eastAsia="zh-CN"/>
        </w:rPr>
      </w:pPr>
      <w:r w:rsidRPr="00DA3252">
        <w:rPr>
          <w:rFonts w:ascii="Book Antiqua" w:hAnsi="Book Antiqua" w:cs="Times New Roman"/>
          <w:b/>
          <w:sz w:val="24"/>
          <w:szCs w:val="24"/>
          <w:lang w:val="en-US"/>
        </w:rPr>
        <w:t>Figure</w:t>
      </w:r>
      <w:r w:rsidR="00DA3252" w:rsidRPr="00DA3252">
        <w:rPr>
          <w:rFonts w:ascii="Book Antiqua" w:hAnsi="Book Antiqua" w:cs="Times New Roman"/>
          <w:b/>
          <w:sz w:val="24"/>
          <w:szCs w:val="24"/>
          <w:lang w:val="en-US"/>
        </w:rPr>
        <w:t xml:space="preserve"> 1</w:t>
      </w:r>
      <w:r w:rsidR="000D6437" w:rsidRPr="00DA3252">
        <w:rPr>
          <w:rFonts w:ascii="Book Antiqua" w:hAnsi="Book Antiqua" w:cs="Times New Roman"/>
          <w:b/>
          <w:sz w:val="24"/>
          <w:szCs w:val="24"/>
          <w:lang w:val="en-US"/>
        </w:rPr>
        <w:t xml:space="preserve"> ADV36 </w:t>
      </w:r>
      <w:proofErr w:type="spellStart"/>
      <w:r w:rsidR="000D6437" w:rsidRPr="00DA3252">
        <w:rPr>
          <w:rFonts w:ascii="Book Antiqua" w:hAnsi="Book Antiqua" w:cs="Times New Roman"/>
          <w:b/>
          <w:sz w:val="24"/>
          <w:szCs w:val="24"/>
          <w:lang w:val="en-US"/>
        </w:rPr>
        <w:t>seropositivity</w:t>
      </w:r>
      <w:proofErr w:type="spellEnd"/>
      <w:r w:rsidR="000D6437" w:rsidRPr="00DA3252">
        <w:rPr>
          <w:rFonts w:ascii="Book Antiqua" w:hAnsi="Book Antiqua" w:cs="Times New Roman"/>
          <w:b/>
          <w:sz w:val="24"/>
          <w:szCs w:val="24"/>
          <w:lang w:val="en-US"/>
        </w:rPr>
        <w:t xml:space="preserve"> prevalence increases with ageing (20-29, 30-39, 40-49, 50-59,</w:t>
      </w:r>
      <w:r w:rsidRPr="00DA3252">
        <w:rPr>
          <w:rFonts w:ascii="Book Antiqua" w:hAnsi="Book Antiqua" w:cs="Times New Roman"/>
          <w:b/>
          <w:sz w:val="24"/>
          <w:szCs w:val="24"/>
          <w:lang w:val="en-US"/>
        </w:rPr>
        <w:t xml:space="preserve"> </w:t>
      </w:r>
      <w:proofErr w:type="gramStart"/>
      <w:r w:rsidR="000D6437" w:rsidRPr="00DA3252">
        <w:rPr>
          <w:rFonts w:ascii="Book Antiqua" w:hAnsi="Book Antiqua" w:cs="Times New Roman"/>
          <w:b/>
          <w:sz w:val="24"/>
          <w:szCs w:val="24"/>
          <w:lang w:val="en-US"/>
        </w:rPr>
        <w:t>60</w:t>
      </w:r>
      <w:proofErr w:type="gramEnd"/>
      <w:r w:rsidR="000D6437" w:rsidRPr="00DA3252">
        <w:rPr>
          <w:rFonts w:ascii="Book Antiqua" w:hAnsi="Book Antiqua" w:cs="Times New Roman"/>
          <w:b/>
          <w:sz w:val="24"/>
          <w:szCs w:val="24"/>
          <w:lang w:val="en-US"/>
        </w:rPr>
        <w:t>-69 and ≥</w:t>
      </w:r>
      <w:r w:rsidR="00DA3252" w:rsidRPr="00DA3252">
        <w:rPr>
          <w:rFonts w:ascii="Book Antiqua" w:hAnsi="Book Antiqua" w:cs="Times New Roman" w:hint="eastAsia"/>
          <w:b/>
          <w:sz w:val="24"/>
          <w:szCs w:val="24"/>
          <w:lang w:val="en-US" w:eastAsia="zh-CN"/>
        </w:rPr>
        <w:t xml:space="preserve"> </w:t>
      </w:r>
      <w:r w:rsidR="000D6437" w:rsidRPr="00DA3252">
        <w:rPr>
          <w:rFonts w:ascii="Book Antiqua" w:hAnsi="Book Antiqua" w:cs="Times New Roman"/>
          <w:b/>
          <w:sz w:val="24"/>
          <w:szCs w:val="24"/>
          <w:lang w:val="en-US"/>
        </w:rPr>
        <w:t>70 years) considering consecutive adult age decades in our population.</w:t>
      </w:r>
    </w:p>
    <w:p w:rsidR="00DA3252" w:rsidRDefault="00DA3252" w:rsidP="008019CB">
      <w:pPr>
        <w:adjustRightInd w:val="0"/>
        <w:snapToGrid w:val="0"/>
        <w:spacing w:after="0" w:line="360" w:lineRule="auto"/>
        <w:jc w:val="both"/>
        <w:rPr>
          <w:rFonts w:ascii="Book Antiqua" w:hAnsi="Book Antiqua" w:cs="Times New Roman"/>
          <w:sz w:val="24"/>
          <w:szCs w:val="24"/>
          <w:lang w:val="en-US" w:eastAsia="zh-CN"/>
        </w:rPr>
      </w:pPr>
    </w:p>
    <w:p w:rsidR="00DA3252" w:rsidRPr="006A39A0" w:rsidRDefault="00DA3252" w:rsidP="008019CB">
      <w:pPr>
        <w:adjustRightInd w:val="0"/>
        <w:snapToGrid w:val="0"/>
        <w:spacing w:after="0" w:line="360" w:lineRule="auto"/>
        <w:jc w:val="both"/>
        <w:rPr>
          <w:rFonts w:ascii="Book Antiqua" w:hAnsi="Book Antiqua" w:cs="Times New Roman"/>
          <w:sz w:val="24"/>
          <w:szCs w:val="24"/>
          <w:lang w:val="en-US" w:eastAsia="zh-CN"/>
        </w:rPr>
      </w:pPr>
      <w:r>
        <w:rPr>
          <w:noProof/>
          <w:lang w:val="en-US" w:eastAsia="zh-CN"/>
        </w:rPr>
        <w:drawing>
          <wp:inline distT="0" distB="0" distL="0" distR="0" wp14:anchorId="3CFA7ACB" wp14:editId="70458201">
            <wp:extent cx="1701985" cy="1301519"/>
            <wp:effectExtent l="0" t="0" r="0" b="0"/>
            <wp:docPr id="8" name="Immagine 5" descr="E:\a PROGETTI 2013\WJG Bonino et al\ADV36 adipogenic adenovirus in human liver disease\Trovato et al WJG Fig. 2 Liver Biopsy.jpg"/>
            <wp:cNvGraphicFramePr/>
            <a:graphic xmlns:a="http://schemas.openxmlformats.org/drawingml/2006/main">
              <a:graphicData uri="http://schemas.openxmlformats.org/drawingml/2006/picture">
                <pic:pic xmlns:pic="http://schemas.openxmlformats.org/drawingml/2006/picture">
                  <pic:nvPicPr>
                    <pic:cNvPr id="8" name="Immagine 5" descr="E:\a PROGETTI 2013\WJG Bonino et al\ADV36 adipogenic adenovirus in human liver disease\Trovato et al WJG Fig. 2 Liver Biopsy.jpg"/>
                    <pic:cNvPicPr/>
                  </pic:nvPicPr>
                  <pic:blipFill>
                    <a:blip r:embed="rId8"/>
                    <a:srcRect/>
                    <a:stretch>
                      <a:fillRect/>
                    </a:stretch>
                  </pic:blipFill>
                  <pic:spPr bwMode="auto">
                    <a:xfrm>
                      <a:off x="0" y="0"/>
                      <a:ext cx="1701985" cy="1301519"/>
                    </a:xfrm>
                    <a:prstGeom prst="rect">
                      <a:avLst/>
                    </a:prstGeom>
                    <a:noFill/>
                    <a:ln w="9525">
                      <a:noFill/>
                      <a:miter lim="800000"/>
                      <a:headEnd/>
                      <a:tailEnd/>
                    </a:ln>
                  </pic:spPr>
                </pic:pic>
              </a:graphicData>
            </a:graphic>
          </wp:inline>
        </w:drawing>
      </w:r>
    </w:p>
    <w:p w:rsidR="000D6437" w:rsidRPr="00DA3252" w:rsidRDefault="00C914A1" w:rsidP="008019CB">
      <w:pPr>
        <w:adjustRightInd w:val="0"/>
        <w:snapToGrid w:val="0"/>
        <w:spacing w:after="0" w:line="360" w:lineRule="auto"/>
        <w:jc w:val="both"/>
        <w:rPr>
          <w:rFonts w:ascii="Book Antiqua" w:hAnsi="Book Antiqua" w:cs="Times New Roman"/>
          <w:b/>
          <w:sz w:val="24"/>
          <w:szCs w:val="24"/>
          <w:lang w:val="en-US" w:eastAsia="zh-CN"/>
        </w:rPr>
      </w:pPr>
      <w:r w:rsidRPr="00DA3252">
        <w:rPr>
          <w:rFonts w:ascii="Book Antiqua" w:hAnsi="Book Antiqua" w:cs="Times New Roman"/>
          <w:b/>
          <w:sz w:val="24"/>
          <w:szCs w:val="24"/>
          <w:lang w:val="en-US"/>
        </w:rPr>
        <w:t>Figure</w:t>
      </w:r>
      <w:r w:rsidR="00DA3252" w:rsidRPr="00DA3252">
        <w:rPr>
          <w:rFonts w:ascii="Book Antiqua" w:hAnsi="Book Antiqua" w:cs="Times New Roman"/>
          <w:b/>
          <w:sz w:val="24"/>
          <w:szCs w:val="24"/>
          <w:lang w:val="en-US"/>
        </w:rPr>
        <w:t xml:space="preserve"> 2</w:t>
      </w:r>
      <w:r w:rsidR="000D6437" w:rsidRPr="00DA3252">
        <w:rPr>
          <w:rFonts w:ascii="Book Antiqua" w:hAnsi="Book Antiqua" w:cs="Times New Roman"/>
          <w:b/>
          <w:sz w:val="24"/>
          <w:szCs w:val="24"/>
          <w:lang w:val="en-US"/>
        </w:rPr>
        <w:t xml:space="preserve"> Odds </w:t>
      </w:r>
      <w:r w:rsidR="00DA3252" w:rsidRPr="00DA3252">
        <w:rPr>
          <w:rFonts w:ascii="Book Antiqua" w:hAnsi="Book Antiqua" w:cs="Times New Roman"/>
          <w:b/>
          <w:sz w:val="24"/>
          <w:szCs w:val="24"/>
          <w:lang w:val="en-US"/>
        </w:rPr>
        <w:t>r</w:t>
      </w:r>
      <w:r w:rsidR="000D6437" w:rsidRPr="00DA3252">
        <w:rPr>
          <w:rFonts w:ascii="Book Antiqua" w:hAnsi="Book Antiqua" w:cs="Times New Roman"/>
          <w:b/>
          <w:sz w:val="24"/>
          <w:szCs w:val="24"/>
          <w:lang w:val="en-US"/>
        </w:rPr>
        <w:t>atios show an increased hazard</w:t>
      </w:r>
      <w:r w:rsidRPr="00DA3252">
        <w:rPr>
          <w:rFonts w:ascii="Book Antiqua" w:hAnsi="Book Antiqua" w:cs="Times New Roman"/>
          <w:b/>
          <w:sz w:val="24"/>
          <w:szCs w:val="24"/>
          <w:lang w:val="en-US"/>
        </w:rPr>
        <w:t xml:space="preserve"> </w:t>
      </w:r>
      <w:r w:rsidR="000D6437" w:rsidRPr="00DA3252">
        <w:rPr>
          <w:rFonts w:ascii="Book Antiqua" w:hAnsi="Book Antiqua" w:cs="Times New Roman"/>
          <w:b/>
          <w:sz w:val="24"/>
          <w:szCs w:val="24"/>
          <w:lang w:val="en-US"/>
        </w:rPr>
        <w:t xml:space="preserve">of obesity associated with ADV36 </w:t>
      </w:r>
      <w:proofErr w:type="spellStart"/>
      <w:r w:rsidR="000D6437" w:rsidRPr="00DA3252">
        <w:rPr>
          <w:rFonts w:ascii="Book Antiqua" w:hAnsi="Book Antiqua" w:cs="Times New Roman"/>
          <w:b/>
          <w:sz w:val="24"/>
          <w:szCs w:val="24"/>
          <w:lang w:val="en-US"/>
        </w:rPr>
        <w:t>seropositivity</w:t>
      </w:r>
      <w:proofErr w:type="spellEnd"/>
      <w:r w:rsidRPr="00DA3252">
        <w:rPr>
          <w:rFonts w:ascii="Book Antiqua" w:hAnsi="Book Antiqua" w:cs="Times New Roman"/>
          <w:b/>
          <w:sz w:val="24"/>
          <w:szCs w:val="24"/>
          <w:lang w:val="en-US"/>
        </w:rPr>
        <w:t xml:space="preserve"> </w:t>
      </w:r>
      <w:r w:rsidR="000D6437" w:rsidRPr="00DA3252">
        <w:rPr>
          <w:rFonts w:ascii="Book Antiqua" w:hAnsi="Book Antiqua" w:cs="Times New Roman"/>
          <w:b/>
          <w:sz w:val="24"/>
          <w:szCs w:val="24"/>
          <w:lang w:val="en-US"/>
        </w:rPr>
        <w:t>(</w:t>
      </w:r>
      <w:r w:rsidRPr="00DA3252">
        <w:rPr>
          <w:rFonts w:ascii="Book Antiqua" w:hAnsi="Book Antiqua" w:cs="Times New Roman"/>
          <w:b/>
          <w:sz w:val="24"/>
          <w:szCs w:val="24"/>
          <w:lang w:val="en-US"/>
        </w:rPr>
        <w:t>OR =</w:t>
      </w:r>
      <w:r w:rsidR="000D6437" w:rsidRPr="00DA3252">
        <w:rPr>
          <w:rFonts w:ascii="Book Antiqua" w:hAnsi="Book Antiqua" w:cs="Times New Roman"/>
          <w:b/>
          <w:sz w:val="24"/>
          <w:szCs w:val="24"/>
          <w:lang w:val="en-US"/>
        </w:rPr>
        <w:t xml:space="preserve"> 6.879; </w:t>
      </w:r>
      <w:r w:rsidRPr="00DA3252">
        <w:rPr>
          <w:rFonts w:ascii="Book Antiqua" w:hAnsi="Book Antiqua" w:cs="Times New Roman"/>
          <w:b/>
          <w:sz w:val="24"/>
          <w:szCs w:val="24"/>
          <w:lang w:val="en-US"/>
        </w:rPr>
        <w:t>95%CI:</w:t>
      </w:r>
      <w:r w:rsidR="000D6437" w:rsidRPr="00DA3252">
        <w:rPr>
          <w:rFonts w:ascii="Book Antiqua" w:hAnsi="Book Antiqua" w:cs="Times New Roman"/>
          <w:b/>
          <w:sz w:val="24"/>
          <w:szCs w:val="24"/>
          <w:lang w:val="en-US"/>
        </w:rPr>
        <w:t xml:space="preserve"> 3.316–14.274), essential hypertension (</w:t>
      </w:r>
      <w:r w:rsidRPr="00DA3252">
        <w:rPr>
          <w:rFonts w:ascii="Book Antiqua" w:hAnsi="Book Antiqua" w:cs="Times New Roman"/>
          <w:b/>
          <w:sz w:val="24"/>
          <w:szCs w:val="24"/>
          <w:lang w:val="en-US"/>
        </w:rPr>
        <w:t>OR =</w:t>
      </w:r>
      <w:r w:rsidR="000D6437" w:rsidRPr="00DA3252">
        <w:rPr>
          <w:rFonts w:ascii="Book Antiqua" w:hAnsi="Book Antiqua" w:cs="Times New Roman"/>
          <w:b/>
          <w:sz w:val="24"/>
          <w:szCs w:val="24"/>
          <w:lang w:val="en-US"/>
        </w:rPr>
        <w:t xml:space="preserve"> 2.977; </w:t>
      </w:r>
      <w:r w:rsidRPr="00DA3252">
        <w:rPr>
          <w:rFonts w:ascii="Book Antiqua" w:hAnsi="Book Antiqua" w:cs="Times New Roman"/>
          <w:b/>
          <w:sz w:val="24"/>
          <w:szCs w:val="24"/>
          <w:lang w:val="en-US"/>
        </w:rPr>
        <w:t>95%CI:</w:t>
      </w:r>
      <w:r w:rsidR="000D6437" w:rsidRPr="00DA3252">
        <w:rPr>
          <w:rFonts w:ascii="Book Antiqua" w:hAnsi="Book Antiqua" w:cs="Times New Roman"/>
          <w:b/>
          <w:sz w:val="24"/>
          <w:szCs w:val="24"/>
          <w:lang w:val="en-US"/>
        </w:rPr>
        <w:t xml:space="preserve"> 1.625–5.451) and</w:t>
      </w:r>
      <w:r w:rsidRPr="00DA3252">
        <w:rPr>
          <w:rFonts w:ascii="Book Antiqua" w:hAnsi="Book Antiqua" w:cs="Times New Roman"/>
          <w:b/>
          <w:sz w:val="24"/>
          <w:szCs w:val="24"/>
          <w:lang w:val="en-US"/>
        </w:rPr>
        <w:t xml:space="preserve"> </w:t>
      </w:r>
      <w:r w:rsidR="00591782" w:rsidRPr="00591782">
        <w:rPr>
          <w:rFonts w:ascii="Book Antiqua" w:hAnsi="Book Antiqua" w:cs="Times New Roman"/>
          <w:b/>
          <w:sz w:val="24"/>
          <w:szCs w:val="24"/>
          <w:lang w:val="en-US"/>
        </w:rPr>
        <w:t>insulin resistance</w:t>
      </w:r>
      <w:r w:rsidR="000D6437" w:rsidRPr="00DA3252">
        <w:rPr>
          <w:rFonts w:ascii="Book Antiqua" w:hAnsi="Book Antiqua" w:cs="Times New Roman"/>
          <w:b/>
          <w:sz w:val="24"/>
          <w:szCs w:val="24"/>
          <w:lang w:val="en-US"/>
        </w:rPr>
        <w:t xml:space="preserve"> (</w:t>
      </w:r>
      <w:r w:rsidRPr="00DA3252">
        <w:rPr>
          <w:rFonts w:ascii="Book Antiqua" w:hAnsi="Book Antiqua" w:cs="Times New Roman"/>
          <w:b/>
          <w:sz w:val="24"/>
          <w:szCs w:val="24"/>
          <w:lang w:val="en-US"/>
        </w:rPr>
        <w:t>OR =</w:t>
      </w:r>
      <w:r w:rsidR="000D6437" w:rsidRPr="00DA3252">
        <w:rPr>
          <w:rFonts w:ascii="Book Antiqua" w:hAnsi="Book Antiqua" w:cs="Times New Roman"/>
          <w:b/>
          <w:sz w:val="24"/>
          <w:szCs w:val="24"/>
          <w:lang w:val="en-US"/>
        </w:rPr>
        <w:t xml:space="preserve"> 3.792; </w:t>
      </w:r>
      <w:r w:rsidRPr="00DA3252">
        <w:rPr>
          <w:rFonts w:ascii="Book Antiqua" w:hAnsi="Book Antiqua" w:cs="Times New Roman"/>
          <w:b/>
          <w:sz w:val="24"/>
          <w:szCs w:val="24"/>
          <w:lang w:val="en-US"/>
        </w:rPr>
        <w:t>95%CI:</w:t>
      </w:r>
      <w:r w:rsidR="000D6437" w:rsidRPr="00DA3252">
        <w:rPr>
          <w:rFonts w:ascii="Book Antiqua" w:hAnsi="Book Antiqua" w:cs="Times New Roman"/>
          <w:b/>
          <w:sz w:val="24"/>
          <w:szCs w:val="24"/>
          <w:lang w:val="en-US"/>
        </w:rPr>
        <w:t xml:space="preserve"> 2.052–7.006).</w:t>
      </w:r>
    </w:p>
    <w:p w:rsidR="00DA3252" w:rsidRDefault="00DA3252" w:rsidP="008019CB">
      <w:pPr>
        <w:adjustRightInd w:val="0"/>
        <w:snapToGrid w:val="0"/>
        <w:spacing w:after="0" w:line="360" w:lineRule="auto"/>
        <w:jc w:val="both"/>
        <w:rPr>
          <w:rFonts w:ascii="Book Antiqua" w:hAnsi="Book Antiqua" w:cs="Times New Roman"/>
          <w:sz w:val="24"/>
          <w:szCs w:val="24"/>
          <w:lang w:val="en-US" w:eastAsia="zh-CN"/>
        </w:rPr>
      </w:pPr>
    </w:p>
    <w:p w:rsidR="00AE6DF8" w:rsidRPr="006A39A0" w:rsidRDefault="00AE6DF8" w:rsidP="008019CB">
      <w:pPr>
        <w:adjustRightInd w:val="0"/>
        <w:snapToGrid w:val="0"/>
        <w:spacing w:after="0" w:line="360" w:lineRule="auto"/>
        <w:jc w:val="both"/>
        <w:rPr>
          <w:rFonts w:ascii="Book Antiqua" w:hAnsi="Book Antiqua" w:cs="Times New Roman"/>
          <w:sz w:val="24"/>
          <w:szCs w:val="24"/>
          <w:lang w:val="en-US" w:eastAsia="zh-CN"/>
        </w:rPr>
      </w:pPr>
      <w:r>
        <w:rPr>
          <w:noProof/>
          <w:lang w:val="en-US" w:eastAsia="zh-CN"/>
        </w:rPr>
        <w:drawing>
          <wp:inline distT="0" distB="0" distL="0" distR="0" wp14:anchorId="35994C69" wp14:editId="55152F23">
            <wp:extent cx="1742032" cy="1461705"/>
            <wp:effectExtent l="0" t="0" r="0" b="0"/>
            <wp:docPr id="6" name="Immagine 5" descr="Trovato et al WJG Fig. 3 BMI and HOMA Changes Intervention ADV36 OK.jpg"/>
            <wp:cNvGraphicFramePr/>
            <a:graphic xmlns:a="http://schemas.openxmlformats.org/drawingml/2006/main">
              <a:graphicData uri="http://schemas.openxmlformats.org/drawingml/2006/picture">
                <pic:pic xmlns:pic="http://schemas.openxmlformats.org/drawingml/2006/picture">
                  <pic:nvPicPr>
                    <pic:cNvPr id="6" name="Immagine 5" descr="Trovato et al WJG Fig. 3 BMI and HOMA Changes Intervention ADV36 OK.jpg"/>
                    <pic:cNvPicPr/>
                  </pic:nvPicPr>
                  <pic:blipFill>
                    <a:blip r:embed="rId9" cstate="print"/>
                    <a:stretch>
                      <a:fillRect/>
                    </a:stretch>
                  </pic:blipFill>
                  <pic:spPr>
                    <a:xfrm>
                      <a:off x="0" y="0"/>
                      <a:ext cx="1743479" cy="1462919"/>
                    </a:xfrm>
                    <a:prstGeom prst="rect">
                      <a:avLst/>
                    </a:prstGeom>
                  </pic:spPr>
                </pic:pic>
              </a:graphicData>
            </a:graphic>
          </wp:inline>
        </w:drawing>
      </w:r>
    </w:p>
    <w:p w:rsidR="000D6437" w:rsidRPr="00AE6DF8" w:rsidRDefault="00C914A1" w:rsidP="008019CB">
      <w:pPr>
        <w:adjustRightInd w:val="0"/>
        <w:snapToGrid w:val="0"/>
        <w:spacing w:after="0" w:line="360" w:lineRule="auto"/>
        <w:jc w:val="both"/>
        <w:rPr>
          <w:rFonts w:ascii="Book Antiqua" w:hAnsi="Book Antiqua" w:cs="Times New Roman"/>
          <w:b/>
          <w:sz w:val="24"/>
          <w:szCs w:val="24"/>
          <w:lang w:val="en-US" w:eastAsia="zh-CN"/>
        </w:rPr>
      </w:pPr>
      <w:r w:rsidRPr="00AE6DF8">
        <w:rPr>
          <w:rFonts w:ascii="Book Antiqua" w:hAnsi="Book Antiqua" w:cs="Times New Roman"/>
          <w:b/>
          <w:sz w:val="24"/>
          <w:szCs w:val="24"/>
          <w:lang w:val="en-US"/>
        </w:rPr>
        <w:t>Figure</w:t>
      </w:r>
      <w:r w:rsidR="00DA3252" w:rsidRPr="00AE6DF8">
        <w:rPr>
          <w:rFonts w:ascii="Book Antiqua" w:hAnsi="Book Antiqua" w:cs="Times New Roman"/>
          <w:b/>
          <w:sz w:val="24"/>
          <w:szCs w:val="24"/>
          <w:lang w:val="en-US"/>
        </w:rPr>
        <w:t xml:space="preserve"> 3</w:t>
      </w:r>
      <w:r w:rsidR="000D6437" w:rsidRPr="00AE6DF8">
        <w:rPr>
          <w:rFonts w:ascii="Book Antiqua" w:hAnsi="Book Antiqua" w:cs="Times New Roman"/>
          <w:b/>
          <w:sz w:val="24"/>
          <w:szCs w:val="24"/>
          <w:lang w:val="en-US"/>
        </w:rPr>
        <w:t xml:space="preserve"> Convex </w:t>
      </w:r>
      <w:r w:rsidR="00DA3252" w:rsidRPr="00AE6DF8">
        <w:rPr>
          <w:rFonts w:ascii="Book Antiqua" w:hAnsi="Book Antiqua" w:cs="Times New Roman"/>
          <w:b/>
          <w:sz w:val="24"/>
          <w:szCs w:val="24"/>
          <w:lang w:val="en-US" w:eastAsia="zh-CN"/>
        </w:rPr>
        <w:t>ultrasound</w:t>
      </w:r>
      <w:r w:rsidR="000D6437" w:rsidRPr="00AE6DF8">
        <w:rPr>
          <w:rFonts w:ascii="Book Antiqua" w:hAnsi="Book Antiqua" w:cs="Times New Roman"/>
          <w:b/>
          <w:sz w:val="24"/>
          <w:szCs w:val="24"/>
          <w:lang w:val="en-US"/>
        </w:rPr>
        <w:t xml:space="preserve"> transducer with a central hole for allowing co-axial biopsy and</w:t>
      </w:r>
      <w:r w:rsidRPr="00AE6DF8">
        <w:rPr>
          <w:rFonts w:ascii="Book Antiqua" w:hAnsi="Book Antiqua" w:cs="Times New Roman"/>
          <w:b/>
          <w:sz w:val="24"/>
          <w:szCs w:val="24"/>
          <w:lang w:val="en-US"/>
        </w:rPr>
        <w:t xml:space="preserve"> </w:t>
      </w:r>
      <w:r w:rsidR="000D6437" w:rsidRPr="00AE6DF8">
        <w:rPr>
          <w:rFonts w:ascii="Book Antiqua" w:hAnsi="Book Antiqua" w:cs="Times New Roman"/>
          <w:b/>
          <w:sz w:val="24"/>
          <w:szCs w:val="24"/>
          <w:lang w:val="en-US"/>
        </w:rPr>
        <w:t xml:space="preserve">four different specimens of liver </w:t>
      </w:r>
      <w:r w:rsidR="00AE6DF8" w:rsidRPr="00AE6DF8">
        <w:rPr>
          <w:rFonts w:ascii="Book Antiqua" w:hAnsi="Book Antiqua" w:cs="Times New Roman"/>
          <w:b/>
          <w:sz w:val="24"/>
          <w:szCs w:val="24"/>
          <w:lang w:val="en-US"/>
        </w:rPr>
        <w:t xml:space="preserve">fine needle aspirate biopsy </w:t>
      </w:r>
      <w:r w:rsidR="000D6437" w:rsidRPr="00AE6DF8">
        <w:rPr>
          <w:rFonts w:ascii="Book Antiqua" w:hAnsi="Book Antiqua" w:cs="Times New Roman"/>
          <w:b/>
          <w:sz w:val="24"/>
          <w:szCs w:val="24"/>
          <w:lang w:val="en-US"/>
        </w:rPr>
        <w:t>in fatty liver performed with 20 G needle.</w:t>
      </w:r>
      <w:r w:rsidR="00AE6DF8">
        <w:rPr>
          <w:rFonts w:ascii="Book Antiqua" w:hAnsi="Book Antiqua" w:cs="Times New Roman" w:hint="eastAsia"/>
          <w:b/>
          <w:sz w:val="24"/>
          <w:szCs w:val="24"/>
          <w:lang w:val="en-US" w:eastAsia="zh-CN"/>
        </w:rPr>
        <w:t xml:space="preserve"> </w:t>
      </w:r>
      <w:r w:rsidR="00AE6DF8" w:rsidRPr="006A39A0">
        <w:rPr>
          <w:rFonts w:ascii="Book Antiqua" w:hAnsi="Book Antiqua" w:cs="Times New Roman"/>
          <w:sz w:val="24"/>
          <w:szCs w:val="24"/>
          <w:lang w:val="en-US"/>
        </w:rPr>
        <w:t>BMI</w:t>
      </w:r>
      <w:r w:rsidR="00AE6DF8">
        <w:rPr>
          <w:rFonts w:ascii="Book Antiqua" w:hAnsi="Book Antiqua" w:cs="Times New Roman" w:hint="eastAsia"/>
          <w:sz w:val="24"/>
          <w:szCs w:val="24"/>
          <w:lang w:val="en-US" w:eastAsia="zh-CN"/>
        </w:rPr>
        <w:t xml:space="preserve">: </w:t>
      </w:r>
      <w:r w:rsidR="00AE6DF8" w:rsidRPr="00AE6DF8">
        <w:rPr>
          <w:rFonts w:ascii="Book Antiqua" w:hAnsi="Book Antiqua" w:cs="Times New Roman"/>
          <w:caps/>
          <w:sz w:val="24"/>
          <w:szCs w:val="24"/>
          <w:lang w:val="en-US"/>
        </w:rPr>
        <w:t>b</w:t>
      </w:r>
      <w:r w:rsidR="00AE6DF8" w:rsidRPr="006A39A0">
        <w:rPr>
          <w:rFonts w:ascii="Book Antiqua" w:hAnsi="Book Antiqua" w:cs="Times New Roman"/>
          <w:sz w:val="24"/>
          <w:szCs w:val="24"/>
          <w:lang w:val="en-US"/>
        </w:rPr>
        <w:t>ody mass index</w:t>
      </w:r>
      <w:r w:rsidR="00AE6DF8">
        <w:rPr>
          <w:rFonts w:ascii="Book Antiqua" w:hAnsi="Book Antiqua" w:cs="Times New Roman" w:hint="eastAsia"/>
          <w:sz w:val="24"/>
          <w:szCs w:val="24"/>
          <w:lang w:val="en-US" w:eastAsia="zh-CN"/>
        </w:rPr>
        <w:t xml:space="preserve">; </w:t>
      </w:r>
      <w:r w:rsidR="00AE6DF8" w:rsidRPr="006A39A0">
        <w:rPr>
          <w:rFonts w:ascii="Book Antiqua" w:hAnsi="Book Antiqua" w:cs="Times New Roman"/>
          <w:sz w:val="24"/>
          <w:szCs w:val="24"/>
          <w:lang w:val="en-US"/>
        </w:rPr>
        <w:t>HOMA</w:t>
      </w:r>
      <w:r w:rsidR="00AE6DF8">
        <w:rPr>
          <w:rFonts w:ascii="Book Antiqua" w:hAnsi="Book Antiqua" w:cs="Times New Roman" w:hint="eastAsia"/>
          <w:sz w:val="24"/>
          <w:szCs w:val="24"/>
          <w:lang w:val="en-US" w:eastAsia="zh-CN"/>
        </w:rPr>
        <w:t>:</w:t>
      </w:r>
      <w:r w:rsidR="00AE6DF8" w:rsidRPr="006A39A0">
        <w:rPr>
          <w:rFonts w:ascii="Book Antiqua" w:hAnsi="Book Antiqua" w:cs="Times New Roman"/>
          <w:sz w:val="24"/>
          <w:szCs w:val="24"/>
          <w:lang w:val="en-US"/>
        </w:rPr>
        <w:t xml:space="preserve"> </w:t>
      </w:r>
      <w:r w:rsidR="00AE6DF8" w:rsidRPr="00AE6DF8">
        <w:rPr>
          <w:rFonts w:ascii="Book Antiqua" w:hAnsi="Book Antiqua" w:cs="Times New Roman"/>
          <w:caps/>
          <w:sz w:val="24"/>
          <w:szCs w:val="24"/>
          <w:lang w:val="en-US"/>
        </w:rPr>
        <w:t>h</w:t>
      </w:r>
      <w:r w:rsidR="00AE6DF8" w:rsidRPr="006A39A0">
        <w:rPr>
          <w:rFonts w:ascii="Book Antiqua" w:hAnsi="Book Antiqua" w:cs="Times New Roman"/>
          <w:sz w:val="24"/>
          <w:szCs w:val="24"/>
          <w:lang w:val="en-US"/>
        </w:rPr>
        <w:t>omeostasis model assessment</w:t>
      </w:r>
      <w:r w:rsidR="00AE6DF8">
        <w:rPr>
          <w:rFonts w:ascii="Book Antiqua" w:hAnsi="Book Antiqua" w:cs="Times New Roman" w:hint="eastAsia"/>
          <w:sz w:val="24"/>
          <w:szCs w:val="24"/>
          <w:lang w:val="en-US" w:eastAsia="zh-CN"/>
        </w:rPr>
        <w:t>.</w:t>
      </w:r>
    </w:p>
    <w:p w:rsidR="00AE6DF8" w:rsidRDefault="00AE6DF8" w:rsidP="008019CB">
      <w:pPr>
        <w:adjustRightInd w:val="0"/>
        <w:snapToGrid w:val="0"/>
        <w:spacing w:after="0" w:line="360" w:lineRule="auto"/>
        <w:jc w:val="both"/>
        <w:rPr>
          <w:rFonts w:ascii="Book Antiqua" w:hAnsi="Book Antiqua" w:cs="Times New Roman"/>
          <w:sz w:val="24"/>
          <w:szCs w:val="24"/>
          <w:lang w:val="en-US" w:eastAsia="zh-CN"/>
        </w:rPr>
      </w:pPr>
    </w:p>
    <w:p w:rsidR="00AE6DF8" w:rsidRPr="006A39A0" w:rsidRDefault="00AE6DF8" w:rsidP="008019CB">
      <w:pPr>
        <w:adjustRightInd w:val="0"/>
        <w:snapToGrid w:val="0"/>
        <w:spacing w:after="0" w:line="360" w:lineRule="auto"/>
        <w:jc w:val="both"/>
        <w:rPr>
          <w:rFonts w:ascii="Book Antiqua" w:hAnsi="Book Antiqua" w:cs="Times New Roman"/>
          <w:sz w:val="24"/>
          <w:szCs w:val="24"/>
          <w:lang w:val="en-US" w:eastAsia="zh-CN"/>
        </w:rPr>
      </w:pPr>
      <w:r>
        <w:rPr>
          <w:noProof/>
          <w:lang w:val="en-US" w:eastAsia="zh-CN"/>
        </w:rPr>
        <w:lastRenderedPageBreak/>
        <w:drawing>
          <wp:inline distT="0" distB="0" distL="0" distR="0" wp14:anchorId="28BE2723" wp14:editId="21F01FE4">
            <wp:extent cx="1875521" cy="1621892"/>
            <wp:effectExtent l="0" t="0" r="0" b="0"/>
            <wp:docPr id="7" name="Immagine 6" descr="Trovato et al WJG Fig. 4 ADV36 Intervention Odds ratio OK.jpg"/>
            <wp:cNvGraphicFramePr/>
            <a:graphic xmlns:a="http://schemas.openxmlformats.org/drawingml/2006/main">
              <a:graphicData uri="http://schemas.openxmlformats.org/drawingml/2006/picture">
                <pic:pic xmlns:pic="http://schemas.openxmlformats.org/drawingml/2006/picture">
                  <pic:nvPicPr>
                    <pic:cNvPr id="7" name="Immagine 6" descr="Trovato et al WJG Fig. 4 ADV36 Intervention Odds ratio OK.jpg"/>
                    <pic:cNvPicPr/>
                  </pic:nvPicPr>
                  <pic:blipFill>
                    <a:blip r:embed="rId10" cstate="print"/>
                    <a:stretch>
                      <a:fillRect/>
                    </a:stretch>
                  </pic:blipFill>
                  <pic:spPr>
                    <a:xfrm>
                      <a:off x="0" y="0"/>
                      <a:ext cx="1875521" cy="1621892"/>
                    </a:xfrm>
                    <a:prstGeom prst="rect">
                      <a:avLst/>
                    </a:prstGeom>
                  </pic:spPr>
                </pic:pic>
              </a:graphicData>
            </a:graphic>
          </wp:inline>
        </w:drawing>
      </w:r>
    </w:p>
    <w:p w:rsidR="00AE6DF8" w:rsidRPr="00AE6DF8" w:rsidRDefault="00C914A1" w:rsidP="008019CB">
      <w:pPr>
        <w:adjustRightInd w:val="0"/>
        <w:snapToGrid w:val="0"/>
        <w:spacing w:after="0" w:line="360" w:lineRule="auto"/>
        <w:jc w:val="both"/>
        <w:rPr>
          <w:rFonts w:ascii="Book Antiqua" w:hAnsi="Book Antiqua" w:cs="Times New Roman"/>
          <w:b/>
          <w:sz w:val="24"/>
          <w:szCs w:val="24"/>
          <w:lang w:val="en-US" w:eastAsia="zh-CN"/>
        </w:rPr>
      </w:pPr>
      <w:r w:rsidRPr="00AE6DF8">
        <w:rPr>
          <w:rFonts w:ascii="Book Antiqua" w:hAnsi="Book Antiqua" w:cs="Times New Roman"/>
          <w:b/>
          <w:sz w:val="24"/>
          <w:szCs w:val="24"/>
          <w:lang w:val="en-US"/>
        </w:rPr>
        <w:t>Figure</w:t>
      </w:r>
      <w:r w:rsidR="00AE6DF8" w:rsidRPr="00AE6DF8">
        <w:rPr>
          <w:rFonts w:ascii="Book Antiqua" w:hAnsi="Book Antiqua" w:cs="Times New Roman"/>
          <w:b/>
          <w:sz w:val="24"/>
          <w:szCs w:val="24"/>
          <w:lang w:val="en-US"/>
        </w:rPr>
        <w:t xml:space="preserve"> 4</w:t>
      </w:r>
      <w:r w:rsidR="000D6437" w:rsidRPr="00AE6DF8">
        <w:rPr>
          <w:rFonts w:ascii="Book Antiqua" w:hAnsi="Book Antiqua" w:cs="Times New Roman"/>
          <w:b/>
          <w:sz w:val="24"/>
          <w:szCs w:val="24"/>
          <w:lang w:val="en-US"/>
        </w:rPr>
        <w:t xml:space="preserve"> Odds </w:t>
      </w:r>
      <w:r w:rsidR="00AE6DF8" w:rsidRPr="00AE6DF8">
        <w:rPr>
          <w:rFonts w:ascii="Book Antiqua" w:hAnsi="Book Antiqua" w:cs="Times New Roman"/>
          <w:b/>
          <w:sz w:val="24"/>
          <w:szCs w:val="24"/>
          <w:lang w:val="en-US"/>
        </w:rPr>
        <w:t>r</w:t>
      </w:r>
      <w:r w:rsidR="000D6437" w:rsidRPr="00AE6DF8">
        <w:rPr>
          <w:rFonts w:ascii="Book Antiqua" w:hAnsi="Book Antiqua" w:cs="Times New Roman"/>
          <w:b/>
          <w:sz w:val="24"/>
          <w:szCs w:val="24"/>
          <w:lang w:val="en-US"/>
        </w:rPr>
        <w:t xml:space="preserve">atio: </w:t>
      </w:r>
      <w:r w:rsidR="000D6437" w:rsidRPr="00423588">
        <w:rPr>
          <w:rFonts w:ascii="Book Antiqua" w:hAnsi="Book Antiqua" w:cs="Times New Roman"/>
          <w:b/>
          <w:caps/>
          <w:sz w:val="24"/>
          <w:szCs w:val="24"/>
          <w:lang w:val="en-US"/>
        </w:rPr>
        <w:t>h</w:t>
      </w:r>
      <w:r w:rsidR="000D6437" w:rsidRPr="00AE6DF8">
        <w:rPr>
          <w:rFonts w:ascii="Book Antiqua" w:hAnsi="Book Antiqua" w:cs="Times New Roman"/>
          <w:b/>
          <w:sz w:val="24"/>
          <w:szCs w:val="24"/>
          <w:lang w:val="en-US"/>
        </w:rPr>
        <w:t>igher hazard of no</w:t>
      </w:r>
      <w:r w:rsidR="00AE6DF8">
        <w:rPr>
          <w:rFonts w:ascii="Book Antiqua" w:hAnsi="Book Antiqua" w:cs="Times New Roman"/>
          <w:b/>
          <w:sz w:val="24"/>
          <w:szCs w:val="24"/>
          <w:lang w:val="en-US"/>
        </w:rPr>
        <w:t>n-alcoholic fatty liver disease</w:t>
      </w:r>
      <w:r w:rsidR="000D6437" w:rsidRPr="00AE6DF8">
        <w:rPr>
          <w:rFonts w:ascii="Book Antiqua" w:hAnsi="Book Antiqua" w:cs="Times New Roman"/>
          <w:b/>
          <w:sz w:val="24"/>
          <w:szCs w:val="24"/>
          <w:lang w:val="en-US"/>
        </w:rPr>
        <w:t xml:space="preserve"> is associated with insulin resistance and obesity, and a lower </w:t>
      </w:r>
      <w:r w:rsidR="00AE6DF8" w:rsidRPr="00AE6DF8">
        <w:rPr>
          <w:rFonts w:ascii="Book Antiqua" w:hAnsi="Book Antiqua" w:cs="Times New Roman"/>
          <w:b/>
          <w:sz w:val="24"/>
          <w:szCs w:val="24"/>
          <w:lang w:val="en-US"/>
        </w:rPr>
        <w:t>no</w:t>
      </w:r>
      <w:r w:rsidR="00AE6DF8">
        <w:rPr>
          <w:rFonts w:ascii="Book Antiqua" w:hAnsi="Book Antiqua" w:cs="Times New Roman"/>
          <w:b/>
          <w:sz w:val="24"/>
          <w:szCs w:val="24"/>
          <w:lang w:val="en-US"/>
        </w:rPr>
        <w:t>n-alcoholic fatty liver disease</w:t>
      </w:r>
      <w:r w:rsidR="00AE6DF8" w:rsidRPr="00AE6DF8">
        <w:rPr>
          <w:rFonts w:ascii="Book Antiqua" w:hAnsi="Book Antiqua" w:cs="Times New Roman"/>
          <w:b/>
          <w:sz w:val="24"/>
          <w:szCs w:val="24"/>
          <w:lang w:val="en-US"/>
        </w:rPr>
        <w:t xml:space="preserve"> </w:t>
      </w:r>
      <w:r w:rsidR="000D6437" w:rsidRPr="00AE6DF8">
        <w:rPr>
          <w:rFonts w:ascii="Book Antiqua" w:hAnsi="Book Antiqua" w:cs="Times New Roman"/>
          <w:b/>
          <w:sz w:val="24"/>
          <w:szCs w:val="24"/>
          <w:lang w:val="en-US"/>
        </w:rPr>
        <w:t xml:space="preserve">risk is associated with ADV36 </w:t>
      </w:r>
      <w:proofErr w:type="spellStart"/>
      <w:r w:rsidR="000D6437" w:rsidRPr="00AE6DF8">
        <w:rPr>
          <w:rFonts w:ascii="Book Antiqua" w:hAnsi="Book Antiqua" w:cs="Times New Roman"/>
          <w:b/>
          <w:sz w:val="24"/>
          <w:szCs w:val="24"/>
          <w:lang w:val="en-US"/>
        </w:rPr>
        <w:t>seropositivity</w:t>
      </w:r>
      <w:proofErr w:type="spellEnd"/>
      <w:r w:rsidR="000D6437" w:rsidRPr="00AE6DF8">
        <w:rPr>
          <w:rFonts w:ascii="Book Antiqua" w:hAnsi="Book Antiqua" w:cs="Times New Roman"/>
          <w:b/>
          <w:sz w:val="24"/>
          <w:szCs w:val="24"/>
          <w:lang w:val="en-US"/>
        </w:rPr>
        <w:t>.</w:t>
      </w:r>
      <w:r w:rsidR="00AE6DF8">
        <w:rPr>
          <w:rFonts w:ascii="Book Antiqua" w:hAnsi="Book Antiqua" w:cs="Times New Roman" w:hint="eastAsia"/>
          <w:b/>
          <w:sz w:val="24"/>
          <w:szCs w:val="24"/>
          <w:lang w:val="en-US" w:eastAsia="zh-CN"/>
        </w:rPr>
        <w:t xml:space="preserve"> </w:t>
      </w:r>
      <w:r w:rsidR="00AE6DF8" w:rsidRPr="006A39A0">
        <w:rPr>
          <w:rFonts w:ascii="Book Antiqua" w:hAnsi="Book Antiqua" w:cs="Times New Roman"/>
          <w:sz w:val="24"/>
          <w:szCs w:val="24"/>
          <w:lang w:val="en-US"/>
        </w:rPr>
        <w:t>BMI</w:t>
      </w:r>
      <w:r w:rsidR="00AE6DF8">
        <w:rPr>
          <w:rFonts w:ascii="Book Antiqua" w:hAnsi="Book Antiqua" w:cs="Times New Roman" w:hint="eastAsia"/>
          <w:sz w:val="24"/>
          <w:szCs w:val="24"/>
          <w:lang w:val="en-US" w:eastAsia="zh-CN"/>
        </w:rPr>
        <w:t xml:space="preserve">: </w:t>
      </w:r>
      <w:r w:rsidR="00AE6DF8" w:rsidRPr="00AE6DF8">
        <w:rPr>
          <w:rFonts w:ascii="Book Antiqua" w:hAnsi="Book Antiqua" w:cs="Times New Roman"/>
          <w:caps/>
          <w:sz w:val="24"/>
          <w:szCs w:val="24"/>
          <w:lang w:val="en-US"/>
        </w:rPr>
        <w:t>b</w:t>
      </w:r>
      <w:r w:rsidR="00AE6DF8" w:rsidRPr="006A39A0">
        <w:rPr>
          <w:rFonts w:ascii="Book Antiqua" w:hAnsi="Book Antiqua" w:cs="Times New Roman"/>
          <w:sz w:val="24"/>
          <w:szCs w:val="24"/>
          <w:lang w:val="en-US"/>
        </w:rPr>
        <w:t>ody mass index</w:t>
      </w:r>
      <w:r w:rsidR="00AE6DF8">
        <w:rPr>
          <w:rFonts w:ascii="Book Antiqua" w:hAnsi="Book Antiqua" w:cs="Times New Roman" w:hint="eastAsia"/>
          <w:sz w:val="24"/>
          <w:szCs w:val="24"/>
          <w:lang w:val="en-US" w:eastAsia="zh-CN"/>
        </w:rPr>
        <w:t xml:space="preserve">; </w:t>
      </w:r>
      <w:r w:rsidR="00AE6DF8" w:rsidRPr="006A39A0">
        <w:rPr>
          <w:rFonts w:ascii="Book Antiqua" w:hAnsi="Book Antiqua" w:cs="Times New Roman"/>
          <w:sz w:val="24"/>
          <w:szCs w:val="24"/>
          <w:lang w:val="en-US"/>
        </w:rPr>
        <w:t>HOMA</w:t>
      </w:r>
      <w:r w:rsidR="00AE6DF8">
        <w:rPr>
          <w:rFonts w:ascii="Book Antiqua" w:hAnsi="Book Antiqua" w:cs="Times New Roman" w:hint="eastAsia"/>
          <w:sz w:val="24"/>
          <w:szCs w:val="24"/>
          <w:lang w:val="en-US" w:eastAsia="zh-CN"/>
        </w:rPr>
        <w:t>:</w:t>
      </w:r>
      <w:r w:rsidR="00AE6DF8" w:rsidRPr="006A39A0">
        <w:rPr>
          <w:rFonts w:ascii="Book Antiqua" w:hAnsi="Book Antiqua" w:cs="Times New Roman"/>
          <w:sz w:val="24"/>
          <w:szCs w:val="24"/>
          <w:lang w:val="en-US"/>
        </w:rPr>
        <w:t xml:space="preserve"> </w:t>
      </w:r>
      <w:r w:rsidR="00AE6DF8" w:rsidRPr="00AE6DF8">
        <w:rPr>
          <w:rFonts w:ascii="Book Antiqua" w:hAnsi="Book Antiqua" w:cs="Times New Roman"/>
          <w:caps/>
          <w:sz w:val="24"/>
          <w:szCs w:val="24"/>
          <w:lang w:val="en-US"/>
        </w:rPr>
        <w:t>h</w:t>
      </w:r>
      <w:r w:rsidR="00AE6DF8" w:rsidRPr="006A39A0">
        <w:rPr>
          <w:rFonts w:ascii="Book Antiqua" w:hAnsi="Book Antiqua" w:cs="Times New Roman"/>
          <w:sz w:val="24"/>
          <w:szCs w:val="24"/>
          <w:lang w:val="en-US"/>
        </w:rPr>
        <w:t>omeostasis model assessment</w:t>
      </w:r>
      <w:r w:rsidR="00AE6DF8">
        <w:rPr>
          <w:rFonts w:ascii="Book Antiqua" w:hAnsi="Book Antiqua" w:cs="Times New Roman" w:hint="eastAsia"/>
          <w:sz w:val="24"/>
          <w:szCs w:val="24"/>
          <w:lang w:val="en-US" w:eastAsia="zh-CN"/>
        </w:rPr>
        <w:t>.</w:t>
      </w:r>
    </w:p>
    <w:p w:rsidR="000D6437" w:rsidRDefault="000D6437" w:rsidP="008019CB">
      <w:pPr>
        <w:adjustRightInd w:val="0"/>
        <w:snapToGrid w:val="0"/>
        <w:spacing w:after="0" w:line="360" w:lineRule="auto"/>
        <w:jc w:val="both"/>
        <w:rPr>
          <w:rFonts w:ascii="Book Antiqua" w:hAnsi="Book Antiqua" w:cs="Times New Roman"/>
          <w:b/>
          <w:sz w:val="24"/>
          <w:szCs w:val="24"/>
          <w:lang w:val="en-US" w:eastAsia="zh-CN"/>
        </w:rPr>
      </w:pPr>
    </w:p>
    <w:p w:rsidR="00DA6968" w:rsidRPr="00DA6968" w:rsidRDefault="00DA6968" w:rsidP="008019CB">
      <w:pPr>
        <w:adjustRightInd w:val="0"/>
        <w:snapToGrid w:val="0"/>
        <w:spacing w:after="0" w:line="360" w:lineRule="auto"/>
        <w:jc w:val="both"/>
        <w:rPr>
          <w:rFonts w:ascii="Book Antiqua" w:hAnsi="Book Antiqua" w:cs="Times New Roman"/>
          <w:b/>
          <w:sz w:val="24"/>
          <w:szCs w:val="24"/>
          <w:lang w:val="en-US" w:eastAsia="zh-CN"/>
        </w:rPr>
      </w:pPr>
      <w:r>
        <w:rPr>
          <w:rFonts w:ascii="Book Antiqua" w:hAnsi="Book Antiqua" w:cs="Times New Roman"/>
          <w:b/>
          <w:noProof/>
          <w:sz w:val="24"/>
          <w:szCs w:val="24"/>
          <w:lang w:val="en-US" w:eastAsia="zh-CN"/>
        </w:rPr>
        <w:drawing>
          <wp:inline distT="0" distB="0" distL="0" distR="0" wp14:anchorId="14042DD2" wp14:editId="7F5E8968">
            <wp:extent cx="1828856" cy="132154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 WJG. Trovato et al Odds ratio to  OBESITY AND NAFLD - ADV3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1917" cy="1323754"/>
                    </a:xfrm>
                    <a:prstGeom prst="rect">
                      <a:avLst/>
                    </a:prstGeom>
                  </pic:spPr>
                </pic:pic>
              </a:graphicData>
            </a:graphic>
          </wp:inline>
        </w:drawing>
      </w:r>
    </w:p>
    <w:p w:rsidR="000D6437" w:rsidRPr="006A39A0" w:rsidRDefault="00C914A1" w:rsidP="008019CB">
      <w:pPr>
        <w:adjustRightInd w:val="0"/>
        <w:snapToGrid w:val="0"/>
        <w:spacing w:after="0" w:line="360" w:lineRule="auto"/>
        <w:jc w:val="both"/>
        <w:rPr>
          <w:rFonts w:ascii="Book Antiqua" w:hAnsi="Book Antiqua" w:cs="Times New Roman"/>
          <w:sz w:val="24"/>
          <w:szCs w:val="24"/>
          <w:lang w:val="en-US"/>
        </w:rPr>
      </w:pPr>
      <w:r w:rsidRPr="00DA6968">
        <w:rPr>
          <w:rFonts w:ascii="Book Antiqua" w:hAnsi="Book Antiqua" w:cs="Times New Roman"/>
          <w:b/>
          <w:sz w:val="24"/>
          <w:szCs w:val="24"/>
          <w:lang w:val="en-US"/>
        </w:rPr>
        <w:t>Figure</w:t>
      </w:r>
      <w:r w:rsidR="00423588" w:rsidRPr="00DA6968">
        <w:rPr>
          <w:rFonts w:ascii="Book Antiqua" w:hAnsi="Book Antiqua" w:cs="Times New Roman"/>
          <w:b/>
          <w:sz w:val="24"/>
          <w:szCs w:val="24"/>
          <w:lang w:val="en-US"/>
        </w:rPr>
        <w:t xml:space="preserve"> 5</w:t>
      </w:r>
      <w:r w:rsidR="000D6437" w:rsidRPr="00DA6968">
        <w:rPr>
          <w:rFonts w:ascii="Book Antiqua" w:hAnsi="Book Antiqua" w:cs="Times New Roman"/>
          <w:b/>
          <w:sz w:val="24"/>
          <w:szCs w:val="24"/>
          <w:lang w:val="en-US"/>
        </w:rPr>
        <w:t xml:space="preserve"> Odds</w:t>
      </w:r>
      <w:r w:rsidRPr="00DA6968">
        <w:rPr>
          <w:rFonts w:ascii="Book Antiqua" w:hAnsi="Book Antiqua" w:cs="Times New Roman"/>
          <w:b/>
          <w:sz w:val="24"/>
          <w:szCs w:val="24"/>
          <w:lang w:val="en-US"/>
        </w:rPr>
        <w:t xml:space="preserve"> </w:t>
      </w:r>
      <w:r w:rsidR="000D6437" w:rsidRPr="00DA6968">
        <w:rPr>
          <w:rFonts w:ascii="Book Antiqua" w:hAnsi="Book Antiqua" w:cs="Times New Roman"/>
          <w:b/>
          <w:sz w:val="24"/>
          <w:szCs w:val="24"/>
          <w:lang w:val="en-US"/>
        </w:rPr>
        <w:t>ratio</w:t>
      </w:r>
      <w:r w:rsidR="00423588" w:rsidRPr="00DA6968">
        <w:rPr>
          <w:rFonts w:ascii="Book Antiqua" w:hAnsi="Book Antiqua" w:cs="Times New Roman" w:hint="eastAsia"/>
          <w:b/>
          <w:sz w:val="24"/>
          <w:szCs w:val="24"/>
          <w:lang w:val="en-US" w:eastAsia="zh-CN"/>
        </w:rPr>
        <w:t>:</w:t>
      </w:r>
      <w:r w:rsidR="000D6437" w:rsidRPr="00DA6968">
        <w:rPr>
          <w:rFonts w:ascii="Book Antiqua" w:hAnsi="Book Antiqua" w:cs="Times New Roman"/>
          <w:b/>
          <w:sz w:val="24"/>
          <w:szCs w:val="24"/>
          <w:lang w:val="en-US"/>
        </w:rPr>
        <w:t xml:space="preserve"> Increased risk of obesity (top)</w:t>
      </w:r>
      <w:r w:rsidRPr="00DA6968">
        <w:rPr>
          <w:rFonts w:ascii="Book Antiqua" w:hAnsi="Book Antiqua" w:cs="Times New Roman"/>
          <w:b/>
          <w:sz w:val="24"/>
          <w:szCs w:val="24"/>
          <w:lang w:val="en-US"/>
        </w:rPr>
        <w:t xml:space="preserve"> </w:t>
      </w:r>
      <w:r w:rsidR="000D6437" w:rsidRPr="00DA6968">
        <w:rPr>
          <w:rFonts w:ascii="Book Antiqua" w:hAnsi="Book Antiqua" w:cs="Times New Roman"/>
          <w:b/>
          <w:sz w:val="24"/>
          <w:szCs w:val="24"/>
          <w:lang w:val="en-US"/>
        </w:rPr>
        <w:t xml:space="preserve">is associated with greater insulin resistance, </w:t>
      </w:r>
      <w:r w:rsidR="00DA6968" w:rsidRPr="00DA6968">
        <w:rPr>
          <w:rFonts w:ascii="Book Antiqua" w:hAnsi="Book Antiqua" w:cs="Times New Roman"/>
          <w:b/>
          <w:sz w:val="24"/>
          <w:szCs w:val="24"/>
          <w:lang w:val="en-US"/>
        </w:rPr>
        <w:t>C-reactive protein</w:t>
      </w:r>
      <w:r w:rsidR="000D6437" w:rsidRPr="00DA6968">
        <w:rPr>
          <w:rFonts w:ascii="Book Antiqua" w:hAnsi="Book Antiqua" w:cs="Times New Roman"/>
          <w:b/>
          <w:sz w:val="24"/>
          <w:szCs w:val="24"/>
          <w:lang w:val="en-US"/>
        </w:rPr>
        <w:t>, and</w:t>
      </w:r>
      <w:r w:rsidRPr="00DA6968">
        <w:rPr>
          <w:rFonts w:ascii="Book Antiqua" w:hAnsi="Book Antiqua" w:cs="Times New Roman"/>
          <w:b/>
          <w:sz w:val="24"/>
          <w:szCs w:val="24"/>
          <w:lang w:val="en-US"/>
        </w:rPr>
        <w:t xml:space="preserve"> </w:t>
      </w:r>
      <w:r w:rsidR="000D6437" w:rsidRPr="00DA6968">
        <w:rPr>
          <w:rFonts w:ascii="Book Antiqua" w:hAnsi="Book Antiqua" w:cs="Times New Roman"/>
          <w:b/>
          <w:sz w:val="24"/>
          <w:szCs w:val="24"/>
          <w:lang w:val="en-US"/>
        </w:rPr>
        <w:t xml:space="preserve">ADV37 </w:t>
      </w:r>
      <w:proofErr w:type="spellStart"/>
      <w:r w:rsidR="000D6437" w:rsidRPr="00DA6968">
        <w:rPr>
          <w:rFonts w:ascii="Book Antiqua" w:hAnsi="Book Antiqua" w:cs="Times New Roman"/>
          <w:b/>
          <w:sz w:val="24"/>
          <w:szCs w:val="24"/>
          <w:lang w:val="en-US"/>
        </w:rPr>
        <w:t>seropositivity</w:t>
      </w:r>
      <w:proofErr w:type="spellEnd"/>
      <w:r w:rsidRPr="00DA6968">
        <w:rPr>
          <w:rFonts w:ascii="Book Antiqua" w:hAnsi="Book Antiqua" w:cs="Times New Roman"/>
          <w:b/>
          <w:sz w:val="24"/>
          <w:szCs w:val="24"/>
          <w:lang w:val="en-US"/>
        </w:rPr>
        <w:t xml:space="preserve"> </w:t>
      </w:r>
      <w:r w:rsidR="000D6437" w:rsidRPr="00DA6968">
        <w:rPr>
          <w:rFonts w:ascii="Book Antiqua" w:hAnsi="Book Antiqua" w:cs="Times New Roman"/>
          <w:b/>
          <w:sz w:val="24"/>
          <w:szCs w:val="24"/>
          <w:lang w:val="en-US"/>
        </w:rPr>
        <w:t>(Ad37+),</w:t>
      </w:r>
      <w:r w:rsidRPr="00DA6968">
        <w:rPr>
          <w:rFonts w:ascii="Book Antiqua" w:hAnsi="Book Antiqua" w:cs="Times New Roman"/>
          <w:b/>
          <w:sz w:val="24"/>
          <w:szCs w:val="24"/>
          <w:lang w:val="en-US"/>
        </w:rPr>
        <w:t xml:space="preserve"> </w:t>
      </w:r>
      <w:r w:rsidR="000D6437" w:rsidRPr="00DA6968">
        <w:rPr>
          <w:rFonts w:ascii="Book Antiqua" w:hAnsi="Book Antiqua" w:cs="Times New Roman"/>
          <w:b/>
          <w:sz w:val="24"/>
          <w:szCs w:val="24"/>
          <w:lang w:val="en-US"/>
        </w:rPr>
        <w:t>whereas</w:t>
      </w:r>
      <w:r w:rsidRPr="00DA6968">
        <w:rPr>
          <w:rFonts w:ascii="Book Antiqua" w:hAnsi="Book Antiqua" w:cs="Times New Roman"/>
          <w:b/>
          <w:sz w:val="24"/>
          <w:szCs w:val="24"/>
          <w:lang w:val="en-US"/>
        </w:rPr>
        <w:t xml:space="preserve"> </w:t>
      </w:r>
      <w:r w:rsidR="000D6437" w:rsidRPr="00DA6968">
        <w:rPr>
          <w:rFonts w:ascii="Book Antiqua" w:hAnsi="Book Antiqua" w:cs="Times New Roman"/>
          <w:b/>
          <w:sz w:val="24"/>
          <w:szCs w:val="24"/>
          <w:lang w:val="en-US"/>
        </w:rPr>
        <w:t>higher</w:t>
      </w:r>
      <w:r w:rsidRPr="00DA6968">
        <w:rPr>
          <w:rFonts w:ascii="Book Antiqua" w:hAnsi="Book Antiqua" w:cs="Times New Roman"/>
          <w:b/>
          <w:sz w:val="24"/>
          <w:szCs w:val="24"/>
          <w:lang w:val="en-US"/>
        </w:rPr>
        <w:t xml:space="preserve"> </w:t>
      </w:r>
      <w:r w:rsidR="00DA6968" w:rsidRPr="00DA6968">
        <w:rPr>
          <w:rFonts w:ascii="Book Antiqua" w:hAnsi="Book Antiqua" w:cs="Times New Roman"/>
          <w:b/>
          <w:sz w:val="24"/>
          <w:szCs w:val="24"/>
          <w:lang w:val="en-US"/>
        </w:rPr>
        <w:t xml:space="preserve">high-density lipoprotein </w:t>
      </w:r>
      <w:r w:rsidR="000D6437" w:rsidRPr="00DA6968">
        <w:rPr>
          <w:rFonts w:ascii="Book Antiqua" w:hAnsi="Book Antiqua" w:cs="Times New Roman"/>
          <w:b/>
          <w:sz w:val="24"/>
          <w:szCs w:val="24"/>
          <w:lang w:val="en-US"/>
        </w:rPr>
        <w:t>cholesterol is associated</w:t>
      </w:r>
      <w:r w:rsidRPr="00DA6968">
        <w:rPr>
          <w:rFonts w:ascii="Book Antiqua" w:hAnsi="Book Antiqua" w:cs="Times New Roman"/>
          <w:b/>
          <w:sz w:val="24"/>
          <w:szCs w:val="24"/>
          <w:lang w:val="en-US"/>
        </w:rPr>
        <w:t xml:space="preserve"> </w:t>
      </w:r>
      <w:r w:rsidR="000D6437" w:rsidRPr="00DA6968">
        <w:rPr>
          <w:rFonts w:ascii="Book Antiqua" w:hAnsi="Book Antiqua" w:cs="Times New Roman"/>
          <w:b/>
          <w:sz w:val="24"/>
          <w:szCs w:val="24"/>
          <w:lang w:val="en-US"/>
        </w:rPr>
        <w:t>with</w:t>
      </w:r>
      <w:r w:rsidRPr="00DA6968">
        <w:rPr>
          <w:rFonts w:ascii="Book Antiqua" w:hAnsi="Book Antiqua" w:cs="Times New Roman"/>
          <w:b/>
          <w:sz w:val="24"/>
          <w:szCs w:val="24"/>
          <w:lang w:val="en-US"/>
        </w:rPr>
        <w:t xml:space="preserve"> </w:t>
      </w:r>
      <w:r w:rsidR="000D6437" w:rsidRPr="00DA6968">
        <w:rPr>
          <w:rFonts w:ascii="Book Antiqua" w:hAnsi="Book Antiqua" w:cs="Times New Roman"/>
          <w:b/>
          <w:sz w:val="24"/>
          <w:szCs w:val="24"/>
          <w:lang w:val="en-US"/>
        </w:rPr>
        <w:t>lower</w:t>
      </w:r>
      <w:r w:rsidRPr="00DA6968">
        <w:rPr>
          <w:rFonts w:ascii="Book Antiqua" w:hAnsi="Book Antiqua" w:cs="Times New Roman"/>
          <w:b/>
          <w:sz w:val="24"/>
          <w:szCs w:val="24"/>
          <w:lang w:val="en-US"/>
        </w:rPr>
        <w:t xml:space="preserve"> </w:t>
      </w:r>
      <w:r w:rsidR="000D6437" w:rsidRPr="00DA6968">
        <w:rPr>
          <w:rFonts w:ascii="Book Antiqua" w:hAnsi="Book Antiqua" w:cs="Times New Roman"/>
          <w:b/>
          <w:sz w:val="24"/>
          <w:szCs w:val="24"/>
          <w:lang w:val="en-US"/>
        </w:rPr>
        <w:t>prevalence of obesity.</w:t>
      </w:r>
      <w:r w:rsidRPr="00DA6968">
        <w:rPr>
          <w:rFonts w:ascii="Book Antiqua" w:hAnsi="Book Antiqua" w:cs="Times New Roman"/>
          <w:b/>
          <w:sz w:val="24"/>
          <w:szCs w:val="24"/>
          <w:lang w:val="en-US"/>
        </w:rPr>
        <w:t xml:space="preserve"> </w:t>
      </w:r>
      <w:r w:rsidR="000D6437" w:rsidRPr="006A39A0">
        <w:rPr>
          <w:rFonts w:ascii="Book Antiqua" w:hAnsi="Book Antiqua" w:cs="Times New Roman"/>
          <w:sz w:val="24"/>
          <w:szCs w:val="24"/>
          <w:lang w:val="en-US"/>
        </w:rPr>
        <w:t>A more</w:t>
      </w:r>
      <w:r>
        <w:rPr>
          <w:rFonts w:ascii="Book Antiqua" w:hAnsi="Book Antiqua" w:cs="Times New Roman"/>
          <w:sz w:val="24"/>
          <w:szCs w:val="24"/>
          <w:lang w:val="en-US"/>
        </w:rPr>
        <w:t xml:space="preserve"> </w:t>
      </w:r>
      <w:r w:rsidR="000D6437" w:rsidRPr="006A39A0">
        <w:rPr>
          <w:rFonts w:ascii="Book Antiqua" w:hAnsi="Book Antiqua" w:cs="Times New Roman"/>
          <w:sz w:val="24"/>
          <w:szCs w:val="24"/>
          <w:lang w:val="en-US"/>
        </w:rPr>
        <w:t>consistent</w:t>
      </w:r>
      <w:r>
        <w:rPr>
          <w:rFonts w:ascii="Book Antiqua" w:hAnsi="Book Antiqua" w:cs="Times New Roman"/>
          <w:sz w:val="24"/>
          <w:szCs w:val="24"/>
          <w:lang w:val="en-US"/>
        </w:rPr>
        <w:t xml:space="preserve"> </w:t>
      </w:r>
      <w:r w:rsidR="000D6437" w:rsidRPr="006A39A0">
        <w:rPr>
          <w:rFonts w:ascii="Book Antiqua" w:hAnsi="Book Antiqua" w:cs="Times New Roman"/>
          <w:sz w:val="24"/>
          <w:szCs w:val="24"/>
          <w:lang w:val="en-US"/>
        </w:rPr>
        <w:t>association</w:t>
      </w:r>
      <w:r>
        <w:rPr>
          <w:rFonts w:ascii="Book Antiqua" w:hAnsi="Book Antiqua" w:cs="Times New Roman"/>
          <w:sz w:val="24"/>
          <w:szCs w:val="24"/>
          <w:lang w:val="en-US"/>
        </w:rPr>
        <w:t xml:space="preserve"> </w:t>
      </w:r>
      <w:r w:rsidR="000D6437" w:rsidRPr="006A39A0">
        <w:rPr>
          <w:rFonts w:ascii="Book Antiqua" w:hAnsi="Book Antiqua" w:cs="Times New Roman"/>
          <w:sz w:val="24"/>
          <w:szCs w:val="24"/>
          <w:lang w:val="en-US"/>
        </w:rPr>
        <w:t>of ADV37+,</w:t>
      </w:r>
      <w:r>
        <w:rPr>
          <w:rFonts w:ascii="Book Antiqua" w:hAnsi="Book Antiqua" w:cs="Times New Roman"/>
          <w:sz w:val="24"/>
          <w:szCs w:val="24"/>
          <w:lang w:val="en-US"/>
        </w:rPr>
        <w:t xml:space="preserve"> </w:t>
      </w:r>
      <w:r w:rsidR="000D6437" w:rsidRPr="006A39A0">
        <w:rPr>
          <w:rFonts w:ascii="Book Antiqua" w:hAnsi="Book Antiqua" w:cs="Times New Roman"/>
          <w:sz w:val="24"/>
          <w:szCs w:val="24"/>
          <w:lang w:val="en-US"/>
        </w:rPr>
        <w:t xml:space="preserve">greater insulin resistance, </w:t>
      </w:r>
      <w:r w:rsidR="00DA6968" w:rsidRPr="006A39A0">
        <w:rPr>
          <w:rFonts w:ascii="Book Antiqua" w:hAnsi="Book Antiqua" w:cs="Times New Roman"/>
          <w:sz w:val="24"/>
          <w:szCs w:val="24"/>
          <w:lang w:val="en-US"/>
        </w:rPr>
        <w:t xml:space="preserve">C-reactive protein </w:t>
      </w:r>
      <w:r w:rsidR="00DA6968">
        <w:rPr>
          <w:rFonts w:ascii="Book Antiqua" w:hAnsi="Book Antiqua" w:cs="Times New Roman" w:hint="eastAsia"/>
          <w:sz w:val="24"/>
          <w:szCs w:val="24"/>
          <w:lang w:val="en-US" w:eastAsia="zh-CN"/>
        </w:rPr>
        <w:t>(</w:t>
      </w:r>
      <w:r w:rsidR="000D6437" w:rsidRPr="006A39A0">
        <w:rPr>
          <w:rFonts w:ascii="Book Antiqua" w:hAnsi="Book Antiqua" w:cs="Times New Roman"/>
          <w:sz w:val="24"/>
          <w:szCs w:val="24"/>
          <w:lang w:val="en-US"/>
        </w:rPr>
        <w:t>CRP</w:t>
      </w:r>
      <w:r w:rsidR="00DA6968">
        <w:rPr>
          <w:rFonts w:ascii="Book Antiqua" w:hAnsi="Book Antiqua" w:cs="Times New Roman" w:hint="eastAsia"/>
          <w:sz w:val="24"/>
          <w:szCs w:val="24"/>
          <w:lang w:val="en-US" w:eastAsia="zh-CN"/>
        </w:rPr>
        <w:t>)</w:t>
      </w:r>
      <w:r w:rsidR="000D6437" w:rsidRPr="006A39A0">
        <w:rPr>
          <w:rFonts w:ascii="Book Antiqua" w:hAnsi="Book Antiqua" w:cs="Times New Roman"/>
          <w:sz w:val="24"/>
          <w:szCs w:val="24"/>
          <w:lang w:val="en-US"/>
        </w:rPr>
        <w:t>, and</w:t>
      </w:r>
      <w:r>
        <w:rPr>
          <w:rFonts w:ascii="Book Antiqua" w:hAnsi="Book Antiqua" w:cs="Times New Roman"/>
          <w:sz w:val="24"/>
          <w:szCs w:val="24"/>
          <w:lang w:val="en-US"/>
        </w:rPr>
        <w:t xml:space="preserve"> </w:t>
      </w:r>
      <w:r w:rsidR="000D6437" w:rsidRPr="006A39A0">
        <w:rPr>
          <w:rFonts w:ascii="Book Antiqua" w:hAnsi="Book Antiqua" w:cs="Times New Roman"/>
          <w:sz w:val="24"/>
          <w:szCs w:val="24"/>
          <w:lang w:val="en-US"/>
        </w:rPr>
        <w:t>obesity was observed with</w:t>
      </w:r>
      <w:r>
        <w:rPr>
          <w:rFonts w:ascii="Book Antiqua" w:hAnsi="Book Antiqua" w:cs="Times New Roman"/>
          <w:sz w:val="24"/>
          <w:szCs w:val="24"/>
          <w:lang w:val="en-US"/>
        </w:rPr>
        <w:t xml:space="preserve"> </w:t>
      </w:r>
      <w:r w:rsidR="00DA6968" w:rsidRPr="00DA6968">
        <w:rPr>
          <w:rFonts w:ascii="Book Antiqua" w:hAnsi="Book Antiqua" w:cs="Times New Roman"/>
          <w:sz w:val="24"/>
          <w:szCs w:val="24"/>
          <w:lang w:val="en-US"/>
        </w:rPr>
        <w:t xml:space="preserve">non-alcoholic fatty liver disease </w:t>
      </w:r>
      <w:r w:rsidR="00DA6968">
        <w:rPr>
          <w:rFonts w:ascii="Book Antiqua" w:hAnsi="Book Antiqua" w:cs="Times New Roman" w:hint="eastAsia"/>
          <w:sz w:val="24"/>
          <w:szCs w:val="24"/>
          <w:lang w:val="en-US" w:eastAsia="zh-CN"/>
        </w:rPr>
        <w:t>(</w:t>
      </w:r>
      <w:r w:rsidR="000D6437" w:rsidRPr="006A39A0">
        <w:rPr>
          <w:rFonts w:ascii="Book Antiqua" w:hAnsi="Book Antiqua" w:cs="Times New Roman"/>
          <w:sz w:val="24"/>
          <w:szCs w:val="24"/>
          <w:lang w:val="en-US"/>
        </w:rPr>
        <w:t>NAFLD</w:t>
      </w:r>
      <w:r w:rsidR="00DA6968">
        <w:rPr>
          <w:rFonts w:ascii="Book Antiqua" w:hAnsi="Book Antiqua" w:cs="Times New Roman" w:hint="eastAsia"/>
          <w:sz w:val="24"/>
          <w:szCs w:val="24"/>
          <w:lang w:val="en-US" w:eastAsia="zh-CN"/>
        </w:rPr>
        <w:t>)</w:t>
      </w:r>
      <w:r w:rsidR="000D6437" w:rsidRPr="006A39A0">
        <w:rPr>
          <w:rFonts w:ascii="Book Antiqua" w:hAnsi="Book Antiqua" w:cs="Times New Roman"/>
          <w:sz w:val="24"/>
          <w:szCs w:val="24"/>
          <w:lang w:val="en-US"/>
        </w:rPr>
        <w:t xml:space="preserve"> (bottom), whereas</w:t>
      </w:r>
      <w:r>
        <w:rPr>
          <w:rFonts w:ascii="Book Antiqua" w:hAnsi="Book Antiqua" w:cs="Times New Roman"/>
          <w:sz w:val="24"/>
          <w:szCs w:val="24"/>
          <w:lang w:val="en-US"/>
        </w:rPr>
        <w:t xml:space="preserve"> </w:t>
      </w:r>
      <w:r w:rsidR="000D6437" w:rsidRPr="006A39A0">
        <w:rPr>
          <w:rFonts w:ascii="Book Antiqua" w:hAnsi="Book Antiqua" w:cs="Times New Roman"/>
          <w:sz w:val="24"/>
          <w:szCs w:val="24"/>
          <w:lang w:val="en-US"/>
        </w:rPr>
        <w:t>higher</w:t>
      </w:r>
      <w:r>
        <w:rPr>
          <w:rFonts w:ascii="Book Antiqua" w:hAnsi="Book Antiqua" w:cs="Times New Roman"/>
          <w:sz w:val="24"/>
          <w:szCs w:val="24"/>
          <w:lang w:val="en-US"/>
        </w:rPr>
        <w:t xml:space="preserve"> </w:t>
      </w:r>
      <w:r w:rsidR="00DA6968" w:rsidRPr="006A39A0">
        <w:rPr>
          <w:rFonts w:ascii="Book Antiqua" w:hAnsi="Book Antiqua" w:cs="Times New Roman"/>
          <w:sz w:val="24"/>
          <w:szCs w:val="24"/>
          <w:lang w:val="en-US"/>
        </w:rPr>
        <w:t xml:space="preserve">high-density lipoprotein </w:t>
      </w:r>
      <w:r w:rsidR="00DA6968">
        <w:rPr>
          <w:rFonts w:ascii="Book Antiqua" w:hAnsi="Book Antiqua" w:cs="Times New Roman" w:hint="eastAsia"/>
          <w:sz w:val="24"/>
          <w:szCs w:val="24"/>
          <w:lang w:val="en-US" w:eastAsia="zh-CN"/>
        </w:rPr>
        <w:t>(</w:t>
      </w:r>
      <w:r w:rsidR="000D6437" w:rsidRPr="006A39A0">
        <w:rPr>
          <w:rFonts w:ascii="Book Antiqua" w:hAnsi="Book Antiqua" w:cs="Times New Roman"/>
          <w:sz w:val="24"/>
          <w:szCs w:val="24"/>
          <w:lang w:val="en-US"/>
        </w:rPr>
        <w:t>HDL</w:t>
      </w:r>
      <w:r w:rsidR="00DA6968">
        <w:rPr>
          <w:rFonts w:ascii="Book Antiqua" w:hAnsi="Book Antiqua" w:cs="Times New Roman" w:hint="eastAsia"/>
          <w:sz w:val="24"/>
          <w:szCs w:val="24"/>
          <w:lang w:val="en-US" w:eastAsia="zh-CN"/>
        </w:rPr>
        <w:t>)</w:t>
      </w:r>
      <w:r w:rsidR="000D6437" w:rsidRPr="006A39A0">
        <w:rPr>
          <w:rFonts w:ascii="Book Antiqua" w:hAnsi="Book Antiqua" w:cs="Times New Roman"/>
          <w:sz w:val="24"/>
          <w:szCs w:val="24"/>
          <w:lang w:val="en-US"/>
        </w:rPr>
        <w:t xml:space="preserve"> cholesterol was associated with a lower prevalence of NAFLD. No sex difference was found.</w:t>
      </w:r>
      <w:r>
        <w:rPr>
          <w:rFonts w:ascii="Book Antiqua" w:hAnsi="Book Antiqua" w:cs="Times New Roman"/>
          <w:sz w:val="24"/>
          <w:szCs w:val="24"/>
          <w:lang w:val="en-US"/>
        </w:rPr>
        <w:t xml:space="preserve"> </w:t>
      </w:r>
      <w:r w:rsidR="000D6437" w:rsidRPr="006A39A0">
        <w:rPr>
          <w:rFonts w:ascii="Book Antiqua" w:hAnsi="Book Antiqua" w:cs="Times New Roman"/>
          <w:sz w:val="24"/>
          <w:szCs w:val="24"/>
          <w:lang w:val="en-US"/>
        </w:rPr>
        <w:t>CRP indicates C-reactive protein; HDL, high-density lipoprotein; NAFLD, nonalcoholic fatty liver disease. This behavior is different, if not opposite, of that of ADV36.</w:t>
      </w:r>
    </w:p>
    <w:p w:rsidR="005507A2" w:rsidRDefault="005507A2" w:rsidP="008019CB">
      <w:pPr>
        <w:adjustRightInd w:val="0"/>
        <w:snapToGrid w:val="0"/>
        <w:spacing w:after="0"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eastAsia="zh-CN"/>
        </w:rPr>
        <w:br w:type="page"/>
      </w:r>
    </w:p>
    <w:p w:rsidR="00F4248D" w:rsidRDefault="00F4248D" w:rsidP="008019CB">
      <w:pPr>
        <w:adjustRightInd w:val="0"/>
        <w:snapToGrid w:val="0"/>
        <w:spacing w:after="0" w:line="360" w:lineRule="auto"/>
        <w:jc w:val="both"/>
        <w:rPr>
          <w:rFonts w:ascii="Book Antiqua" w:hAnsi="Book Antiqua" w:cs="Times New Roman"/>
          <w:sz w:val="24"/>
          <w:szCs w:val="24"/>
          <w:lang w:val="en-US" w:eastAsia="zh-CN"/>
        </w:rPr>
      </w:pPr>
    </w:p>
    <w:p w:rsidR="00F4248D" w:rsidRDefault="00F4248D" w:rsidP="008019CB">
      <w:pPr>
        <w:adjustRightInd w:val="0"/>
        <w:snapToGrid w:val="0"/>
        <w:spacing w:after="0" w:line="360" w:lineRule="auto"/>
        <w:jc w:val="both"/>
        <w:rPr>
          <w:rFonts w:ascii="Book Antiqua" w:hAnsi="Book Antiqua" w:cs="Times New Roman"/>
          <w:noProof/>
          <w:sz w:val="24"/>
          <w:szCs w:val="24"/>
          <w:lang w:val="en-US" w:eastAsia="zh-CN"/>
        </w:rPr>
      </w:pPr>
      <w:r>
        <w:rPr>
          <w:rFonts w:ascii="Book Antiqua" w:hAnsi="Book Antiqua" w:cs="Times New Roman" w:hint="eastAsia"/>
          <w:noProof/>
          <w:sz w:val="24"/>
          <w:szCs w:val="24"/>
          <w:lang w:val="en-US" w:eastAsia="zh-CN"/>
        </w:rPr>
        <w:drawing>
          <wp:inline distT="0" distB="0" distL="0" distR="0" wp14:anchorId="68CA5CDB" wp14:editId="365923FD">
            <wp:extent cx="1771281" cy="156182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 WJG Trovato et al Differences of changes between ADV36 seropositive vs ADV seronegativ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2916" cy="1563263"/>
                    </a:xfrm>
                    <a:prstGeom prst="rect">
                      <a:avLst/>
                    </a:prstGeom>
                  </pic:spPr>
                </pic:pic>
              </a:graphicData>
            </a:graphic>
          </wp:inline>
        </w:drawing>
      </w:r>
      <w:r>
        <w:rPr>
          <w:rFonts w:ascii="Book Antiqua" w:hAnsi="Book Antiqua" w:cs="Times New Roman" w:hint="eastAsia"/>
          <w:sz w:val="24"/>
          <w:szCs w:val="24"/>
          <w:lang w:val="en-US" w:eastAsia="zh-CN"/>
        </w:rPr>
        <w:t xml:space="preserve"> </w:t>
      </w:r>
      <w:r>
        <w:rPr>
          <w:rFonts w:ascii="Book Antiqua" w:hAnsi="Book Antiqua" w:cs="Times New Roman" w:hint="eastAsia"/>
          <w:noProof/>
          <w:sz w:val="24"/>
          <w:szCs w:val="24"/>
          <w:lang w:val="en-US" w:eastAsia="zh-CN"/>
        </w:rPr>
        <w:t xml:space="preserve">  </w:t>
      </w:r>
      <w:r>
        <w:rPr>
          <w:rFonts w:ascii="Book Antiqua" w:hAnsi="Book Antiqua" w:cs="Times New Roman" w:hint="eastAsia"/>
          <w:noProof/>
          <w:sz w:val="24"/>
          <w:szCs w:val="24"/>
          <w:lang w:val="en-US" w:eastAsia="zh-CN"/>
        </w:rPr>
        <w:drawing>
          <wp:inline distT="0" distB="0" distL="0" distR="0" wp14:anchorId="14C66001" wp14:editId="195DB798">
            <wp:extent cx="1648590" cy="157517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7 WJG Trovato et al NAFLD Imaging persistenc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9901" cy="1576424"/>
                    </a:xfrm>
                    <a:prstGeom prst="rect">
                      <a:avLst/>
                    </a:prstGeom>
                  </pic:spPr>
                </pic:pic>
              </a:graphicData>
            </a:graphic>
          </wp:inline>
        </w:drawing>
      </w:r>
    </w:p>
    <w:p w:rsidR="00F4248D" w:rsidRDefault="00F4248D" w:rsidP="008019CB">
      <w:pPr>
        <w:adjustRightInd w:val="0"/>
        <w:snapToGrid w:val="0"/>
        <w:spacing w:after="0" w:line="360" w:lineRule="auto"/>
        <w:jc w:val="both"/>
        <w:rPr>
          <w:rFonts w:ascii="Book Antiqua" w:hAnsi="Book Antiqua" w:cs="Times New Roman"/>
          <w:sz w:val="24"/>
          <w:szCs w:val="24"/>
          <w:lang w:val="en-US" w:eastAsia="zh-CN"/>
        </w:rPr>
      </w:pPr>
      <w:r>
        <w:rPr>
          <w:rFonts w:ascii="Book Antiqua" w:hAnsi="Book Antiqua" w:cs="Times New Roman" w:hint="eastAsia"/>
          <w:noProof/>
          <w:sz w:val="24"/>
          <w:szCs w:val="24"/>
          <w:lang w:val="en-US" w:eastAsia="zh-CN"/>
        </w:rPr>
        <w:t xml:space="preserve">A                </w:t>
      </w:r>
      <w:r w:rsidR="00934586">
        <w:rPr>
          <w:rFonts w:ascii="Book Antiqua" w:hAnsi="Book Antiqua" w:cs="Times New Roman" w:hint="eastAsia"/>
          <w:noProof/>
          <w:sz w:val="24"/>
          <w:szCs w:val="24"/>
          <w:lang w:val="en-US" w:eastAsia="zh-CN"/>
        </w:rPr>
        <w:t xml:space="preserve">                              </w:t>
      </w:r>
      <w:r>
        <w:rPr>
          <w:rFonts w:ascii="Book Antiqua" w:hAnsi="Book Antiqua" w:cs="Times New Roman" w:hint="eastAsia"/>
          <w:noProof/>
          <w:sz w:val="24"/>
          <w:szCs w:val="24"/>
          <w:lang w:val="en-US" w:eastAsia="zh-CN"/>
        </w:rPr>
        <w:t>B</w:t>
      </w:r>
    </w:p>
    <w:p w:rsidR="000D6437" w:rsidRDefault="00C914A1" w:rsidP="008019CB">
      <w:pPr>
        <w:adjustRightInd w:val="0"/>
        <w:snapToGrid w:val="0"/>
        <w:spacing w:after="0" w:line="360" w:lineRule="auto"/>
        <w:jc w:val="both"/>
        <w:rPr>
          <w:rFonts w:ascii="Book Antiqua" w:hAnsi="Book Antiqua" w:cs="Times New Roman"/>
          <w:sz w:val="24"/>
          <w:szCs w:val="24"/>
          <w:lang w:val="en-US" w:eastAsia="zh-CN"/>
        </w:rPr>
      </w:pPr>
      <w:r w:rsidRPr="0079500A">
        <w:rPr>
          <w:rFonts w:ascii="Book Antiqua" w:hAnsi="Book Antiqua" w:cs="Times New Roman"/>
          <w:b/>
          <w:sz w:val="24"/>
          <w:szCs w:val="24"/>
          <w:lang w:val="en-US"/>
        </w:rPr>
        <w:t>Figure</w:t>
      </w:r>
      <w:r w:rsidR="00F4248D" w:rsidRPr="0079500A">
        <w:rPr>
          <w:rFonts w:ascii="Book Antiqua" w:hAnsi="Book Antiqua" w:cs="Times New Roman"/>
          <w:b/>
          <w:sz w:val="24"/>
          <w:szCs w:val="24"/>
          <w:lang w:val="en-US"/>
        </w:rPr>
        <w:t xml:space="preserve"> 6</w:t>
      </w:r>
      <w:r w:rsidR="000D6437" w:rsidRPr="0079500A">
        <w:rPr>
          <w:rFonts w:ascii="Book Antiqua" w:hAnsi="Book Antiqua" w:cs="Times New Roman"/>
          <w:b/>
          <w:sz w:val="24"/>
          <w:szCs w:val="24"/>
          <w:lang w:val="en-US"/>
        </w:rPr>
        <w:t xml:space="preserve"> After a comprehensive nutritional and lifestyle intervention, the improvement is more relevant in ADV36 seropositive than in ADV36 </w:t>
      </w:r>
      <w:proofErr w:type="spellStart"/>
      <w:r w:rsidR="000D6437" w:rsidRPr="0079500A">
        <w:rPr>
          <w:rFonts w:ascii="Book Antiqua" w:hAnsi="Book Antiqua" w:cs="Times New Roman"/>
          <w:b/>
          <w:sz w:val="24"/>
          <w:szCs w:val="24"/>
          <w:lang w:val="en-US"/>
        </w:rPr>
        <w:t>seronegative</w:t>
      </w:r>
      <w:proofErr w:type="spellEnd"/>
      <w:r w:rsidR="000D6437" w:rsidRPr="0079500A">
        <w:rPr>
          <w:rFonts w:ascii="Book Antiqua" w:hAnsi="Book Antiqua" w:cs="Times New Roman"/>
          <w:b/>
          <w:sz w:val="24"/>
          <w:szCs w:val="24"/>
          <w:lang w:val="en-US"/>
        </w:rPr>
        <w:t xml:space="preserve"> </w:t>
      </w:r>
      <w:r w:rsidR="00F4248D" w:rsidRPr="0079500A">
        <w:rPr>
          <w:rFonts w:ascii="Book Antiqua" w:hAnsi="Book Antiqua" w:cs="Times New Roman"/>
          <w:b/>
          <w:sz w:val="24"/>
          <w:szCs w:val="24"/>
          <w:lang w:val="en-US"/>
        </w:rPr>
        <w:t xml:space="preserve">non-alcoholic fatty liver disease </w:t>
      </w:r>
      <w:r w:rsidR="000D6437" w:rsidRPr="0079500A">
        <w:rPr>
          <w:rFonts w:ascii="Book Antiqua" w:hAnsi="Book Antiqua" w:cs="Times New Roman"/>
          <w:b/>
          <w:sz w:val="24"/>
          <w:szCs w:val="24"/>
          <w:lang w:val="en-US"/>
        </w:rPr>
        <w:t>patients: a greater decrease of insulin resistance (</w:t>
      </w:r>
      <w:r w:rsidR="00135024" w:rsidRPr="0079500A">
        <w:rPr>
          <w:rFonts w:ascii="Book Antiqua" w:hAnsi="Book Antiqua" w:cs="Times New Roman"/>
          <w:b/>
          <w:sz w:val="24"/>
          <w:szCs w:val="24"/>
          <w:lang w:val="en-US"/>
        </w:rPr>
        <w:t>homeostasis model assessment</w:t>
      </w:r>
      <w:r w:rsidR="000D6437" w:rsidRPr="0079500A">
        <w:rPr>
          <w:rFonts w:ascii="Book Antiqua" w:hAnsi="Book Antiqua" w:cs="Times New Roman"/>
          <w:b/>
          <w:sz w:val="24"/>
          <w:szCs w:val="24"/>
          <w:lang w:val="en-US"/>
        </w:rPr>
        <w:t>) and of overweight (</w:t>
      </w:r>
      <w:r w:rsidR="00135024" w:rsidRPr="0079500A">
        <w:rPr>
          <w:rFonts w:ascii="Book Antiqua" w:hAnsi="Book Antiqua" w:cs="Times New Roman"/>
          <w:b/>
          <w:sz w:val="24"/>
          <w:szCs w:val="24"/>
          <w:lang w:val="en-US"/>
        </w:rPr>
        <w:t>body mass index</w:t>
      </w:r>
      <w:r w:rsidR="000D6437" w:rsidRPr="0079500A">
        <w:rPr>
          <w:rFonts w:ascii="Book Antiqua" w:hAnsi="Book Antiqua" w:cs="Times New Roman"/>
          <w:b/>
          <w:sz w:val="24"/>
          <w:szCs w:val="24"/>
          <w:lang w:val="en-US"/>
        </w:rPr>
        <w:t xml:space="preserve">) was achieved in </w:t>
      </w:r>
      <w:r w:rsidR="00F4248D" w:rsidRPr="0079500A">
        <w:rPr>
          <w:rFonts w:ascii="Book Antiqua" w:hAnsi="Book Antiqua" w:cs="Times New Roman"/>
          <w:b/>
          <w:sz w:val="24"/>
          <w:szCs w:val="24"/>
          <w:lang w:val="en-US"/>
        </w:rPr>
        <w:t xml:space="preserve">ADV seropositive </w:t>
      </w:r>
      <w:r w:rsidR="00135024" w:rsidRPr="0079500A">
        <w:rPr>
          <w:rFonts w:ascii="Book Antiqua" w:hAnsi="Book Antiqua" w:cs="Times New Roman"/>
          <w:b/>
          <w:sz w:val="24"/>
          <w:szCs w:val="24"/>
          <w:lang w:val="en-US"/>
        </w:rPr>
        <w:t xml:space="preserve">non-alcoholic fatty liver disease </w:t>
      </w:r>
      <w:r w:rsidR="00F4248D" w:rsidRPr="0079500A">
        <w:rPr>
          <w:rFonts w:ascii="Book Antiqua" w:hAnsi="Book Antiqua" w:cs="Times New Roman"/>
          <w:b/>
          <w:sz w:val="24"/>
          <w:szCs w:val="24"/>
          <w:lang w:val="en-US"/>
        </w:rPr>
        <w:t>patients</w:t>
      </w:r>
      <w:r w:rsidR="00F4248D" w:rsidRPr="0079500A">
        <w:rPr>
          <w:rFonts w:ascii="Book Antiqua" w:hAnsi="Book Antiqua" w:cs="Times New Roman" w:hint="eastAsia"/>
          <w:b/>
          <w:sz w:val="24"/>
          <w:szCs w:val="24"/>
          <w:lang w:val="en-US" w:eastAsia="zh-CN"/>
        </w:rPr>
        <w:t xml:space="preserve"> (A) and </w:t>
      </w:r>
      <w:r w:rsidR="000D6437" w:rsidRPr="0079500A">
        <w:rPr>
          <w:rFonts w:ascii="Book Antiqua" w:hAnsi="Book Antiqua" w:cs="Times New Roman"/>
          <w:b/>
          <w:sz w:val="24"/>
          <w:szCs w:val="24"/>
          <w:lang w:val="en-US"/>
        </w:rPr>
        <w:t xml:space="preserve">the </w:t>
      </w:r>
      <w:r w:rsidR="00F4248D" w:rsidRPr="0079500A">
        <w:rPr>
          <w:rFonts w:ascii="Book Antiqua" w:hAnsi="Book Antiqua" w:cs="Times New Roman"/>
          <w:b/>
          <w:sz w:val="24"/>
          <w:szCs w:val="24"/>
          <w:lang w:val="en-US"/>
        </w:rPr>
        <w:t>o</w:t>
      </w:r>
      <w:r w:rsidR="000D6437" w:rsidRPr="0079500A">
        <w:rPr>
          <w:rFonts w:ascii="Book Antiqua" w:hAnsi="Book Antiqua" w:cs="Times New Roman"/>
          <w:b/>
          <w:sz w:val="24"/>
          <w:szCs w:val="24"/>
          <w:lang w:val="en-US"/>
        </w:rPr>
        <w:t>dds of bright liver persistence is associated with lack of insulin resistance (</w:t>
      </w:r>
      <w:r w:rsidR="00135024" w:rsidRPr="0079500A">
        <w:rPr>
          <w:rFonts w:ascii="Book Antiqua" w:hAnsi="Book Antiqua" w:cs="Times New Roman"/>
          <w:b/>
          <w:sz w:val="24"/>
          <w:szCs w:val="24"/>
          <w:lang w:val="en-US"/>
        </w:rPr>
        <w:t>homeostasis model assessment</w:t>
      </w:r>
      <w:r w:rsidR="000D6437" w:rsidRPr="0079500A">
        <w:rPr>
          <w:rFonts w:ascii="Book Antiqua" w:hAnsi="Book Antiqua" w:cs="Times New Roman"/>
          <w:b/>
          <w:sz w:val="24"/>
          <w:szCs w:val="24"/>
          <w:lang w:val="en-US"/>
        </w:rPr>
        <w:t>)</w:t>
      </w:r>
      <w:r w:rsidRPr="0079500A">
        <w:rPr>
          <w:rFonts w:ascii="Book Antiqua" w:hAnsi="Book Antiqua" w:cs="Times New Roman"/>
          <w:b/>
          <w:sz w:val="24"/>
          <w:szCs w:val="24"/>
          <w:lang w:val="en-US"/>
        </w:rPr>
        <w:t xml:space="preserve"> </w:t>
      </w:r>
      <w:r w:rsidR="000D6437" w:rsidRPr="0079500A">
        <w:rPr>
          <w:rFonts w:ascii="Book Antiqua" w:hAnsi="Book Antiqua" w:cs="Times New Roman"/>
          <w:b/>
          <w:sz w:val="24"/>
          <w:szCs w:val="24"/>
          <w:lang w:val="en-US"/>
        </w:rPr>
        <w:t>and body weight (</w:t>
      </w:r>
      <w:r w:rsidR="00135024" w:rsidRPr="0079500A">
        <w:rPr>
          <w:rFonts w:ascii="Book Antiqua" w:hAnsi="Book Antiqua" w:cs="Times New Roman"/>
          <w:b/>
          <w:sz w:val="24"/>
          <w:szCs w:val="24"/>
          <w:lang w:val="en-US"/>
        </w:rPr>
        <w:t>body mass index</w:t>
      </w:r>
      <w:r w:rsidR="000D6437" w:rsidRPr="0079500A">
        <w:rPr>
          <w:rFonts w:ascii="Book Antiqua" w:hAnsi="Book Antiqua" w:cs="Times New Roman"/>
          <w:b/>
          <w:sz w:val="24"/>
          <w:szCs w:val="24"/>
          <w:lang w:val="en-US"/>
        </w:rPr>
        <w:t xml:space="preserve">) decrease, while a relevant association with improvement, </w:t>
      </w:r>
      <w:r w:rsidRPr="0079500A">
        <w:rPr>
          <w:rFonts w:ascii="Book Antiqua" w:hAnsi="Book Antiqua" w:cs="Times New Roman"/>
          <w:b/>
          <w:i/>
          <w:sz w:val="24"/>
          <w:szCs w:val="24"/>
          <w:lang w:val="en-US"/>
        </w:rPr>
        <w:t>i.e.</w:t>
      </w:r>
      <w:r w:rsidR="000D6437" w:rsidRPr="0079500A">
        <w:rPr>
          <w:rFonts w:ascii="Book Antiqua" w:hAnsi="Book Antiqua" w:cs="Times New Roman"/>
          <w:b/>
          <w:sz w:val="24"/>
          <w:szCs w:val="24"/>
          <w:lang w:val="en-US"/>
        </w:rPr>
        <w:t xml:space="preserve"> </w:t>
      </w:r>
      <w:r w:rsidR="00135024" w:rsidRPr="0079500A">
        <w:rPr>
          <w:rFonts w:ascii="Book Antiqua" w:hAnsi="Book Antiqua" w:cs="Times New Roman"/>
          <w:b/>
          <w:sz w:val="24"/>
          <w:szCs w:val="24"/>
          <w:lang w:val="en-US"/>
        </w:rPr>
        <w:t>bright liver disapp</w:t>
      </w:r>
      <w:r w:rsidR="000D6437" w:rsidRPr="0079500A">
        <w:rPr>
          <w:rFonts w:ascii="Book Antiqua" w:hAnsi="Book Antiqua" w:cs="Times New Roman"/>
          <w:b/>
          <w:sz w:val="24"/>
          <w:szCs w:val="24"/>
          <w:lang w:val="en-US"/>
        </w:rPr>
        <w:t>earance, is observed in AD</w:t>
      </w:r>
      <w:r w:rsidR="00F4248D" w:rsidRPr="0079500A">
        <w:rPr>
          <w:rFonts w:ascii="Book Antiqua" w:hAnsi="Book Antiqua" w:cs="Times New Roman"/>
          <w:b/>
          <w:sz w:val="24"/>
          <w:szCs w:val="24"/>
          <w:lang w:val="en-US"/>
        </w:rPr>
        <w:t xml:space="preserve">V36 seropositive </w:t>
      </w:r>
      <w:r w:rsidR="00135024" w:rsidRPr="0079500A">
        <w:rPr>
          <w:rFonts w:ascii="Book Antiqua" w:hAnsi="Book Antiqua" w:cs="Times New Roman"/>
          <w:b/>
          <w:sz w:val="24"/>
          <w:szCs w:val="24"/>
          <w:lang w:val="en-US"/>
        </w:rPr>
        <w:t xml:space="preserve">non-alcoholic fatty liver disease </w:t>
      </w:r>
      <w:r w:rsidR="00F4248D" w:rsidRPr="0079500A">
        <w:rPr>
          <w:rFonts w:ascii="Book Antiqua" w:hAnsi="Book Antiqua" w:cs="Times New Roman"/>
          <w:b/>
          <w:sz w:val="24"/>
          <w:szCs w:val="24"/>
          <w:lang w:val="en-US"/>
        </w:rPr>
        <w:t>patients (</w:t>
      </w:r>
      <w:r w:rsidR="00F4248D" w:rsidRPr="0079500A">
        <w:rPr>
          <w:rFonts w:ascii="Book Antiqua" w:hAnsi="Book Antiqua" w:cs="Times New Roman"/>
          <w:b/>
          <w:caps/>
          <w:sz w:val="24"/>
          <w:szCs w:val="24"/>
          <w:lang w:val="en-US"/>
        </w:rPr>
        <w:t>b</w:t>
      </w:r>
      <w:r w:rsidR="00F4248D" w:rsidRPr="0079500A">
        <w:rPr>
          <w:rFonts w:ascii="Book Antiqua" w:hAnsi="Book Antiqua" w:cs="Times New Roman"/>
          <w:b/>
          <w:sz w:val="24"/>
          <w:szCs w:val="24"/>
          <w:lang w:val="en-US"/>
        </w:rPr>
        <w:t>)</w:t>
      </w:r>
      <w:r w:rsidR="00135024" w:rsidRPr="0079500A">
        <w:rPr>
          <w:rFonts w:ascii="Book Antiqua" w:hAnsi="Book Antiqua" w:cs="Times New Roman" w:hint="eastAsia"/>
          <w:b/>
          <w:sz w:val="24"/>
          <w:szCs w:val="24"/>
          <w:lang w:val="en-US" w:eastAsia="zh-CN"/>
        </w:rPr>
        <w:t>.</w:t>
      </w:r>
      <w:r w:rsidR="0079500A">
        <w:rPr>
          <w:rFonts w:ascii="Book Antiqua" w:hAnsi="Book Antiqua" w:cs="Times New Roman" w:hint="eastAsia"/>
          <w:b/>
          <w:sz w:val="24"/>
          <w:szCs w:val="24"/>
          <w:lang w:val="en-US" w:eastAsia="zh-CN"/>
        </w:rPr>
        <w:t xml:space="preserve"> </w:t>
      </w:r>
      <w:r w:rsidR="0079500A" w:rsidRPr="0079500A">
        <w:rPr>
          <w:rFonts w:ascii="Book Antiqua" w:hAnsi="Book Antiqua" w:cs="Times New Roman" w:hint="eastAsia"/>
          <w:sz w:val="24"/>
          <w:szCs w:val="24"/>
          <w:lang w:val="en-US" w:eastAsia="zh-CN"/>
        </w:rPr>
        <w:t xml:space="preserve">BMI: </w:t>
      </w:r>
      <w:r w:rsidR="0079500A" w:rsidRPr="0079500A">
        <w:rPr>
          <w:rFonts w:ascii="Book Antiqua" w:hAnsi="Book Antiqua" w:cs="Times New Roman"/>
          <w:sz w:val="24"/>
          <w:szCs w:val="24"/>
          <w:lang w:val="en-US"/>
        </w:rPr>
        <w:t>Body mass index</w:t>
      </w:r>
      <w:r w:rsidR="0079500A" w:rsidRPr="0079500A">
        <w:rPr>
          <w:rFonts w:ascii="Book Antiqua" w:hAnsi="Book Antiqua" w:cs="Times New Roman" w:hint="eastAsia"/>
          <w:sz w:val="24"/>
          <w:szCs w:val="24"/>
          <w:lang w:val="en-US" w:eastAsia="zh-CN"/>
        </w:rPr>
        <w:t xml:space="preserve">; HOMA: </w:t>
      </w:r>
      <w:r w:rsidR="0079500A" w:rsidRPr="0079500A">
        <w:rPr>
          <w:rFonts w:ascii="Book Antiqua" w:hAnsi="Book Antiqua" w:cs="Times New Roman"/>
          <w:sz w:val="24"/>
          <w:szCs w:val="24"/>
          <w:lang w:val="en-US"/>
        </w:rPr>
        <w:t>Homeostasis model assessment</w:t>
      </w:r>
      <w:r w:rsidR="0079500A" w:rsidRPr="0079500A">
        <w:rPr>
          <w:rFonts w:ascii="Book Antiqua" w:hAnsi="Book Antiqua" w:cs="Times New Roman" w:hint="eastAsia"/>
          <w:sz w:val="24"/>
          <w:szCs w:val="24"/>
          <w:lang w:val="en-US" w:eastAsia="zh-CN"/>
        </w:rPr>
        <w:t xml:space="preserve">; </w:t>
      </w:r>
      <w:r w:rsidR="0079500A" w:rsidRPr="0079500A">
        <w:rPr>
          <w:rFonts w:ascii="Book Antiqua" w:hAnsi="Book Antiqua" w:cs="Times New Roman" w:hint="eastAsia"/>
          <w:caps/>
          <w:sz w:val="24"/>
          <w:szCs w:val="24"/>
          <w:lang w:val="en-US" w:eastAsia="zh-CN"/>
        </w:rPr>
        <w:t>nafld</w:t>
      </w:r>
      <w:r w:rsidR="0079500A" w:rsidRPr="0079500A">
        <w:rPr>
          <w:rFonts w:ascii="Book Antiqua" w:hAnsi="Book Antiqua" w:cs="Times New Roman" w:hint="eastAsia"/>
          <w:sz w:val="24"/>
          <w:szCs w:val="24"/>
          <w:lang w:val="en-US" w:eastAsia="zh-CN"/>
        </w:rPr>
        <w:t xml:space="preserve">: </w:t>
      </w:r>
      <w:r w:rsidR="0079500A" w:rsidRPr="0079500A">
        <w:rPr>
          <w:rFonts w:ascii="Book Antiqua" w:hAnsi="Book Antiqua" w:cs="Times New Roman"/>
          <w:sz w:val="24"/>
          <w:szCs w:val="24"/>
          <w:lang w:val="en-US"/>
        </w:rPr>
        <w:t>Non-alcoholic fatty liver disease</w:t>
      </w:r>
      <w:r w:rsidR="0079500A">
        <w:rPr>
          <w:rFonts w:ascii="Book Antiqua" w:hAnsi="Book Antiqua" w:cs="Times New Roman" w:hint="eastAsia"/>
          <w:sz w:val="24"/>
          <w:szCs w:val="24"/>
          <w:lang w:val="en-US" w:eastAsia="zh-CN"/>
        </w:rPr>
        <w:t>.</w:t>
      </w:r>
    </w:p>
    <w:p w:rsidR="005507A2" w:rsidRPr="0079500A" w:rsidRDefault="005507A2" w:rsidP="008019CB">
      <w:pPr>
        <w:adjustRightInd w:val="0"/>
        <w:snapToGrid w:val="0"/>
        <w:spacing w:after="0" w:line="360" w:lineRule="auto"/>
        <w:jc w:val="both"/>
        <w:rPr>
          <w:rFonts w:ascii="Book Antiqua" w:hAnsi="Book Antiqua" w:cs="Times New Roman"/>
          <w:sz w:val="24"/>
          <w:szCs w:val="24"/>
          <w:lang w:val="en-US" w:eastAsia="zh-CN"/>
        </w:rPr>
      </w:pPr>
    </w:p>
    <w:p w:rsidR="0079500A" w:rsidRPr="006A39A0" w:rsidRDefault="00D37614" w:rsidP="008019CB">
      <w:pPr>
        <w:adjustRightInd w:val="0"/>
        <w:snapToGrid w:val="0"/>
        <w:spacing w:after="0" w:line="360" w:lineRule="auto"/>
        <w:jc w:val="both"/>
        <w:rPr>
          <w:rFonts w:ascii="Book Antiqua" w:hAnsi="Book Antiqua" w:cs="Times New Roman"/>
          <w:sz w:val="24"/>
          <w:szCs w:val="24"/>
          <w:lang w:val="en-US" w:eastAsia="zh-CN"/>
        </w:rPr>
      </w:pPr>
      <w:r>
        <w:rPr>
          <w:rFonts w:ascii="Book Antiqua" w:hAnsi="Book Antiqua" w:cs="Times New Roman" w:hint="eastAsia"/>
          <w:noProof/>
          <w:sz w:val="24"/>
          <w:szCs w:val="24"/>
          <w:lang w:val="en-US" w:eastAsia="zh-CN"/>
        </w:rPr>
        <w:drawing>
          <wp:inline distT="0" distB="0" distL="0" distR="0" wp14:anchorId="3B5902A8" wp14:editId="60C7C8F6">
            <wp:extent cx="2161481" cy="148172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8 WORKING MODEL EFFECTS OF ADV36 on Adipocyt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2419" cy="1482372"/>
                    </a:xfrm>
                    <a:prstGeom prst="rect">
                      <a:avLst/>
                    </a:prstGeom>
                  </pic:spPr>
                </pic:pic>
              </a:graphicData>
            </a:graphic>
          </wp:inline>
        </w:drawing>
      </w:r>
    </w:p>
    <w:p w:rsidR="00F4248D" w:rsidRDefault="000D6437" w:rsidP="008019CB">
      <w:pPr>
        <w:adjustRightInd w:val="0"/>
        <w:snapToGrid w:val="0"/>
        <w:spacing w:after="0" w:line="360" w:lineRule="auto"/>
        <w:jc w:val="both"/>
        <w:rPr>
          <w:rFonts w:ascii="Book Antiqua" w:hAnsi="Book Antiqua" w:cs="Times New Roman"/>
          <w:sz w:val="24"/>
          <w:szCs w:val="24"/>
          <w:lang w:val="en-US" w:eastAsia="zh-CN"/>
        </w:rPr>
      </w:pPr>
      <w:r w:rsidRPr="00D37614">
        <w:rPr>
          <w:rFonts w:ascii="Book Antiqua" w:hAnsi="Book Antiqua" w:cs="Times New Roman"/>
          <w:b/>
          <w:sz w:val="24"/>
          <w:szCs w:val="24"/>
          <w:lang w:val="en-US"/>
        </w:rPr>
        <w:t xml:space="preserve"> </w:t>
      </w:r>
      <w:r w:rsidR="00C914A1" w:rsidRPr="00D37614">
        <w:rPr>
          <w:rFonts w:ascii="Book Antiqua" w:hAnsi="Book Antiqua" w:cs="Times New Roman"/>
          <w:b/>
          <w:sz w:val="24"/>
          <w:szCs w:val="24"/>
          <w:lang w:val="en-US"/>
        </w:rPr>
        <w:t>Figure</w:t>
      </w:r>
      <w:r w:rsidRPr="00D37614">
        <w:rPr>
          <w:rFonts w:ascii="Book Antiqua" w:hAnsi="Book Antiqua" w:cs="Times New Roman"/>
          <w:b/>
          <w:sz w:val="24"/>
          <w:szCs w:val="24"/>
          <w:lang w:val="en-US"/>
        </w:rPr>
        <w:t xml:space="preserve"> </w:t>
      </w:r>
      <w:r w:rsidR="005507A2">
        <w:rPr>
          <w:rFonts w:ascii="Book Antiqua" w:hAnsi="Book Antiqua" w:cs="Times New Roman" w:hint="eastAsia"/>
          <w:b/>
          <w:sz w:val="24"/>
          <w:szCs w:val="24"/>
          <w:lang w:val="en-US" w:eastAsia="zh-CN"/>
        </w:rPr>
        <w:t>7</w:t>
      </w:r>
      <w:r w:rsidRPr="00D37614">
        <w:rPr>
          <w:rFonts w:ascii="Book Antiqua" w:hAnsi="Book Antiqua" w:cs="Times New Roman"/>
          <w:b/>
          <w:sz w:val="24"/>
          <w:szCs w:val="24"/>
          <w:lang w:val="en-US"/>
        </w:rPr>
        <w:t xml:space="preserve"> Working model to explain the </w:t>
      </w:r>
      <w:proofErr w:type="spellStart"/>
      <w:r w:rsidRPr="00D37614">
        <w:rPr>
          <w:rFonts w:ascii="Book Antiqua" w:hAnsi="Book Antiqua" w:cs="Times New Roman"/>
          <w:b/>
          <w:sz w:val="24"/>
          <w:szCs w:val="24"/>
          <w:lang w:val="en-US"/>
        </w:rPr>
        <w:t>antidiabetic</w:t>
      </w:r>
      <w:proofErr w:type="spellEnd"/>
      <w:r w:rsidRPr="00D37614">
        <w:rPr>
          <w:rFonts w:ascii="Book Antiqua" w:hAnsi="Book Antiqua" w:cs="Times New Roman"/>
          <w:b/>
          <w:sz w:val="24"/>
          <w:szCs w:val="24"/>
          <w:lang w:val="en-US"/>
        </w:rPr>
        <w:t xml:space="preserve"> effect of ADV36. </w:t>
      </w:r>
      <w:r w:rsidRPr="006A39A0">
        <w:rPr>
          <w:rFonts w:ascii="Book Antiqua" w:hAnsi="Book Antiqua" w:cs="Times New Roman"/>
          <w:sz w:val="24"/>
          <w:szCs w:val="24"/>
          <w:lang w:val="en-US"/>
        </w:rPr>
        <w:t>Overall, data from</w:t>
      </w:r>
      <w:r w:rsidR="00C914A1">
        <w:rPr>
          <w:rFonts w:ascii="Book Antiqua" w:hAnsi="Book Antiqua" w:cs="Times New Roman"/>
          <w:sz w:val="24"/>
          <w:szCs w:val="24"/>
          <w:lang w:val="en-US"/>
        </w:rPr>
        <w:t xml:space="preserve"> </w:t>
      </w:r>
      <w:r w:rsidRPr="006A39A0">
        <w:rPr>
          <w:rFonts w:ascii="Book Antiqua" w:hAnsi="Book Antiqua" w:cs="Times New Roman"/>
          <w:sz w:val="24"/>
          <w:szCs w:val="24"/>
          <w:lang w:val="en-US"/>
        </w:rPr>
        <w:t xml:space="preserve">suggest that, in adipose tissue, skeletal muscle, and liver of mice, ADV36 </w:t>
      </w:r>
      <w:proofErr w:type="spellStart"/>
      <w:r w:rsidRPr="006A39A0">
        <w:rPr>
          <w:rFonts w:ascii="Book Antiqua" w:hAnsi="Book Antiqua" w:cs="Times New Roman"/>
          <w:sz w:val="24"/>
          <w:szCs w:val="24"/>
          <w:lang w:val="en-US"/>
        </w:rPr>
        <w:t>downregulates</w:t>
      </w:r>
      <w:proofErr w:type="spellEnd"/>
      <w:r w:rsidRPr="006A39A0">
        <w:rPr>
          <w:rFonts w:ascii="Book Antiqua" w:hAnsi="Book Antiqua" w:cs="Times New Roman"/>
          <w:sz w:val="24"/>
          <w:szCs w:val="24"/>
          <w:lang w:val="en-US"/>
        </w:rPr>
        <w:t xml:space="preserve"> insulin signaling yet </w:t>
      </w:r>
      <w:proofErr w:type="spellStart"/>
      <w:r w:rsidRPr="006A39A0">
        <w:rPr>
          <w:rFonts w:ascii="Book Antiqua" w:hAnsi="Book Antiqua" w:cs="Times New Roman"/>
          <w:sz w:val="24"/>
          <w:szCs w:val="24"/>
          <w:lang w:val="en-US"/>
        </w:rPr>
        <w:t>upregulates</w:t>
      </w:r>
      <w:proofErr w:type="spellEnd"/>
      <w:r w:rsidRPr="006A39A0">
        <w:rPr>
          <w:rFonts w:ascii="Book Antiqua" w:hAnsi="Book Antiqua" w:cs="Times New Roman"/>
          <w:sz w:val="24"/>
          <w:szCs w:val="24"/>
          <w:lang w:val="en-US"/>
        </w:rPr>
        <w:t xml:space="preserve"> the Ras-PI3K pathway, which </w:t>
      </w:r>
      <w:proofErr w:type="spellStart"/>
      <w:r w:rsidRPr="006A39A0">
        <w:rPr>
          <w:rFonts w:ascii="Book Antiqua" w:hAnsi="Book Antiqua" w:cs="Times New Roman"/>
          <w:sz w:val="24"/>
          <w:szCs w:val="24"/>
          <w:lang w:val="en-US"/>
        </w:rPr>
        <w:t>upregulates</w:t>
      </w:r>
      <w:proofErr w:type="spellEnd"/>
      <w:r w:rsidRPr="006A39A0">
        <w:rPr>
          <w:rFonts w:ascii="Book Antiqua" w:hAnsi="Book Antiqua" w:cs="Times New Roman"/>
          <w:sz w:val="24"/>
          <w:szCs w:val="24"/>
          <w:lang w:val="en-US"/>
        </w:rPr>
        <w:t xml:space="preserve"> Glut1 and Glut4 in skeletal muscle and adipose tissue and </w:t>
      </w:r>
      <w:proofErr w:type="spellStart"/>
      <w:r w:rsidRPr="006A39A0">
        <w:rPr>
          <w:rFonts w:ascii="Book Antiqua" w:hAnsi="Book Antiqua" w:cs="Times New Roman"/>
          <w:sz w:val="24"/>
          <w:szCs w:val="24"/>
          <w:lang w:val="en-US"/>
        </w:rPr>
        <w:t>downregulates</w:t>
      </w:r>
      <w:proofErr w:type="spellEnd"/>
      <w:r w:rsidRPr="006A39A0">
        <w:rPr>
          <w:rFonts w:ascii="Book Antiqua" w:hAnsi="Book Antiqua" w:cs="Times New Roman"/>
          <w:sz w:val="24"/>
          <w:szCs w:val="24"/>
          <w:lang w:val="en-US"/>
        </w:rPr>
        <w:t xml:space="preserve"> Glut2 in liver. Furthermore, ADV36 increases </w:t>
      </w:r>
      <w:proofErr w:type="spellStart"/>
      <w:r w:rsidRPr="006A39A0">
        <w:rPr>
          <w:rFonts w:ascii="Book Antiqua" w:hAnsi="Book Antiqua" w:cs="Times New Roman"/>
          <w:sz w:val="24"/>
          <w:szCs w:val="24"/>
          <w:lang w:val="en-US"/>
        </w:rPr>
        <w:t>adiponectin</w:t>
      </w:r>
      <w:proofErr w:type="spellEnd"/>
      <w:r w:rsidRPr="006A39A0">
        <w:rPr>
          <w:rFonts w:ascii="Book Antiqua" w:hAnsi="Book Antiqua" w:cs="Times New Roman"/>
          <w:sz w:val="24"/>
          <w:szCs w:val="24"/>
          <w:lang w:val="en-US"/>
        </w:rPr>
        <w:t xml:space="preserve">, which may activate AMPK. Collectively, this leads to greater glucose uptake by adipose tissue and skeletal muscle and reduces hepatic glucose release, which may contribute to ADV36-induced improvement in systemic glycemic </w:t>
      </w:r>
      <w:proofErr w:type="gramStart"/>
      <w:r w:rsidRPr="006A39A0">
        <w:rPr>
          <w:rFonts w:ascii="Book Antiqua" w:hAnsi="Book Antiqua" w:cs="Times New Roman"/>
          <w:sz w:val="24"/>
          <w:szCs w:val="24"/>
          <w:lang w:val="en-US"/>
        </w:rPr>
        <w:t>control</w:t>
      </w:r>
      <w:r w:rsidRPr="00F4248D">
        <w:rPr>
          <w:rFonts w:ascii="Book Antiqua" w:hAnsi="Book Antiqua" w:cs="Times New Roman"/>
          <w:sz w:val="24"/>
          <w:szCs w:val="24"/>
          <w:vertAlign w:val="superscript"/>
          <w:lang w:val="en-US"/>
        </w:rPr>
        <w:t>[</w:t>
      </w:r>
      <w:proofErr w:type="gramEnd"/>
      <w:r w:rsidRPr="00F4248D">
        <w:rPr>
          <w:rFonts w:ascii="Book Antiqua" w:hAnsi="Book Antiqua" w:cs="Times New Roman"/>
          <w:sz w:val="24"/>
          <w:szCs w:val="24"/>
          <w:vertAlign w:val="superscript"/>
          <w:lang w:val="en-US"/>
        </w:rPr>
        <w:t>53]</w:t>
      </w:r>
      <w:r w:rsidRPr="006A39A0">
        <w:rPr>
          <w:rFonts w:ascii="Book Antiqua" w:hAnsi="Book Antiqua" w:cs="Times New Roman"/>
          <w:sz w:val="24"/>
          <w:szCs w:val="24"/>
          <w:lang w:val="en-US"/>
        </w:rPr>
        <w:t>.</w:t>
      </w:r>
      <w:r w:rsidR="00F4248D">
        <w:rPr>
          <w:rFonts w:ascii="Book Antiqua" w:hAnsi="Book Antiqua" w:cs="Times New Roman" w:hint="eastAsia"/>
          <w:sz w:val="24"/>
          <w:szCs w:val="24"/>
          <w:lang w:val="en-US" w:eastAsia="zh-CN"/>
        </w:rPr>
        <w:t xml:space="preserve"> </w:t>
      </w:r>
      <w:r w:rsidRPr="006A39A0">
        <w:rPr>
          <w:rFonts w:ascii="Book Antiqua" w:hAnsi="Book Antiqua" w:cs="Times New Roman"/>
          <w:sz w:val="24"/>
          <w:szCs w:val="24"/>
          <w:lang w:val="en-US"/>
        </w:rPr>
        <w:t>Mod</w:t>
      </w:r>
      <w:r w:rsidR="00F4248D">
        <w:rPr>
          <w:rFonts w:ascii="Book Antiqua" w:hAnsi="Book Antiqua" w:cs="Times New Roman"/>
          <w:sz w:val="24"/>
          <w:szCs w:val="24"/>
          <w:lang w:val="en-US"/>
        </w:rPr>
        <w:t xml:space="preserve">ified from </w:t>
      </w:r>
      <w:proofErr w:type="spellStart"/>
      <w:proofErr w:type="gramStart"/>
      <w:r w:rsidR="00F4248D">
        <w:rPr>
          <w:rFonts w:ascii="Book Antiqua" w:hAnsi="Book Antiqua" w:cs="Times New Roman"/>
          <w:sz w:val="24"/>
          <w:szCs w:val="24"/>
          <w:lang w:val="en-US"/>
        </w:rPr>
        <w:t>Krishnapuram</w:t>
      </w:r>
      <w:proofErr w:type="spellEnd"/>
      <w:r w:rsidR="00F4248D">
        <w:rPr>
          <w:rFonts w:ascii="Book Antiqua" w:hAnsi="Book Antiqua" w:cs="Times New Roman"/>
          <w:sz w:val="24"/>
          <w:szCs w:val="24"/>
          <w:lang w:val="en-US"/>
        </w:rPr>
        <w:t xml:space="preserve">  </w:t>
      </w:r>
      <w:r w:rsidR="00F4248D" w:rsidRPr="00F4248D">
        <w:rPr>
          <w:rFonts w:ascii="Book Antiqua" w:hAnsi="Book Antiqua" w:cs="Times New Roman"/>
          <w:i/>
          <w:sz w:val="24"/>
          <w:szCs w:val="24"/>
          <w:lang w:val="en-US"/>
        </w:rPr>
        <w:t>et</w:t>
      </w:r>
      <w:proofErr w:type="gramEnd"/>
      <w:r w:rsidR="00F4248D" w:rsidRPr="00F4248D">
        <w:rPr>
          <w:rFonts w:ascii="Book Antiqua" w:hAnsi="Book Antiqua" w:cs="Times New Roman"/>
          <w:i/>
          <w:sz w:val="24"/>
          <w:szCs w:val="24"/>
          <w:lang w:val="en-US"/>
        </w:rPr>
        <w:t xml:space="preserve"> al</w:t>
      </w:r>
      <w:r w:rsidR="00F4248D" w:rsidRPr="00F4248D">
        <w:rPr>
          <w:rFonts w:ascii="Book Antiqua" w:hAnsi="Book Antiqua" w:cs="Times New Roman" w:hint="eastAsia"/>
          <w:sz w:val="24"/>
          <w:szCs w:val="24"/>
          <w:vertAlign w:val="superscript"/>
          <w:lang w:val="en-US" w:eastAsia="zh-CN"/>
        </w:rPr>
        <w:t>[54]</w:t>
      </w:r>
      <w:r w:rsidR="00F4248D">
        <w:rPr>
          <w:rFonts w:ascii="Book Antiqua" w:hAnsi="Book Antiqua" w:cs="Times New Roman" w:hint="eastAsia"/>
          <w:sz w:val="24"/>
          <w:szCs w:val="24"/>
          <w:lang w:val="en-US" w:eastAsia="zh-CN"/>
        </w:rPr>
        <w:t>.</w:t>
      </w:r>
    </w:p>
    <w:p w:rsidR="00F4248D" w:rsidRDefault="00F4248D" w:rsidP="008019CB">
      <w:pPr>
        <w:adjustRightInd w:val="0"/>
        <w:snapToGrid w:val="0"/>
        <w:spacing w:after="0" w:line="360" w:lineRule="auto"/>
        <w:jc w:val="both"/>
        <w:rPr>
          <w:rFonts w:ascii="Book Antiqua" w:hAnsi="Book Antiqua" w:cs="Times New Roman"/>
          <w:sz w:val="24"/>
          <w:szCs w:val="24"/>
          <w:lang w:val="en-US" w:eastAsia="zh-CN"/>
        </w:rPr>
      </w:pPr>
    </w:p>
    <w:p w:rsidR="00D37614" w:rsidRPr="00F4248D" w:rsidRDefault="00D37614" w:rsidP="008019CB">
      <w:pPr>
        <w:adjustRightInd w:val="0"/>
        <w:snapToGrid w:val="0"/>
        <w:spacing w:after="0" w:line="360" w:lineRule="auto"/>
        <w:jc w:val="both"/>
        <w:rPr>
          <w:rFonts w:ascii="Book Antiqua" w:hAnsi="Book Antiqua" w:cs="Times New Roman"/>
          <w:sz w:val="24"/>
          <w:szCs w:val="24"/>
          <w:lang w:val="en-US" w:eastAsia="zh-CN"/>
        </w:rPr>
      </w:pPr>
      <w:r>
        <w:rPr>
          <w:rFonts w:ascii="Book Antiqua" w:hAnsi="Book Antiqua" w:cs="Times New Roman" w:hint="eastAsia"/>
          <w:noProof/>
          <w:sz w:val="24"/>
          <w:szCs w:val="24"/>
          <w:lang w:val="en-US" w:eastAsia="zh-CN"/>
        </w:rPr>
        <w:drawing>
          <wp:inline distT="0" distB="0" distL="0" distR="0" wp14:anchorId="6B756EB7" wp14:editId="13254B29">
            <wp:extent cx="1394960" cy="134824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9  WJG. Trovato et al Odds Ratio of compound seropositivity to NAFL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95174" cy="1348447"/>
                    </a:xfrm>
                    <a:prstGeom prst="rect">
                      <a:avLst/>
                    </a:prstGeom>
                  </pic:spPr>
                </pic:pic>
              </a:graphicData>
            </a:graphic>
          </wp:inline>
        </w:drawing>
      </w:r>
    </w:p>
    <w:p w:rsidR="00D37614" w:rsidRPr="0079500A" w:rsidRDefault="00F4248D" w:rsidP="008019CB">
      <w:pPr>
        <w:adjustRightInd w:val="0"/>
        <w:snapToGrid w:val="0"/>
        <w:spacing w:after="0" w:line="360" w:lineRule="auto"/>
        <w:jc w:val="both"/>
        <w:rPr>
          <w:rFonts w:ascii="Book Antiqua" w:hAnsi="Book Antiqua" w:cs="Times New Roman"/>
          <w:sz w:val="24"/>
          <w:szCs w:val="24"/>
          <w:lang w:val="en-US" w:eastAsia="zh-CN"/>
        </w:rPr>
      </w:pPr>
      <w:r w:rsidRPr="00D37614">
        <w:rPr>
          <w:rFonts w:ascii="Book Antiqua" w:hAnsi="Book Antiqua" w:cs="Times New Roman"/>
          <w:b/>
          <w:sz w:val="24"/>
          <w:szCs w:val="24"/>
          <w:lang w:val="en-US"/>
        </w:rPr>
        <w:t xml:space="preserve"> </w:t>
      </w:r>
      <w:r w:rsidR="00C914A1" w:rsidRPr="00D37614">
        <w:rPr>
          <w:rFonts w:ascii="Book Antiqua" w:hAnsi="Book Antiqua" w:cs="Times New Roman"/>
          <w:b/>
          <w:sz w:val="24"/>
          <w:szCs w:val="24"/>
          <w:lang w:val="en-US"/>
        </w:rPr>
        <w:t>Figure</w:t>
      </w:r>
      <w:r w:rsidR="00D37614" w:rsidRPr="00D37614">
        <w:rPr>
          <w:rFonts w:ascii="Book Antiqua" w:hAnsi="Book Antiqua" w:cs="Times New Roman"/>
          <w:b/>
          <w:sz w:val="24"/>
          <w:szCs w:val="24"/>
          <w:lang w:val="en-US"/>
        </w:rPr>
        <w:t xml:space="preserve"> </w:t>
      </w:r>
      <w:proofErr w:type="gramStart"/>
      <w:r w:rsidR="005507A2">
        <w:rPr>
          <w:rFonts w:ascii="Book Antiqua" w:hAnsi="Book Antiqua" w:cs="Times New Roman" w:hint="eastAsia"/>
          <w:b/>
          <w:sz w:val="24"/>
          <w:szCs w:val="24"/>
          <w:lang w:val="en-US" w:eastAsia="zh-CN"/>
        </w:rPr>
        <w:t>8</w:t>
      </w:r>
      <w:r w:rsidR="000D6437" w:rsidRPr="00D37614">
        <w:rPr>
          <w:rFonts w:ascii="Book Antiqua" w:hAnsi="Book Antiqua" w:cs="Times New Roman"/>
          <w:b/>
          <w:sz w:val="24"/>
          <w:szCs w:val="24"/>
          <w:lang w:val="en-US"/>
        </w:rPr>
        <w:t xml:space="preserve"> Compound</w:t>
      </w:r>
      <w:r w:rsidR="00C914A1" w:rsidRPr="00D37614">
        <w:rPr>
          <w:rFonts w:ascii="Book Antiqua" w:hAnsi="Book Antiqua" w:cs="Times New Roman"/>
          <w:b/>
          <w:sz w:val="24"/>
          <w:szCs w:val="24"/>
          <w:lang w:val="en-US"/>
        </w:rPr>
        <w:t xml:space="preserve"> </w:t>
      </w:r>
      <w:r w:rsidR="000D6437" w:rsidRPr="00D37614">
        <w:rPr>
          <w:rFonts w:ascii="Book Antiqua" w:hAnsi="Book Antiqua" w:cs="Times New Roman"/>
          <w:b/>
          <w:sz w:val="24"/>
          <w:szCs w:val="24"/>
          <w:lang w:val="en-US"/>
        </w:rPr>
        <w:t xml:space="preserve">ADV36/ADV37 </w:t>
      </w:r>
      <w:proofErr w:type="spellStart"/>
      <w:r w:rsidR="000D6437" w:rsidRPr="00D37614">
        <w:rPr>
          <w:rFonts w:ascii="Book Antiqua" w:hAnsi="Book Antiqua" w:cs="Times New Roman"/>
          <w:b/>
          <w:sz w:val="24"/>
          <w:szCs w:val="24"/>
          <w:lang w:val="en-US"/>
        </w:rPr>
        <w:t>seropositivity</w:t>
      </w:r>
      <w:proofErr w:type="spellEnd"/>
      <w:proofErr w:type="gramEnd"/>
      <w:r w:rsidR="000D6437" w:rsidRPr="00D37614">
        <w:rPr>
          <w:rFonts w:ascii="Book Antiqua" w:hAnsi="Book Antiqua" w:cs="Times New Roman"/>
          <w:b/>
          <w:sz w:val="24"/>
          <w:szCs w:val="24"/>
          <w:lang w:val="en-US"/>
        </w:rPr>
        <w:t xml:space="preserve"> is associated with a risk profile more similar to ADV37 </w:t>
      </w:r>
      <w:proofErr w:type="spellStart"/>
      <w:r w:rsidR="000D6437" w:rsidRPr="00D37614">
        <w:rPr>
          <w:rFonts w:ascii="Book Antiqua" w:hAnsi="Book Antiqua" w:cs="Times New Roman"/>
          <w:b/>
          <w:sz w:val="24"/>
          <w:szCs w:val="24"/>
          <w:lang w:val="en-US"/>
        </w:rPr>
        <w:t>seropositivity</w:t>
      </w:r>
      <w:proofErr w:type="spellEnd"/>
      <w:r w:rsidR="000D6437" w:rsidRPr="00D37614">
        <w:rPr>
          <w:rFonts w:ascii="Book Antiqua" w:hAnsi="Book Antiqua" w:cs="Times New Roman"/>
          <w:b/>
          <w:sz w:val="24"/>
          <w:szCs w:val="24"/>
          <w:lang w:val="en-US"/>
        </w:rPr>
        <w:t xml:space="preserve">, whose effect is not blunted by ADV36 </w:t>
      </w:r>
      <w:proofErr w:type="spellStart"/>
      <w:r w:rsidR="000D6437" w:rsidRPr="00D37614">
        <w:rPr>
          <w:rFonts w:ascii="Book Antiqua" w:hAnsi="Book Antiqua" w:cs="Times New Roman"/>
          <w:b/>
          <w:sz w:val="24"/>
          <w:szCs w:val="24"/>
          <w:lang w:val="en-US"/>
        </w:rPr>
        <w:t>seropositivity</w:t>
      </w:r>
      <w:proofErr w:type="spellEnd"/>
      <w:r w:rsidR="000D6437" w:rsidRPr="00D37614">
        <w:rPr>
          <w:rFonts w:ascii="Book Antiqua" w:hAnsi="Book Antiqua" w:cs="Times New Roman"/>
          <w:b/>
          <w:sz w:val="24"/>
          <w:szCs w:val="24"/>
          <w:lang w:val="en-US"/>
        </w:rPr>
        <w:t>.</w:t>
      </w:r>
      <w:r w:rsidR="00D37614">
        <w:rPr>
          <w:rFonts w:ascii="Book Antiqua" w:hAnsi="Book Antiqua" w:cs="Times New Roman" w:hint="eastAsia"/>
          <w:b/>
          <w:sz w:val="24"/>
          <w:szCs w:val="24"/>
          <w:lang w:val="en-US" w:eastAsia="zh-CN"/>
        </w:rPr>
        <w:t xml:space="preserve"> </w:t>
      </w:r>
      <w:r w:rsidR="00D37614" w:rsidRPr="0079500A">
        <w:rPr>
          <w:rFonts w:ascii="Book Antiqua" w:hAnsi="Book Antiqua" w:cs="Times New Roman" w:hint="eastAsia"/>
          <w:caps/>
          <w:sz w:val="24"/>
          <w:szCs w:val="24"/>
          <w:lang w:val="en-US" w:eastAsia="zh-CN"/>
        </w:rPr>
        <w:t>nafld</w:t>
      </w:r>
      <w:r w:rsidR="00D37614" w:rsidRPr="0079500A">
        <w:rPr>
          <w:rFonts w:ascii="Book Antiqua" w:hAnsi="Book Antiqua" w:cs="Times New Roman" w:hint="eastAsia"/>
          <w:sz w:val="24"/>
          <w:szCs w:val="24"/>
          <w:lang w:val="en-US" w:eastAsia="zh-CN"/>
        </w:rPr>
        <w:t xml:space="preserve">: </w:t>
      </w:r>
      <w:r w:rsidR="00D37614" w:rsidRPr="0079500A">
        <w:rPr>
          <w:rFonts w:ascii="Book Antiqua" w:hAnsi="Book Antiqua" w:cs="Times New Roman"/>
          <w:sz w:val="24"/>
          <w:szCs w:val="24"/>
          <w:lang w:val="en-US"/>
        </w:rPr>
        <w:t>Non-alcoholic fatty liver disease</w:t>
      </w:r>
      <w:r w:rsidR="00D37614">
        <w:rPr>
          <w:rFonts w:ascii="Book Antiqua" w:hAnsi="Book Antiqua" w:cs="Times New Roman" w:hint="eastAsia"/>
          <w:sz w:val="24"/>
          <w:szCs w:val="24"/>
          <w:lang w:val="en-US" w:eastAsia="zh-CN"/>
        </w:rPr>
        <w:t>.</w:t>
      </w:r>
    </w:p>
    <w:p w:rsidR="00347CBE" w:rsidRDefault="00347CBE" w:rsidP="008019CB">
      <w:pPr>
        <w:adjustRightInd w:val="0"/>
        <w:snapToGrid w:val="0"/>
        <w:spacing w:after="0" w:line="360" w:lineRule="auto"/>
        <w:jc w:val="both"/>
        <w:rPr>
          <w:rFonts w:ascii="Book Antiqua" w:hAnsi="Book Antiqua" w:cs="Times New Roman"/>
          <w:b/>
          <w:sz w:val="24"/>
          <w:szCs w:val="24"/>
          <w:lang w:val="en-US" w:eastAsia="zh-CN"/>
        </w:rPr>
      </w:pPr>
    </w:p>
    <w:p w:rsidR="0056161E" w:rsidRDefault="0056161E" w:rsidP="008019CB">
      <w:pPr>
        <w:adjustRightInd w:val="0"/>
        <w:snapToGrid w:val="0"/>
        <w:spacing w:after="0" w:line="360" w:lineRule="auto"/>
        <w:rPr>
          <w:lang w:val="en-US"/>
        </w:rPr>
      </w:pPr>
      <w:r>
        <w:rPr>
          <w:lang w:val="en-US"/>
        </w:rPr>
        <w:br w:type="page"/>
      </w:r>
    </w:p>
    <w:p w:rsidR="0056161E" w:rsidRPr="0056161E" w:rsidRDefault="0056161E" w:rsidP="008019CB">
      <w:pPr>
        <w:adjustRightInd w:val="0"/>
        <w:snapToGrid w:val="0"/>
        <w:spacing w:after="0" w:line="360" w:lineRule="auto"/>
        <w:rPr>
          <w:rFonts w:ascii="Book Antiqua" w:hAnsi="Book Antiqua"/>
          <w:b/>
          <w:sz w:val="24"/>
          <w:szCs w:val="24"/>
          <w:lang w:val="en-US"/>
        </w:rPr>
      </w:pPr>
      <w:r w:rsidRPr="0056161E">
        <w:rPr>
          <w:rFonts w:ascii="Book Antiqua" w:hAnsi="Book Antiqua"/>
          <w:b/>
          <w:sz w:val="24"/>
          <w:szCs w:val="24"/>
          <w:lang w:val="en-US"/>
        </w:rPr>
        <w:lastRenderedPageBreak/>
        <w:t xml:space="preserve">Table 1 </w:t>
      </w:r>
      <w:proofErr w:type="gramStart"/>
      <w:r w:rsidRPr="0056161E">
        <w:rPr>
          <w:rFonts w:ascii="Book Antiqua" w:hAnsi="Book Antiqua"/>
          <w:b/>
          <w:sz w:val="24"/>
          <w:szCs w:val="24"/>
          <w:lang w:val="en-US"/>
        </w:rPr>
        <w:t>Multiple</w:t>
      </w:r>
      <w:proofErr w:type="gramEnd"/>
      <w:r w:rsidRPr="0056161E">
        <w:rPr>
          <w:rFonts w:ascii="Book Antiqua" w:hAnsi="Book Antiqua"/>
          <w:b/>
          <w:sz w:val="24"/>
          <w:szCs w:val="24"/>
          <w:lang w:val="en-US"/>
        </w:rPr>
        <w:t xml:space="preserve"> linear regressions to body mass index and homeostasis model assessment</w:t>
      </w:r>
    </w:p>
    <w:tbl>
      <w:tblPr>
        <w:tblW w:w="5000" w:type="pct"/>
        <w:tblCellMar>
          <w:left w:w="70" w:type="dxa"/>
          <w:right w:w="70" w:type="dxa"/>
        </w:tblCellMar>
        <w:tblLook w:val="04A0" w:firstRow="1" w:lastRow="0" w:firstColumn="1" w:lastColumn="0" w:noHBand="0" w:noVBand="1"/>
      </w:tblPr>
      <w:tblGrid>
        <w:gridCol w:w="2763"/>
        <w:gridCol w:w="708"/>
        <w:gridCol w:w="810"/>
        <w:gridCol w:w="1520"/>
        <w:gridCol w:w="995"/>
        <w:gridCol w:w="997"/>
        <w:gridCol w:w="997"/>
        <w:gridCol w:w="988"/>
      </w:tblGrid>
      <w:tr w:rsidR="0056161E" w:rsidRPr="0056161E" w:rsidTr="007B2FDC">
        <w:trPr>
          <w:trHeight w:val="255"/>
        </w:trPr>
        <w:tc>
          <w:tcPr>
            <w:tcW w:w="1413" w:type="pct"/>
            <w:tcBorders>
              <w:top w:val="single" w:sz="4" w:space="0" w:color="000000"/>
              <w:bottom w:val="single" w:sz="4" w:space="0" w:color="auto"/>
            </w:tcBorders>
            <w:shd w:val="clear" w:color="auto" w:fill="auto"/>
            <w:noWrap/>
            <w:vAlign w:val="center"/>
          </w:tcPr>
          <w:p w:rsidR="0056161E" w:rsidRPr="0056161E" w:rsidRDefault="0056161E" w:rsidP="008019CB">
            <w:pPr>
              <w:adjustRightInd w:val="0"/>
              <w:snapToGrid w:val="0"/>
              <w:spacing w:after="0" w:line="360" w:lineRule="auto"/>
              <w:rPr>
                <w:rFonts w:ascii="Book Antiqua" w:hAnsi="Book Antiqua"/>
                <w:i/>
              </w:rPr>
            </w:pPr>
          </w:p>
        </w:tc>
        <w:tc>
          <w:tcPr>
            <w:tcW w:w="362" w:type="pct"/>
            <w:tcBorders>
              <w:top w:val="single" w:sz="4" w:space="0" w:color="000000"/>
              <w:bottom w:val="single" w:sz="4" w:space="0" w:color="auto"/>
            </w:tcBorders>
            <w:shd w:val="clear" w:color="auto" w:fill="auto"/>
            <w:noWrap/>
            <w:vAlign w:val="center"/>
          </w:tcPr>
          <w:p w:rsidR="0056161E" w:rsidRPr="00031C84" w:rsidRDefault="0056161E" w:rsidP="008019CB">
            <w:pPr>
              <w:adjustRightInd w:val="0"/>
              <w:snapToGrid w:val="0"/>
              <w:spacing w:after="0" w:line="360" w:lineRule="auto"/>
              <w:rPr>
                <w:rFonts w:ascii="Book Antiqua" w:hAnsi="Book Antiqua"/>
                <w:i/>
                <w:lang w:eastAsia="zh-CN"/>
              </w:rPr>
            </w:pPr>
            <w:r w:rsidRPr="00031C84">
              <w:rPr>
                <w:rFonts w:ascii="Book Antiqua" w:hAnsi="Book Antiqua" w:hint="eastAsia"/>
                <w:i/>
                <w:lang w:eastAsia="zh-CN"/>
              </w:rPr>
              <w:t>r</w:t>
            </w:r>
          </w:p>
        </w:tc>
        <w:tc>
          <w:tcPr>
            <w:tcW w:w="414" w:type="pct"/>
            <w:tcBorders>
              <w:top w:val="single" w:sz="4" w:space="0" w:color="000000"/>
              <w:bottom w:val="single" w:sz="4" w:space="0" w:color="auto"/>
            </w:tcBorders>
            <w:shd w:val="clear" w:color="auto" w:fill="auto"/>
            <w:noWrap/>
            <w:vAlign w:val="center"/>
          </w:tcPr>
          <w:p w:rsidR="0056161E" w:rsidRPr="0056161E" w:rsidRDefault="0056161E" w:rsidP="008019CB">
            <w:pPr>
              <w:adjustRightInd w:val="0"/>
              <w:snapToGrid w:val="0"/>
              <w:spacing w:after="0" w:line="360" w:lineRule="auto"/>
              <w:rPr>
                <w:rFonts w:ascii="Book Antiqua" w:hAnsi="Book Antiqua"/>
              </w:rPr>
            </w:pPr>
            <w:r w:rsidRPr="00031C84">
              <w:rPr>
                <w:rFonts w:ascii="Book Antiqua" w:hAnsi="Book Antiqua" w:hint="eastAsia"/>
                <w:i/>
                <w:lang w:eastAsia="zh-CN"/>
              </w:rPr>
              <w:t>r</w:t>
            </w:r>
            <w:r w:rsidRPr="0056161E">
              <w:rPr>
                <w:rFonts w:ascii="Book Antiqua" w:hAnsi="Book Antiqua"/>
                <w:vertAlign w:val="superscript"/>
              </w:rPr>
              <w:t>2</w:t>
            </w:r>
          </w:p>
        </w:tc>
        <w:tc>
          <w:tcPr>
            <w:tcW w:w="777" w:type="pct"/>
            <w:tcBorders>
              <w:top w:val="single" w:sz="4" w:space="0" w:color="000000"/>
              <w:bottom w:val="single" w:sz="4" w:space="0" w:color="auto"/>
            </w:tcBorders>
            <w:shd w:val="clear" w:color="auto" w:fill="auto"/>
            <w:noWrap/>
            <w:vAlign w:val="center"/>
          </w:tcPr>
          <w:p w:rsidR="0056161E" w:rsidRPr="0056161E" w:rsidRDefault="0056161E" w:rsidP="008019CB">
            <w:pPr>
              <w:adjustRightInd w:val="0"/>
              <w:snapToGrid w:val="0"/>
              <w:spacing w:after="0" w:line="360" w:lineRule="auto"/>
              <w:rPr>
                <w:rFonts w:ascii="Book Antiqua" w:hAnsi="Book Antiqua"/>
              </w:rPr>
            </w:pPr>
            <w:r w:rsidRPr="00031C84">
              <w:rPr>
                <w:rFonts w:ascii="Book Antiqua" w:hAnsi="Book Antiqua" w:hint="eastAsia"/>
                <w:i/>
                <w:lang w:eastAsia="zh-CN"/>
              </w:rPr>
              <w:t>r</w:t>
            </w:r>
            <w:r w:rsidRPr="0056161E">
              <w:rPr>
                <w:rFonts w:ascii="Book Antiqua" w:hAnsi="Book Antiqua"/>
                <w:vertAlign w:val="superscript"/>
              </w:rPr>
              <w:t xml:space="preserve">2 </w:t>
            </w:r>
            <w:r w:rsidR="00031C84" w:rsidRPr="0056161E">
              <w:rPr>
                <w:rFonts w:ascii="Book Antiqua" w:hAnsi="Book Antiqua"/>
              </w:rPr>
              <w:t>c</w:t>
            </w:r>
            <w:r w:rsidRPr="0056161E">
              <w:rPr>
                <w:rFonts w:ascii="Book Antiqua" w:hAnsi="Book Antiqua"/>
              </w:rPr>
              <w:t>hange</w:t>
            </w:r>
          </w:p>
        </w:tc>
        <w:tc>
          <w:tcPr>
            <w:tcW w:w="509" w:type="pct"/>
            <w:tcBorders>
              <w:top w:val="single" w:sz="4" w:space="0" w:color="000000"/>
              <w:bottom w:val="single" w:sz="4" w:space="0" w:color="auto"/>
            </w:tcBorders>
          </w:tcPr>
          <w:p w:rsidR="0056161E" w:rsidRPr="0056161E" w:rsidRDefault="0056161E" w:rsidP="008019CB">
            <w:pPr>
              <w:adjustRightInd w:val="0"/>
              <w:snapToGrid w:val="0"/>
              <w:spacing w:after="0" w:line="360" w:lineRule="auto"/>
              <w:jc w:val="center"/>
              <w:rPr>
                <w:rFonts w:ascii="Book Antiqua" w:hAnsi="Book Antiqua"/>
                <w:i/>
              </w:rPr>
            </w:pPr>
            <w:r w:rsidRPr="0056161E">
              <w:rPr>
                <w:rFonts w:ascii="Book Antiqua" w:hAnsi="Book Antiqua"/>
                <w:i/>
              </w:rPr>
              <w:t xml:space="preserve">F </w:t>
            </w:r>
          </w:p>
        </w:tc>
        <w:tc>
          <w:tcPr>
            <w:tcW w:w="510" w:type="pct"/>
            <w:tcBorders>
              <w:top w:val="single" w:sz="4" w:space="0" w:color="000000"/>
              <w:bottom w:val="single" w:sz="4" w:space="0" w:color="auto"/>
            </w:tcBorders>
          </w:tcPr>
          <w:p w:rsidR="0056161E" w:rsidRPr="0056161E" w:rsidRDefault="0056161E" w:rsidP="008019CB">
            <w:pPr>
              <w:adjustRightInd w:val="0"/>
              <w:snapToGrid w:val="0"/>
              <w:spacing w:after="0" w:line="360" w:lineRule="auto"/>
              <w:jc w:val="center"/>
              <w:rPr>
                <w:rFonts w:ascii="Book Antiqua" w:hAnsi="Book Antiqua"/>
              </w:rPr>
            </w:pPr>
            <w:r w:rsidRPr="0056161E">
              <w:rPr>
                <w:rFonts w:ascii="Book Antiqua" w:hAnsi="Book Antiqua"/>
              </w:rPr>
              <w:t>sig</w:t>
            </w:r>
          </w:p>
        </w:tc>
        <w:tc>
          <w:tcPr>
            <w:tcW w:w="510" w:type="pct"/>
            <w:tcBorders>
              <w:top w:val="single" w:sz="4" w:space="0" w:color="000000"/>
              <w:bottom w:val="single" w:sz="4" w:space="0" w:color="auto"/>
            </w:tcBorders>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r w:rsidRPr="0056161E">
              <w:rPr>
                <w:rFonts w:ascii="Book Antiqua" w:hAnsi="Book Antiqua"/>
              </w:rPr>
              <w:t>β</w:t>
            </w:r>
          </w:p>
        </w:tc>
        <w:tc>
          <w:tcPr>
            <w:tcW w:w="505" w:type="pct"/>
            <w:tcBorders>
              <w:top w:val="single" w:sz="4" w:space="0" w:color="000000"/>
              <w:bottom w:val="single" w:sz="4" w:space="0" w:color="auto"/>
            </w:tcBorders>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caps/>
                <w:lang w:eastAsia="zh-CN"/>
              </w:rPr>
            </w:pPr>
            <w:r w:rsidRPr="0056161E">
              <w:rPr>
                <w:rFonts w:ascii="Book Antiqua" w:hAnsi="Book Antiqua"/>
                <w:i/>
                <w:caps/>
              </w:rPr>
              <w:t>p</w:t>
            </w:r>
            <w:r w:rsidRPr="0056161E">
              <w:rPr>
                <w:rFonts w:ascii="Book Antiqua" w:hAnsi="Book Antiqua"/>
                <w:caps/>
                <w:lang w:eastAsia="zh-CN"/>
              </w:rPr>
              <w:t>-</w:t>
            </w:r>
            <w:r w:rsidRPr="0056161E">
              <w:rPr>
                <w:rFonts w:ascii="Book Antiqua" w:hAnsi="Book Antiqua"/>
                <w:lang w:eastAsia="zh-CN"/>
              </w:rPr>
              <w:t>value</w:t>
            </w:r>
          </w:p>
        </w:tc>
      </w:tr>
      <w:tr w:rsidR="00031C84" w:rsidRPr="0056161E" w:rsidTr="007B2FDC">
        <w:trPr>
          <w:trHeight w:val="193"/>
        </w:trPr>
        <w:tc>
          <w:tcPr>
            <w:tcW w:w="5000" w:type="pct"/>
            <w:gridSpan w:val="8"/>
            <w:tcBorders>
              <w:top w:val="single" w:sz="4" w:space="0" w:color="auto"/>
              <w:bottom w:val="single" w:sz="4" w:space="0" w:color="auto"/>
            </w:tcBorders>
            <w:shd w:val="clear" w:color="auto" w:fill="auto"/>
            <w:noWrap/>
            <w:vAlign w:val="center"/>
          </w:tcPr>
          <w:p w:rsidR="00031C84" w:rsidRPr="0056161E" w:rsidRDefault="00031C84" w:rsidP="008019CB">
            <w:pPr>
              <w:adjustRightInd w:val="0"/>
              <w:snapToGrid w:val="0"/>
              <w:spacing w:after="0" w:line="360" w:lineRule="auto"/>
              <w:jc w:val="center"/>
              <w:rPr>
                <w:rFonts w:ascii="Book Antiqua" w:hAnsi="Book Antiqua"/>
              </w:rPr>
            </w:pPr>
            <w:r w:rsidRPr="0056161E">
              <w:rPr>
                <w:rFonts w:ascii="Book Antiqua" w:hAnsi="Book Antiqua"/>
              </w:rPr>
              <w:t>BMI</w:t>
            </w:r>
          </w:p>
        </w:tc>
      </w:tr>
      <w:tr w:rsidR="0056161E" w:rsidRPr="0056161E" w:rsidTr="007B2FDC">
        <w:trPr>
          <w:trHeight w:val="193"/>
        </w:trPr>
        <w:tc>
          <w:tcPr>
            <w:tcW w:w="1413" w:type="pct"/>
            <w:tcBorders>
              <w:top w:val="single" w:sz="4" w:space="0" w:color="auto"/>
            </w:tcBorders>
            <w:shd w:val="clear" w:color="auto" w:fill="auto"/>
            <w:noWrap/>
            <w:vAlign w:val="center"/>
          </w:tcPr>
          <w:p w:rsidR="0056161E" w:rsidRPr="0056161E" w:rsidRDefault="0056161E" w:rsidP="008019CB">
            <w:pPr>
              <w:adjustRightInd w:val="0"/>
              <w:snapToGrid w:val="0"/>
              <w:spacing w:after="0" w:line="360" w:lineRule="auto"/>
              <w:rPr>
                <w:rFonts w:ascii="Book Antiqua" w:hAnsi="Book Antiqua"/>
              </w:rPr>
            </w:pPr>
          </w:p>
        </w:tc>
        <w:tc>
          <w:tcPr>
            <w:tcW w:w="362" w:type="pct"/>
            <w:tcBorders>
              <w:top w:val="single" w:sz="4" w:space="0" w:color="auto"/>
            </w:tcBorders>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r w:rsidRPr="0056161E">
              <w:rPr>
                <w:rFonts w:ascii="Book Antiqua" w:hAnsi="Book Antiqua"/>
              </w:rPr>
              <w:t>0</w:t>
            </w:r>
            <w:r w:rsidRPr="0056161E">
              <w:rPr>
                <w:rFonts w:ascii="Book Antiqua" w:hAnsi="Book Antiqua"/>
                <w:lang w:eastAsia="zh-CN"/>
              </w:rPr>
              <w:t>.</w:t>
            </w:r>
            <w:r w:rsidRPr="0056161E">
              <w:rPr>
                <w:rFonts w:ascii="Book Antiqua" w:hAnsi="Book Antiqua"/>
              </w:rPr>
              <w:t>667</w:t>
            </w:r>
          </w:p>
        </w:tc>
        <w:tc>
          <w:tcPr>
            <w:tcW w:w="414" w:type="pct"/>
            <w:tcBorders>
              <w:top w:val="single" w:sz="4" w:space="0" w:color="auto"/>
            </w:tcBorders>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r w:rsidRPr="0056161E">
              <w:rPr>
                <w:rFonts w:ascii="Book Antiqua" w:hAnsi="Book Antiqua"/>
              </w:rPr>
              <w:t>0</w:t>
            </w:r>
            <w:r w:rsidRPr="0056161E">
              <w:rPr>
                <w:rFonts w:ascii="Book Antiqua" w:hAnsi="Book Antiqua"/>
                <w:lang w:eastAsia="zh-CN"/>
              </w:rPr>
              <w:t>.</w:t>
            </w:r>
            <w:r w:rsidRPr="0056161E">
              <w:rPr>
                <w:rFonts w:ascii="Book Antiqua" w:hAnsi="Book Antiqua"/>
              </w:rPr>
              <w:t>445</w:t>
            </w:r>
          </w:p>
        </w:tc>
        <w:tc>
          <w:tcPr>
            <w:tcW w:w="777" w:type="pct"/>
            <w:tcBorders>
              <w:top w:val="single" w:sz="4" w:space="0" w:color="auto"/>
            </w:tcBorders>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r w:rsidRPr="0056161E">
              <w:rPr>
                <w:rFonts w:ascii="Book Antiqua" w:hAnsi="Book Antiqua"/>
              </w:rPr>
              <w:t>0</w:t>
            </w:r>
            <w:r w:rsidRPr="0056161E">
              <w:rPr>
                <w:rFonts w:ascii="Book Antiqua" w:hAnsi="Book Antiqua"/>
                <w:lang w:eastAsia="zh-CN"/>
              </w:rPr>
              <w:t>.</w:t>
            </w:r>
            <w:r w:rsidRPr="0056161E">
              <w:rPr>
                <w:rFonts w:ascii="Book Antiqua" w:hAnsi="Book Antiqua"/>
              </w:rPr>
              <w:t>445</w:t>
            </w:r>
          </w:p>
        </w:tc>
        <w:tc>
          <w:tcPr>
            <w:tcW w:w="509" w:type="pct"/>
            <w:tcBorders>
              <w:top w:val="single" w:sz="4" w:space="0" w:color="auto"/>
            </w:tcBorders>
          </w:tcPr>
          <w:p w:rsidR="0056161E" w:rsidRPr="0056161E" w:rsidRDefault="0056161E" w:rsidP="008019CB">
            <w:pPr>
              <w:adjustRightInd w:val="0"/>
              <w:snapToGrid w:val="0"/>
              <w:spacing w:after="0" w:line="360" w:lineRule="auto"/>
              <w:jc w:val="center"/>
              <w:rPr>
                <w:rFonts w:ascii="Book Antiqua" w:hAnsi="Book Antiqua"/>
              </w:rPr>
            </w:pPr>
            <w:r w:rsidRPr="0056161E">
              <w:rPr>
                <w:rFonts w:ascii="Book Antiqua" w:hAnsi="Book Antiqua"/>
              </w:rPr>
              <w:t>17</w:t>
            </w:r>
            <w:r w:rsidRPr="0056161E">
              <w:rPr>
                <w:rFonts w:ascii="Book Antiqua" w:hAnsi="Book Antiqua"/>
                <w:lang w:eastAsia="zh-CN"/>
              </w:rPr>
              <w:t>.</w:t>
            </w:r>
            <w:r w:rsidRPr="0056161E">
              <w:rPr>
                <w:rFonts w:ascii="Book Antiqua" w:hAnsi="Book Antiqua"/>
              </w:rPr>
              <w:t>842</w:t>
            </w:r>
          </w:p>
        </w:tc>
        <w:tc>
          <w:tcPr>
            <w:tcW w:w="510" w:type="pct"/>
            <w:tcBorders>
              <w:top w:val="single" w:sz="4" w:space="0" w:color="auto"/>
            </w:tcBorders>
          </w:tcPr>
          <w:p w:rsidR="0056161E" w:rsidRPr="0056161E" w:rsidRDefault="0056161E" w:rsidP="008019CB">
            <w:pPr>
              <w:adjustRightInd w:val="0"/>
              <w:snapToGrid w:val="0"/>
              <w:spacing w:after="0" w:line="360" w:lineRule="auto"/>
              <w:jc w:val="center"/>
              <w:rPr>
                <w:rFonts w:ascii="Book Antiqua" w:hAnsi="Book Antiqua"/>
                <w:b/>
              </w:rPr>
            </w:pPr>
            <w:r w:rsidRPr="0056161E">
              <w:rPr>
                <w:rFonts w:ascii="Book Antiqua" w:hAnsi="Book Antiqua"/>
                <w:b/>
              </w:rPr>
              <w:t>&lt;</w:t>
            </w:r>
            <w:r w:rsidRPr="0056161E">
              <w:rPr>
                <w:rFonts w:ascii="Book Antiqua" w:hAnsi="Book Antiqua"/>
                <w:b/>
                <w:lang w:eastAsia="zh-CN"/>
              </w:rPr>
              <w:t xml:space="preserve"> </w:t>
            </w:r>
            <w:r w:rsidRPr="0056161E">
              <w:rPr>
                <w:rFonts w:ascii="Book Antiqua" w:hAnsi="Book Antiqua"/>
                <w:b/>
              </w:rPr>
              <w:t>0</w:t>
            </w:r>
            <w:r w:rsidRPr="0056161E">
              <w:rPr>
                <w:rFonts w:ascii="Book Antiqua" w:hAnsi="Book Antiqua"/>
                <w:b/>
                <w:lang w:eastAsia="zh-CN"/>
              </w:rPr>
              <w:t>.</w:t>
            </w:r>
            <w:r w:rsidRPr="0056161E">
              <w:rPr>
                <w:rFonts w:ascii="Book Antiqua" w:hAnsi="Book Antiqua"/>
                <w:b/>
              </w:rPr>
              <w:t>0001</w:t>
            </w:r>
          </w:p>
        </w:tc>
        <w:tc>
          <w:tcPr>
            <w:tcW w:w="510" w:type="pct"/>
            <w:tcBorders>
              <w:top w:val="single" w:sz="4" w:space="0" w:color="auto"/>
            </w:tcBorders>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505" w:type="pct"/>
            <w:tcBorders>
              <w:top w:val="single" w:sz="4" w:space="0" w:color="auto"/>
            </w:tcBorders>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r>
      <w:tr w:rsidR="0056161E" w:rsidRPr="0056161E" w:rsidTr="00CE47CF">
        <w:trPr>
          <w:trHeight w:val="255"/>
        </w:trPr>
        <w:tc>
          <w:tcPr>
            <w:tcW w:w="1413" w:type="pct"/>
            <w:shd w:val="clear" w:color="auto" w:fill="auto"/>
            <w:vAlign w:val="center"/>
          </w:tcPr>
          <w:p w:rsidR="0056161E" w:rsidRPr="0056161E" w:rsidRDefault="0056161E" w:rsidP="008019CB">
            <w:pPr>
              <w:adjustRightInd w:val="0"/>
              <w:snapToGrid w:val="0"/>
              <w:spacing w:after="0" w:line="360" w:lineRule="auto"/>
              <w:rPr>
                <w:rFonts w:ascii="Book Antiqua" w:hAnsi="Book Antiqua"/>
                <w:lang w:val="en-GB"/>
              </w:rPr>
            </w:pPr>
            <w:r w:rsidRPr="0056161E">
              <w:rPr>
                <w:rFonts w:ascii="Book Antiqua" w:hAnsi="Book Antiqua"/>
                <w:lang w:val="en-GB"/>
              </w:rPr>
              <w:t>Waist/hip ratio</w:t>
            </w:r>
          </w:p>
        </w:tc>
        <w:tc>
          <w:tcPr>
            <w:tcW w:w="362"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414"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777"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509" w:type="pct"/>
          </w:tcPr>
          <w:p w:rsidR="0056161E" w:rsidRPr="0056161E" w:rsidRDefault="0056161E" w:rsidP="008019CB">
            <w:pPr>
              <w:adjustRightInd w:val="0"/>
              <w:snapToGrid w:val="0"/>
              <w:spacing w:after="0" w:line="360" w:lineRule="auto"/>
              <w:jc w:val="center"/>
              <w:rPr>
                <w:rFonts w:ascii="Book Antiqua" w:hAnsi="Book Antiqua"/>
              </w:rPr>
            </w:pPr>
          </w:p>
        </w:tc>
        <w:tc>
          <w:tcPr>
            <w:tcW w:w="510" w:type="pct"/>
          </w:tcPr>
          <w:p w:rsidR="0056161E" w:rsidRPr="0056161E" w:rsidRDefault="0056161E" w:rsidP="008019CB">
            <w:pPr>
              <w:adjustRightInd w:val="0"/>
              <w:snapToGrid w:val="0"/>
              <w:spacing w:after="0" w:line="360" w:lineRule="auto"/>
              <w:jc w:val="center"/>
              <w:rPr>
                <w:rFonts w:ascii="Book Antiqua" w:hAnsi="Book Antiqua"/>
              </w:rPr>
            </w:pPr>
          </w:p>
        </w:tc>
        <w:tc>
          <w:tcPr>
            <w:tcW w:w="510" w:type="pct"/>
            <w:shd w:val="clear" w:color="auto" w:fill="auto"/>
            <w:vAlign w:val="center"/>
          </w:tcPr>
          <w:p w:rsidR="0056161E" w:rsidRPr="0056161E" w:rsidRDefault="0056161E" w:rsidP="008019CB">
            <w:pPr>
              <w:adjustRightInd w:val="0"/>
              <w:snapToGrid w:val="0"/>
              <w:spacing w:after="0" w:line="360" w:lineRule="auto"/>
              <w:jc w:val="right"/>
              <w:rPr>
                <w:rFonts w:ascii="Book Antiqua" w:hAnsi="Book Antiqua"/>
              </w:rPr>
            </w:pPr>
            <w:r w:rsidRPr="0056161E">
              <w:rPr>
                <w:rFonts w:ascii="Book Antiqua" w:hAnsi="Book Antiqua"/>
                <w:szCs w:val="18"/>
              </w:rPr>
              <w:t>-0</w:t>
            </w:r>
            <w:r w:rsidR="00031C84">
              <w:rPr>
                <w:rFonts w:ascii="Book Antiqua" w:hAnsi="Book Antiqua" w:hint="eastAsia"/>
                <w:szCs w:val="18"/>
                <w:lang w:eastAsia="zh-CN"/>
              </w:rPr>
              <w:t>.</w:t>
            </w:r>
            <w:r w:rsidRPr="0056161E">
              <w:rPr>
                <w:rFonts w:ascii="Book Antiqua" w:hAnsi="Book Antiqua"/>
                <w:szCs w:val="18"/>
              </w:rPr>
              <w:t>013</w:t>
            </w:r>
          </w:p>
        </w:tc>
        <w:tc>
          <w:tcPr>
            <w:tcW w:w="505" w:type="pct"/>
            <w:shd w:val="clear" w:color="auto" w:fill="auto"/>
            <w:vAlign w:val="center"/>
          </w:tcPr>
          <w:p w:rsidR="0056161E" w:rsidRPr="0056161E" w:rsidRDefault="0056161E" w:rsidP="008019CB">
            <w:pPr>
              <w:adjustRightInd w:val="0"/>
              <w:snapToGrid w:val="0"/>
              <w:spacing w:after="0" w:line="360" w:lineRule="auto"/>
              <w:jc w:val="right"/>
              <w:rPr>
                <w:rFonts w:ascii="Book Antiqua" w:hAnsi="Book Antiqua"/>
                <w:szCs w:val="18"/>
              </w:rPr>
            </w:pPr>
            <w:r w:rsidRPr="0056161E">
              <w:rPr>
                <w:rFonts w:ascii="Book Antiqua" w:hAnsi="Book Antiqua"/>
                <w:szCs w:val="18"/>
              </w:rPr>
              <w:t>0</w:t>
            </w:r>
            <w:r w:rsidR="00031C84">
              <w:rPr>
                <w:rFonts w:ascii="Book Antiqua" w:hAnsi="Book Antiqua" w:hint="eastAsia"/>
                <w:szCs w:val="18"/>
                <w:lang w:eastAsia="zh-CN"/>
              </w:rPr>
              <w:t>.</w:t>
            </w:r>
            <w:r w:rsidRPr="0056161E">
              <w:rPr>
                <w:rFonts w:ascii="Book Antiqua" w:hAnsi="Book Antiqua"/>
                <w:szCs w:val="18"/>
              </w:rPr>
              <w:t>841</w:t>
            </w:r>
          </w:p>
        </w:tc>
      </w:tr>
      <w:tr w:rsidR="0056161E" w:rsidRPr="0056161E" w:rsidTr="00CE47CF">
        <w:trPr>
          <w:trHeight w:val="255"/>
        </w:trPr>
        <w:tc>
          <w:tcPr>
            <w:tcW w:w="1413" w:type="pct"/>
            <w:shd w:val="clear" w:color="auto" w:fill="auto"/>
            <w:vAlign w:val="center"/>
          </w:tcPr>
          <w:p w:rsidR="0056161E" w:rsidRPr="0056161E" w:rsidRDefault="0056161E" w:rsidP="008019CB">
            <w:pPr>
              <w:adjustRightInd w:val="0"/>
              <w:snapToGrid w:val="0"/>
              <w:spacing w:after="0" w:line="360" w:lineRule="auto"/>
              <w:rPr>
                <w:rFonts w:ascii="Book Antiqua" w:hAnsi="Book Antiqua"/>
                <w:lang w:val="en-GB"/>
              </w:rPr>
            </w:pPr>
            <w:r w:rsidRPr="0056161E">
              <w:rPr>
                <w:rFonts w:ascii="Book Antiqua" w:hAnsi="Book Antiqua"/>
                <w:lang w:val="en-GB"/>
              </w:rPr>
              <w:t>FM,</w:t>
            </w:r>
            <w:r w:rsidRPr="0056161E">
              <w:rPr>
                <w:rFonts w:ascii="Book Antiqua" w:hAnsi="Book Antiqua"/>
                <w:i/>
                <w:lang w:val="en-GB"/>
              </w:rPr>
              <w:t>%</w:t>
            </w:r>
          </w:p>
        </w:tc>
        <w:tc>
          <w:tcPr>
            <w:tcW w:w="362"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414"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777"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509" w:type="pct"/>
          </w:tcPr>
          <w:p w:rsidR="0056161E" w:rsidRPr="0056161E" w:rsidRDefault="0056161E" w:rsidP="008019CB">
            <w:pPr>
              <w:adjustRightInd w:val="0"/>
              <w:snapToGrid w:val="0"/>
              <w:spacing w:after="0" w:line="360" w:lineRule="auto"/>
              <w:jc w:val="center"/>
              <w:rPr>
                <w:rFonts w:ascii="Book Antiqua" w:hAnsi="Book Antiqua"/>
              </w:rPr>
            </w:pPr>
          </w:p>
        </w:tc>
        <w:tc>
          <w:tcPr>
            <w:tcW w:w="510" w:type="pct"/>
          </w:tcPr>
          <w:p w:rsidR="0056161E" w:rsidRPr="0056161E" w:rsidRDefault="0056161E" w:rsidP="008019CB">
            <w:pPr>
              <w:adjustRightInd w:val="0"/>
              <w:snapToGrid w:val="0"/>
              <w:spacing w:after="0" w:line="360" w:lineRule="auto"/>
              <w:jc w:val="center"/>
              <w:rPr>
                <w:rFonts w:ascii="Book Antiqua" w:hAnsi="Book Antiqua"/>
              </w:rPr>
            </w:pPr>
          </w:p>
        </w:tc>
        <w:tc>
          <w:tcPr>
            <w:tcW w:w="510" w:type="pct"/>
            <w:shd w:val="clear" w:color="auto" w:fill="auto"/>
            <w:vAlign w:val="center"/>
          </w:tcPr>
          <w:p w:rsidR="0056161E" w:rsidRPr="0056161E" w:rsidRDefault="0056161E" w:rsidP="008019CB">
            <w:pPr>
              <w:adjustRightInd w:val="0"/>
              <w:snapToGrid w:val="0"/>
              <w:spacing w:after="0" w:line="360" w:lineRule="auto"/>
              <w:jc w:val="right"/>
              <w:rPr>
                <w:rFonts w:ascii="Book Antiqua" w:hAnsi="Book Antiqua"/>
                <w:szCs w:val="18"/>
              </w:rPr>
            </w:pPr>
            <w:r w:rsidRPr="0056161E">
              <w:rPr>
                <w:rFonts w:ascii="Book Antiqua" w:hAnsi="Book Antiqua"/>
                <w:szCs w:val="18"/>
              </w:rPr>
              <w:t>0</w:t>
            </w:r>
            <w:r w:rsidR="00031C84">
              <w:rPr>
                <w:rFonts w:ascii="Book Antiqua" w:hAnsi="Book Antiqua" w:hint="eastAsia"/>
                <w:szCs w:val="18"/>
                <w:lang w:eastAsia="zh-CN"/>
              </w:rPr>
              <w:t>.</w:t>
            </w:r>
            <w:r w:rsidRPr="0056161E">
              <w:rPr>
                <w:rFonts w:ascii="Book Antiqua" w:hAnsi="Book Antiqua"/>
                <w:szCs w:val="18"/>
              </w:rPr>
              <w:t>105</w:t>
            </w:r>
          </w:p>
        </w:tc>
        <w:tc>
          <w:tcPr>
            <w:tcW w:w="505" w:type="pct"/>
            <w:shd w:val="clear" w:color="auto" w:fill="auto"/>
            <w:vAlign w:val="center"/>
          </w:tcPr>
          <w:p w:rsidR="0056161E" w:rsidRPr="0056161E" w:rsidRDefault="0056161E" w:rsidP="008019CB">
            <w:pPr>
              <w:adjustRightInd w:val="0"/>
              <w:snapToGrid w:val="0"/>
              <w:spacing w:after="0" w:line="360" w:lineRule="auto"/>
              <w:jc w:val="right"/>
              <w:rPr>
                <w:rFonts w:ascii="Book Antiqua" w:hAnsi="Book Antiqua"/>
                <w:szCs w:val="18"/>
              </w:rPr>
            </w:pPr>
            <w:r w:rsidRPr="0056161E">
              <w:rPr>
                <w:rFonts w:ascii="Book Antiqua" w:hAnsi="Book Antiqua"/>
                <w:szCs w:val="18"/>
              </w:rPr>
              <w:t>0</w:t>
            </w:r>
            <w:r w:rsidR="00031C84">
              <w:rPr>
                <w:rFonts w:ascii="Book Antiqua" w:hAnsi="Book Antiqua" w:hint="eastAsia"/>
                <w:szCs w:val="18"/>
                <w:lang w:eastAsia="zh-CN"/>
              </w:rPr>
              <w:t>.</w:t>
            </w:r>
            <w:r w:rsidRPr="0056161E">
              <w:rPr>
                <w:rFonts w:ascii="Book Antiqua" w:hAnsi="Book Antiqua"/>
                <w:szCs w:val="18"/>
              </w:rPr>
              <w:t>084</w:t>
            </w:r>
          </w:p>
        </w:tc>
      </w:tr>
      <w:tr w:rsidR="0056161E" w:rsidRPr="0056161E" w:rsidTr="00CE47CF">
        <w:trPr>
          <w:trHeight w:val="255"/>
        </w:trPr>
        <w:tc>
          <w:tcPr>
            <w:tcW w:w="1413" w:type="pct"/>
            <w:shd w:val="clear" w:color="auto" w:fill="auto"/>
            <w:vAlign w:val="center"/>
          </w:tcPr>
          <w:p w:rsidR="0056161E" w:rsidRPr="0056161E" w:rsidRDefault="0056161E" w:rsidP="008019CB">
            <w:pPr>
              <w:adjustRightInd w:val="0"/>
              <w:snapToGrid w:val="0"/>
              <w:spacing w:after="0" w:line="360" w:lineRule="auto"/>
              <w:rPr>
                <w:rFonts w:ascii="Book Antiqua" w:hAnsi="Book Antiqua"/>
                <w:lang w:val="en-GB"/>
              </w:rPr>
            </w:pPr>
            <w:r w:rsidRPr="0056161E">
              <w:rPr>
                <w:rFonts w:ascii="Book Antiqua" w:hAnsi="Book Antiqua"/>
                <w:lang w:val="en-GB"/>
              </w:rPr>
              <w:t xml:space="preserve">Total </w:t>
            </w:r>
            <w:r w:rsidR="00031C84" w:rsidRPr="0056161E">
              <w:rPr>
                <w:rFonts w:ascii="Book Antiqua" w:hAnsi="Book Antiqua"/>
                <w:lang w:val="en-GB"/>
              </w:rPr>
              <w:t>ch</w:t>
            </w:r>
            <w:r w:rsidRPr="0056161E">
              <w:rPr>
                <w:rFonts w:ascii="Book Antiqua" w:hAnsi="Book Antiqua"/>
                <w:lang w:val="en-GB"/>
              </w:rPr>
              <w:t>olesterol,</w:t>
            </w:r>
            <w:r w:rsidRPr="0056161E">
              <w:rPr>
                <w:rFonts w:ascii="Book Antiqua" w:hAnsi="Book Antiqua"/>
                <w:lang w:val="en-US"/>
              </w:rPr>
              <w:t xml:space="preserve"> </w:t>
            </w:r>
            <w:r w:rsidRPr="00031C84">
              <w:rPr>
                <w:rFonts w:ascii="Book Antiqua" w:hAnsi="Book Antiqua"/>
                <w:lang w:val="en-GB"/>
              </w:rPr>
              <w:t>mg/</w:t>
            </w:r>
            <w:proofErr w:type="spellStart"/>
            <w:r w:rsidRPr="00031C84">
              <w:rPr>
                <w:rFonts w:ascii="Book Antiqua" w:hAnsi="Book Antiqua"/>
                <w:lang w:val="en-GB"/>
              </w:rPr>
              <w:t>d</w:t>
            </w:r>
            <w:r w:rsidRPr="00031C84">
              <w:rPr>
                <w:rFonts w:ascii="Book Antiqua" w:hAnsi="Book Antiqua"/>
                <w:caps/>
                <w:lang w:val="en-GB"/>
              </w:rPr>
              <w:t>l</w:t>
            </w:r>
            <w:proofErr w:type="spellEnd"/>
          </w:p>
        </w:tc>
        <w:tc>
          <w:tcPr>
            <w:tcW w:w="362"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414"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777"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509" w:type="pct"/>
          </w:tcPr>
          <w:p w:rsidR="0056161E" w:rsidRPr="0056161E" w:rsidRDefault="0056161E" w:rsidP="008019CB">
            <w:pPr>
              <w:adjustRightInd w:val="0"/>
              <w:snapToGrid w:val="0"/>
              <w:spacing w:after="0" w:line="360" w:lineRule="auto"/>
              <w:jc w:val="center"/>
              <w:rPr>
                <w:rFonts w:ascii="Book Antiqua" w:hAnsi="Book Antiqua"/>
              </w:rPr>
            </w:pPr>
          </w:p>
        </w:tc>
        <w:tc>
          <w:tcPr>
            <w:tcW w:w="510" w:type="pct"/>
          </w:tcPr>
          <w:p w:rsidR="0056161E" w:rsidRPr="0056161E" w:rsidRDefault="0056161E" w:rsidP="008019CB">
            <w:pPr>
              <w:adjustRightInd w:val="0"/>
              <w:snapToGrid w:val="0"/>
              <w:spacing w:after="0" w:line="360" w:lineRule="auto"/>
              <w:jc w:val="center"/>
              <w:rPr>
                <w:rFonts w:ascii="Book Antiqua" w:hAnsi="Book Antiqua"/>
              </w:rPr>
            </w:pPr>
          </w:p>
        </w:tc>
        <w:tc>
          <w:tcPr>
            <w:tcW w:w="510" w:type="pct"/>
            <w:shd w:val="clear" w:color="auto" w:fill="auto"/>
            <w:vAlign w:val="center"/>
          </w:tcPr>
          <w:p w:rsidR="0056161E" w:rsidRPr="0056161E" w:rsidRDefault="0056161E" w:rsidP="008019CB">
            <w:pPr>
              <w:adjustRightInd w:val="0"/>
              <w:snapToGrid w:val="0"/>
              <w:spacing w:after="0" w:line="360" w:lineRule="auto"/>
              <w:jc w:val="right"/>
              <w:rPr>
                <w:rFonts w:ascii="Book Antiqua" w:hAnsi="Book Antiqua"/>
                <w:szCs w:val="18"/>
              </w:rPr>
            </w:pPr>
            <w:r w:rsidRPr="0056161E">
              <w:rPr>
                <w:rFonts w:ascii="Book Antiqua" w:hAnsi="Book Antiqua"/>
                <w:szCs w:val="18"/>
              </w:rPr>
              <w:t>0</w:t>
            </w:r>
            <w:r w:rsidR="00031C84">
              <w:rPr>
                <w:rFonts w:ascii="Book Antiqua" w:hAnsi="Book Antiqua" w:hint="eastAsia"/>
                <w:szCs w:val="18"/>
                <w:lang w:eastAsia="zh-CN"/>
              </w:rPr>
              <w:t>.</w:t>
            </w:r>
            <w:r w:rsidRPr="0056161E">
              <w:rPr>
                <w:rFonts w:ascii="Book Antiqua" w:hAnsi="Book Antiqua"/>
                <w:szCs w:val="18"/>
              </w:rPr>
              <w:t>148</w:t>
            </w:r>
          </w:p>
        </w:tc>
        <w:tc>
          <w:tcPr>
            <w:tcW w:w="505" w:type="pct"/>
            <w:shd w:val="clear" w:color="auto" w:fill="auto"/>
            <w:vAlign w:val="center"/>
          </w:tcPr>
          <w:p w:rsidR="0056161E" w:rsidRPr="0056161E" w:rsidRDefault="0056161E" w:rsidP="008019CB">
            <w:pPr>
              <w:adjustRightInd w:val="0"/>
              <w:snapToGrid w:val="0"/>
              <w:spacing w:after="0" w:line="360" w:lineRule="auto"/>
              <w:jc w:val="right"/>
              <w:rPr>
                <w:rFonts w:ascii="Book Antiqua" w:hAnsi="Book Antiqua"/>
                <w:b/>
                <w:szCs w:val="18"/>
              </w:rPr>
            </w:pPr>
            <w:r w:rsidRPr="0056161E">
              <w:rPr>
                <w:rFonts w:ascii="Book Antiqua" w:hAnsi="Book Antiqua"/>
                <w:b/>
                <w:szCs w:val="18"/>
              </w:rPr>
              <w:t>0</w:t>
            </w:r>
            <w:r w:rsidR="00031C84">
              <w:rPr>
                <w:rFonts w:ascii="Book Antiqua" w:hAnsi="Book Antiqua" w:hint="eastAsia"/>
                <w:b/>
                <w:szCs w:val="18"/>
                <w:lang w:eastAsia="zh-CN"/>
              </w:rPr>
              <w:t>.</w:t>
            </w:r>
            <w:r w:rsidRPr="0056161E">
              <w:rPr>
                <w:rFonts w:ascii="Book Antiqua" w:hAnsi="Book Antiqua"/>
                <w:b/>
                <w:szCs w:val="18"/>
              </w:rPr>
              <w:t>039</w:t>
            </w:r>
          </w:p>
        </w:tc>
      </w:tr>
      <w:tr w:rsidR="0056161E" w:rsidRPr="0056161E" w:rsidTr="00CE47CF">
        <w:trPr>
          <w:trHeight w:val="255"/>
        </w:trPr>
        <w:tc>
          <w:tcPr>
            <w:tcW w:w="1413" w:type="pct"/>
            <w:shd w:val="clear" w:color="auto" w:fill="auto"/>
            <w:vAlign w:val="center"/>
          </w:tcPr>
          <w:p w:rsidR="0056161E" w:rsidRPr="0056161E" w:rsidRDefault="0056161E" w:rsidP="008019CB">
            <w:pPr>
              <w:adjustRightInd w:val="0"/>
              <w:snapToGrid w:val="0"/>
              <w:spacing w:after="0" w:line="360" w:lineRule="auto"/>
              <w:rPr>
                <w:rFonts w:ascii="Book Antiqua" w:hAnsi="Book Antiqua"/>
                <w:lang w:val="en-GB"/>
              </w:rPr>
            </w:pPr>
            <w:r w:rsidRPr="0056161E">
              <w:rPr>
                <w:rFonts w:ascii="Book Antiqua" w:hAnsi="Book Antiqua"/>
                <w:lang w:val="en-GB"/>
              </w:rPr>
              <w:t xml:space="preserve">HDL </w:t>
            </w:r>
            <w:r w:rsidR="00031C84" w:rsidRPr="0056161E">
              <w:rPr>
                <w:rFonts w:ascii="Book Antiqua" w:hAnsi="Book Antiqua"/>
                <w:lang w:val="en-GB"/>
              </w:rPr>
              <w:t>c</w:t>
            </w:r>
            <w:r w:rsidRPr="0056161E">
              <w:rPr>
                <w:rFonts w:ascii="Book Antiqua" w:hAnsi="Book Antiqua"/>
                <w:lang w:val="en-GB"/>
              </w:rPr>
              <w:t>holesterol</w:t>
            </w:r>
            <w:r w:rsidRPr="0056161E">
              <w:rPr>
                <w:rFonts w:ascii="Book Antiqua" w:hAnsi="Book Antiqua"/>
                <w:lang w:val="en-US"/>
              </w:rPr>
              <w:t>,</w:t>
            </w:r>
            <w:r w:rsidRPr="00031C84">
              <w:rPr>
                <w:rFonts w:ascii="Book Antiqua" w:hAnsi="Book Antiqua"/>
                <w:lang w:val="en-US"/>
              </w:rPr>
              <w:t xml:space="preserve"> </w:t>
            </w:r>
            <w:r w:rsidRPr="00031C84">
              <w:rPr>
                <w:rFonts w:ascii="Book Antiqua" w:hAnsi="Book Antiqua"/>
                <w:lang w:val="en-GB"/>
              </w:rPr>
              <w:t>mg/</w:t>
            </w:r>
            <w:proofErr w:type="spellStart"/>
            <w:r w:rsidRPr="00031C84">
              <w:rPr>
                <w:rFonts w:ascii="Book Antiqua" w:hAnsi="Book Antiqua"/>
                <w:lang w:val="en-GB"/>
              </w:rPr>
              <w:t>d</w:t>
            </w:r>
            <w:r w:rsidRPr="00031C84">
              <w:rPr>
                <w:rFonts w:ascii="Book Antiqua" w:hAnsi="Book Antiqua"/>
                <w:caps/>
                <w:lang w:val="en-GB"/>
              </w:rPr>
              <w:t>l</w:t>
            </w:r>
            <w:proofErr w:type="spellEnd"/>
          </w:p>
        </w:tc>
        <w:tc>
          <w:tcPr>
            <w:tcW w:w="362"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414"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777"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509" w:type="pct"/>
          </w:tcPr>
          <w:p w:rsidR="0056161E" w:rsidRPr="0056161E" w:rsidRDefault="0056161E" w:rsidP="008019CB">
            <w:pPr>
              <w:adjustRightInd w:val="0"/>
              <w:snapToGrid w:val="0"/>
              <w:spacing w:after="0" w:line="360" w:lineRule="auto"/>
              <w:jc w:val="center"/>
              <w:rPr>
                <w:rFonts w:ascii="Book Antiqua" w:hAnsi="Book Antiqua"/>
              </w:rPr>
            </w:pPr>
          </w:p>
        </w:tc>
        <w:tc>
          <w:tcPr>
            <w:tcW w:w="510" w:type="pct"/>
          </w:tcPr>
          <w:p w:rsidR="0056161E" w:rsidRPr="0056161E" w:rsidRDefault="0056161E" w:rsidP="008019CB">
            <w:pPr>
              <w:adjustRightInd w:val="0"/>
              <w:snapToGrid w:val="0"/>
              <w:spacing w:after="0" w:line="360" w:lineRule="auto"/>
              <w:jc w:val="center"/>
              <w:rPr>
                <w:rFonts w:ascii="Book Antiqua" w:hAnsi="Book Antiqua"/>
              </w:rPr>
            </w:pPr>
          </w:p>
        </w:tc>
        <w:tc>
          <w:tcPr>
            <w:tcW w:w="510" w:type="pct"/>
            <w:shd w:val="clear" w:color="auto" w:fill="auto"/>
            <w:vAlign w:val="center"/>
          </w:tcPr>
          <w:p w:rsidR="0056161E" w:rsidRPr="0056161E" w:rsidRDefault="0056161E" w:rsidP="008019CB">
            <w:pPr>
              <w:adjustRightInd w:val="0"/>
              <w:snapToGrid w:val="0"/>
              <w:spacing w:after="0" w:line="360" w:lineRule="auto"/>
              <w:jc w:val="right"/>
              <w:rPr>
                <w:rFonts w:ascii="Book Antiqua" w:hAnsi="Book Antiqua"/>
                <w:szCs w:val="18"/>
              </w:rPr>
            </w:pPr>
            <w:r w:rsidRPr="0056161E">
              <w:rPr>
                <w:rFonts w:ascii="Book Antiqua" w:hAnsi="Book Antiqua"/>
                <w:szCs w:val="18"/>
              </w:rPr>
              <w:t>-0</w:t>
            </w:r>
            <w:r w:rsidR="00031C84">
              <w:rPr>
                <w:rFonts w:ascii="Book Antiqua" w:hAnsi="Book Antiqua" w:hint="eastAsia"/>
                <w:szCs w:val="18"/>
                <w:lang w:eastAsia="zh-CN"/>
              </w:rPr>
              <w:t>.</w:t>
            </w:r>
            <w:r w:rsidRPr="0056161E">
              <w:rPr>
                <w:rFonts w:ascii="Book Antiqua" w:hAnsi="Book Antiqua"/>
                <w:szCs w:val="18"/>
              </w:rPr>
              <w:t>088</w:t>
            </w:r>
          </w:p>
        </w:tc>
        <w:tc>
          <w:tcPr>
            <w:tcW w:w="505" w:type="pct"/>
            <w:shd w:val="clear" w:color="auto" w:fill="auto"/>
            <w:vAlign w:val="center"/>
          </w:tcPr>
          <w:p w:rsidR="0056161E" w:rsidRPr="0056161E" w:rsidRDefault="0056161E" w:rsidP="008019CB">
            <w:pPr>
              <w:adjustRightInd w:val="0"/>
              <w:snapToGrid w:val="0"/>
              <w:spacing w:after="0" w:line="360" w:lineRule="auto"/>
              <w:jc w:val="right"/>
              <w:rPr>
                <w:rFonts w:ascii="Book Antiqua" w:hAnsi="Book Antiqua"/>
                <w:szCs w:val="18"/>
              </w:rPr>
            </w:pPr>
            <w:r w:rsidRPr="0056161E">
              <w:rPr>
                <w:rFonts w:ascii="Book Antiqua" w:hAnsi="Book Antiqua"/>
                <w:szCs w:val="18"/>
              </w:rPr>
              <w:t>0</w:t>
            </w:r>
            <w:r w:rsidR="00031C84">
              <w:rPr>
                <w:rFonts w:ascii="Book Antiqua" w:hAnsi="Book Antiqua" w:hint="eastAsia"/>
                <w:szCs w:val="18"/>
                <w:lang w:eastAsia="zh-CN"/>
              </w:rPr>
              <w:t>.</w:t>
            </w:r>
            <w:r w:rsidRPr="0056161E">
              <w:rPr>
                <w:rFonts w:ascii="Book Antiqua" w:hAnsi="Book Antiqua"/>
                <w:szCs w:val="18"/>
              </w:rPr>
              <w:t>259</w:t>
            </w:r>
          </w:p>
        </w:tc>
      </w:tr>
      <w:tr w:rsidR="0056161E" w:rsidRPr="0056161E" w:rsidTr="00CE47CF">
        <w:trPr>
          <w:trHeight w:val="255"/>
        </w:trPr>
        <w:tc>
          <w:tcPr>
            <w:tcW w:w="1413" w:type="pct"/>
            <w:shd w:val="clear" w:color="auto" w:fill="auto"/>
            <w:vAlign w:val="center"/>
          </w:tcPr>
          <w:p w:rsidR="0056161E" w:rsidRPr="0056161E" w:rsidRDefault="0056161E" w:rsidP="008019CB">
            <w:pPr>
              <w:adjustRightInd w:val="0"/>
              <w:snapToGrid w:val="0"/>
              <w:spacing w:after="0" w:line="360" w:lineRule="auto"/>
              <w:rPr>
                <w:rFonts w:ascii="Book Antiqua" w:hAnsi="Book Antiqua"/>
                <w:lang w:val="en-GB"/>
              </w:rPr>
            </w:pPr>
            <w:r w:rsidRPr="0056161E">
              <w:rPr>
                <w:rFonts w:ascii="Book Antiqua" w:hAnsi="Book Antiqua"/>
                <w:lang w:val="en-GB"/>
              </w:rPr>
              <w:t>Triglycerides</w:t>
            </w:r>
            <w:r w:rsidRPr="0056161E">
              <w:rPr>
                <w:rFonts w:ascii="Book Antiqua" w:hAnsi="Book Antiqua"/>
                <w:lang w:val="en-US"/>
              </w:rPr>
              <w:t xml:space="preserve">, </w:t>
            </w:r>
            <w:r w:rsidRPr="00031C84">
              <w:rPr>
                <w:rFonts w:ascii="Book Antiqua" w:hAnsi="Book Antiqua"/>
                <w:lang w:val="en-GB"/>
              </w:rPr>
              <w:t>mg/</w:t>
            </w:r>
            <w:proofErr w:type="spellStart"/>
            <w:r w:rsidRPr="00031C84">
              <w:rPr>
                <w:rFonts w:ascii="Book Antiqua" w:hAnsi="Book Antiqua"/>
                <w:lang w:val="en-GB"/>
              </w:rPr>
              <w:t>d</w:t>
            </w:r>
            <w:r w:rsidRPr="00031C84">
              <w:rPr>
                <w:rFonts w:ascii="Book Antiqua" w:hAnsi="Book Antiqua"/>
                <w:caps/>
                <w:lang w:val="en-GB"/>
              </w:rPr>
              <w:t>l</w:t>
            </w:r>
            <w:proofErr w:type="spellEnd"/>
          </w:p>
        </w:tc>
        <w:tc>
          <w:tcPr>
            <w:tcW w:w="362"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414"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777"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509" w:type="pct"/>
          </w:tcPr>
          <w:p w:rsidR="0056161E" w:rsidRPr="0056161E" w:rsidRDefault="0056161E" w:rsidP="008019CB">
            <w:pPr>
              <w:adjustRightInd w:val="0"/>
              <w:snapToGrid w:val="0"/>
              <w:spacing w:after="0" w:line="360" w:lineRule="auto"/>
              <w:jc w:val="center"/>
              <w:rPr>
                <w:rFonts w:ascii="Book Antiqua" w:hAnsi="Book Antiqua"/>
              </w:rPr>
            </w:pPr>
          </w:p>
        </w:tc>
        <w:tc>
          <w:tcPr>
            <w:tcW w:w="510" w:type="pct"/>
          </w:tcPr>
          <w:p w:rsidR="0056161E" w:rsidRPr="0056161E" w:rsidRDefault="0056161E" w:rsidP="008019CB">
            <w:pPr>
              <w:adjustRightInd w:val="0"/>
              <w:snapToGrid w:val="0"/>
              <w:spacing w:after="0" w:line="360" w:lineRule="auto"/>
              <w:jc w:val="center"/>
              <w:rPr>
                <w:rFonts w:ascii="Book Antiqua" w:hAnsi="Book Antiqua"/>
              </w:rPr>
            </w:pPr>
          </w:p>
        </w:tc>
        <w:tc>
          <w:tcPr>
            <w:tcW w:w="510" w:type="pct"/>
            <w:shd w:val="clear" w:color="auto" w:fill="auto"/>
            <w:vAlign w:val="center"/>
          </w:tcPr>
          <w:p w:rsidR="0056161E" w:rsidRPr="0056161E" w:rsidRDefault="0056161E" w:rsidP="008019CB">
            <w:pPr>
              <w:adjustRightInd w:val="0"/>
              <w:snapToGrid w:val="0"/>
              <w:spacing w:after="0" w:line="360" w:lineRule="auto"/>
              <w:jc w:val="right"/>
              <w:rPr>
                <w:rFonts w:ascii="Book Antiqua" w:hAnsi="Book Antiqua"/>
                <w:szCs w:val="18"/>
              </w:rPr>
            </w:pPr>
            <w:r w:rsidRPr="0056161E">
              <w:rPr>
                <w:rFonts w:ascii="Book Antiqua" w:hAnsi="Book Antiqua"/>
                <w:szCs w:val="18"/>
              </w:rPr>
              <w:t>-0</w:t>
            </w:r>
            <w:r w:rsidR="00031C84">
              <w:rPr>
                <w:rFonts w:ascii="Book Antiqua" w:hAnsi="Book Antiqua" w:hint="eastAsia"/>
                <w:szCs w:val="18"/>
                <w:lang w:eastAsia="zh-CN"/>
              </w:rPr>
              <w:t>.</w:t>
            </w:r>
            <w:r w:rsidRPr="0056161E">
              <w:rPr>
                <w:rFonts w:ascii="Book Antiqua" w:hAnsi="Book Antiqua"/>
                <w:szCs w:val="18"/>
              </w:rPr>
              <w:t>103</w:t>
            </w:r>
          </w:p>
        </w:tc>
        <w:tc>
          <w:tcPr>
            <w:tcW w:w="505" w:type="pct"/>
            <w:shd w:val="clear" w:color="auto" w:fill="auto"/>
            <w:vAlign w:val="center"/>
          </w:tcPr>
          <w:p w:rsidR="0056161E" w:rsidRPr="0056161E" w:rsidRDefault="0056161E" w:rsidP="008019CB">
            <w:pPr>
              <w:adjustRightInd w:val="0"/>
              <w:snapToGrid w:val="0"/>
              <w:spacing w:after="0" w:line="360" w:lineRule="auto"/>
              <w:jc w:val="right"/>
              <w:rPr>
                <w:rFonts w:ascii="Book Antiqua" w:hAnsi="Book Antiqua"/>
                <w:szCs w:val="18"/>
              </w:rPr>
            </w:pPr>
            <w:r w:rsidRPr="0056161E">
              <w:rPr>
                <w:rFonts w:ascii="Book Antiqua" w:hAnsi="Book Antiqua"/>
                <w:szCs w:val="18"/>
              </w:rPr>
              <w:t>0</w:t>
            </w:r>
            <w:r w:rsidR="00031C84">
              <w:rPr>
                <w:rFonts w:ascii="Book Antiqua" w:hAnsi="Book Antiqua" w:hint="eastAsia"/>
                <w:szCs w:val="18"/>
                <w:lang w:eastAsia="zh-CN"/>
              </w:rPr>
              <w:t>.</w:t>
            </w:r>
            <w:r w:rsidRPr="0056161E">
              <w:rPr>
                <w:rFonts w:ascii="Book Antiqua" w:hAnsi="Book Antiqua"/>
                <w:szCs w:val="18"/>
              </w:rPr>
              <w:t>184</w:t>
            </w:r>
          </w:p>
        </w:tc>
      </w:tr>
      <w:tr w:rsidR="0056161E" w:rsidRPr="0056161E" w:rsidTr="00CE47CF">
        <w:trPr>
          <w:trHeight w:val="255"/>
        </w:trPr>
        <w:tc>
          <w:tcPr>
            <w:tcW w:w="1413" w:type="pct"/>
            <w:shd w:val="clear" w:color="auto" w:fill="auto"/>
          </w:tcPr>
          <w:p w:rsidR="0056161E" w:rsidRPr="0056161E" w:rsidRDefault="0056161E" w:rsidP="008019CB">
            <w:pPr>
              <w:adjustRightInd w:val="0"/>
              <w:snapToGrid w:val="0"/>
              <w:spacing w:after="0" w:line="360" w:lineRule="auto"/>
              <w:rPr>
                <w:rFonts w:ascii="Book Antiqua" w:hAnsi="Book Antiqua" w:cs="Arial"/>
              </w:rPr>
            </w:pPr>
            <w:r w:rsidRPr="0056161E">
              <w:rPr>
                <w:rFonts w:ascii="Book Antiqua" w:hAnsi="Book Antiqua"/>
                <w:lang w:val="en-GB"/>
              </w:rPr>
              <w:t>HOMA</w:t>
            </w:r>
          </w:p>
        </w:tc>
        <w:tc>
          <w:tcPr>
            <w:tcW w:w="362"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414"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777"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509" w:type="pct"/>
          </w:tcPr>
          <w:p w:rsidR="0056161E" w:rsidRPr="0056161E" w:rsidRDefault="0056161E" w:rsidP="008019CB">
            <w:pPr>
              <w:adjustRightInd w:val="0"/>
              <w:snapToGrid w:val="0"/>
              <w:spacing w:after="0" w:line="360" w:lineRule="auto"/>
              <w:jc w:val="center"/>
              <w:rPr>
                <w:rFonts w:ascii="Book Antiqua" w:hAnsi="Book Antiqua"/>
              </w:rPr>
            </w:pPr>
          </w:p>
        </w:tc>
        <w:tc>
          <w:tcPr>
            <w:tcW w:w="510" w:type="pct"/>
          </w:tcPr>
          <w:p w:rsidR="0056161E" w:rsidRPr="0056161E" w:rsidRDefault="0056161E" w:rsidP="008019CB">
            <w:pPr>
              <w:adjustRightInd w:val="0"/>
              <w:snapToGrid w:val="0"/>
              <w:spacing w:after="0" w:line="360" w:lineRule="auto"/>
              <w:jc w:val="center"/>
              <w:rPr>
                <w:rFonts w:ascii="Book Antiqua" w:hAnsi="Book Antiqua"/>
              </w:rPr>
            </w:pPr>
          </w:p>
        </w:tc>
        <w:tc>
          <w:tcPr>
            <w:tcW w:w="510" w:type="pct"/>
            <w:shd w:val="clear" w:color="auto" w:fill="auto"/>
            <w:vAlign w:val="center"/>
          </w:tcPr>
          <w:p w:rsidR="0056161E" w:rsidRPr="0056161E" w:rsidRDefault="0056161E" w:rsidP="008019CB">
            <w:pPr>
              <w:adjustRightInd w:val="0"/>
              <w:snapToGrid w:val="0"/>
              <w:spacing w:after="0" w:line="360" w:lineRule="auto"/>
              <w:jc w:val="right"/>
              <w:rPr>
                <w:rFonts w:ascii="Book Antiqua" w:hAnsi="Book Antiqua"/>
                <w:szCs w:val="18"/>
              </w:rPr>
            </w:pPr>
            <w:r w:rsidRPr="0056161E">
              <w:rPr>
                <w:rFonts w:ascii="Book Antiqua" w:hAnsi="Book Antiqua"/>
                <w:szCs w:val="18"/>
              </w:rPr>
              <w:t>0</w:t>
            </w:r>
            <w:r w:rsidR="00031C84">
              <w:rPr>
                <w:rFonts w:ascii="Book Antiqua" w:hAnsi="Book Antiqua" w:hint="eastAsia"/>
                <w:szCs w:val="18"/>
                <w:lang w:eastAsia="zh-CN"/>
              </w:rPr>
              <w:t>.</w:t>
            </w:r>
            <w:r w:rsidRPr="0056161E">
              <w:rPr>
                <w:rFonts w:ascii="Book Antiqua" w:hAnsi="Book Antiqua"/>
                <w:szCs w:val="18"/>
              </w:rPr>
              <w:t>564</w:t>
            </w:r>
          </w:p>
        </w:tc>
        <w:tc>
          <w:tcPr>
            <w:tcW w:w="505" w:type="pct"/>
            <w:shd w:val="clear" w:color="auto" w:fill="auto"/>
            <w:vAlign w:val="center"/>
          </w:tcPr>
          <w:p w:rsidR="0056161E" w:rsidRPr="0056161E" w:rsidRDefault="0056161E" w:rsidP="008019CB">
            <w:pPr>
              <w:adjustRightInd w:val="0"/>
              <w:snapToGrid w:val="0"/>
              <w:spacing w:after="0" w:line="360" w:lineRule="auto"/>
              <w:jc w:val="right"/>
              <w:rPr>
                <w:rFonts w:ascii="Book Antiqua" w:hAnsi="Book Antiqua"/>
                <w:b/>
                <w:szCs w:val="18"/>
              </w:rPr>
            </w:pPr>
            <w:r w:rsidRPr="0056161E">
              <w:rPr>
                <w:rFonts w:ascii="Book Antiqua" w:hAnsi="Book Antiqua"/>
                <w:b/>
                <w:szCs w:val="18"/>
              </w:rPr>
              <w:t>&lt;</w:t>
            </w:r>
            <w:r w:rsidR="00031C84">
              <w:rPr>
                <w:rFonts w:ascii="Book Antiqua" w:hAnsi="Book Antiqua" w:hint="eastAsia"/>
                <w:b/>
                <w:szCs w:val="18"/>
                <w:lang w:eastAsia="zh-CN"/>
              </w:rPr>
              <w:t xml:space="preserve"> </w:t>
            </w:r>
            <w:r w:rsidRPr="0056161E">
              <w:rPr>
                <w:rFonts w:ascii="Book Antiqua" w:hAnsi="Book Antiqua"/>
                <w:b/>
                <w:szCs w:val="18"/>
              </w:rPr>
              <w:t>0</w:t>
            </w:r>
            <w:r w:rsidR="00031C84">
              <w:rPr>
                <w:rFonts w:ascii="Book Antiqua" w:hAnsi="Book Antiqua" w:hint="eastAsia"/>
                <w:b/>
                <w:szCs w:val="18"/>
                <w:lang w:eastAsia="zh-CN"/>
              </w:rPr>
              <w:t>.</w:t>
            </w:r>
            <w:r w:rsidRPr="0056161E">
              <w:rPr>
                <w:rFonts w:ascii="Book Antiqua" w:hAnsi="Book Antiqua"/>
                <w:b/>
                <w:szCs w:val="18"/>
              </w:rPr>
              <w:t>0001</w:t>
            </w:r>
          </w:p>
        </w:tc>
      </w:tr>
      <w:tr w:rsidR="0056161E" w:rsidRPr="0056161E" w:rsidTr="00CE47CF">
        <w:trPr>
          <w:trHeight w:val="255"/>
        </w:trPr>
        <w:tc>
          <w:tcPr>
            <w:tcW w:w="1413" w:type="pct"/>
            <w:tcBorders>
              <w:bottom w:val="single" w:sz="4" w:space="0" w:color="000000"/>
            </w:tcBorders>
            <w:shd w:val="clear" w:color="auto" w:fill="auto"/>
          </w:tcPr>
          <w:p w:rsidR="0056161E" w:rsidRPr="0056161E" w:rsidRDefault="0056161E" w:rsidP="008019CB">
            <w:pPr>
              <w:adjustRightInd w:val="0"/>
              <w:snapToGrid w:val="0"/>
              <w:spacing w:after="0" w:line="360" w:lineRule="auto"/>
              <w:rPr>
                <w:rFonts w:ascii="Book Antiqua" w:hAnsi="Book Antiqua"/>
              </w:rPr>
            </w:pPr>
            <w:r w:rsidRPr="0056161E">
              <w:rPr>
                <w:rFonts w:ascii="Book Antiqua" w:hAnsi="Book Antiqua"/>
              </w:rPr>
              <w:t>ADV36 seropositivity</w:t>
            </w:r>
          </w:p>
        </w:tc>
        <w:tc>
          <w:tcPr>
            <w:tcW w:w="362" w:type="pct"/>
            <w:tcBorders>
              <w:bottom w:val="single" w:sz="4" w:space="0" w:color="000000"/>
            </w:tcBorders>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414" w:type="pct"/>
            <w:tcBorders>
              <w:bottom w:val="single" w:sz="4" w:space="0" w:color="000000"/>
            </w:tcBorders>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777" w:type="pct"/>
            <w:tcBorders>
              <w:bottom w:val="single" w:sz="4" w:space="0" w:color="000000"/>
            </w:tcBorders>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509" w:type="pct"/>
            <w:tcBorders>
              <w:bottom w:val="single" w:sz="4" w:space="0" w:color="000000"/>
            </w:tcBorders>
          </w:tcPr>
          <w:p w:rsidR="0056161E" w:rsidRPr="0056161E" w:rsidRDefault="0056161E" w:rsidP="008019CB">
            <w:pPr>
              <w:adjustRightInd w:val="0"/>
              <w:snapToGrid w:val="0"/>
              <w:spacing w:after="0" w:line="360" w:lineRule="auto"/>
              <w:jc w:val="center"/>
              <w:rPr>
                <w:rFonts w:ascii="Book Antiqua" w:hAnsi="Book Antiqua"/>
              </w:rPr>
            </w:pPr>
          </w:p>
        </w:tc>
        <w:tc>
          <w:tcPr>
            <w:tcW w:w="510" w:type="pct"/>
            <w:tcBorders>
              <w:bottom w:val="single" w:sz="4" w:space="0" w:color="000000"/>
            </w:tcBorders>
          </w:tcPr>
          <w:p w:rsidR="0056161E" w:rsidRPr="0056161E" w:rsidRDefault="0056161E" w:rsidP="008019CB">
            <w:pPr>
              <w:adjustRightInd w:val="0"/>
              <w:snapToGrid w:val="0"/>
              <w:spacing w:after="0" w:line="360" w:lineRule="auto"/>
              <w:jc w:val="center"/>
              <w:rPr>
                <w:rFonts w:ascii="Book Antiqua" w:hAnsi="Book Antiqua"/>
              </w:rPr>
            </w:pPr>
          </w:p>
        </w:tc>
        <w:tc>
          <w:tcPr>
            <w:tcW w:w="510" w:type="pct"/>
            <w:tcBorders>
              <w:bottom w:val="single" w:sz="4" w:space="0" w:color="000000"/>
            </w:tcBorders>
            <w:shd w:val="clear" w:color="auto" w:fill="auto"/>
            <w:vAlign w:val="center"/>
          </w:tcPr>
          <w:p w:rsidR="0056161E" w:rsidRPr="0056161E" w:rsidRDefault="0056161E" w:rsidP="008019CB">
            <w:pPr>
              <w:adjustRightInd w:val="0"/>
              <w:snapToGrid w:val="0"/>
              <w:spacing w:after="0" w:line="360" w:lineRule="auto"/>
              <w:jc w:val="right"/>
              <w:rPr>
                <w:rFonts w:ascii="Book Antiqua" w:hAnsi="Book Antiqua"/>
                <w:szCs w:val="18"/>
              </w:rPr>
            </w:pPr>
            <w:r w:rsidRPr="0056161E">
              <w:rPr>
                <w:rFonts w:ascii="Book Antiqua" w:hAnsi="Book Antiqua"/>
                <w:szCs w:val="18"/>
              </w:rPr>
              <w:t>0</w:t>
            </w:r>
            <w:r w:rsidR="00031C84">
              <w:rPr>
                <w:rFonts w:ascii="Book Antiqua" w:hAnsi="Book Antiqua" w:hint="eastAsia"/>
                <w:szCs w:val="18"/>
                <w:lang w:eastAsia="zh-CN"/>
              </w:rPr>
              <w:t>.</w:t>
            </w:r>
            <w:r w:rsidRPr="0056161E">
              <w:rPr>
                <w:rFonts w:ascii="Book Antiqua" w:hAnsi="Book Antiqua"/>
                <w:szCs w:val="18"/>
              </w:rPr>
              <w:t>182</w:t>
            </w:r>
          </w:p>
        </w:tc>
        <w:tc>
          <w:tcPr>
            <w:tcW w:w="505" w:type="pct"/>
            <w:tcBorders>
              <w:bottom w:val="single" w:sz="4" w:space="0" w:color="000000"/>
            </w:tcBorders>
            <w:shd w:val="clear" w:color="auto" w:fill="auto"/>
            <w:vAlign w:val="center"/>
          </w:tcPr>
          <w:p w:rsidR="0056161E" w:rsidRPr="0056161E" w:rsidRDefault="0056161E" w:rsidP="008019CB">
            <w:pPr>
              <w:adjustRightInd w:val="0"/>
              <w:snapToGrid w:val="0"/>
              <w:spacing w:after="0" w:line="360" w:lineRule="auto"/>
              <w:jc w:val="right"/>
              <w:rPr>
                <w:rFonts w:ascii="Book Antiqua" w:hAnsi="Book Antiqua"/>
                <w:b/>
                <w:szCs w:val="18"/>
              </w:rPr>
            </w:pPr>
            <w:r w:rsidRPr="0056161E">
              <w:rPr>
                <w:rFonts w:ascii="Book Antiqua" w:hAnsi="Book Antiqua"/>
                <w:b/>
                <w:szCs w:val="18"/>
              </w:rPr>
              <w:t>0</w:t>
            </w:r>
            <w:r w:rsidR="00031C84">
              <w:rPr>
                <w:rFonts w:ascii="Book Antiqua" w:hAnsi="Book Antiqua" w:hint="eastAsia"/>
                <w:b/>
                <w:szCs w:val="18"/>
                <w:lang w:eastAsia="zh-CN"/>
              </w:rPr>
              <w:t>.</w:t>
            </w:r>
            <w:r w:rsidRPr="0056161E">
              <w:rPr>
                <w:rFonts w:ascii="Book Antiqua" w:hAnsi="Book Antiqua"/>
                <w:b/>
                <w:szCs w:val="18"/>
              </w:rPr>
              <w:t>004</w:t>
            </w:r>
          </w:p>
        </w:tc>
      </w:tr>
      <w:tr w:rsidR="0056161E" w:rsidRPr="0056161E" w:rsidTr="00CE47CF">
        <w:trPr>
          <w:trHeight w:val="468"/>
        </w:trPr>
        <w:tc>
          <w:tcPr>
            <w:tcW w:w="5000" w:type="pct"/>
            <w:gridSpan w:val="8"/>
            <w:tcBorders>
              <w:top w:val="single" w:sz="4" w:space="0" w:color="000000"/>
              <w:bottom w:val="single" w:sz="4" w:space="0" w:color="000000"/>
            </w:tcBorders>
            <w:shd w:val="clear" w:color="auto" w:fill="auto"/>
            <w:vAlign w:val="center"/>
          </w:tcPr>
          <w:p w:rsidR="0056161E" w:rsidRPr="0056161E" w:rsidRDefault="0056161E" w:rsidP="008019CB">
            <w:pPr>
              <w:adjustRightInd w:val="0"/>
              <w:snapToGrid w:val="0"/>
              <w:spacing w:after="0" w:line="360" w:lineRule="auto"/>
              <w:jc w:val="center"/>
              <w:rPr>
                <w:rFonts w:ascii="Book Antiqua" w:hAnsi="Book Antiqua"/>
              </w:rPr>
            </w:pPr>
            <w:r w:rsidRPr="0056161E">
              <w:rPr>
                <w:rFonts w:ascii="Book Antiqua" w:hAnsi="Book Antiqua"/>
              </w:rPr>
              <w:t>HOMA</w:t>
            </w:r>
          </w:p>
        </w:tc>
      </w:tr>
      <w:tr w:rsidR="0056161E" w:rsidRPr="0056161E" w:rsidTr="00CE47CF">
        <w:trPr>
          <w:trHeight w:val="255"/>
        </w:trPr>
        <w:tc>
          <w:tcPr>
            <w:tcW w:w="1413" w:type="pct"/>
            <w:shd w:val="clear" w:color="auto" w:fill="auto"/>
            <w:noWrap/>
            <w:vAlign w:val="center"/>
          </w:tcPr>
          <w:p w:rsidR="0056161E" w:rsidRPr="0056161E" w:rsidRDefault="0056161E" w:rsidP="008019CB">
            <w:pPr>
              <w:adjustRightInd w:val="0"/>
              <w:snapToGrid w:val="0"/>
              <w:spacing w:after="0" w:line="360" w:lineRule="auto"/>
              <w:rPr>
                <w:rFonts w:ascii="Book Antiqua" w:hAnsi="Book Antiqua"/>
              </w:rPr>
            </w:pPr>
          </w:p>
        </w:tc>
        <w:tc>
          <w:tcPr>
            <w:tcW w:w="362"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r w:rsidRPr="0056161E">
              <w:rPr>
                <w:rFonts w:ascii="Book Antiqua" w:hAnsi="Book Antiqua"/>
              </w:rPr>
              <w:t>0</w:t>
            </w:r>
            <w:r w:rsidR="00031C84">
              <w:rPr>
                <w:rFonts w:ascii="Book Antiqua" w:hAnsi="Book Antiqua" w:hint="eastAsia"/>
                <w:lang w:eastAsia="zh-CN"/>
              </w:rPr>
              <w:t>.</w:t>
            </w:r>
            <w:r w:rsidRPr="0056161E">
              <w:rPr>
                <w:rFonts w:ascii="Book Antiqua" w:hAnsi="Book Antiqua"/>
              </w:rPr>
              <w:t>671</w:t>
            </w:r>
          </w:p>
        </w:tc>
        <w:tc>
          <w:tcPr>
            <w:tcW w:w="414"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r w:rsidRPr="0056161E">
              <w:rPr>
                <w:rFonts w:ascii="Book Antiqua" w:hAnsi="Book Antiqua"/>
              </w:rPr>
              <w:t>0</w:t>
            </w:r>
            <w:r w:rsidR="00031C84">
              <w:rPr>
                <w:rFonts w:ascii="Book Antiqua" w:hAnsi="Book Antiqua" w:hint="eastAsia"/>
                <w:lang w:eastAsia="zh-CN"/>
              </w:rPr>
              <w:t>.</w:t>
            </w:r>
            <w:r w:rsidRPr="0056161E">
              <w:rPr>
                <w:rFonts w:ascii="Book Antiqua" w:hAnsi="Book Antiqua"/>
              </w:rPr>
              <w:t>451</w:t>
            </w:r>
          </w:p>
        </w:tc>
        <w:tc>
          <w:tcPr>
            <w:tcW w:w="777"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r w:rsidRPr="0056161E">
              <w:rPr>
                <w:rFonts w:ascii="Book Antiqua" w:hAnsi="Book Antiqua"/>
              </w:rPr>
              <w:t>0</w:t>
            </w:r>
            <w:r w:rsidR="00031C84">
              <w:rPr>
                <w:rFonts w:ascii="Book Antiqua" w:hAnsi="Book Antiqua" w:hint="eastAsia"/>
                <w:lang w:eastAsia="zh-CN"/>
              </w:rPr>
              <w:t>.</w:t>
            </w:r>
            <w:r w:rsidRPr="0056161E">
              <w:rPr>
                <w:rFonts w:ascii="Book Antiqua" w:hAnsi="Book Antiqua"/>
              </w:rPr>
              <w:t>451</w:t>
            </w:r>
          </w:p>
        </w:tc>
        <w:tc>
          <w:tcPr>
            <w:tcW w:w="509" w:type="pct"/>
          </w:tcPr>
          <w:p w:rsidR="0056161E" w:rsidRPr="0056161E" w:rsidRDefault="0056161E" w:rsidP="008019CB">
            <w:pPr>
              <w:adjustRightInd w:val="0"/>
              <w:snapToGrid w:val="0"/>
              <w:spacing w:after="0" w:line="360" w:lineRule="auto"/>
              <w:jc w:val="center"/>
              <w:rPr>
                <w:rFonts w:ascii="Book Antiqua" w:hAnsi="Book Antiqua"/>
              </w:rPr>
            </w:pPr>
            <w:r w:rsidRPr="0056161E">
              <w:rPr>
                <w:rFonts w:ascii="Book Antiqua" w:hAnsi="Book Antiqua"/>
              </w:rPr>
              <w:t>18</w:t>
            </w:r>
            <w:r w:rsidR="00031C84">
              <w:rPr>
                <w:rFonts w:ascii="Book Antiqua" w:hAnsi="Book Antiqua" w:hint="eastAsia"/>
                <w:lang w:eastAsia="zh-CN"/>
              </w:rPr>
              <w:t>.</w:t>
            </w:r>
            <w:r w:rsidRPr="0056161E">
              <w:rPr>
                <w:rFonts w:ascii="Book Antiqua" w:hAnsi="Book Antiqua"/>
              </w:rPr>
              <w:t>285</w:t>
            </w:r>
          </w:p>
        </w:tc>
        <w:tc>
          <w:tcPr>
            <w:tcW w:w="510" w:type="pct"/>
          </w:tcPr>
          <w:p w:rsidR="0056161E" w:rsidRPr="0056161E" w:rsidRDefault="0056161E" w:rsidP="008019CB">
            <w:pPr>
              <w:adjustRightInd w:val="0"/>
              <w:snapToGrid w:val="0"/>
              <w:spacing w:after="0" w:line="360" w:lineRule="auto"/>
              <w:jc w:val="center"/>
              <w:rPr>
                <w:rFonts w:ascii="Book Antiqua" w:hAnsi="Book Antiqua"/>
                <w:b/>
              </w:rPr>
            </w:pPr>
            <w:r w:rsidRPr="0056161E">
              <w:rPr>
                <w:rFonts w:ascii="Book Antiqua" w:hAnsi="Book Antiqua"/>
                <w:b/>
              </w:rPr>
              <w:t>&lt;</w:t>
            </w:r>
            <w:r w:rsidR="00253C0C">
              <w:rPr>
                <w:rFonts w:ascii="Book Antiqua" w:hAnsi="Book Antiqua" w:hint="eastAsia"/>
                <w:b/>
                <w:lang w:eastAsia="zh-CN"/>
              </w:rPr>
              <w:t xml:space="preserve"> </w:t>
            </w:r>
            <w:r w:rsidRPr="0056161E">
              <w:rPr>
                <w:rFonts w:ascii="Book Antiqua" w:hAnsi="Book Antiqua"/>
                <w:b/>
              </w:rPr>
              <w:t>0</w:t>
            </w:r>
            <w:r w:rsidR="00031C84">
              <w:rPr>
                <w:rFonts w:ascii="Book Antiqua" w:hAnsi="Book Antiqua" w:hint="eastAsia"/>
                <w:b/>
                <w:lang w:eastAsia="zh-CN"/>
              </w:rPr>
              <w:t>.</w:t>
            </w:r>
            <w:r w:rsidRPr="0056161E">
              <w:rPr>
                <w:rFonts w:ascii="Book Antiqua" w:hAnsi="Book Antiqua"/>
                <w:b/>
              </w:rPr>
              <w:t>0001</w:t>
            </w:r>
          </w:p>
        </w:tc>
        <w:tc>
          <w:tcPr>
            <w:tcW w:w="510"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505"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r>
      <w:tr w:rsidR="0056161E" w:rsidRPr="0056161E" w:rsidTr="00CE47CF">
        <w:trPr>
          <w:trHeight w:val="255"/>
        </w:trPr>
        <w:tc>
          <w:tcPr>
            <w:tcW w:w="1413" w:type="pct"/>
            <w:shd w:val="clear" w:color="auto" w:fill="auto"/>
            <w:vAlign w:val="center"/>
          </w:tcPr>
          <w:p w:rsidR="0056161E" w:rsidRPr="0056161E" w:rsidRDefault="0056161E" w:rsidP="008019CB">
            <w:pPr>
              <w:adjustRightInd w:val="0"/>
              <w:snapToGrid w:val="0"/>
              <w:spacing w:after="0" w:line="360" w:lineRule="auto"/>
              <w:rPr>
                <w:rFonts w:ascii="Book Antiqua" w:hAnsi="Book Antiqua"/>
                <w:lang w:val="en-GB"/>
              </w:rPr>
            </w:pPr>
            <w:r w:rsidRPr="0056161E">
              <w:rPr>
                <w:rFonts w:ascii="Book Antiqua" w:hAnsi="Book Antiqua"/>
                <w:lang w:val="en-GB"/>
              </w:rPr>
              <w:t>Waist/hip ratio</w:t>
            </w:r>
          </w:p>
        </w:tc>
        <w:tc>
          <w:tcPr>
            <w:tcW w:w="362"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414"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777"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509" w:type="pct"/>
          </w:tcPr>
          <w:p w:rsidR="0056161E" w:rsidRPr="0056161E" w:rsidRDefault="0056161E" w:rsidP="008019CB">
            <w:pPr>
              <w:adjustRightInd w:val="0"/>
              <w:snapToGrid w:val="0"/>
              <w:spacing w:after="0" w:line="360" w:lineRule="auto"/>
              <w:jc w:val="center"/>
              <w:rPr>
                <w:rFonts w:ascii="Book Antiqua" w:hAnsi="Book Antiqua"/>
              </w:rPr>
            </w:pPr>
          </w:p>
        </w:tc>
        <w:tc>
          <w:tcPr>
            <w:tcW w:w="510" w:type="pct"/>
          </w:tcPr>
          <w:p w:rsidR="0056161E" w:rsidRPr="0056161E" w:rsidRDefault="0056161E" w:rsidP="008019CB">
            <w:pPr>
              <w:adjustRightInd w:val="0"/>
              <w:snapToGrid w:val="0"/>
              <w:spacing w:after="0" w:line="360" w:lineRule="auto"/>
              <w:jc w:val="center"/>
              <w:rPr>
                <w:rFonts w:ascii="Book Antiqua" w:hAnsi="Book Antiqua"/>
              </w:rPr>
            </w:pPr>
          </w:p>
        </w:tc>
        <w:tc>
          <w:tcPr>
            <w:tcW w:w="510" w:type="pct"/>
            <w:shd w:val="clear" w:color="auto" w:fill="auto"/>
            <w:vAlign w:val="center"/>
          </w:tcPr>
          <w:p w:rsidR="0056161E" w:rsidRPr="0056161E" w:rsidRDefault="0056161E" w:rsidP="008019CB">
            <w:pPr>
              <w:adjustRightInd w:val="0"/>
              <w:snapToGrid w:val="0"/>
              <w:spacing w:after="0" w:line="360" w:lineRule="auto"/>
              <w:jc w:val="right"/>
              <w:rPr>
                <w:rFonts w:ascii="Book Antiqua" w:hAnsi="Book Antiqua"/>
              </w:rPr>
            </w:pPr>
            <w:r w:rsidRPr="0056161E">
              <w:rPr>
                <w:rFonts w:ascii="Book Antiqua" w:hAnsi="Book Antiqua"/>
                <w:szCs w:val="18"/>
              </w:rPr>
              <w:t>-0</w:t>
            </w:r>
            <w:r w:rsidR="00253C0C">
              <w:rPr>
                <w:rFonts w:ascii="Book Antiqua" w:hAnsi="Book Antiqua" w:hint="eastAsia"/>
                <w:szCs w:val="18"/>
                <w:lang w:eastAsia="zh-CN"/>
              </w:rPr>
              <w:t>.</w:t>
            </w:r>
            <w:r w:rsidRPr="0056161E">
              <w:rPr>
                <w:rFonts w:ascii="Book Antiqua" w:hAnsi="Book Antiqua"/>
                <w:szCs w:val="18"/>
              </w:rPr>
              <w:t>055</w:t>
            </w:r>
          </w:p>
        </w:tc>
        <w:tc>
          <w:tcPr>
            <w:tcW w:w="505" w:type="pct"/>
            <w:shd w:val="clear" w:color="auto" w:fill="auto"/>
            <w:vAlign w:val="center"/>
          </w:tcPr>
          <w:p w:rsidR="0056161E" w:rsidRPr="0056161E" w:rsidRDefault="0056161E" w:rsidP="008019CB">
            <w:pPr>
              <w:adjustRightInd w:val="0"/>
              <w:snapToGrid w:val="0"/>
              <w:spacing w:after="0" w:line="360" w:lineRule="auto"/>
              <w:jc w:val="right"/>
              <w:rPr>
                <w:rFonts w:ascii="Book Antiqua" w:hAnsi="Book Antiqua"/>
                <w:szCs w:val="18"/>
              </w:rPr>
            </w:pPr>
            <w:r w:rsidRPr="0056161E">
              <w:rPr>
                <w:rFonts w:ascii="Book Antiqua" w:hAnsi="Book Antiqua"/>
                <w:szCs w:val="18"/>
              </w:rPr>
              <w:t>0</w:t>
            </w:r>
            <w:r w:rsidR="00253C0C">
              <w:rPr>
                <w:rFonts w:ascii="Book Antiqua" w:hAnsi="Book Antiqua" w:hint="eastAsia"/>
                <w:szCs w:val="18"/>
                <w:lang w:eastAsia="zh-CN"/>
              </w:rPr>
              <w:t>.</w:t>
            </w:r>
            <w:r w:rsidRPr="0056161E">
              <w:rPr>
                <w:rFonts w:ascii="Book Antiqua" w:hAnsi="Book Antiqua"/>
                <w:szCs w:val="18"/>
              </w:rPr>
              <w:t>389</w:t>
            </w:r>
          </w:p>
        </w:tc>
      </w:tr>
      <w:tr w:rsidR="0056161E" w:rsidRPr="0056161E" w:rsidTr="00CE47CF">
        <w:trPr>
          <w:trHeight w:val="255"/>
        </w:trPr>
        <w:tc>
          <w:tcPr>
            <w:tcW w:w="1413" w:type="pct"/>
            <w:shd w:val="clear" w:color="auto" w:fill="auto"/>
            <w:vAlign w:val="center"/>
          </w:tcPr>
          <w:p w:rsidR="0056161E" w:rsidRPr="0056161E" w:rsidRDefault="0056161E" w:rsidP="008019CB">
            <w:pPr>
              <w:adjustRightInd w:val="0"/>
              <w:snapToGrid w:val="0"/>
              <w:spacing w:after="0" w:line="360" w:lineRule="auto"/>
              <w:rPr>
                <w:rFonts w:ascii="Book Antiqua" w:hAnsi="Book Antiqua"/>
              </w:rPr>
            </w:pPr>
            <w:r w:rsidRPr="0056161E">
              <w:rPr>
                <w:rFonts w:ascii="Book Antiqua" w:hAnsi="Book Antiqua"/>
                <w:lang w:val="en-US"/>
              </w:rPr>
              <w:t xml:space="preserve">BMI, </w:t>
            </w:r>
            <w:r w:rsidR="00031C84" w:rsidRPr="0056161E">
              <w:rPr>
                <w:rFonts w:ascii="Book Antiqua" w:hAnsi="Book Antiqua"/>
                <w:lang w:val="en-US"/>
              </w:rPr>
              <w:t>k</w:t>
            </w:r>
            <w:r w:rsidRPr="0056161E">
              <w:rPr>
                <w:rFonts w:ascii="Book Antiqua" w:hAnsi="Book Antiqua"/>
                <w:lang w:val="en-US"/>
              </w:rPr>
              <w:t>g/m</w:t>
            </w:r>
            <w:r w:rsidRPr="0056161E">
              <w:rPr>
                <w:rFonts w:ascii="Book Antiqua" w:hAnsi="Book Antiqua"/>
                <w:vertAlign w:val="superscript"/>
                <w:lang w:val="en-US"/>
              </w:rPr>
              <w:t>2</w:t>
            </w:r>
          </w:p>
        </w:tc>
        <w:tc>
          <w:tcPr>
            <w:tcW w:w="362"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414"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777"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509" w:type="pct"/>
          </w:tcPr>
          <w:p w:rsidR="0056161E" w:rsidRPr="0056161E" w:rsidRDefault="0056161E" w:rsidP="008019CB">
            <w:pPr>
              <w:adjustRightInd w:val="0"/>
              <w:snapToGrid w:val="0"/>
              <w:spacing w:after="0" w:line="360" w:lineRule="auto"/>
              <w:jc w:val="center"/>
              <w:rPr>
                <w:rFonts w:ascii="Book Antiqua" w:hAnsi="Book Antiqua"/>
              </w:rPr>
            </w:pPr>
          </w:p>
        </w:tc>
        <w:tc>
          <w:tcPr>
            <w:tcW w:w="510" w:type="pct"/>
          </w:tcPr>
          <w:p w:rsidR="0056161E" w:rsidRPr="0056161E" w:rsidRDefault="0056161E" w:rsidP="008019CB">
            <w:pPr>
              <w:adjustRightInd w:val="0"/>
              <w:snapToGrid w:val="0"/>
              <w:spacing w:after="0" w:line="360" w:lineRule="auto"/>
              <w:jc w:val="center"/>
              <w:rPr>
                <w:rFonts w:ascii="Book Antiqua" w:hAnsi="Book Antiqua"/>
              </w:rPr>
            </w:pPr>
          </w:p>
        </w:tc>
        <w:tc>
          <w:tcPr>
            <w:tcW w:w="510" w:type="pct"/>
            <w:shd w:val="clear" w:color="auto" w:fill="auto"/>
            <w:vAlign w:val="center"/>
          </w:tcPr>
          <w:p w:rsidR="0056161E" w:rsidRPr="0056161E" w:rsidRDefault="0056161E" w:rsidP="008019CB">
            <w:pPr>
              <w:autoSpaceDE w:val="0"/>
              <w:autoSpaceDN w:val="0"/>
              <w:adjustRightInd w:val="0"/>
              <w:snapToGrid w:val="0"/>
              <w:spacing w:after="0" w:line="360" w:lineRule="auto"/>
              <w:jc w:val="right"/>
              <w:rPr>
                <w:rFonts w:ascii="Book Antiqua" w:hAnsi="Book Antiqua"/>
                <w:color w:val="000000"/>
              </w:rPr>
            </w:pPr>
            <w:r w:rsidRPr="0056161E">
              <w:rPr>
                <w:rFonts w:ascii="Book Antiqua" w:hAnsi="Book Antiqua"/>
                <w:szCs w:val="18"/>
              </w:rPr>
              <w:t>0</w:t>
            </w:r>
            <w:r w:rsidR="00253C0C">
              <w:rPr>
                <w:rFonts w:ascii="Book Antiqua" w:hAnsi="Book Antiqua" w:hint="eastAsia"/>
                <w:szCs w:val="18"/>
                <w:lang w:eastAsia="zh-CN"/>
              </w:rPr>
              <w:t>.</w:t>
            </w:r>
            <w:r w:rsidRPr="0056161E">
              <w:rPr>
                <w:rFonts w:ascii="Book Antiqua" w:hAnsi="Book Antiqua"/>
                <w:szCs w:val="18"/>
              </w:rPr>
              <w:t>558</w:t>
            </w:r>
          </w:p>
        </w:tc>
        <w:tc>
          <w:tcPr>
            <w:tcW w:w="505" w:type="pct"/>
            <w:shd w:val="clear" w:color="auto" w:fill="auto"/>
            <w:vAlign w:val="center"/>
          </w:tcPr>
          <w:p w:rsidR="0056161E" w:rsidRPr="0056161E" w:rsidRDefault="0056161E" w:rsidP="008019CB">
            <w:pPr>
              <w:adjustRightInd w:val="0"/>
              <w:snapToGrid w:val="0"/>
              <w:spacing w:after="0" w:line="360" w:lineRule="auto"/>
              <w:jc w:val="right"/>
              <w:rPr>
                <w:rFonts w:ascii="Book Antiqua" w:hAnsi="Book Antiqua"/>
                <w:b/>
                <w:szCs w:val="18"/>
              </w:rPr>
            </w:pPr>
            <w:r w:rsidRPr="0056161E">
              <w:rPr>
                <w:rFonts w:ascii="Book Antiqua" w:hAnsi="Book Antiqua"/>
                <w:b/>
                <w:szCs w:val="18"/>
              </w:rPr>
              <w:t>&lt;</w:t>
            </w:r>
            <w:r w:rsidR="00253C0C">
              <w:rPr>
                <w:rFonts w:ascii="Book Antiqua" w:hAnsi="Book Antiqua" w:hint="eastAsia"/>
                <w:b/>
                <w:szCs w:val="18"/>
                <w:lang w:eastAsia="zh-CN"/>
              </w:rPr>
              <w:t xml:space="preserve"> </w:t>
            </w:r>
            <w:r w:rsidRPr="0056161E">
              <w:rPr>
                <w:rFonts w:ascii="Book Antiqua" w:hAnsi="Book Antiqua"/>
                <w:b/>
                <w:szCs w:val="18"/>
              </w:rPr>
              <w:t>0</w:t>
            </w:r>
            <w:r w:rsidR="00253C0C">
              <w:rPr>
                <w:rFonts w:ascii="Book Antiqua" w:hAnsi="Book Antiqua" w:hint="eastAsia"/>
                <w:b/>
                <w:szCs w:val="18"/>
                <w:lang w:eastAsia="zh-CN"/>
              </w:rPr>
              <w:t>.</w:t>
            </w:r>
            <w:r w:rsidRPr="0056161E">
              <w:rPr>
                <w:rFonts w:ascii="Book Antiqua" w:hAnsi="Book Antiqua"/>
                <w:b/>
                <w:szCs w:val="18"/>
              </w:rPr>
              <w:t>0001</w:t>
            </w:r>
          </w:p>
        </w:tc>
      </w:tr>
      <w:tr w:rsidR="0056161E" w:rsidRPr="0056161E" w:rsidTr="00CE47CF">
        <w:trPr>
          <w:trHeight w:val="255"/>
        </w:trPr>
        <w:tc>
          <w:tcPr>
            <w:tcW w:w="1413" w:type="pct"/>
            <w:shd w:val="clear" w:color="auto" w:fill="auto"/>
            <w:vAlign w:val="center"/>
          </w:tcPr>
          <w:p w:rsidR="0056161E" w:rsidRPr="0056161E" w:rsidRDefault="0056161E" w:rsidP="008019CB">
            <w:pPr>
              <w:adjustRightInd w:val="0"/>
              <w:snapToGrid w:val="0"/>
              <w:spacing w:after="0" w:line="360" w:lineRule="auto"/>
              <w:rPr>
                <w:rFonts w:ascii="Book Antiqua" w:hAnsi="Book Antiqua"/>
                <w:lang w:val="en-US"/>
              </w:rPr>
            </w:pPr>
            <w:r w:rsidRPr="0056161E">
              <w:rPr>
                <w:rFonts w:ascii="Book Antiqua" w:hAnsi="Book Antiqua"/>
                <w:lang w:val="en-US"/>
              </w:rPr>
              <w:t>FM, %</w:t>
            </w:r>
          </w:p>
        </w:tc>
        <w:tc>
          <w:tcPr>
            <w:tcW w:w="362"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414"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777"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509" w:type="pct"/>
          </w:tcPr>
          <w:p w:rsidR="0056161E" w:rsidRPr="0056161E" w:rsidRDefault="0056161E" w:rsidP="008019CB">
            <w:pPr>
              <w:adjustRightInd w:val="0"/>
              <w:snapToGrid w:val="0"/>
              <w:spacing w:after="0" w:line="360" w:lineRule="auto"/>
              <w:jc w:val="center"/>
              <w:rPr>
                <w:rFonts w:ascii="Book Antiqua" w:hAnsi="Book Antiqua"/>
              </w:rPr>
            </w:pPr>
          </w:p>
        </w:tc>
        <w:tc>
          <w:tcPr>
            <w:tcW w:w="510" w:type="pct"/>
          </w:tcPr>
          <w:p w:rsidR="0056161E" w:rsidRPr="0056161E" w:rsidRDefault="0056161E" w:rsidP="008019CB">
            <w:pPr>
              <w:adjustRightInd w:val="0"/>
              <w:snapToGrid w:val="0"/>
              <w:spacing w:after="0" w:line="360" w:lineRule="auto"/>
              <w:jc w:val="center"/>
              <w:rPr>
                <w:rFonts w:ascii="Book Antiqua" w:hAnsi="Book Antiqua"/>
              </w:rPr>
            </w:pPr>
          </w:p>
        </w:tc>
        <w:tc>
          <w:tcPr>
            <w:tcW w:w="510" w:type="pct"/>
            <w:shd w:val="clear" w:color="auto" w:fill="auto"/>
            <w:vAlign w:val="center"/>
          </w:tcPr>
          <w:p w:rsidR="0056161E" w:rsidRPr="0056161E" w:rsidRDefault="0056161E" w:rsidP="008019CB">
            <w:pPr>
              <w:adjustRightInd w:val="0"/>
              <w:snapToGrid w:val="0"/>
              <w:spacing w:after="0" w:line="360" w:lineRule="auto"/>
              <w:jc w:val="right"/>
              <w:rPr>
                <w:rFonts w:ascii="Book Antiqua" w:hAnsi="Book Antiqua"/>
                <w:szCs w:val="18"/>
              </w:rPr>
            </w:pPr>
            <w:r w:rsidRPr="0056161E">
              <w:rPr>
                <w:rFonts w:ascii="Book Antiqua" w:hAnsi="Book Antiqua"/>
                <w:szCs w:val="18"/>
              </w:rPr>
              <w:t>-0</w:t>
            </w:r>
            <w:r w:rsidR="00253C0C">
              <w:rPr>
                <w:rFonts w:ascii="Book Antiqua" w:hAnsi="Book Antiqua" w:hint="eastAsia"/>
                <w:szCs w:val="18"/>
                <w:lang w:eastAsia="zh-CN"/>
              </w:rPr>
              <w:t>.</w:t>
            </w:r>
            <w:r w:rsidRPr="0056161E">
              <w:rPr>
                <w:rFonts w:ascii="Book Antiqua" w:hAnsi="Book Antiqua"/>
                <w:szCs w:val="18"/>
              </w:rPr>
              <w:t>032</w:t>
            </w:r>
          </w:p>
        </w:tc>
        <w:tc>
          <w:tcPr>
            <w:tcW w:w="505" w:type="pct"/>
            <w:shd w:val="clear" w:color="auto" w:fill="auto"/>
            <w:vAlign w:val="center"/>
          </w:tcPr>
          <w:p w:rsidR="0056161E" w:rsidRPr="0056161E" w:rsidRDefault="0056161E" w:rsidP="008019CB">
            <w:pPr>
              <w:adjustRightInd w:val="0"/>
              <w:snapToGrid w:val="0"/>
              <w:spacing w:after="0" w:line="360" w:lineRule="auto"/>
              <w:jc w:val="right"/>
              <w:rPr>
                <w:rFonts w:ascii="Book Antiqua" w:hAnsi="Book Antiqua"/>
                <w:szCs w:val="18"/>
              </w:rPr>
            </w:pPr>
            <w:r w:rsidRPr="0056161E">
              <w:rPr>
                <w:rFonts w:ascii="Book Antiqua" w:hAnsi="Book Antiqua"/>
                <w:szCs w:val="18"/>
              </w:rPr>
              <w:t>0</w:t>
            </w:r>
            <w:r w:rsidR="00253C0C">
              <w:rPr>
                <w:rFonts w:ascii="Book Antiqua" w:hAnsi="Book Antiqua" w:hint="eastAsia"/>
                <w:szCs w:val="18"/>
                <w:lang w:eastAsia="zh-CN"/>
              </w:rPr>
              <w:t>.</w:t>
            </w:r>
            <w:r w:rsidRPr="0056161E">
              <w:rPr>
                <w:rFonts w:ascii="Book Antiqua" w:hAnsi="Book Antiqua"/>
                <w:szCs w:val="18"/>
              </w:rPr>
              <w:t>598</w:t>
            </w:r>
          </w:p>
        </w:tc>
      </w:tr>
      <w:tr w:rsidR="0056161E" w:rsidRPr="0056161E" w:rsidTr="00CE47CF">
        <w:trPr>
          <w:trHeight w:val="255"/>
        </w:trPr>
        <w:tc>
          <w:tcPr>
            <w:tcW w:w="1413" w:type="pct"/>
            <w:shd w:val="clear" w:color="auto" w:fill="auto"/>
            <w:vAlign w:val="center"/>
          </w:tcPr>
          <w:p w:rsidR="0056161E" w:rsidRPr="0056161E" w:rsidRDefault="0056161E" w:rsidP="008019CB">
            <w:pPr>
              <w:adjustRightInd w:val="0"/>
              <w:snapToGrid w:val="0"/>
              <w:spacing w:after="0" w:line="360" w:lineRule="auto"/>
              <w:rPr>
                <w:rFonts w:ascii="Book Antiqua" w:hAnsi="Book Antiqua"/>
                <w:lang w:val="en-GB"/>
              </w:rPr>
            </w:pPr>
            <w:r w:rsidRPr="0056161E">
              <w:rPr>
                <w:rFonts w:ascii="Book Antiqua" w:hAnsi="Book Antiqua"/>
                <w:lang w:val="en-GB"/>
              </w:rPr>
              <w:t xml:space="preserve">Total </w:t>
            </w:r>
            <w:r w:rsidR="00031C84" w:rsidRPr="0056161E">
              <w:rPr>
                <w:rFonts w:ascii="Book Antiqua" w:hAnsi="Book Antiqua"/>
                <w:lang w:val="en-GB"/>
              </w:rPr>
              <w:t>c</w:t>
            </w:r>
            <w:r w:rsidRPr="0056161E">
              <w:rPr>
                <w:rFonts w:ascii="Book Antiqua" w:hAnsi="Book Antiqua"/>
                <w:lang w:val="en-GB"/>
              </w:rPr>
              <w:t>holesterol</w:t>
            </w:r>
            <w:r w:rsidRPr="00031C84">
              <w:rPr>
                <w:rFonts w:ascii="Book Antiqua" w:hAnsi="Book Antiqua"/>
                <w:lang w:val="en-GB"/>
              </w:rPr>
              <w:t>,</w:t>
            </w:r>
            <w:r w:rsidRPr="00031C84">
              <w:rPr>
                <w:rFonts w:ascii="Book Antiqua" w:hAnsi="Book Antiqua"/>
                <w:lang w:val="en-US"/>
              </w:rPr>
              <w:t xml:space="preserve"> </w:t>
            </w:r>
            <w:r w:rsidRPr="00031C84">
              <w:rPr>
                <w:rFonts w:ascii="Book Antiqua" w:hAnsi="Book Antiqua"/>
                <w:lang w:val="en-GB"/>
              </w:rPr>
              <w:t>mg/</w:t>
            </w:r>
            <w:proofErr w:type="spellStart"/>
            <w:r w:rsidRPr="00031C84">
              <w:rPr>
                <w:rFonts w:ascii="Book Antiqua" w:hAnsi="Book Antiqua"/>
                <w:lang w:val="en-GB"/>
              </w:rPr>
              <w:t>d</w:t>
            </w:r>
            <w:r w:rsidRPr="00031C84">
              <w:rPr>
                <w:rFonts w:ascii="Book Antiqua" w:hAnsi="Book Antiqua"/>
                <w:caps/>
                <w:lang w:val="en-GB"/>
              </w:rPr>
              <w:t>l</w:t>
            </w:r>
            <w:proofErr w:type="spellEnd"/>
          </w:p>
        </w:tc>
        <w:tc>
          <w:tcPr>
            <w:tcW w:w="362"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414"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777"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509" w:type="pct"/>
          </w:tcPr>
          <w:p w:rsidR="0056161E" w:rsidRPr="0056161E" w:rsidRDefault="0056161E" w:rsidP="008019CB">
            <w:pPr>
              <w:adjustRightInd w:val="0"/>
              <w:snapToGrid w:val="0"/>
              <w:spacing w:after="0" w:line="360" w:lineRule="auto"/>
              <w:jc w:val="center"/>
              <w:rPr>
                <w:rFonts w:ascii="Book Antiqua" w:hAnsi="Book Antiqua"/>
              </w:rPr>
            </w:pPr>
          </w:p>
        </w:tc>
        <w:tc>
          <w:tcPr>
            <w:tcW w:w="510" w:type="pct"/>
          </w:tcPr>
          <w:p w:rsidR="0056161E" w:rsidRPr="0056161E" w:rsidRDefault="0056161E" w:rsidP="008019CB">
            <w:pPr>
              <w:adjustRightInd w:val="0"/>
              <w:snapToGrid w:val="0"/>
              <w:spacing w:after="0" w:line="360" w:lineRule="auto"/>
              <w:jc w:val="center"/>
              <w:rPr>
                <w:rFonts w:ascii="Book Antiqua" w:hAnsi="Book Antiqua"/>
              </w:rPr>
            </w:pPr>
          </w:p>
        </w:tc>
        <w:tc>
          <w:tcPr>
            <w:tcW w:w="510" w:type="pct"/>
            <w:shd w:val="clear" w:color="auto" w:fill="auto"/>
            <w:vAlign w:val="center"/>
          </w:tcPr>
          <w:p w:rsidR="0056161E" w:rsidRPr="0056161E" w:rsidRDefault="0056161E" w:rsidP="008019CB">
            <w:pPr>
              <w:adjustRightInd w:val="0"/>
              <w:snapToGrid w:val="0"/>
              <w:spacing w:after="0" w:line="360" w:lineRule="auto"/>
              <w:jc w:val="right"/>
              <w:rPr>
                <w:rFonts w:ascii="Book Antiqua" w:hAnsi="Book Antiqua"/>
                <w:szCs w:val="18"/>
              </w:rPr>
            </w:pPr>
            <w:r w:rsidRPr="0056161E">
              <w:rPr>
                <w:rFonts w:ascii="Book Antiqua" w:hAnsi="Book Antiqua"/>
                <w:szCs w:val="18"/>
              </w:rPr>
              <w:t>0</w:t>
            </w:r>
            <w:r w:rsidR="00253C0C">
              <w:rPr>
                <w:rFonts w:ascii="Book Antiqua" w:hAnsi="Book Antiqua" w:hint="eastAsia"/>
                <w:szCs w:val="18"/>
                <w:lang w:eastAsia="zh-CN"/>
              </w:rPr>
              <w:t>.</w:t>
            </w:r>
            <w:r w:rsidRPr="0056161E">
              <w:rPr>
                <w:rFonts w:ascii="Book Antiqua" w:hAnsi="Book Antiqua"/>
                <w:szCs w:val="18"/>
              </w:rPr>
              <w:t>004</w:t>
            </w:r>
          </w:p>
        </w:tc>
        <w:tc>
          <w:tcPr>
            <w:tcW w:w="505" w:type="pct"/>
            <w:shd w:val="clear" w:color="auto" w:fill="auto"/>
            <w:vAlign w:val="center"/>
          </w:tcPr>
          <w:p w:rsidR="0056161E" w:rsidRPr="0056161E" w:rsidRDefault="0056161E" w:rsidP="008019CB">
            <w:pPr>
              <w:adjustRightInd w:val="0"/>
              <w:snapToGrid w:val="0"/>
              <w:spacing w:after="0" w:line="360" w:lineRule="auto"/>
              <w:jc w:val="right"/>
              <w:rPr>
                <w:rFonts w:ascii="Book Antiqua" w:hAnsi="Book Antiqua"/>
                <w:szCs w:val="18"/>
              </w:rPr>
            </w:pPr>
            <w:r w:rsidRPr="0056161E">
              <w:rPr>
                <w:rFonts w:ascii="Book Antiqua" w:hAnsi="Book Antiqua"/>
                <w:szCs w:val="18"/>
              </w:rPr>
              <w:t>0</w:t>
            </w:r>
            <w:r w:rsidR="00253C0C">
              <w:rPr>
                <w:rFonts w:ascii="Book Antiqua" w:hAnsi="Book Antiqua" w:hint="eastAsia"/>
                <w:szCs w:val="18"/>
                <w:lang w:eastAsia="zh-CN"/>
              </w:rPr>
              <w:t>.</w:t>
            </w:r>
            <w:r w:rsidRPr="0056161E">
              <w:rPr>
                <w:rFonts w:ascii="Book Antiqua" w:hAnsi="Book Antiqua"/>
                <w:szCs w:val="18"/>
              </w:rPr>
              <w:t>956</w:t>
            </w:r>
          </w:p>
        </w:tc>
      </w:tr>
      <w:tr w:rsidR="0056161E" w:rsidRPr="0056161E" w:rsidTr="00CE47CF">
        <w:trPr>
          <w:trHeight w:val="255"/>
        </w:trPr>
        <w:tc>
          <w:tcPr>
            <w:tcW w:w="1413" w:type="pct"/>
            <w:shd w:val="clear" w:color="auto" w:fill="auto"/>
            <w:vAlign w:val="center"/>
          </w:tcPr>
          <w:p w:rsidR="0056161E" w:rsidRPr="0056161E" w:rsidRDefault="0056161E" w:rsidP="008019CB">
            <w:pPr>
              <w:adjustRightInd w:val="0"/>
              <w:snapToGrid w:val="0"/>
              <w:spacing w:after="0" w:line="360" w:lineRule="auto"/>
              <w:rPr>
                <w:rFonts w:ascii="Book Antiqua" w:hAnsi="Book Antiqua"/>
                <w:lang w:val="en-GB"/>
              </w:rPr>
            </w:pPr>
            <w:r w:rsidRPr="0056161E">
              <w:rPr>
                <w:rFonts w:ascii="Book Antiqua" w:hAnsi="Book Antiqua"/>
                <w:lang w:val="en-GB"/>
              </w:rPr>
              <w:t xml:space="preserve">HDL </w:t>
            </w:r>
            <w:r w:rsidR="00031C84" w:rsidRPr="0056161E">
              <w:rPr>
                <w:rFonts w:ascii="Book Antiqua" w:hAnsi="Book Antiqua"/>
                <w:lang w:val="en-GB"/>
              </w:rPr>
              <w:t>c</w:t>
            </w:r>
            <w:r w:rsidRPr="0056161E">
              <w:rPr>
                <w:rFonts w:ascii="Book Antiqua" w:hAnsi="Book Antiqua"/>
                <w:lang w:val="en-GB"/>
              </w:rPr>
              <w:t>holesterol</w:t>
            </w:r>
            <w:r w:rsidRPr="00031C84">
              <w:rPr>
                <w:rFonts w:ascii="Book Antiqua" w:hAnsi="Book Antiqua"/>
                <w:lang w:val="en-US"/>
              </w:rPr>
              <w:t xml:space="preserve">, </w:t>
            </w:r>
            <w:r w:rsidRPr="00031C84">
              <w:rPr>
                <w:rFonts w:ascii="Book Antiqua" w:hAnsi="Book Antiqua"/>
                <w:lang w:val="en-GB"/>
              </w:rPr>
              <w:t>mg/</w:t>
            </w:r>
            <w:proofErr w:type="spellStart"/>
            <w:r w:rsidRPr="00031C84">
              <w:rPr>
                <w:rFonts w:ascii="Book Antiqua" w:hAnsi="Book Antiqua"/>
                <w:lang w:val="en-GB"/>
              </w:rPr>
              <w:t>d</w:t>
            </w:r>
            <w:r w:rsidRPr="00031C84">
              <w:rPr>
                <w:rFonts w:ascii="Book Antiqua" w:hAnsi="Book Antiqua"/>
                <w:caps/>
                <w:lang w:val="en-GB"/>
              </w:rPr>
              <w:t>l</w:t>
            </w:r>
            <w:proofErr w:type="spellEnd"/>
          </w:p>
        </w:tc>
        <w:tc>
          <w:tcPr>
            <w:tcW w:w="362"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414"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777"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509" w:type="pct"/>
          </w:tcPr>
          <w:p w:rsidR="0056161E" w:rsidRPr="0056161E" w:rsidRDefault="0056161E" w:rsidP="008019CB">
            <w:pPr>
              <w:adjustRightInd w:val="0"/>
              <w:snapToGrid w:val="0"/>
              <w:spacing w:after="0" w:line="360" w:lineRule="auto"/>
              <w:jc w:val="center"/>
              <w:rPr>
                <w:rFonts w:ascii="Book Antiqua" w:hAnsi="Book Antiqua"/>
              </w:rPr>
            </w:pPr>
          </w:p>
        </w:tc>
        <w:tc>
          <w:tcPr>
            <w:tcW w:w="510" w:type="pct"/>
          </w:tcPr>
          <w:p w:rsidR="0056161E" w:rsidRPr="0056161E" w:rsidRDefault="0056161E" w:rsidP="008019CB">
            <w:pPr>
              <w:adjustRightInd w:val="0"/>
              <w:snapToGrid w:val="0"/>
              <w:spacing w:after="0" w:line="360" w:lineRule="auto"/>
              <w:jc w:val="center"/>
              <w:rPr>
                <w:rFonts w:ascii="Book Antiqua" w:hAnsi="Book Antiqua"/>
              </w:rPr>
            </w:pPr>
          </w:p>
        </w:tc>
        <w:tc>
          <w:tcPr>
            <w:tcW w:w="510" w:type="pct"/>
            <w:shd w:val="clear" w:color="auto" w:fill="auto"/>
            <w:vAlign w:val="center"/>
          </w:tcPr>
          <w:p w:rsidR="0056161E" w:rsidRPr="0056161E" w:rsidRDefault="0056161E" w:rsidP="008019CB">
            <w:pPr>
              <w:adjustRightInd w:val="0"/>
              <w:snapToGrid w:val="0"/>
              <w:spacing w:after="0" w:line="360" w:lineRule="auto"/>
              <w:jc w:val="right"/>
              <w:rPr>
                <w:rFonts w:ascii="Book Antiqua" w:hAnsi="Book Antiqua"/>
                <w:szCs w:val="18"/>
              </w:rPr>
            </w:pPr>
            <w:r w:rsidRPr="0056161E">
              <w:rPr>
                <w:rFonts w:ascii="Book Antiqua" w:hAnsi="Book Antiqua"/>
                <w:szCs w:val="18"/>
              </w:rPr>
              <w:t>-0</w:t>
            </w:r>
            <w:r w:rsidR="00253C0C">
              <w:rPr>
                <w:rFonts w:ascii="Book Antiqua" w:hAnsi="Book Antiqua" w:hint="eastAsia"/>
                <w:szCs w:val="18"/>
                <w:lang w:eastAsia="zh-CN"/>
              </w:rPr>
              <w:t>.</w:t>
            </w:r>
            <w:r w:rsidRPr="0056161E">
              <w:rPr>
                <w:rFonts w:ascii="Book Antiqua" w:hAnsi="Book Antiqua"/>
                <w:szCs w:val="18"/>
              </w:rPr>
              <w:t>102</w:t>
            </w:r>
          </w:p>
        </w:tc>
        <w:tc>
          <w:tcPr>
            <w:tcW w:w="505" w:type="pct"/>
            <w:shd w:val="clear" w:color="auto" w:fill="auto"/>
            <w:vAlign w:val="center"/>
          </w:tcPr>
          <w:p w:rsidR="0056161E" w:rsidRPr="0056161E" w:rsidRDefault="0056161E" w:rsidP="008019CB">
            <w:pPr>
              <w:adjustRightInd w:val="0"/>
              <w:snapToGrid w:val="0"/>
              <w:spacing w:after="0" w:line="360" w:lineRule="auto"/>
              <w:jc w:val="right"/>
              <w:rPr>
                <w:rFonts w:ascii="Book Antiqua" w:hAnsi="Book Antiqua"/>
                <w:szCs w:val="18"/>
              </w:rPr>
            </w:pPr>
            <w:r w:rsidRPr="0056161E">
              <w:rPr>
                <w:rFonts w:ascii="Book Antiqua" w:hAnsi="Book Antiqua"/>
                <w:szCs w:val="18"/>
              </w:rPr>
              <w:t>0</w:t>
            </w:r>
            <w:r w:rsidR="00253C0C">
              <w:rPr>
                <w:rFonts w:ascii="Book Antiqua" w:hAnsi="Book Antiqua" w:hint="eastAsia"/>
                <w:szCs w:val="18"/>
                <w:lang w:eastAsia="zh-CN"/>
              </w:rPr>
              <w:t>.</w:t>
            </w:r>
            <w:r w:rsidRPr="0056161E">
              <w:rPr>
                <w:rFonts w:ascii="Book Antiqua" w:hAnsi="Book Antiqua"/>
                <w:szCs w:val="18"/>
              </w:rPr>
              <w:t>188</w:t>
            </w:r>
          </w:p>
        </w:tc>
      </w:tr>
      <w:tr w:rsidR="0056161E" w:rsidRPr="0056161E" w:rsidTr="00CE47CF">
        <w:trPr>
          <w:trHeight w:val="255"/>
        </w:trPr>
        <w:tc>
          <w:tcPr>
            <w:tcW w:w="1413" w:type="pct"/>
            <w:shd w:val="clear" w:color="auto" w:fill="auto"/>
            <w:vAlign w:val="center"/>
          </w:tcPr>
          <w:p w:rsidR="0056161E" w:rsidRPr="0056161E" w:rsidRDefault="0056161E" w:rsidP="008019CB">
            <w:pPr>
              <w:adjustRightInd w:val="0"/>
              <w:snapToGrid w:val="0"/>
              <w:spacing w:after="0" w:line="360" w:lineRule="auto"/>
              <w:rPr>
                <w:rFonts w:ascii="Book Antiqua" w:hAnsi="Book Antiqua"/>
                <w:lang w:val="en-GB"/>
              </w:rPr>
            </w:pPr>
            <w:r w:rsidRPr="0056161E">
              <w:rPr>
                <w:rFonts w:ascii="Book Antiqua" w:hAnsi="Book Antiqua"/>
                <w:lang w:val="en-GB"/>
              </w:rPr>
              <w:t>Triglycerides</w:t>
            </w:r>
            <w:r w:rsidRPr="00031C84">
              <w:rPr>
                <w:rFonts w:ascii="Book Antiqua" w:hAnsi="Book Antiqua"/>
                <w:lang w:val="en-US"/>
              </w:rPr>
              <w:t xml:space="preserve">, </w:t>
            </w:r>
            <w:r w:rsidRPr="00031C84">
              <w:rPr>
                <w:rFonts w:ascii="Book Antiqua" w:hAnsi="Book Antiqua"/>
                <w:lang w:val="en-GB"/>
              </w:rPr>
              <w:t>mg/</w:t>
            </w:r>
            <w:proofErr w:type="spellStart"/>
            <w:r w:rsidRPr="00031C84">
              <w:rPr>
                <w:rFonts w:ascii="Book Antiqua" w:hAnsi="Book Antiqua"/>
                <w:lang w:val="en-GB"/>
              </w:rPr>
              <w:t>d</w:t>
            </w:r>
            <w:r w:rsidRPr="00031C84">
              <w:rPr>
                <w:rFonts w:ascii="Book Antiqua" w:hAnsi="Book Antiqua"/>
                <w:caps/>
                <w:lang w:val="en-GB"/>
              </w:rPr>
              <w:t>l</w:t>
            </w:r>
            <w:proofErr w:type="spellEnd"/>
          </w:p>
        </w:tc>
        <w:tc>
          <w:tcPr>
            <w:tcW w:w="362"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414"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777" w:type="pct"/>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rPr>
            </w:pPr>
          </w:p>
        </w:tc>
        <w:tc>
          <w:tcPr>
            <w:tcW w:w="509" w:type="pct"/>
          </w:tcPr>
          <w:p w:rsidR="0056161E" w:rsidRPr="0056161E" w:rsidRDefault="0056161E" w:rsidP="008019CB">
            <w:pPr>
              <w:adjustRightInd w:val="0"/>
              <w:snapToGrid w:val="0"/>
              <w:spacing w:after="0" w:line="360" w:lineRule="auto"/>
              <w:jc w:val="center"/>
              <w:rPr>
                <w:rFonts w:ascii="Book Antiqua" w:hAnsi="Book Antiqua"/>
              </w:rPr>
            </w:pPr>
          </w:p>
        </w:tc>
        <w:tc>
          <w:tcPr>
            <w:tcW w:w="510" w:type="pct"/>
          </w:tcPr>
          <w:p w:rsidR="0056161E" w:rsidRPr="0056161E" w:rsidRDefault="0056161E" w:rsidP="008019CB">
            <w:pPr>
              <w:adjustRightInd w:val="0"/>
              <w:snapToGrid w:val="0"/>
              <w:spacing w:after="0" w:line="360" w:lineRule="auto"/>
              <w:jc w:val="center"/>
              <w:rPr>
                <w:rFonts w:ascii="Book Antiqua" w:hAnsi="Book Antiqua"/>
              </w:rPr>
            </w:pPr>
          </w:p>
        </w:tc>
        <w:tc>
          <w:tcPr>
            <w:tcW w:w="510" w:type="pct"/>
            <w:shd w:val="clear" w:color="auto" w:fill="auto"/>
            <w:vAlign w:val="center"/>
          </w:tcPr>
          <w:p w:rsidR="0056161E" w:rsidRPr="0056161E" w:rsidRDefault="0056161E" w:rsidP="008019CB">
            <w:pPr>
              <w:adjustRightInd w:val="0"/>
              <w:snapToGrid w:val="0"/>
              <w:spacing w:after="0" w:line="360" w:lineRule="auto"/>
              <w:jc w:val="right"/>
              <w:rPr>
                <w:rFonts w:ascii="Book Antiqua" w:hAnsi="Book Antiqua"/>
                <w:szCs w:val="18"/>
              </w:rPr>
            </w:pPr>
            <w:r w:rsidRPr="0056161E">
              <w:rPr>
                <w:rFonts w:ascii="Book Antiqua" w:hAnsi="Book Antiqua"/>
                <w:szCs w:val="18"/>
              </w:rPr>
              <w:t>0</w:t>
            </w:r>
            <w:r w:rsidR="00253C0C">
              <w:rPr>
                <w:rFonts w:ascii="Book Antiqua" w:hAnsi="Book Antiqua" w:hint="eastAsia"/>
                <w:szCs w:val="18"/>
                <w:lang w:eastAsia="zh-CN"/>
              </w:rPr>
              <w:t>.</w:t>
            </w:r>
            <w:r w:rsidRPr="0056161E">
              <w:rPr>
                <w:rFonts w:ascii="Book Antiqua" w:hAnsi="Book Antiqua"/>
                <w:szCs w:val="18"/>
              </w:rPr>
              <w:t>213</w:t>
            </w:r>
          </w:p>
        </w:tc>
        <w:tc>
          <w:tcPr>
            <w:tcW w:w="505" w:type="pct"/>
            <w:shd w:val="clear" w:color="auto" w:fill="auto"/>
            <w:vAlign w:val="center"/>
          </w:tcPr>
          <w:p w:rsidR="0056161E" w:rsidRPr="0056161E" w:rsidRDefault="0056161E" w:rsidP="008019CB">
            <w:pPr>
              <w:adjustRightInd w:val="0"/>
              <w:snapToGrid w:val="0"/>
              <w:spacing w:after="0" w:line="360" w:lineRule="auto"/>
              <w:jc w:val="right"/>
              <w:rPr>
                <w:rFonts w:ascii="Book Antiqua" w:hAnsi="Book Antiqua"/>
                <w:b/>
                <w:szCs w:val="18"/>
              </w:rPr>
            </w:pPr>
            <w:r w:rsidRPr="0056161E">
              <w:rPr>
                <w:rFonts w:ascii="Book Antiqua" w:hAnsi="Book Antiqua"/>
                <w:b/>
                <w:szCs w:val="18"/>
              </w:rPr>
              <w:t>0</w:t>
            </w:r>
            <w:r w:rsidR="00253C0C">
              <w:rPr>
                <w:rFonts w:ascii="Book Antiqua" w:hAnsi="Book Antiqua" w:hint="eastAsia"/>
                <w:b/>
                <w:szCs w:val="18"/>
                <w:lang w:eastAsia="zh-CN"/>
              </w:rPr>
              <w:t>.</w:t>
            </w:r>
            <w:r w:rsidRPr="0056161E">
              <w:rPr>
                <w:rFonts w:ascii="Book Antiqua" w:hAnsi="Book Antiqua"/>
                <w:b/>
                <w:szCs w:val="18"/>
              </w:rPr>
              <w:t>006</w:t>
            </w:r>
          </w:p>
        </w:tc>
      </w:tr>
      <w:tr w:rsidR="0056161E" w:rsidRPr="0056161E" w:rsidTr="00CE47CF">
        <w:trPr>
          <w:trHeight w:val="255"/>
        </w:trPr>
        <w:tc>
          <w:tcPr>
            <w:tcW w:w="1413" w:type="pct"/>
            <w:tcBorders>
              <w:bottom w:val="single" w:sz="4" w:space="0" w:color="auto"/>
            </w:tcBorders>
            <w:shd w:val="clear" w:color="auto" w:fill="auto"/>
          </w:tcPr>
          <w:p w:rsidR="0056161E" w:rsidRPr="0056161E" w:rsidRDefault="0056161E" w:rsidP="008019CB">
            <w:pPr>
              <w:adjustRightInd w:val="0"/>
              <w:snapToGrid w:val="0"/>
              <w:spacing w:after="0" w:line="360" w:lineRule="auto"/>
              <w:rPr>
                <w:rFonts w:ascii="Book Antiqua" w:hAnsi="Book Antiqua"/>
              </w:rPr>
            </w:pPr>
            <w:r w:rsidRPr="0056161E">
              <w:rPr>
                <w:rFonts w:ascii="Book Antiqua" w:hAnsi="Book Antiqua"/>
              </w:rPr>
              <w:t>ADV36 seropositivity</w:t>
            </w:r>
          </w:p>
        </w:tc>
        <w:tc>
          <w:tcPr>
            <w:tcW w:w="362" w:type="pct"/>
            <w:tcBorders>
              <w:bottom w:val="single" w:sz="4" w:space="0" w:color="auto"/>
            </w:tcBorders>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highlight w:val="yellow"/>
              </w:rPr>
            </w:pPr>
          </w:p>
        </w:tc>
        <w:tc>
          <w:tcPr>
            <w:tcW w:w="414" w:type="pct"/>
            <w:tcBorders>
              <w:bottom w:val="single" w:sz="4" w:space="0" w:color="auto"/>
            </w:tcBorders>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highlight w:val="yellow"/>
              </w:rPr>
            </w:pPr>
          </w:p>
        </w:tc>
        <w:tc>
          <w:tcPr>
            <w:tcW w:w="777" w:type="pct"/>
            <w:tcBorders>
              <w:bottom w:val="single" w:sz="4" w:space="0" w:color="auto"/>
            </w:tcBorders>
            <w:shd w:val="clear" w:color="auto" w:fill="auto"/>
            <w:noWrap/>
            <w:vAlign w:val="center"/>
          </w:tcPr>
          <w:p w:rsidR="0056161E" w:rsidRPr="0056161E" w:rsidRDefault="0056161E" w:rsidP="008019CB">
            <w:pPr>
              <w:adjustRightInd w:val="0"/>
              <w:snapToGrid w:val="0"/>
              <w:spacing w:after="0" w:line="360" w:lineRule="auto"/>
              <w:jc w:val="center"/>
              <w:rPr>
                <w:rFonts w:ascii="Book Antiqua" w:hAnsi="Book Antiqua"/>
                <w:highlight w:val="yellow"/>
              </w:rPr>
            </w:pPr>
          </w:p>
        </w:tc>
        <w:tc>
          <w:tcPr>
            <w:tcW w:w="509" w:type="pct"/>
            <w:tcBorders>
              <w:bottom w:val="single" w:sz="4" w:space="0" w:color="auto"/>
            </w:tcBorders>
          </w:tcPr>
          <w:p w:rsidR="0056161E" w:rsidRPr="0056161E" w:rsidRDefault="0056161E" w:rsidP="008019CB">
            <w:pPr>
              <w:adjustRightInd w:val="0"/>
              <w:snapToGrid w:val="0"/>
              <w:spacing w:after="0" w:line="360" w:lineRule="auto"/>
              <w:jc w:val="center"/>
              <w:rPr>
                <w:rFonts w:ascii="Book Antiqua" w:hAnsi="Book Antiqua"/>
                <w:highlight w:val="yellow"/>
              </w:rPr>
            </w:pPr>
          </w:p>
        </w:tc>
        <w:tc>
          <w:tcPr>
            <w:tcW w:w="510" w:type="pct"/>
            <w:tcBorders>
              <w:bottom w:val="single" w:sz="4" w:space="0" w:color="auto"/>
            </w:tcBorders>
          </w:tcPr>
          <w:p w:rsidR="0056161E" w:rsidRPr="0056161E" w:rsidRDefault="0056161E" w:rsidP="008019CB">
            <w:pPr>
              <w:adjustRightInd w:val="0"/>
              <w:snapToGrid w:val="0"/>
              <w:spacing w:after="0" w:line="360" w:lineRule="auto"/>
              <w:jc w:val="center"/>
              <w:rPr>
                <w:rFonts w:ascii="Book Antiqua" w:hAnsi="Book Antiqua"/>
                <w:highlight w:val="yellow"/>
              </w:rPr>
            </w:pPr>
          </w:p>
        </w:tc>
        <w:tc>
          <w:tcPr>
            <w:tcW w:w="510" w:type="pct"/>
            <w:tcBorders>
              <w:bottom w:val="single" w:sz="4" w:space="0" w:color="auto"/>
            </w:tcBorders>
            <w:shd w:val="clear" w:color="auto" w:fill="auto"/>
            <w:vAlign w:val="center"/>
          </w:tcPr>
          <w:p w:rsidR="0056161E" w:rsidRPr="0056161E" w:rsidRDefault="0056161E" w:rsidP="008019CB">
            <w:pPr>
              <w:adjustRightInd w:val="0"/>
              <w:snapToGrid w:val="0"/>
              <w:spacing w:after="0" w:line="360" w:lineRule="auto"/>
              <w:jc w:val="right"/>
              <w:rPr>
                <w:rFonts w:ascii="Book Antiqua" w:hAnsi="Book Antiqua"/>
                <w:szCs w:val="18"/>
              </w:rPr>
            </w:pPr>
            <w:r w:rsidRPr="0056161E">
              <w:rPr>
                <w:rFonts w:ascii="Book Antiqua" w:hAnsi="Book Antiqua"/>
                <w:szCs w:val="18"/>
              </w:rPr>
              <w:t>0</w:t>
            </w:r>
            <w:r w:rsidR="00253C0C">
              <w:rPr>
                <w:rFonts w:ascii="Book Antiqua" w:hAnsi="Book Antiqua" w:hint="eastAsia"/>
                <w:szCs w:val="18"/>
                <w:lang w:eastAsia="zh-CN"/>
              </w:rPr>
              <w:t>.</w:t>
            </w:r>
            <w:r w:rsidRPr="0056161E">
              <w:rPr>
                <w:rFonts w:ascii="Book Antiqua" w:hAnsi="Book Antiqua"/>
                <w:szCs w:val="18"/>
              </w:rPr>
              <w:t>005</w:t>
            </w:r>
          </w:p>
        </w:tc>
        <w:tc>
          <w:tcPr>
            <w:tcW w:w="505" w:type="pct"/>
            <w:tcBorders>
              <w:bottom w:val="single" w:sz="4" w:space="0" w:color="auto"/>
            </w:tcBorders>
            <w:shd w:val="clear" w:color="auto" w:fill="auto"/>
            <w:vAlign w:val="center"/>
          </w:tcPr>
          <w:p w:rsidR="0056161E" w:rsidRPr="0056161E" w:rsidRDefault="0056161E" w:rsidP="008019CB">
            <w:pPr>
              <w:adjustRightInd w:val="0"/>
              <w:snapToGrid w:val="0"/>
              <w:spacing w:after="0" w:line="360" w:lineRule="auto"/>
              <w:jc w:val="right"/>
              <w:rPr>
                <w:rFonts w:ascii="Book Antiqua" w:hAnsi="Book Antiqua"/>
                <w:szCs w:val="18"/>
              </w:rPr>
            </w:pPr>
            <w:r w:rsidRPr="0056161E">
              <w:rPr>
                <w:rFonts w:ascii="Book Antiqua" w:hAnsi="Book Antiqua"/>
                <w:szCs w:val="18"/>
              </w:rPr>
              <w:t>0</w:t>
            </w:r>
            <w:r w:rsidR="00253C0C">
              <w:rPr>
                <w:rFonts w:ascii="Book Antiqua" w:hAnsi="Book Antiqua" w:hint="eastAsia"/>
                <w:szCs w:val="18"/>
                <w:lang w:eastAsia="zh-CN"/>
              </w:rPr>
              <w:t>.</w:t>
            </w:r>
            <w:r w:rsidRPr="0056161E">
              <w:rPr>
                <w:rFonts w:ascii="Book Antiqua" w:hAnsi="Book Antiqua"/>
                <w:szCs w:val="18"/>
              </w:rPr>
              <w:t>938</w:t>
            </w:r>
          </w:p>
        </w:tc>
      </w:tr>
    </w:tbl>
    <w:p w:rsidR="0056161E" w:rsidRPr="00253C0C" w:rsidRDefault="0056161E" w:rsidP="008019CB">
      <w:pPr>
        <w:adjustRightInd w:val="0"/>
        <w:snapToGrid w:val="0"/>
        <w:spacing w:after="0" w:line="360" w:lineRule="auto"/>
        <w:jc w:val="both"/>
        <w:rPr>
          <w:rFonts w:ascii="Book Antiqua" w:hAnsi="Book Antiqua"/>
          <w:sz w:val="24"/>
          <w:szCs w:val="24"/>
          <w:lang w:val="en-US" w:eastAsia="zh-CN"/>
        </w:rPr>
      </w:pPr>
      <w:r w:rsidRPr="00253C0C">
        <w:rPr>
          <w:rFonts w:ascii="Book Antiqua" w:hAnsi="Book Antiqua"/>
          <w:color w:val="000000"/>
          <w:sz w:val="24"/>
          <w:szCs w:val="24"/>
          <w:lang w:val="en-US"/>
        </w:rPr>
        <w:t>Weighte</w:t>
      </w:r>
      <w:r w:rsidR="00253C0C" w:rsidRPr="00253C0C">
        <w:rPr>
          <w:rFonts w:ascii="Book Antiqua" w:hAnsi="Book Antiqua"/>
          <w:color w:val="000000"/>
          <w:sz w:val="24"/>
          <w:szCs w:val="24"/>
          <w:lang w:val="en-US"/>
        </w:rPr>
        <w:t>d least squares regression - weighted by ag</w:t>
      </w:r>
      <w:r w:rsidRPr="00253C0C">
        <w:rPr>
          <w:rFonts w:ascii="Book Antiqua" w:hAnsi="Book Antiqua"/>
          <w:color w:val="000000"/>
          <w:sz w:val="24"/>
          <w:szCs w:val="24"/>
          <w:lang w:val="en-US"/>
        </w:rPr>
        <w:t xml:space="preserve">e. </w:t>
      </w:r>
      <w:r w:rsidR="00253C0C" w:rsidRPr="00253C0C">
        <w:rPr>
          <w:rFonts w:ascii="Book Antiqua" w:hAnsi="Book Antiqua"/>
          <w:bCs/>
          <w:caps/>
          <w:sz w:val="24"/>
          <w:szCs w:val="24"/>
          <w:lang w:val="en-US"/>
        </w:rPr>
        <w:t>b</w:t>
      </w:r>
      <w:r w:rsidR="00253C0C" w:rsidRPr="00253C0C">
        <w:rPr>
          <w:rFonts w:ascii="Book Antiqua" w:hAnsi="Book Antiqua"/>
          <w:bCs/>
          <w:sz w:val="24"/>
          <w:szCs w:val="24"/>
          <w:lang w:val="en-US"/>
        </w:rPr>
        <w:t>old font indicates significant correlations.</w:t>
      </w:r>
      <w:r w:rsidR="00253C0C">
        <w:rPr>
          <w:rFonts w:ascii="Book Antiqua" w:hAnsi="Book Antiqua" w:hint="eastAsia"/>
          <w:bCs/>
          <w:sz w:val="24"/>
          <w:szCs w:val="24"/>
          <w:lang w:val="en-US" w:eastAsia="zh-CN"/>
        </w:rPr>
        <w:t xml:space="preserve"> </w:t>
      </w:r>
      <w:r w:rsidR="00253C0C" w:rsidRPr="00253C0C">
        <w:rPr>
          <w:rFonts w:ascii="Book Antiqua" w:hAnsi="Book Antiqua"/>
          <w:sz w:val="24"/>
          <w:szCs w:val="24"/>
          <w:lang w:val="en-GB"/>
        </w:rPr>
        <w:t>BMI: Body mass index; FM: Fat mass; HDL: High-density lipoprotein; LDL: Low-density lipoprotein.</w:t>
      </w:r>
    </w:p>
    <w:p w:rsidR="00D33505" w:rsidRDefault="00D33505" w:rsidP="008019CB">
      <w:pPr>
        <w:adjustRightInd w:val="0"/>
        <w:snapToGrid w:val="0"/>
        <w:spacing w:after="0" w:line="360" w:lineRule="auto"/>
        <w:jc w:val="both"/>
        <w:rPr>
          <w:rFonts w:ascii="Book Antiqua" w:hAnsi="Book Antiqua" w:cs="Times New Roman"/>
          <w:b/>
          <w:sz w:val="24"/>
          <w:szCs w:val="24"/>
          <w:lang w:val="en-US" w:eastAsia="zh-CN"/>
        </w:rPr>
      </w:pPr>
      <w:r>
        <w:rPr>
          <w:rFonts w:ascii="Book Antiqua" w:hAnsi="Book Antiqua" w:cs="Times New Roman"/>
          <w:b/>
          <w:sz w:val="24"/>
          <w:szCs w:val="24"/>
          <w:lang w:val="en-US" w:eastAsia="zh-CN"/>
        </w:rPr>
        <w:br w:type="page"/>
      </w:r>
    </w:p>
    <w:p w:rsidR="00D33505" w:rsidRPr="00D33505" w:rsidRDefault="00D33505" w:rsidP="008019CB">
      <w:pPr>
        <w:adjustRightInd w:val="0"/>
        <w:snapToGrid w:val="0"/>
        <w:spacing w:after="0" w:line="360" w:lineRule="auto"/>
        <w:rPr>
          <w:rFonts w:ascii="Book Antiqua" w:hAnsi="Book Antiqua"/>
          <w:b/>
          <w:sz w:val="24"/>
          <w:szCs w:val="24"/>
          <w:lang w:val="en-US"/>
        </w:rPr>
      </w:pPr>
      <w:r w:rsidRPr="00D33505">
        <w:rPr>
          <w:rFonts w:ascii="Book Antiqua" w:hAnsi="Book Antiqua"/>
          <w:b/>
          <w:sz w:val="24"/>
          <w:szCs w:val="24"/>
          <w:lang w:val="en-US"/>
        </w:rPr>
        <w:lastRenderedPageBreak/>
        <w:t>Table 2 Multiple Linear regression to non-alcoholic fatty liver disease</w:t>
      </w:r>
      <w:r w:rsidRPr="00D33505">
        <w:rPr>
          <w:rFonts w:ascii="Book Antiqua" w:hAnsi="Book Antiqua"/>
          <w:b/>
          <w:sz w:val="24"/>
          <w:szCs w:val="24"/>
          <w:lang w:val="en-US" w:eastAsia="zh-CN"/>
        </w:rPr>
        <w:t>-</w:t>
      </w:r>
      <w:r w:rsidRPr="00D33505">
        <w:rPr>
          <w:rFonts w:ascii="Book Antiqua" w:hAnsi="Book Antiqua"/>
          <w:b/>
          <w:sz w:val="24"/>
          <w:szCs w:val="24"/>
          <w:lang w:val="en-US"/>
        </w:rPr>
        <w:t xml:space="preserve">ADV37 </w:t>
      </w:r>
      <w:proofErr w:type="spellStart"/>
      <w:r w:rsidRPr="00D33505">
        <w:rPr>
          <w:rFonts w:ascii="Book Antiqua" w:hAnsi="Book Antiqua"/>
          <w:b/>
          <w:sz w:val="24"/>
          <w:szCs w:val="24"/>
          <w:lang w:val="en-US"/>
        </w:rPr>
        <w:t>seropositivity</w:t>
      </w:r>
      <w:proofErr w:type="spellEnd"/>
    </w:p>
    <w:tbl>
      <w:tblPr>
        <w:tblW w:w="5000" w:type="pct"/>
        <w:tblCellMar>
          <w:left w:w="70" w:type="dxa"/>
          <w:right w:w="70" w:type="dxa"/>
        </w:tblCellMar>
        <w:tblLook w:val="04A0" w:firstRow="1" w:lastRow="0" w:firstColumn="1" w:lastColumn="0" w:noHBand="0" w:noVBand="1"/>
      </w:tblPr>
      <w:tblGrid>
        <w:gridCol w:w="3270"/>
        <w:gridCol w:w="839"/>
        <w:gridCol w:w="964"/>
        <w:gridCol w:w="1177"/>
        <w:gridCol w:w="1181"/>
        <w:gridCol w:w="1181"/>
        <w:gridCol w:w="1166"/>
      </w:tblGrid>
      <w:tr w:rsidR="00BD7FFE" w:rsidRPr="00B26D16" w:rsidTr="00CE47CF">
        <w:trPr>
          <w:trHeight w:val="255"/>
        </w:trPr>
        <w:tc>
          <w:tcPr>
            <w:tcW w:w="5000" w:type="pct"/>
            <w:gridSpan w:val="7"/>
            <w:tcBorders>
              <w:top w:val="single" w:sz="4" w:space="0" w:color="auto"/>
              <w:bottom w:val="single" w:sz="4" w:space="0" w:color="auto"/>
            </w:tcBorders>
            <w:shd w:val="clear" w:color="auto" w:fill="auto"/>
          </w:tcPr>
          <w:p w:rsidR="00BD7FFE" w:rsidRPr="00BD7FFE" w:rsidRDefault="00BD7FFE" w:rsidP="008019CB">
            <w:pPr>
              <w:adjustRightInd w:val="0"/>
              <w:snapToGrid w:val="0"/>
              <w:spacing w:after="0" w:line="360" w:lineRule="auto"/>
              <w:jc w:val="center"/>
              <w:rPr>
                <w:rFonts w:ascii="Book Antiqua" w:hAnsi="Book Antiqua"/>
                <w:b/>
                <w:color w:val="000000"/>
              </w:rPr>
            </w:pPr>
            <w:r w:rsidRPr="00BD7FFE">
              <w:rPr>
                <w:rFonts w:ascii="Book Antiqua" w:hAnsi="Book Antiqua"/>
                <w:b/>
                <w:color w:val="000000"/>
              </w:rPr>
              <w:t>NAFLD</w:t>
            </w:r>
          </w:p>
        </w:tc>
      </w:tr>
      <w:tr w:rsidR="00D33505" w:rsidRPr="00D33505" w:rsidTr="00E1113F">
        <w:trPr>
          <w:trHeight w:val="255"/>
        </w:trPr>
        <w:tc>
          <w:tcPr>
            <w:tcW w:w="1672" w:type="pct"/>
            <w:tcBorders>
              <w:top w:val="single" w:sz="4" w:space="0" w:color="auto"/>
              <w:bottom w:val="single" w:sz="4" w:space="0" w:color="auto"/>
            </w:tcBorders>
            <w:shd w:val="clear" w:color="auto" w:fill="auto"/>
          </w:tcPr>
          <w:p w:rsidR="00D33505" w:rsidRPr="00D33505" w:rsidRDefault="00D33505" w:rsidP="008019CB">
            <w:pPr>
              <w:adjustRightInd w:val="0"/>
              <w:snapToGrid w:val="0"/>
              <w:spacing w:after="0" w:line="360" w:lineRule="auto"/>
              <w:rPr>
                <w:rFonts w:ascii="Book Antiqua" w:hAnsi="Book Antiqua"/>
                <w:lang w:val="en-GB"/>
              </w:rPr>
            </w:pPr>
          </w:p>
        </w:tc>
        <w:tc>
          <w:tcPr>
            <w:tcW w:w="429" w:type="pct"/>
            <w:tcBorders>
              <w:top w:val="single" w:sz="4" w:space="0" w:color="auto"/>
              <w:bottom w:val="single" w:sz="4" w:space="0" w:color="auto"/>
            </w:tcBorders>
            <w:shd w:val="clear" w:color="auto" w:fill="auto"/>
            <w:noWrap/>
            <w:vAlign w:val="center"/>
          </w:tcPr>
          <w:p w:rsidR="00D33505" w:rsidRPr="00D33505" w:rsidRDefault="00D33505" w:rsidP="008019CB">
            <w:pPr>
              <w:adjustRightInd w:val="0"/>
              <w:snapToGrid w:val="0"/>
              <w:spacing w:after="0" w:line="360" w:lineRule="auto"/>
              <w:jc w:val="center"/>
              <w:rPr>
                <w:rFonts w:ascii="Book Antiqua" w:hAnsi="Book Antiqua"/>
                <w:i/>
              </w:rPr>
            </w:pPr>
            <w:r w:rsidRPr="00031C84">
              <w:rPr>
                <w:rFonts w:ascii="Book Antiqua" w:hAnsi="Book Antiqua" w:hint="eastAsia"/>
                <w:i/>
                <w:lang w:eastAsia="zh-CN"/>
              </w:rPr>
              <w:t>r</w:t>
            </w:r>
          </w:p>
        </w:tc>
        <w:tc>
          <w:tcPr>
            <w:tcW w:w="493" w:type="pct"/>
            <w:tcBorders>
              <w:top w:val="single" w:sz="4" w:space="0" w:color="auto"/>
              <w:bottom w:val="single" w:sz="4" w:space="0" w:color="auto"/>
            </w:tcBorders>
            <w:shd w:val="clear" w:color="auto" w:fill="auto"/>
            <w:noWrap/>
            <w:vAlign w:val="center"/>
          </w:tcPr>
          <w:p w:rsidR="00D33505" w:rsidRPr="00D33505" w:rsidRDefault="00D33505" w:rsidP="008019CB">
            <w:pPr>
              <w:adjustRightInd w:val="0"/>
              <w:snapToGrid w:val="0"/>
              <w:spacing w:after="0" w:line="360" w:lineRule="auto"/>
              <w:jc w:val="center"/>
              <w:rPr>
                <w:rFonts w:ascii="Book Antiqua" w:hAnsi="Book Antiqua"/>
                <w:i/>
              </w:rPr>
            </w:pPr>
            <w:r w:rsidRPr="00031C84">
              <w:rPr>
                <w:rFonts w:ascii="Book Antiqua" w:hAnsi="Book Antiqua" w:hint="eastAsia"/>
                <w:i/>
                <w:lang w:eastAsia="zh-CN"/>
              </w:rPr>
              <w:t>r</w:t>
            </w:r>
            <w:r w:rsidRPr="0056161E">
              <w:rPr>
                <w:rFonts w:ascii="Book Antiqua" w:hAnsi="Book Antiqua"/>
                <w:vertAlign w:val="superscript"/>
              </w:rPr>
              <w:t>2</w:t>
            </w:r>
          </w:p>
        </w:tc>
        <w:tc>
          <w:tcPr>
            <w:tcW w:w="602" w:type="pct"/>
            <w:tcBorders>
              <w:top w:val="single" w:sz="4" w:space="0" w:color="auto"/>
              <w:bottom w:val="single" w:sz="4" w:space="0" w:color="auto"/>
            </w:tcBorders>
          </w:tcPr>
          <w:p w:rsidR="00D33505" w:rsidRPr="0056161E" w:rsidRDefault="00D33505" w:rsidP="008019CB">
            <w:pPr>
              <w:adjustRightInd w:val="0"/>
              <w:snapToGrid w:val="0"/>
              <w:spacing w:after="0" w:line="360" w:lineRule="auto"/>
              <w:jc w:val="center"/>
              <w:rPr>
                <w:rFonts w:ascii="Book Antiqua" w:hAnsi="Book Antiqua"/>
                <w:i/>
              </w:rPr>
            </w:pPr>
            <w:r w:rsidRPr="0056161E">
              <w:rPr>
                <w:rFonts w:ascii="Book Antiqua" w:hAnsi="Book Antiqua"/>
                <w:i/>
              </w:rPr>
              <w:t xml:space="preserve">F </w:t>
            </w:r>
          </w:p>
        </w:tc>
        <w:tc>
          <w:tcPr>
            <w:tcW w:w="604" w:type="pct"/>
            <w:tcBorders>
              <w:top w:val="single" w:sz="4" w:space="0" w:color="auto"/>
              <w:bottom w:val="single" w:sz="4" w:space="0" w:color="auto"/>
            </w:tcBorders>
          </w:tcPr>
          <w:p w:rsidR="00D33505" w:rsidRPr="0056161E" w:rsidRDefault="00D33505" w:rsidP="008019CB">
            <w:pPr>
              <w:adjustRightInd w:val="0"/>
              <w:snapToGrid w:val="0"/>
              <w:spacing w:after="0" w:line="360" w:lineRule="auto"/>
              <w:jc w:val="center"/>
              <w:rPr>
                <w:rFonts w:ascii="Book Antiqua" w:hAnsi="Book Antiqua"/>
              </w:rPr>
            </w:pPr>
            <w:r w:rsidRPr="0056161E">
              <w:rPr>
                <w:rFonts w:ascii="Book Antiqua" w:hAnsi="Book Antiqua"/>
              </w:rPr>
              <w:t>sig</w:t>
            </w:r>
          </w:p>
        </w:tc>
        <w:tc>
          <w:tcPr>
            <w:tcW w:w="604" w:type="pct"/>
            <w:tcBorders>
              <w:top w:val="single" w:sz="4" w:space="0" w:color="auto"/>
              <w:bottom w:val="single" w:sz="4" w:space="0" w:color="auto"/>
            </w:tcBorders>
            <w:shd w:val="clear" w:color="auto" w:fill="auto"/>
            <w:vAlign w:val="center"/>
          </w:tcPr>
          <w:p w:rsidR="00D33505" w:rsidRPr="0056161E" w:rsidRDefault="00D33505" w:rsidP="008019CB">
            <w:pPr>
              <w:adjustRightInd w:val="0"/>
              <w:snapToGrid w:val="0"/>
              <w:spacing w:after="0" w:line="360" w:lineRule="auto"/>
              <w:jc w:val="center"/>
              <w:rPr>
                <w:rFonts w:ascii="Book Antiqua" w:hAnsi="Book Antiqua"/>
              </w:rPr>
            </w:pPr>
            <w:r w:rsidRPr="0056161E">
              <w:rPr>
                <w:rFonts w:ascii="Book Antiqua" w:hAnsi="Book Antiqua"/>
              </w:rPr>
              <w:t>β</w:t>
            </w:r>
          </w:p>
        </w:tc>
        <w:tc>
          <w:tcPr>
            <w:tcW w:w="596" w:type="pct"/>
            <w:tcBorders>
              <w:top w:val="single" w:sz="4" w:space="0" w:color="auto"/>
              <w:bottom w:val="single" w:sz="4" w:space="0" w:color="auto"/>
            </w:tcBorders>
            <w:shd w:val="clear" w:color="auto" w:fill="auto"/>
            <w:vAlign w:val="center"/>
          </w:tcPr>
          <w:p w:rsidR="00D33505" w:rsidRPr="0056161E" w:rsidRDefault="00D33505" w:rsidP="008019CB">
            <w:pPr>
              <w:adjustRightInd w:val="0"/>
              <w:snapToGrid w:val="0"/>
              <w:spacing w:after="0" w:line="360" w:lineRule="auto"/>
              <w:jc w:val="center"/>
              <w:rPr>
                <w:rFonts w:ascii="Book Antiqua" w:hAnsi="Book Antiqua"/>
                <w:caps/>
                <w:lang w:eastAsia="zh-CN"/>
              </w:rPr>
            </w:pPr>
            <w:r w:rsidRPr="0056161E">
              <w:rPr>
                <w:rFonts w:ascii="Book Antiqua" w:hAnsi="Book Antiqua"/>
                <w:i/>
                <w:caps/>
              </w:rPr>
              <w:t>p</w:t>
            </w:r>
            <w:r w:rsidRPr="0056161E">
              <w:rPr>
                <w:rFonts w:ascii="Book Antiqua" w:hAnsi="Book Antiqua"/>
                <w:caps/>
                <w:lang w:eastAsia="zh-CN"/>
              </w:rPr>
              <w:t>-</w:t>
            </w:r>
            <w:r w:rsidRPr="0056161E">
              <w:rPr>
                <w:rFonts w:ascii="Book Antiqua" w:hAnsi="Book Antiqua"/>
                <w:lang w:eastAsia="zh-CN"/>
              </w:rPr>
              <w:t>value</w:t>
            </w:r>
          </w:p>
        </w:tc>
      </w:tr>
      <w:tr w:rsidR="00D33505" w:rsidRPr="00D33505" w:rsidTr="00D33505">
        <w:trPr>
          <w:trHeight w:val="255"/>
        </w:trPr>
        <w:tc>
          <w:tcPr>
            <w:tcW w:w="1672" w:type="pct"/>
            <w:tcBorders>
              <w:top w:val="single" w:sz="4" w:space="0" w:color="auto"/>
            </w:tcBorders>
            <w:shd w:val="clear" w:color="auto" w:fill="auto"/>
          </w:tcPr>
          <w:p w:rsidR="00D33505" w:rsidRPr="00D33505" w:rsidRDefault="00D33505" w:rsidP="008019CB">
            <w:pPr>
              <w:adjustRightInd w:val="0"/>
              <w:snapToGrid w:val="0"/>
              <w:spacing w:after="0" w:line="360" w:lineRule="auto"/>
              <w:rPr>
                <w:rFonts w:ascii="Book Antiqua" w:hAnsi="Book Antiqua"/>
                <w:lang w:val="en-GB"/>
              </w:rPr>
            </w:pPr>
          </w:p>
        </w:tc>
        <w:tc>
          <w:tcPr>
            <w:tcW w:w="429" w:type="pct"/>
            <w:tcBorders>
              <w:top w:val="single" w:sz="4" w:space="0" w:color="auto"/>
            </w:tcBorders>
            <w:shd w:val="clear" w:color="auto" w:fill="auto"/>
            <w:noWrap/>
            <w:vAlign w:val="center"/>
          </w:tcPr>
          <w:p w:rsidR="00D33505" w:rsidRPr="00D33505" w:rsidRDefault="00D33505" w:rsidP="008019CB">
            <w:pPr>
              <w:adjustRightInd w:val="0"/>
              <w:snapToGrid w:val="0"/>
              <w:spacing w:after="0" w:line="360" w:lineRule="auto"/>
              <w:jc w:val="center"/>
              <w:rPr>
                <w:rFonts w:ascii="Book Antiqua" w:hAnsi="Book Antiqua"/>
              </w:rPr>
            </w:pPr>
            <w:r w:rsidRPr="00D33505">
              <w:rPr>
                <w:rFonts w:ascii="Book Antiqua" w:hAnsi="Book Antiqua"/>
                <w:color w:val="000000"/>
              </w:rPr>
              <w:t>0</w:t>
            </w:r>
            <w:r>
              <w:rPr>
                <w:rFonts w:ascii="Book Antiqua" w:hAnsi="Book Antiqua" w:hint="eastAsia"/>
                <w:color w:val="000000"/>
                <w:lang w:eastAsia="zh-CN"/>
              </w:rPr>
              <w:t>.</w:t>
            </w:r>
            <w:r w:rsidRPr="00D33505">
              <w:rPr>
                <w:rFonts w:ascii="Book Antiqua" w:hAnsi="Book Antiqua"/>
                <w:color w:val="000000"/>
              </w:rPr>
              <w:t>632</w:t>
            </w:r>
          </w:p>
        </w:tc>
        <w:tc>
          <w:tcPr>
            <w:tcW w:w="493" w:type="pct"/>
            <w:tcBorders>
              <w:top w:val="single" w:sz="4" w:space="0" w:color="auto"/>
            </w:tcBorders>
            <w:shd w:val="clear" w:color="auto" w:fill="auto"/>
            <w:noWrap/>
            <w:vAlign w:val="center"/>
          </w:tcPr>
          <w:p w:rsidR="00D33505" w:rsidRPr="00D33505" w:rsidRDefault="00D33505" w:rsidP="008019CB">
            <w:pPr>
              <w:adjustRightInd w:val="0"/>
              <w:snapToGrid w:val="0"/>
              <w:spacing w:after="0" w:line="360" w:lineRule="auto"/>
              <w:jc w:val="center"/>
              <w:rPr>
                <w:rFonts w:ascii="Book Antiqua" w:hAnsi="Book Antiqua"/>
                <w:color w:val="000000"/>
              </w:rPr>
            </w:pPr>
            <w:r w:rsidRPr="00D33505">
              <w:rPr>
                <w:rFonts w:ascii="Book Antiqua" w:hAnsi="Book Antiqua"/>
                <w:color w:val="000000"/>
              </w:rPr>
              <w:t>0</w:t>
            </w:r>
            <w:r>
              <w:rPr>
                <w:rFonts w:ascii="Book Antiqua" w:hAnsi="Book Antiqua" w:hint="eastAsia"/>
                <w:color w:val="000000"/>
                <w:lang w:eastAsia="zh-CN"/>
              </w:rPr>
              <w:t>.</w:t>
            </w:r>
            <w:r w:rsidRPr="00D33505">
              <w:rPr>
                <w:rFonts w:ascii="Book Antiqua" w:hAnsi="Book Antiqua"/>
                <w:color w:val="000000"/>
              </w:rPr>
              <w:t>400</w:t>
            </w:r>
          </w:p>
        </w:tc>
        <w:tc>
          <w:tcPr>
            <w:tcW w:w="602" w:type="pct"/>
            <w:tcBorders>
              <w:top w:val="single" w:sz="4" w:space="0" w:color="auto"/>
            </w:tcBorders>
            <w:vAlign w:val="center"/>
          </w:tcPr>
          <w:p w:rsidR="00D33505" w:rsidRPr="00D33505" w:rsidRDefault="00D33505" w:rsidP="008019CB">
            <w:pPr>
              <w:adjustRightInd w:val="0"/>
              <w:snapToGrid w:val="0"/>
              <w:spacing w:after="0" w:line="360" w:lineRule="auto"/>
              <w:jc w:val="center"/>
              <w:rPr>
                <w:rFonts w:ascii="Book Antiqua" w:hAnsi="Book Antiqua"/>
                <w:color w:val="000000"/>
              </w:rPr>
            </w:pPr>
            <w:r w:rsidRPr="00D33505">
              <w:rPr>
                <w:rFonts w:ascii="Book Antiqua" w:hAnsi="Book Antiqua"/>
                <w:color w:val="000000"/>
              </w:rPr>
              <w:t>18</w:t>
            </w:r>
            <w:r>
              <w:rPr>
                <w:rFonts w:ascii="Book Antiqua" w:hAnsi="Book Antiqua" w:hint="eastAsia"/>
                <w:color w:val="000000"/>
                <w:lang w:eastAsia="zh-CN"/>
              </w:rPr>
              <w:t>.</w:t>
            </w:r>
            <w:r w:rsidRPr="00D33505">
              <w:rPr>
                <w:rFonts w:ascii="Book Antiqua" w:hAnsi="Book Antiqua"/>
                <w:color w:val="000000"/>
              </w:rPr>
              <w:t>789</w:t>
            </w:r>
          </w:p>
        </w:tc>
        <w:tc>
          <w:tcPr>
            <w:tcW w:w="604" w:type="pct"/>
            <w:tcBorders>
              <w:top w:val="single" w:sz="4" w:space="0" w:color="auto"/>
            </w:tcBorders>
            <w:vAlign w:val="center"/>
          </w:tcPr>
          <w:p w:rsidR="00D33505" w:rsidRPr="00D33505" w:rsidRDefault="00D33505" w:rsidP="008019CB">
            <w:pPr>
              <w:adjustRightInd w:val="0"/>
              <w:snapToGrid w:val="0"/>
              <w:spacing w:after="0" w:line="360" w:lineRule="auto"/>
              <w:jc w:val="center"/>
              <w:rPr>
                <w:rFonts w:ascii="Book Antiqua" w:hAnsi="Book Antiqua"/>
                <w:b/>
                <w:highlight w:val="yellow"/>
              </w:rPr>
            </w:pPr>
            <w:r w:rsidRPr="00D33505">
              <w:rPr>
                <w:rFonts w:ascii="Book Antiqua" w:hAnsi="Book Antiqua"/>
                <w:b/>
              </w:rPr>
              <w:t>&lt;</w:t>
            </w:r>
            <w:r w:rsidRPr="00D33505">
              <w:rPr>
                <w:rFonts w:ascii="Book Antiqua" w:hAnsi="Book Antiqua"/>
                <w:b/>
                <w:lang w:eastAsia="zh-CN"/>
              </w:rPr>
              <w:t xml:space="preserve"> </w:t>
            </w:r>
            <w:r w:rsidRPr="00D33505">
              <w:rPr>
                <w:rFonts w:ascii="Book Antiqua" w:hAnsi="Book Antiqua"/>
                <w:b/>
              </w:rPr>
              <w:t>0</w:t>
            </w:r>
            <w:r w:rsidRPr="00D33505">
              <w:rPr>
                <w:rFonts w:ascii="Book Antiqua" w:hAnsi="Book Antiqua"/>
                <w:b/>
                <w:lang w:eastAsia="zh-CN"/>
              </w:rPr>
              <w:t>.</w:t>
            </w:r>
            <w:r w:rsidRPr="00D33505">
              <w:rPr>
                <w:rFonts w:ascii="Book Antiqua" w:hAnsi="Book Antiqua"/>
                <w:b/>
              </w:rPr>
              <w:t>0001</w:t>
            </w:r>
          </w:p>
        </w:tc>
        <w:tc>
          <w:tcPr>
            <w:tcW w:w="604" w:type="pct"/>
            <w:tcBorders>
              <w:top w:val="single" w:sz="4" w:space="0" w:color="auto"/>
            </w:tcBorders>
            <w:shd w:val="clear" w:color="auto" w:fill="auto"/>
            <w:vAlign w:val="center"/>
          </w:tcPr>
          <w:p w:rsidR="00D33505" w:rsidRPr="00D33505" w:rsidRDefault="00D33505" w:rsidP="008019CB">
            <w:pPr>
              <w:adjustRightInd w:val="0"/>
              <w:snapToGrid w:val="0"/>
              <w:spacing w:after="0" w:line="360" w:lineRule="auto"/>
              <w:jc w:val="center"/>
              <w:rPr>
                <w:rFonts w:ascii="Book Antiqua" w:hAnsi="Book Antiqua"/>
                <w:color w:val="000000"/>
              </w:rPr>
            </w:pPr>
          </w:p>
        </w:tc>
        <w:tc>
          <w:tcPr>
            <w:tcW w:w="596" w:type="pct"/>
            <w:tcBorders>
              <w:top w:val="single" w:sz="4" w:space="0" w:color="auto"/>
            </w:tcBorders>
            <w:shd w:val="clear" w:color="auto" w:fill="auto"/>
            <w:vAlign w:val="center"/>
          </w:tcPr>
          <w:p w:rsidR="00D33505" w:rsidRPr="00D33505" w:rsidRDefault="00D33505" w:rsidP="008019CB">
            <w:pPr>
              <w:adjustRightInd w:val="0"/>
              <w:snapToGrid w:val="0"/>
              <w:spacing w:after="0" w:line="360" w:lineRule="auto"/>
              <w:jc w:val="center"/>
              <w:rPr>
                <w:rFonts w:ascii="Book Antiqua" w:hAnsi="Book Antiqua"/>
                <w:b/>
                <w:color w:val="000000"/>
              </w:rPr>
            </w:pPr>
          </w:p>
        </w:tc>
      </w:tr>
      <w:tr w:rsidR="00D33505" w:rsidRPr="00D33505" w:rsidTr="00CE47CF">
        <w:trPr>
          <w:trHeight w:val="255"/>
        </w:trPr>
        <w:tc>
          <w:tcPr>
            <w:tcW w:w="1672" w:type="pct"/>
            <w:shd w:val="clear" w:color="auto" w:fill="auto"/>
          </w:tcPr>
          <w:p w:rsidR="00D33505" w:rsidRPr="00D33505" w:rsidRDefault="00D33505" w:rsidP="008019CB">
            <w:pPr>
              <w:autoSpaceDE w:val="0"/>
              <w:autoSpaceDN w:val="0"/>
              <w:adjustRightInd w:val="0"/>
              <w:snapToGrid w:val="0"/>
              <w:spacing w:after="0" w:line="360" w:lineRule="auto"/>
              <w:rPr>
                <w:rFonts w:ascii="Book Antiqua" w:hAnsi="Book Antiqua" w:cs="Arial"/>
                <w:color w:val="000000"/>
                <w:sz w:val="14"/>
                <w:szCs w:val="14"/>
              </w:rPr>
            </w:pPr>
            <w:r w:rsidRPr="00D33505">
              <w:rPr>
                <w:rFonts w:ascii="Book Antiqua" w:hAnsi="Book Antiqua"/>
                <w:b/>
                <w:bCs/>
              </w:rPr>
              <w:t>ADV37 seropositivity</w:t>
            </w:r>
          </w:p>
        </w:tc>
        <w:tc>
          <w:tcPr>
            <w:tcW w:w="429" w:type="pct"/>
            <w:shd w:val="clear" w:color="auto" w:fill="auto"/>
            <w:noWrap/>
            <w:vAlign w:val="center"/>
          </w:tcPr>
          <w:p w:rsidR="00D33505" w:rsidRPr="00D33505" w:rsidRDefault="00D33505" w:rsidP="008019CB">
            <w:pPr>
              <w:adjustRightInd w:val="0"/>
              <w:snapToGrid w:val="0"/>
              <w:spacing w:after="0" w:line="360" w:lineRule="auto"/>
              <w:jc w:val="center"/>
              <w:rPr>
                <w:rFonts w:ascii="Book Antiqua" w:hAnsi="Book Antiqua"/>
                <w:highlight w:val="yellow"/>
              </w:rPr>
            </w:pPr>
          </w:p>
        </w:tc>
        <w:tc>
          <w:tcPr>
            <w:tcW w:w="493" w:type="pct"/>
            <w:shd w:val="clear" w:color="auto" w:fill="auto"/>
            <w:noWrap/>
            <w:vAlign w:val="center"/>
          </w:tcPr>
          <w:p w:rsidR="00D33505" w:rsidRPr="00D33505" w:rsidRDefault="00D33505" w:rsidP="008019CB">
            <w:pPr>
              <w:adjustRightInd w:val="0"/>
              <w:snapToGrid w:val="0"/>
              <w:spacing w:after="0" w:line="360" w:lineRule="auto"/>
              <w:jc w:val="center"/>
              <w:rPr>
                <w:rFonts w:ascii="Book Antiqua" w:hAnsi="Book Antiqua"/>
                <w:highlight w:val="yellow"/>
              </w:rPr>
            </w:pPr>
          </w:p>
        </w:tc>
        <w:tc>
          <w:tcPr>
            <w:tcW w:w="602" w:type="pct"/>
            <w:vAlign w:val="center"/>
          </w:tcPr>
          <w:p w:rsidR="00D33505" w:rsidRPr="00D33505" w:rsidRDefault="00D33505" w:rsidP="008019CB">
            <w:pPr>
              <w:adjustRightInd w:val="0"/>
              <w:snapToGrid w:val="0"/>
              <w:spacing w:after="0" w:line="360" w:lineRule="auto"/>
              <w:jc w:val="center"/>
              <w:rPr>
                <w:rFonts w:ascii="Book Antiqua" w:hAnsi="Book Antiqua"/>
                <w:highlight w:val="yellow"/>
              </w:rPr>
            </w:pPr>
          </w:p>
        </w:tc>
        <w:tc>
          <w:tcPr>
            <w:tcW w:w="604" w:type="pct"/>
            <w:vAlign w:val="center"/>
          </w:tcPr>
          <w:p w:rsidR="00D33505" w:rsidRPr="00D33505" w:rsidRDefault="00D33505" w:rsidP="008019CB">
            <w:pPr>
              <w:adjustRightInd w:val="0"/>
              <w:snapToGrid w:val="0"/>
              <w:spacing w:after="0" w:line="360" w:lineRule="auto"/>
              <w:jc w:val="center"/>
              <w:rPr>
                <w:rFonts w:ascii="Book Antiqua" w:hAnsi="Book Antiqua"/>
                <w:highlight w:val="yellow"/>
              </w:rPr>
            </w:pPr>
          </w:p>
        </w:tc>
        <w:tc>
          <w:tcPr>
            <w:tcW w:w="604" w:type="pct"/>
            <w:shd w:val="clear" w:color="auto" w:fill="auto"/>
            <w:vAlign w:val="center"/>
          </w:tcPr>
          <w:p w:rsidR="00D33505" w:rsidRPr="00D33505" w:rsidRDefault="00D33505" w:rsidP="008019CB">
            <w:pPr>
              <w:adjustRightInd w:val="0"/>
              <w:snapToGrid w:val="0"/>
              <w:spacing w:after="0" w:line="360" w:lineRule="auto"/>
              <w:jc w:val="center"/>
              <w:rPr>
                <w:rFonts w:ascii="Book Antiqua" w:hAnsi="Book Antiqua"/>
                <w:color w:val="000000"/>
              </w:rPr>
            </w:pPr>
            <w:r w:rsidRPr="00D33505">
              <w:rPr>
                <w:rFonts w:ascii="Book Antiqua" w:hAnsi="Book Antiqua"/>
                <w:color w:val="000000"/>
              </w:rPr>
              <w:t>0</w:t>
            </w:r>
            <w:r>
              <w:rPr>
                <w:rFonts w:ascii="Book Antiqua" w:hAnsi="Book Antiqua" w:hint="eastAsia"/>
                <w:color w:val="000000"/>
                <w:lang w:eastAsia="zh-CN"/>
              </w:rPr>
              <w:t>.</w:t>
            </w:r>
            <w:r w:rsidRPr="00D33505">
              <w:rPr>
                <w:rFonts w:ascii="Book Antiqua" w:hAnsi="Book Antiqua"/>
                <w:color w:val="000000"/>
              </w:rPr>
              <w:t>222</w:t>
            </w:r>
          </w:p>
        </w:tc>
        <w:tc>
          <w:tcPr>
            <w:tcW w:w="596" w:type="pct"/>
            <w:shd w:val="clear" w:color="auto" w:fill="auto"/>
            <w:vAlign w:val="center"/>
          </w:tcPr>
          <w:p w:rsidR="00D33505" w:rsidRPr="00D33505" w:rsidRDefault="00D33505" w:rsidP="008019CB">
            <w:pPr>
              <w:adjustRightInd w:val="0"/>
              <w:snapToGrid w:val="0"/>
              <w:spacing w:after="0" w:line="360" w:lineRule="auto"/>
              <w:jc w:val="center"/>
              <w:rPr>
                <w:rFonts w:ascii="Book Antiqua" w:hAnsi="Book Antiqua"/>
                <w:b/>
                <w:color w:val="000000"/>
              </w:rPr>
            </w:pPr>
            <w:r w:rsidRPr="00D33505">
              <w:rPr>
                <w:rFonts w:ascii="Book Antiqua" w:hAnsi="Book Antiqua"/>
                <w:b/>
                <w:color w:val="000000"/>
              </w:rPr>
              <w:t>0</w:t>
            </w:r>
            <w:r w:rsidRPr="00D33505">
              <w:rPr>
                <w:rFonts w:ascii="Book Antiqua" w:hAnsi="Book Antiqua"/>
                <w:b/>
                <w:color w:val="000000"/>
                <w:lang w:eastAsia="zh-CN"/>
              </w:rPr>
              <w:t>.</w:t>
            </w:r>
            <w:r w:rsidRPr="00D33505">
              <w:rPr>
                <w:rFonts w:ascii="Book Antiqua" w:hAnsi="Book Antiqua"/>
                <w:b/>
                <w:color w:val="000000"/>
              </w:rPr>
              <w:t>001</w:t>
            </w:r>
          </w:p>
        </w:tc>
      </w:tr>
      <w:tr w:rsidR="00D33505" w:rsidRPr="00D33505" w:rsidTr="00CE47CF">
        <w:trPr>
          <w:trHeight w:val="255"/>
        </w:trPr>
        <w:tc>
          <w:tcPr>
            <w:tcW w:w="1672" w:type="pct"/>
            <w:shd w:val="clear" w:color="auto" w:fill="auto"/>
          </w:tcPr>
          <w:p w:rsidR="00D33505" w:rsidRPr="00D33505" w:rsidRDefault="00D33505" w:rsidP="008019CB">
            <w:pPr>
              <w:adjustRightInd w:val="0"/>
              <w:snapToGrid w:val="0"/>
              <w:spacing w:after="0" w:line="360" w:lineRule="auto"/>
              <w:rPr>
                <w:rFonts w:ascii="Book Antiqua" w:hAnsi="Book Antiqua" w:cs="Arial"/>
                <w:color w:val="000000"/>
                <w:sz w:val="14"/>
                <w:szCs w:val="14"/>
              </w:rPr>
            </w:pPr>
            <w:r w:rsidRPr="00D33505">
              <w:rPr>
                <w:rFonts w:ascii="Book Antiqua" w:hAnsi="Book Antiqua"/>
                <w:b/>
                <w:bCs/>
              </w:rPr>
              <w:t xml:space="preserve">HDL cholesterol, </w:t>
            </w:r>
            <w:r w:rsidRPr="00D33505">
              <w:rPr>
                <w:rFonts w:ascii="Book Antiqua" w:hAnsi="Book Antiqua"/>
                <w:b/>
                <w:bCs/>
                <w:iCs/>
              </w:rPr>
              <w:t>mg/d</w:t>
            </w:r>
            <w:r w:rsidRPr="00D33505">
              <w:rPr>
                <w:rFonts w:ascii="Book Antiqua" w:hAnsi="Book Antiqua"/>
                <w:b/>
                <w:bCs/>
                <w:iCs/>
                <w:caps/>
              </w:rPr>
              <w:t>l</w:t>
            </w:r>
          </w:p>
        </w:tc>
        <w:tc>
          <w:tcPr>
            <w:tcW w:w="429" w:type="pct"/>
            <w:shd w:val="clear" w:color="auto" w:fill="auto"/>
            <w:noWrap/>
            <w:vAlign w:val="center"/>
          </w:tcPr>
          <w:p w:rsidR="00D33505" w:rsidRPr="00D33505" w:rsidRDefault="00D33505" w:rsidP="008019CB">
            <w:pPr>
              <w:adjustRightInd w:val="0"/>
              <w:snapToGrid w:val="0"/>
              <w:spacing w:after="0" w:line="360" w:lineRule="auto"/>
              <w:jc w:val="center"/>
              <w:rPr>
                <w:rFonts w:ascii="Book Antiqua" w:hAnsi="Book Antiqua"/>
                <w:highlight w:val="yellow"/>
              </w:rPr>
            </w:pPr>
          </w:p>
        </w:tc>
        <w:tc>
          <w:tcPr>
            <w:tcW w:w="493" w:type="pct"/>
            <w:shd w:val="clear" w:color="auto" w:fill="auto"/>
            <w:noWrap/>
            <w:vAlign w:val="center"/>
          </w:tcPr>
          <w:p w:rsidR="00D33505" w:rsidRPr="00D33505" w:rsidRDefault="00D33505" w:rsidP="008019CB">
            <w:pPr>
              <w:adjustRightInd w:val="0"/>
              <w:snapToGrid w:val="0"/>
              <w:spacing w:after="0" w:line="360" w:lineRule="auto"/>
              <w:jc w:val="center"/>
              <w:rPr>
                <w:rFonts w:ascii="Book Antiqua" w:hAnsi="Book Antiqua"/>
                <w:highlight w:val="yellow"/>
              </w:rPr>
            </w:pPr>
          </w:p>
        </w:tc>
        <w:tc>
          <w:tcPr>
            <w:tcW w:w="602" w:type="pct"/>
            <w:vAlign w:val="center"/>
          </w:tcPr>
          <w:p w:rsidR="00D33505" w:rsidRPr="00D33505" w:rsidRDefault="00D33505" w:rsidP="008019CB">
            <w:pPr>
              <w:adjustRightInd w:val="0"/>
              <w:snapToGrid w:val="0"/>
              <w:spacing w:after="0" w:line="360" w:lineRule="auto"/>
              <w:jc w:val="center"/>
              <w:rPr>
                <w:rFonts w:ascii="Book Antiqua" w:hAnsi="Book Antiqua"/>
                <w:highlight w:val="yellow"/>
              </w:rPr>
            </w:pPr>
          </w:p>
        </w:tc>
        <w:tc>
          <w:tcPr>
            <w:tcW w:w="604" w:type="pct"/>
            <w:vAlign w:val="center"/>
          </w:tcPr>
          <w:p w:rsidR="00D33505" w:rsidRPr="00D33505" w:rsidRDefault="00D33505" w:rsidP="008019CB">
            <w:pPr>
              <w:adjustRightInd w:val="0"/>
              <w:snapToGrid w:val="0"/>
              <w:spacing w:after="0" w:line="360" w:lineRule="auto"/>
              <w:jc w:val="center"/>
              <w:rPr>
                <w:rFonts w:ascii="Book Antiqua" w:hAnsi="Book Antiqua"/>
                <w:highlight w:val="yellow"/>
              </w:rPr>
            </w:pPr>
          </w:p>
        </w:tc>
        <w:tc>
          <w:tcPr>
            <w:tcW w:w="604" w:type="pct"/>
            <w:shd w:val="clear" w:color="auto" w:fill="auto"/>
            <w:vAlign w:val="center"/>
          </w:tcPr>
          <w:p w:rsidR="00D33505" w:rsidRPr="00D33505" w:rsidRDefault="00D33505" w:rsidP="008019CB">
            <w:pPr>
              <w:adjustRightInd w:val="0"/>
              <w:snapToGrid w:val="0"/>
              <w:spacing w:after="0" w:line="360" w:lineRule="auto"/>
              <w:jc w:val="center"/>
              <w:rPr>
                <w:rFonts w:ascii="Book Antiqua" w:hAnsi="Book Antiqua"/>
                <w:color w:val="000000"/>
              </w:rPr>
            </w:pPr>
            <w:r w:rsidRPr="00D33505">
              <w:rPr>
                <w:rFonts w:ascii="Book Antiqua" w:hAnsi="Book Antiqua"/>
                <w:color w:val="000000"/>
              </w:rPr>
              <w:t>0</w:t>
            </w:r>
            <w:r>
              <w:rPr>
                <w:rFonts w:ascii="Book Antiqua" w:hAnsi="Book Antiqua" w:hint="eastAsia"/>
                <w:color w:val="000000"/>
                <w:lang w:eastAsia="zh-CN"/>
              </w:rPr>
              <w:t>.</w:t>
            </w:r>
            <w:r w:rsidRPr="00D33505">
              <w:rPr>
                <w:rFonts w:ascii="Book Antiqua" w:hAnsi="Book Antiqua"/>
                <w:color w:val="000000"/>
              </w:rPr>
              <w:t>097</w:t>
            </w:r>
          </w:p>
        </w:tc>
        <w:tc>
          <w:tcPr>
            <w:tcW w:w="596" w:type="pct"/>
            <w:shd w:val="clear" w:color="auto" w:fill="auto"/>
            <w:vAlign w:val="center"/>
          </w:tcPr>
          <w:p w:rsidR="00D33505" w:rsidRPr="00D33505" w:rsidRDefault="00D33505" w:rsidP="008019CB">
            <w:pPr>
              <w:adjustRightInd w:val="0"/>
              <w:snapToGrid w:val="0"/>
              <w:spacing w:after="0" w:line="360" w:lineRule="auto"/>
              <w:jc w:val="center"/>
              <w:rPr>
                <w:rFonts w:ascii="Book Antiqua" w:hAnsi="Book Antiqua"/>
                <w:color w:val="000000"/>
              </w:rPr>
            </w:pPr>
            <w:r w:rsidRPr="00D33505">
              <w:rPr>
                <w:rFonts w:ascii="Book Antiqua" w:hAnsi="Book Antiqua"/>
                <w:color w:val="000000"/>
              </w:rPr>
              <w:t>0</w:t>
            </w:r>
            <w:r>
              <w:rPr>
                <w:rFonts w:ascii="Book Antiqua" w:hAnsi="Book Antiqua" w:hint="eastAsia"/>
                <w:color w:val="000000"/>
                <w:lang w:eastAsia="zh-CN"/>
              </w:rPr>
              <w:t>.</w:t>
            </w:r>
            <w:r w:rsidRPr="00D33505">
              <w:rPr>
                <w:rFonts w:ascii="Book Antiqua" w:hAnsi="Book Antiqua"/>
                <w:color w:val="000000"/>
              </w:rPr>
              <w:t>190</w:t>
            </w:r>
          </w:p>
        </w:tc>
      </w:tr>
      <w:tr w:rsidR="00D33505" w:rsidRPr="00D33505" w:rsidTr="00CE47CF">
        <w:trPr>
          <w:trHeight w:val="255"/>
        </w:trPr>
        <w:tc>
          <w:tcPr>
            <w:tcW w:w="1672" w:type="pct"/>
            <w:shd w:val="clear" w:color="auto" w:fill="auto"/>
          </w:tcPr>
          <w:p w:rsidR="00D33505" w:rsidRPr="00D33505" w:rsidRDefault="00D33505" w:rsidP="008019CB">
            <w:pPr>
              <w:adjustRightInd w:val="0"/>
              <w:snapToGrid w:val="0"/>
              <w:spacing w:after="0" w:line="360" w:lineRule="auto"/>
              <w:rPr>
                <w:rFonts w:ascii="Book Antiqua" w:hAnsi="Book Antiqua" w:cs="Arial"/>
                <w:color w:val="000000"/>
                <w:sz w:val="14"/>
                <w:szCs w:val="14"/>
              </w:rPr>
            </w:pPr>
            <w:r w:rsidRPr="00D33505">
              <w:rPr>
                <w:rFonts w:ascii="Book Antiqua" w:hAnsi="Book Antiqua"/>
                <w:b/>
                <w:bCs/>
              </w:rPr>
              <w:t xml:space="preserve">Triglycerides, </w:t>
            </w:r>
            <w:r w:rsidRPr="00D33505">
              <w:rPr>
                <w:rFonts w:ascii="Book Antiqua" w:hAnsi="Book Antiqua"/>
                <w:b/>
                <w:bCs/>
                <w:iCs/>
              </w:rPr>
              <w:t>mg/d</w:t>
            </w:r>
            <w:r w:rsidRPr="00D33505">
              <w:rPr>
                <w:rFonts w:ascii="Book Antiqua" w:hAnsi="Book Antiqua"/>
                <w:b/>
                <w:bCs/>
                <w:iCs/>
                <w:caps/>
              </w:rPr>
              <w:t>l</w:t>
            </w:r>
          </w:p>
        </w:tc>
        <w:tc>
          <w:tcPr>
            <w:tcW w:w="429" w:type="pct"/>
            <w:shd w:val="clear" w:color="auto" w:fill="auto"/>
            <w:noWrap/>
            <w:vAlign w:val="center"/>
          </w:tcPr>
          <w:p w:rsidR="00D33505" w:rsidRPr="00D33505" w:rsidRDefault="00D33505" w:rsidP="008019CB">
            <w:pPr>
              <w:adjustRightInd w:val="0"/>
              <w:snapToGrid w:val="0"/>
              <w:spacing w:after="0" w:line="360" w:lineRule="auto"/>
              <w:jc w:val="center"/>
              <w:rPr>
                <w:rFonts w:ascii="Book Antiqua" w:hAnsi="Book Antiqua"/>
                <w:highlight w:val="yellow"/>
              </w:rPr>
            </w:pPr>
          </w:p>
        </w:tc>
        <w:tc>
          <w:tcPr>
            <w:tcW w:w="493" w:type="pct"/>
            <w:shd w:val="clear" w:color="auto" w:fill="auto"/>
            <w:noWrap/>
            <w:vAlign w:val="center"/>
          </w:tcPr>
          <w:p w:rsidR="00D33505" w:rsidRPr="00D33505" w:rsidRDefault="00D33505" w:rsidP="008019CB">
            <w:pPr>
              <w:adjustRightInd w:val="0"/>
              <w:snapToGrid w:val="0"/>
              <w:spacing w:after="0" w:line="360" w:lineRule="auto"/>
              <w:jc w:val="center"/>
              <w:rPr>
                <w:rFonts w:ascii="Book Antiqua" w:hAnsi="Book Antiqua"/>
                <w:highlight w:val="yellow"/>
              </w:rPr>
            </w:pPr>
          </w:p>
        </w:tc>
        <w:tc>
          <w:tcPr>
            <w:tcW w:w="602" w:type="pct"/>
            <w:vAlign w:val="center"/>
          </w:tcPr>
          <w:p w:rsidR="00D33505" w:rsidRPr="00D33505" w:rsidRDefault="00D33505" w:rsidP="008019CB">
            <w:pPr>
              <w:adjustRightInd w:val="0"/>
              <w:snapToGrid w:val="0"/>
              <w:spacing w:after="0" w:line="360" w:lineRule="auto"/>
              <w:jc w:val="center"/>
              <w:rPr>
                <w:rFonts w:ascii="Book Antiqua" w:hAnsi="Book Antiqua"/>
                <w:highlight w:val="yellow"/>
              </w:rPr>
            </w:pPr>
          </w:p>
        </w:tc>
        <w:tc>
          <w:tcPr>
            <w:tcW w:w="604" w:type="pct"/>
            <w:vAlign w:val="center"/>
          </w:tcPr>
          <w:p w:rsidR="00D33505" w:rsidRPr="00D33505" w:rsidRDefault="00D33505" w:rsidP="008019CB">
            <w:pPr>
              <w:adjustRightInd w:val="0"/>
              <w:snapToGrid w:val="0"/>
              <w:spacing w:after="0" w:line="360" w:lineRule="auto"/>
              <w:jc w:val="center"/>
              <w:rPr>
                <w:rFonts w:ascii="Book Antiqua" w:hAnsi="Book Antiqua"/>
                <w:highlight w:val="yellow"/>
              </w:rPr>
            </w:pPr>
          </w:p>
        </w:tc>
        <w:tc>
          <w:tcPr>
            <w:tcW w:w="604" w:type="pct"/>
            <w:shd w:val="clear" w:color="auto" w:fill="auto"/>
            <w:vAlign w:val="center"/>
          </w:tcPr>
          <w:p w:rsidR="00D33505" w:rsidRPr="00D33505" w:rsidRDefault="00D33505" w:rsidP="008019CB">
            <w:pPr>
              <w:adjustRightInd w:val="0"/>
              <w:snapToGrid w:val="0"/>
              <w:spacing w:after="0" w:line="360" w:lineRule="auto"/>
              <w:jc w:val="center"/>
              <w:rPr>
                <w:rFonts w:ascii="Book Antiqua" w:hAnsi="Book Antiqua"/>
                <w:color w:val="000000"/>
              </w:rPr>
            </w:pPr>
            <w:r w:rsidRPr="00D33505">
              <w:rPr>
                <w:rFonts w:ascii="Book Antiqua" w:hAnsi="Book Antiqua"/>
                <w:color w:val="000000"/>
              </w:rPr>
              <w:t>0</w:t>
            </w:r>
            <w:r>
              <w:rPr>
                <w:rFonts w:ascii="Book Antiqua" w:hAnsi="Book Antiqua" w:hint="eastAsia"/>
                <w:color w:val="000000"/>
                <w:lang w:eastAsia="zh-CN"/>
              </w:rPr>
              <w:t>.</w:t>
            </w:r>
            <w:r w:rsidRPr="00D33505">
              <w:rPr>
                <w:rFonts w:ascii="Book Antiqua" w:hAnsi="Book Antiqua"/>
                <w:color w:val="000000"/>
              </w:rPr>
              <w:t>133</w:t>
            </w:r>
          </w:p>
        </w:tc>
        <w:tc>
          <w:tcPr>
            <w:tcW w:w="596" w:type="pct"/>
            <w:shd w:val="clear" w:color="auto" w:fill="auto"/>
            <w:vAlign w:val="center"/>
          </w:tcPr>
          <w:p w:rsidR="00D33505" w:rsidRPr="00D33505" w:rsidRDefault="00D33505" w:rsidP="008019CB">
            <w:pPr>
              <w:adjustRightInd w:val="0"/>
              <w:snapToGrid w:val="0"/>
              <w:spacing w:after="0" w:line="360" w:lineRule="auto"/>
              <w:jc w:val="center"/>
              <w:rPr>
                <w:rFonts w:ascii="Book Antiqua" w:hAnsi="Book Antiqua"/>
                <w:color w:val="000000"/>
              </w:rPr>
            </w:pPr>
            <w:r w:rsidRPr="00D33505">
              <w:rPr>
                <w:rFonts w:ascii="Book Antiqua" w:hAnsi="Book Antiqua"/>
                <w:color w:val="000000"/>
              </w:rPr>
              <w:t>0</w:t>
            </w:r>
            <w:r>
              <w:rPr>
                <w:rFonts w:ascii="Book Antiqua" w:hAnsi="Book Antiqua" w:hint="eastAsia"/>
                <w:color w:val="000000"/>
                <w:lang w:eastAsia="zh-CN"/>
              </w:rPr>
              <w:t>.</w:t>
            </w:r>
            <w:r w:rsidRPr="00D33505">
              <w:rPr>
                <w:rFonts w:ascii="Book Antiqua" w:hAnsi="Book Antiqua"/>
                <w:color w:val="000000"/>
              </w:rPr>
              <w:t>073</w:t>
            </w:r>
          </w:p>
        </w:tc>
      </w:tr>
      <w:tr w:rsidR="00D33505" w:rsidRPr="00D33505" w:rsidTr="00CE47CF">
        <w:trPr>
          <w:trHeight w:val="255"/>
        </w:trPr>
        <w:tc>
          <w:tcPr>
            <w:tcW w:w="1672" w:type="pct"/>
            <w:shd w:val="clear" w:color="auto" w:fill="auto"/>
          </w:tcPr>
          <w:p w:rsidR="00D33505" w:rsidRPr="00D33505" w:rsidRDefault="00D33505" w:rsidP="008019CB">
            <w:pPr>
              <w:adjustRightInd w:val="0"/>
              <w:snapToGrid w:val="0"/>
              <w:spacing w:after="0" w:line="360" w:lineRule="auto"/>
              <w:rPr>
                <w:rFonts w:ascii="Book Antiqua" w:hAnsi="Book Antiqua" w:cs="Arial"/>
                <w:color w:val="000000"/>
                <w:sz w:val="14"/>
                <w:szCs w:val="14"/>
              </w:rPr>
            </w:pPr>
            <w:r w:rsidRPr="00D33505">
              <w:rPr>
                <w:rFonts w:ascii="Book Antiqua" w:hAnsi="Book Antiqua"/>
                <w:b/>
                <w:bCs/>
              </w:rPr>
              <w:t>HOMA</w:t>
            </w:r>
          </w:p>
        </w:tc>
        <w:tc>
          <w:tcPr>
            <w:tcW w:w="429" w:type="pct"/>
            <w:shd w:val="clear" w:color="auto" w:fill="auto"/>
            <w:noWrap/>
            <w:vAlign w:val="center"/>
          </w:tcPr>
          <w:p w:rsidR="00D33505" w:rsidRPr="00D33505" w:rsidRDefault="00D33505" w:rsidP="008019CB">
            <w:pPr>
              <w:adjustRightInd w:val="0"/>
              <w:snapToGrid w:val="0"/>
              <w:spacing w:after="0" w:line="360" w:lineRule="auto"/>
              <w:jc w:val="center"/>
              <w:rPr>
                <w:rFonts w:ascii="Book Antiqua" w:hAnsi="Book Antiqua"/>
                <w:highlight w:val="yellow"/>
              </w:rPr>
            </w:pPr>
          </w:p>
        </w:tc>
        <w:tc>
          <w:tcPr>
            <w:tcW w:w="493" w:type="pct"/>
            <w:shd w:val="clear" w:color="auto" w:fill="auto"/>
            <w:noWrap/>
            <w:vAlign w:val="center"/>
          </w:tcPr>
          <w:p w:rsidR="00D33505" w:rsidRPr="00D33505" w:rsidRDefault="00D33505" w:rsidP="008019CB">
            <w:pPr>
              <w:adjustRightInd w:val="0"/>
              <w:snapToGrid w:val="0"/>
              <w:spacing w:after="0" w:line="360" w:lineRule="auto"/>
              <w:jc w:val="center"/>
              <w:rPr>
                <w:rFonts w:ascii="Book Antiqua" w:hAnsi="Book Antiqua"/>
                <w:highlight w:val="yellow"/>
              </w:rPr>
            </w:pPr>
          </w:p>
        </w:tc>
        <w:tc>
          <w:tcPr>
            <w:tcW w:w="602" w:type="pct"/>
            <w:vAlign w:val="center"/>
          </w:tcPr>
          <w:p w:rsidR="00D33505" w:rsidRPr="00D33505" w:rsidRDefault="00D33505" w:rsidP="008019CB">
            <w:pPr>
              <w:adjustRightInd w:val="0"/>
              <w:snapToGrid w:val="0"/>
              <w:spacing w:after="0" w:line="360" w:lineRule="auto"/>
              <w:jc w:val="center"/>
              <w:rPr>
                <w:rFonts w:ascii="Book Antiqua" w:hAnsi="Book Antiqua"/>
                <w:highlight w:val="yellow"/>
              </w:rPr>
            </w:pPr>
          </w:p>
        </w:tc>
        <w:tc>
          <w:tcPr>
            <w:tcW w:w="604" w:type="pct"/>
            <w:vAlign w:val="center"/>
          </w:tcPr>
          <w:p w:rsidR="00D33505" w:rsidRPr="00D33505" w:rsidRDefault="00D33505" w:rsidP="008019CB">
            <w:pPr>
              <w:adjustRightInd w:val="0"/>
              <w:snapToGrid w:val="0"/>
              <w:spacing w:after="0" w:line="360" w:lineRule="auto"/>
              <w:jc w:val="center"/>
              <w:rPr>
                <w:rFonts w:ascii="Book Antiqua" w:hAnsi="Book Antiqua"/>
                <w:highlight w:val="yellow"/>
              </w:rPr>
            </w:pPr>
          </w:p>
        </w:tc>
        <w:tc>
          <w:tcPr>
            <w:tcW w:w="604" w:type="pct"/>
            <w:shd w:val="clear" w:color="auto" w:fill="auto"/>
            <w:vAlign w:val="center"/>
          </w:tcPr>
          <w:p w:rsidR="00D33505" w:rsidRPr="00D33505" w:rsidRDefault="00D33505" w:rsidP="008019CB">
            <w:pPr>
              <w:adjustRightInd w:val="0"/>
              <w:snapToGrid w:val="0"/>
              <w:spacing w:after="0" w:line="360" w:lineRule="auto"/>
              <w:jc w:val="center"/>
              <w:rPr>
                <w:rFonts w:ascii="Book Antiqua" w:hAnsi="Book Antiqua"/>
                <w:color w:val="000000"/>
              </w:rPr>
            </w:pPr>
            <w:r w:rsidRPr="00D33505">
              <w:rPr>
                <w:rFonts w:ascii="Book Antiqua" w:hAnsi="Book Antiqua"/>
                <w:color w:val="000000"/>
              </w:rPr>
              <w:t>-0</w:t>
            </w:r>
            <w:r>
              <w:rPr>
                <w:rFonts w:ascii="Book Antiqua" w:hAnsi="Book Antiqua" w:hint="eastAsia"/>
                <w:color w:val="000000"/>
                <w:lang w:eastAsia="zh-CN"/>
              </w:rPr>
              <w:t>.</w:t>
            </w:r>
            <w:r w:rsidRPr="00D33505">
              <w:rPr>
                <w:rFonts w:ascii="Book Antiqua" w:hAnsi="Book Antiqua"/>
                <w:color w:val="000000"/>
              </w:rPr>
              <w:t>052</w:t>
            </w:r>
          </w:p>
        </w:tc>
        <w:tc>
          <w:tcPr>
            <w:tcW w:w="596" w:type="pct"/>
            <w:shd w:val="clear" w:color="auto" w:fill="auto"/>
            <w:vAlign w:val="center"/>
          </w:tcPr>
          <w:p w:rsidR="00D33505" w:rsidRPr="00D33505" w:rsidRDefault="00D33505" w:rsidP="008019CB">
            <w:pPr>
              <w:adjustRightInd w:val="0"/>
              <w:snapToGrid w:val="0"/>
              <w:spacing w:after="0" w:line="360" w:lineRule="auto"/>
              <w:jc w:val="center"/>
              <w:rPr>
                <w:rFonts w:ascii="Book Antiqua" w:hAnsi="Book Antiqua"/>
                <w:color w:val="000000"/>
              </w:rPr>
            </w:pPr>
            <w:r w:rsidRPr="00D33505">
              <w:rPr>
                <w:rFonts w:ascii="Book Antiqua" w:hAnsi="Book Antiqua"/>
                <w:color w:val="000000"/>
              </w:rPr>
              <w:t>0,572</w:t>
            </w:r>
          </w:p>
        </w:tc>
      </w:tr>
      <w:tr w:rsidR="00D33505" w:rsidRPr="00D33505" w:rsidTr="00CE47CF">
        <w:trPr>
          <w:trHeight w:val="255"/>
        </w:trPr>
        <w:tc>
          <w:tcPr>
            <w:tcW w:w="1672" w:type="pct"/>
            <w:tcBorders>
              <w:bottom w:val="single" w:sz="4" w:space="0" w:color="auto"/>
            </w:tcBorders>
            <w:shd w:val="clear" w:color="auto" w:fill="auto"/>
          </w:tcPr>
          <w:p w:rsidR="00D33505" w:rsidRPr="00D33505" w:rsidRDefault="00D33505" w:rsidP="008019CB">
            <w:pPr>
              <w:adjustRightInd w:val="0"/>
              <w:snapToGrid w:val="0"/>
              <w:spacing w:after="0" w:line="360" w:lineRule="auto"/>
              <w:rPr>
                <w:rFonts w:ascii="Book Antiqua" w:hAnsi="Book Antiqua" w:cs="Arial"/>
                <w:color w:val="000000"/>
                <w:sz w:val="14"/>
                <w:szCs w:val="14"/>
              </w:rPr>
            </w:pPr>
            <w:r w:rsidRPr="00D33505">
              <w:rPr>
                <w:rFonts w:ascii="Book Antiqua" w:hAnsi="Book Antiqua"/>
                <w:b/>
                <w:bCs/>
              </w:rPr>
              <w:t xml:space="preserve">BMI, </w:t>
            </w:r>
            <w:r w:rsidRPr="00D33505">
              <w:rPr>
                <w:rFonts w:ascii="Book Antiqua" w:hAnsi="Book Antiqua"/>
                <w:b/>
                <w:bCs/>
                <w:iCs/>
              </w:rPr>
              <w:t>kg/m</w:t>
            </w:r>
            <w:r w:rsidRPr="00D33505">
              <w:rPr>
                <w:rFonts w:ascii="Book Antiqua" w:hAnsi="Book Antiqua"/>
                <w:b/>
                <w:bCs/>
                <w:iCs/>
                <w:sz w:val="16"/>
                <w:szCs w:val="16"/>
                <w:vertAlign w:val="superscript"/>
              </w:rPr>
              <w:t>2</w:t>
            </w:r>
          </w:p>
        </w:tc>
        <w:tc>
          <w:tcPr>
            <w:tcW w:w="429" w:type="pct"/>
            <w:tcBorders>
              <w:bottom w:val="single" w:sz="4" w:space="0" w:color="auto"/>
            </w:tcBorders>
            <w:shd w:val="clear" w:color="auto" w:fill="auto"/>
            <w:noWrap/>
            <w:vAlign w:val="center"/>
          </w:tcPr>
          <w:p w:rsidR="00D33505" w:rsidRPr="00D33505" w:rsidRDefault="00D33505" w:rsidP="008019CB">
            <w:pPr>
              <w:adjustRightInd w:val="0"/>
              <w:snapToGrid w:val="0"/>
              <w:spacing w:after="0" w:line="360" w:lineRule="auto"/>
              <w:jc w:val="center"/>
              <w:rPr>
                <w:rFonts w:ascii="Book Antiqua" w:hAnsi="Book Antiqua"/>
                <w:highlight w:val="yellow"/>
              </w:rPr>
            </w:pPr>
          </w:p>
        </w:tc>
        <w:tc>
          <w:tcPr>
            <w:tcW w:w="493" w:type="pct"/>
            <w:tcBorders>
              <w:bottom w:val="single" w:sz="4" w:space="0" w:color="auto"/>
            </w:tcBorders>
            <w:shd w:val="clear" w:color="auto" w:fill="auto"/>
            <w:noWrap/>
            <w:vAlign w:val="center"/>
          </w:tcPr>
          <w:p w:rsidR="00D33505" w:rsidRPr="00D33505" w:rsidRDefault="00D33505" w:rsidP="008019CB">
            <w:pPr>
              <w:adjustRightInd w:val="0"/>
              <w:snapToGrid w:val="0"/>
              <w:spacing w:after="0" w:line="360" w:lineRule="auto"/>
              <w:jc w:val="center"/>
              <w:rPr>
                <w:rFonts w:ascii="Book Antiqua" w:hAnsi="Book Antiqua"/>
                <w:highlight w:val="yellow"/>
              </w:rPr>
            </w:pPr>
          </w:p>
        </w:tc>
        <w:tc>
          <w:tcPr>
            <w:tcW w:w="602" w:type="pct"/>
            <w:tcBorders>
              <w:bottom w:val="single" w:sz="4" w:space="0" w:color="auto"/>
            </w:tcBorders>
            <w:vAlign w:val="center"/>
          </w:tcPr>
          <w:p w:rsidR="00D33505" w:rsidRPr="00D33505" w:rsidRDefault="00D33505" w:rsidP="008019CB">
            <w:pPr>
              <w:adjustRightInd w:val="0"/>
              <w:snapToGrid w:val="0"/>
              <w:spacing w:after="0" w:line="360" w:lineRule="auto"/>
              <w:jc w:val="center"/>
              <w:rPr>
                <w:rFonts w:ascii="Book Antiqua" w:hAnsi="Book Antiqua"/>
                <w:highlight w:val="yellow"/>
              </w:rPr>
            </w:pPr>
          </w:p>
        </w:tc>
        <w:tc>
          <w:tcPr>
            <w:tcW w:w="604" w:type="pct"/>
            <w:tcBorders>
              <w:bottom w:val="single" w:sz="4" w:space="0" w:color="auto"/>
            </w:tcBorders>
            <w:vAlign w:val="center"/>
          </w:tcPr>
          <w:p w:rsidR="00D33505" w:rsidRPr="00D33505" w:rsidRDefault="00D33505" w:rsidP="008019CB">
            <w:pPr>
              <w:adjustRightInd w:val="0"/>
              <w:snapToGrid w:val="0"/>
              <w:spacing w:after="0" w:line="360" w:lineRule="auto"/>
              <w:jc w:val="center"/>
              <w:rPr>
                <w:rFonts w:ascii="Book Antiqua" w:hAnsi="Book Antiqua"/>
                <w:highlight w:val="yellow"/>
              </w:rPr>
            </w:pPr>
          </w:p>
        </w:tc>
        <w:tc>
          <w:tcPr>
            <w:tcW w:w="604" w:type="pct"/>
            <w:tcBorders>
              <w:bottom w:val="single" w:sz="4" w:space="0" w:color="auto"/>
            </w:tcBorders>
            <w:shd w:val="clear" w:color="auto" w:fill="auto"/>
            <w:vAlign w:val="center"/>
          </w:tcPr>
          <w:p w:rsidR="00D33505" w:rsidRPr="00D33505" w:rsidRDefault="00D33505" w:rsidP="008019CB">
            <w:pPr>
              <w:adjustRightInd w:val="0"/>
              <w:snapToGrid w:val="0"/>
              <w:spacing w:after="0" w:line="360" w:lineRule="auto"/>
              <w:jc w:val="center"/>
              <w:rPr>
                <w:rFonts w:ascii="Book Antiqua" w:hAnsi="Book Antiqua"/>
                <w:color w:val="000000"/>
              </w:rPr>
            </w:pPr>
            <w:r w:rsidRPr="00D33505">
              <w:rPr>
                <w:rFonts w:ascii="Book Antiqua" w:hAnsi="Book Antiqua"/>
                <w:color w:val="000000"/>
              </w:rPr>
              <w:t>-0</w:t>
            </w:r>
            <w:r>
              <w:rPr>
                <w:rFonts w:ascii="Book Antiqua" w:hAnsi="Book Antiqua" w:hint="eastAsia"/>
                <w:color w:val="000000"/>
                <w:lang w:eastAsia="zh-CN"/>
              </w:rPr>
              <w:t>.</w:t>
            </w:r>
            <w:r w:rsidRPr="00D33505">
              <w:rPr>
                <w:rFonts w:ascii="Book Antiqua" w:hAnsi="Book Antiqua"/>
                <w:color w:val="000000"/>
              </w:rPr>
              <w:t>557</w:t>
            </w:r>
          </w:p>
        </w:tc>
        <w:tc>
          <w:tcPr>
            <w:tcW w:w="596" w:type="pct"/>
            <w:tcBorders>
              <w:bottom w:val="single" w:sz="4" w:space="0" w:color="auto"/>
            </w:tcBorders>
            <w:shd w:val="clear" w:color="auto" w:fill="auto"/>
            <w:vAlign w:val="center"/>
          </w:tcPr>
          <w:p w:rsidR="00D33505" w:rsidRPr="00D33505" w:rsidRDefault="00D33505" w:rsidP="008019CB">
            <w:pPr>
              <w:adjustRightInd w:val="0"/>
              <w:snapToGrid w:val="0"/>
              <w:spacing w:after="0" w:line="360" w:lineRule="auto"/>
              <w:jc w:val="center"/>
              <w:rPr>
                <w:rFonts w:ascii="Book Antiqua" w:hAnsi="Book Antiqua"/>
                <w:b/>
                <w:color w:val="000000"/>
              </w:rPr>
            </w:pPr>
            <w:r w:rsidRPr="00D33505">
              <w:rPr>
                <w:rFonts w:ascii="Book Antiqua" w:hAnsi="Book Antiqua"/>
                <w:b/>
                <w:color w:val="000000"/>
              </w:rPr>
              <w:t>&lt;</w:t>
            </w:r>
            <w:r>
              <w:rPr>
                <w:rFonts w:ascii="Book Antiqua" w:hAnsi="Book Antiqua" w:hint="eastAsia"/>
                <w:b/>
                <w:color w:val="000000"/>
                <w:lang w:eastAsia="zh-CN"/>
              </w:rPr>
              <w:t xml:space="preserve"> </w:t>
            </w:r>
            <w:r w:rsidRPr="00D33505">
              <w:rPr>
                <w:rFonts w:ascii="Book Antiqua" w:hAnsi="Book Antiqua"/>
                <w:b/>
                <w:color w:val="000000"/>
              </w:rPr>
              <w:t>0</w:t>
            </w:r>
            <w:r w:rsidRPr="00D33505">
              <w:rPr>
                <w:rFonts w:ascii="Book Antiqua" w:hAnsi="Book Antiqua"/>
                <w:b/>
                <w:color w:val="000000"/>
                <w:lang w:eastAsia="zh-CN"/>
              </w:rPr>
              <w:t>.</w:t>
            </w:r>
            <w:r w:rsidRPr="00D33505">
              <w:rPr>
                <w:rFonts w:ascii="Book Antiqua" w:hAnsi="Book Antiqua"/>
                <w:b/>
                <w:color w:val="000000"/>
              </w:rPr>
              <w:t>0001</w:t>
            </w:r>
          </w:p>
        </w:tc>
      </w:tr>
    </w:tbl>
    <w:p w:rsidR="00D33505" w:rsidRPr="00D33505" w:rsidRDefault="00D33505" w:rsidP="008019CB">
      <w:pPr>
        <w:adjustRightInd w:val="0"/>
        <w:snapToGrid w:val="0"/>
        <w:spacing w:after="0" w:line="360" w:lineRule="auto"/>
        <w:rPr>
          <w:rFonts w:ascii="Book Antiqua" w:hAnsi="Book Antiqua"/>
          <w:bCs/>
          <w:sz w:val="24"/>
          <w:szCs w:val="18"/>
          <w:lang w:val="en-US"/>
        </w:rPr>
      </w:pPr>
      <w:r w:rsidRPr="00D33505">
        <w:rPr>
          <w:rFonts w:ascii="Book Antiqua" w:hAnsi="Book Antiqua"/>
          <w:bCs/>
          <w:sz w:val="24"/>
          <w:szCs w:val="18"/>
          <w:lang w:val="en-US"/>
        </w:rPr>
        <w:t xml:space="preserve">Bold font indicates significant correlations. </w:t>
      </w:r>
      <w:r w:rsidRPr="00D33505">
        <w:rPr>
          <w:rFonts w:ascii="Book Antiqua" w:hAnsi="Book Antiqua"/>
          <w:sz w:val="24"/>
          <w:szCs w:val="18"/>
          <w:lang w:val="en-GB"/>
        </w:rPr>
        <w:t>BLS: Bright liver score;</w:t>
      </w:r>
      <w:r w:rsidRPr="00D33505">
        <w:rPr>
          <w:rFonts w:ascii="Book Antiqua" w:hAnsi="Book Antiqua"/>
          <w:sz w:val="24"/>
          <w:szCs w:val="14"/>
          <w:lang w:val="en-GB"/>
        </w:rPr>
        <w:t xml:space="preserve"> HD</w:t>
      </w:r>
      <w:r w:rsidRPr="00D33505">
        <w:rPr>
          <w:rFonts w:ascii="Book Antiqua" w:hAnsi="Book Antiqua"/>
          <w:sz w:val="24"/>
          <w:szCs w:val="18"/>
          <w:lang w:val="en-GB"/>
        </w:rPr>
        <w:t>L: High-density lipoprotein;</w:t>
      </w:r>
      <w:r w:rsidRPr="00D33505">
        <w:rPr>
          <w:rFonts w:ascii="Book Antiqua" w:hAnsi="Book Antiqua"/>
          <w:sz w:val="24"/>
          <w:szCs w:val="14"/>
          <w:lang w:val="en-GB"/>
        </w:rPr>
        <w:t xml:space="preserve"> BMI: Body mass index</w:t>
      </w:r>
      <w:r>
        <w:rPr>
          <w:rFonts w:ascii="Book Antiqua" w:hAnsi="Book Antiqua" w:hint="eastAsia"/>
          <w:sz w:val="24"/>
          <w:szCs w:val="14"/>
          <w:lang w:val="en-GB" w:eastAsia="zh-CN"/>
        </w:rPr>
        <w:t>.</w:t>
      </w:r>
    </w:p>
    <w:p w:rsidR="0056161E" w:rsidRDefault="0056161E" w:rsidP="008019CB">
      <w:pPr>
        <w:adjustRightInd w:val="0"/>
        <w:snapToGrid w:val="0"/>
        <w:spacing w:after="0" w:line="360" w:lineRule="auto"/>
        <w:jc w:val="both"/>
        <w:rPr>
          <w:rFonts w:ascii="Book Antiqua" w:hAnsi="Book Antiqua" w:cs="Times New Roman"/>
          <w:b/>
          <w:sz w:val="24"/>
          <w:szCs w:val="24"/>
          <w:lang w:val="en-US" w:eastAsia="zh-CN"/>
        </w:rPr>
      </w:pPr>
    </w:p>
    <w:p w:rsidR="003E0646" w:rsidRDefault="003E0646" w:rsidP="008019CB">
      <w:pPr>
        <w:adjustRightInd w:val="0"/>
        <w:snapToGrid w:val="0"/>
        <w:spacing w:after="0" w:line="360" w:lineRule="auto"/>
        <w:jc w:val="both"/>
        <w:rPr>
          <w:rFonts w:ascii="Book Antiqua" w:hAnsi="Book Antiqua" w:cs="Times New Roman"/>
          <w:b/>
          <w:sz w:val="24"/>
          <w:szCs w:val="24"/>
          <w:lang w:val="en-US" w:eastAsia="zh-CN"/>
        </w:rPr>
      </w:pPr>
      <w:r>
        <w:rPr>
          <w:rFonts w:ascii="Book Antiqua" w:hAnsi="Book Antiqua"/>
          <w:b/>
          <w:lang w:val="en-US"/>
        </w:rPr>
        <w:t>Table 3</w:t>
      </w:r>
      <w:r w:rsidRPr="003E0646">
        <w:rPr>
          <w:rFonts w:ascii="Book Antiqua" w:hAnsi="Book Antiqua"/>
          <w:b/>
          <w:lang w:val="en-US"/>
        </w:rPr>
        <w:t xml:space="preserve"> </w:t>
      </w:r>
      <w:proofErr w:type="gramStart"/>
      <w:r w:rsidRPr="003E0646">
        <w:rPr>
          <w:rFonts w:ascii="Book Antiqua" w:hAnsi="Book Antiqua"/>
          <w:b/>
          <w:lang w:val="en-US"/>
        </w:rPr>
        <w:t>Multip</w:t>
      </w:r>
      <w:r w:rsidR="007B2FDC" w:rsidRPr="003E0646">
        <w:rPr>
          <w:rFonts w:ascii="Book Antiqua" w:hAnsi="Book Antiqua"/>
          <w:b/>
          <w:lang w:val="en-US"/>
        </w:rPr>
        <w:t>le</w:t>
      </w:r>
      <w:proofErr w:type="gramEnd"/>
      <w:r w:rsidR="007B2FDC" w:rsidRPr="003E0646">
        <w:rPr>
          <w:rFonts w:ascii="Book Antiqua" w:hAnsi="Book Antiqua"/>
          <w:b/>
          <w:lang w:val="en-US"/>
        </w:rPr>
        <w:t xml:space="preserve"> linear regression, </w:t>
      </w:r>
      <w:r w:rsidR="007B2FDC" w:rsidRPr="007B2FDC">
        <w:rPr>
          <w:rFonts w:ascii="Book Antiqua" w:hAnsi="Book Antiqua"/>
          <w:b/>
          <w:lang w:val="en-US"/>
        </w:rPr>
        <w:t xml:space="preserve">body mass index </w:t>
      </w:r>
      <w:r w:rsidRPr="003E0646">
        <w:rPr>
          <w:rFonts w:ascii="Book Antiqua" w:hAnsi="Book Antiqua"/>
          <w:b/>
          <w:lang w:val="en-US"/>
        </w:rPr>
        <w:t xml:space="preserve">balanced, to non-alcoholic fatty liver disease </w:t>
      </w:r>
      <w:r w:rsidR="007B2FDC" w:rsidRPr="003E0646">
        <w:rPr>
          <w:rFonts w:ascii="Book Antiqua" w:hAnsi="Book Antiqua"/>
          <w:b/>
          <w:lang w:val="en-US"/>
        </w:rPr>
        <w:t>d</w:t>
      </w:r>
      <w:r w:rsidRPr="003E0646">
        <w:rPr>
          <w:rFonts w:ascii="Book Antiqua" w:hAnsi="Book Antiqua"/>
          <w:b/>
          <w:lang w:val="en-US"/>
        </w:rPr>
        <w:t xml:space="preserve">isappearance – effects of changes </w:t>
      </w:r>
      <w:r w:rsidRPr="003E0646">
        <w:rPr>
          <w:rFonts w:ascii="Book Antiqua" w:hAnsi="Book Antiqua"/>
        </w:rPr>
        <w:t>Δ</w:t>
      </w:r>
    </w:p>
    <w:tbl>
      <w:tblPr>
        <w:tblW w:w="5000" w:type="pct"/>
        <w:tblCellMar>
          <w:left w:w="70" w:type="dxa"/>
          <w:right w:w="70" w:type="dxa"/>
        </w:tblCellMar>
        <w:tblLook w:val="04A0" w:firstRow="1" w:lastRow="0" w:firstColumn="1" w:lastColumn="0" w:noHBand="0" w:noVBand="1"/>
      </w:tblPr>
      <w:tblGrid>
        <w:gridCol w:w="3270"/>
        <w:gridCol w:w="839"/>
        <w:gridCol w:w="964"/>
        <w:gridCol w:w="1177"/>
        <w:gridCol w:w="1181"/>
        <w:gridCol w:w="1181"/>
        <w:gridCol w:w="1166"/>
      </w:tblGrid>
      <w:tr w:rsidR="003E0646" w:rsidRPr="003E0646" w:rsidTr="007B2FDC">
        <w:trPr>
          <w:trHeight w:val="433"/>
        </w:trPr>
        <w:tc>
          <w:tcPr>
            <w:tcW w:w="5000" w:type="pct"/>
            <w:gridSpan w:val="7"/>
            <w:tcBorders>
              <w:top w:val="single" w:sz="4" w:space="0" w:color="auto"/>
              <w:bottom w:val="single" w:sz="4" w:space="0" w:color="000000"/>
            </w:tcBorders>
            <w:shd w:val="clear" w:color="auto" w:fill="auto"/>
            <w:vAlign w:val="center"/>
          </w:tcPr>
          <w:p w:rsidR="003E0646" w:rsidRPr="003E0646" w:rsidRDefault="007B2FDC" w:rsidP="008019CB">
            <w:pPr>
              <w:adjustRightInd w:val="0"/>
              <w:snapToGrid w:val="0"/>
              <w:spacing w:after="0" w:line="360" w:lineRule="auto"/>
              <w:jc w:val="center"/>
              <w:rPr>
                <w:rFonts w:ascii="Book Antiqua" w:hAnsi="Book Antiqua"/>
                <w:b/>
                <w:lang w:eastAsia="zh-CN"/>
              </w:rPr>
            </w:pPr>
            <w:r w:rsidRPr="003E0646">
              <w:rPr>
                <w:rFonts w:ascii="Book Antiqua" w:hAnsi="Book Antiqua"/>
                <w:b/>
              </w:rPr>
              <w:t>All patients (</w:t>
            </w:r>
            <w:r w:rsidRPr="003E0646">
              <w:rPr>
                <w:rFonts w:ascii="Book Antiqua" w:hAnsi="Book Antiqua"/>
                <w:b/>
                <w:i/>
              </w:rPr>
              <w:t>n</w:t>
            </w:r>
            <w:r w:rsidRPr="003E0646">
              <w:rPr>
                <w:rFonts w:ascii="Book Antiqua" w:hAnsi="Book Antiqua"/>
                <w:b/>
              </w:rPr>
              <w:t xml:space="preserve"> </w:t>
            </w:r>
            <w:r>
              <w:rPr>
                <w:rFonts w:ascii="Book Antiqua" w:hAnsi="Book Antiqua" w:hint="eastAsia"/>
                <w:b/>
                <w:lang w:eastAsia="zh-CN"/>
              </w:rPr>
              <w:t xml:space="preserve">= </w:t>
            </w:r>
            <w:r w:rsidRPr="003E0646">
              <w:rPr>
                <w:rFonts w:ascii="Book Antiqua" w:hAnsi="Book Antiqua"/>
                <w:b/>
              </w:rPr>
              <w:t>62)</w:t>
            </w:r>
          </w:p>
        </w:tc>
      </w:tr>
      <w:tr w:rsidR="007B2FDC" w:rsidRPr="00D33505" w:rsidTr="00CE47CF">
        <w:trPr>
          <w:trHeight w:val="255"/>
        </w:trPr>
        <w:tc>
          <w:tcPr>
            <w:tcW w:w="1672" w:type="pct"/>
            <w:tcBorders>
              <w:top w:val="single" w:sz="4" w:space="0" w:color="auto"/>
              <w:bottom w:val="single" w:sz="4" w:space="0" w:color="auto"/>
            </w:tcBorders>
            <w:shd w:val="clear" w:color="auto" w:fill="auto"/>
          </w:tcPr>
          <w:p w:rsidR="007B2FDC" w:rsidRPr="00D33505" w:rsidRDefault="007B2FDC" w:rsidP="008019CB">
            <w:pPr>
              <w:adjustRightInd w:val="0"/>
              <w:snapToGrid w:val="0"/>
              <w:spacing w:after="0" w:line="360" w:lineRule="auto"/>
              <w:rPr>
                <w:rFonts w:ascii="Book Antiqua" w:hAnsi="Book Antiqua"/>
                <w:lang w:val="en-GB"/>
              </w:rPr>
            </w:pPr>
          </w:p>
        </w:tc>
        <w:tc>
          <w:tcPr>
            <w:tcW w:w="429" w:type="pct"/>
            <w:tcBorders>
              <w:top w:val="single" w:sz="4" w:space="0" w:color="auto"/>
              <w:bottom w:val="single" w:sz="4" w:space="0" w:color="auto"/>
            </w:tcBorders>
            <w:shd w:val="clear" w:color="auto" w:fill="auto"/>
            <w:noWrap/>
            <w:vAlign w:val="center"/>
          </w:tcPr>
          <w:p w:rsidR="007B2FDC" w:rsidRPr="00D33505" w:rsidRDefault="007B2FDC" w:rsidP="008019CB">
            <w:pPr>
              <w:adjustRightInd w:val="0"/>
              <w:snapToGrid w:val="0"/>
              <w:spacing w:after="0" w:line="360" w:lineRule="auto"/>
              <w:jc w:val="center"/>
              <w:rPr>
                <w:rFonts w:ascii="Book Antiqua" w:hAnsi="Book Antiqua"/>
                <w:i/>
              </w:rPr>
            </w:pPr>
            <w:r w:rsidRPr="00031C84">
              <w:rPr>
                <w:rFonts w:ascii="Book Antiqua" w:hAnsi="Book Antiqua" w:hint="eastAsia"/>
                <w:i/>
                <w:lang w:eastAsia="zh-CN"/>
              </w:rPr>
              <w:t>r</w:t>
            </w:r>
          </w:p>
        </w:tc>
        <w:tc>
          <w:tcPr>
            <w:tcW w:w="493" w:type="pct"/>
            <w:tcBorders>
              <w:top w:val="single" w:sz="4" w:space="0" w:color="auto"/>
              <w:bottom w:val="single" w:sz="4" w:space="0" w:color="auto"/>
            </w:tcBorders>
            <w:shd w:val="clear" w:color="auto" w:fill="auto"/>
            <w:noWrap/>
            <w:vAlign w:val="center"/>
          </w:tcPr>
          <w:p w:rsidR="007B2FDC" w:rsidRPr="00D33505" w:rsidRDefault="007B2FDC" w:rsidP="008019CB">
            <w:pPr>
              <w:adjustRightInd w:val="0"/>
              <w:snapToGrid w:val="0"/>
              <w:spacing w:after="0" w:line="360" w:lineRule="auto"/>
              <w:jc w:val="center"/>
              <w:rPr>
                <w:rFonts w:ascii="Book Antiqua" w:hAnsi="Book Antiqua"/>
                <w:i/>
              </w:rPr>
            </w:pPr>
            <w:r w:rsidRPr="00031C84">
              <w:rPr>
                <w:rFonts w:ascii="Book Antiqua" w:hAnsi="Book Antiqua" w:hint="eastAsia"/>
                <w:i/>
                <w:lang w:eastAsia="zh-CN"/>
              </w:rPr>
              <w:t>r</w:t>
            </w:r>
            <w:r w:rsidRPr="0056161E">
              <w:rPr>
                <w:rFonts w:ascii="Book Antiqua" w:hAnsi="Book Antiqua"/>
                <w:vertAlign w:val="superscript"/>
              </w:rPr>
              <w:t>2</w:t>
            </w:r>
          </w:p>
        </w:tc>
        <w:tc>
          <w:tcPr>
            <w:tcW w:w="602" w:type="pct"/>
            <w:tcBorders>
              <w:top w:val="single" w:sz="4" w:space="0" w:color="auto"/>
              <w:bottom w:val="single" w:sz="4" w:space="0" w:color="auto"/>
            </w:tcBorders>
          </w:tcPr>
          <w:p w:rsidR="007B2FDC" w:rsidRPr="0056161E" w:rsidRDefault="007B2FDC" w:rsidP="008019CB">
            <w:pPr>
              <w:adjustRightInd w:val="0"/>
              <w:snapToGrid w:val="0"/>
              <w:spacing w:after="0" w:line="360" w:lineRule="auto"/>
              <w:jc w:val="center"/>
              <w:rPr>
                <w:rFonts w:ascii="Book Antiqua" w:hAnsi="Book Antiqua"/>
                <w:i/>
              </w:rPr>
            </w:pPr>
            <w:r w:rsidRPr="0056161E">
              <w:rPr>
                <w:rFonts w:ascii="Book Antiqua" w:hAnsi="Book Antiqua"/>
                <w:i/>
              </w:rPr>
              <w:t xml:space="preserve">F </w:t>
            </w:r>
          </w:p>
        </w:tc>
        <w:tc>
          <w:tcPr>
            <w:tcW w:w="604" w:type="pct"/>
            <w:tcBorders>
              <w:top w:val="single" w:sz="4" w:space="0" w:color="auto"/>
              <w:bottom w:val="single" w:sz="4" w:space="0" w:color="auto"/>
            </w:tcBorders>
          </w:tcPr>
          <w:p w:rsidR="007B2FDC" w:rsidRPr="0056161E" w:rsidRDefault="007B2FDC" w:rsidP="008019CB">
            <w:pPr>
              <w:adjustRightInd w:val="0"/>
              <w:snapToGrid w:val="0"/>
              <w:spacing w:after="0" w:line="360" w:lineRule="auto"/>
              <w:jc w:val="center"/>
              <w:rPr>
                <w:rFonts w:ascii="Book Antiqua" w:hAnsi="Book Antiqua"/>
              </w:rPr>
            </w:pPr>
            <w:r w:rsidRPr="0056161E">
              <w:rPr>
                <w:rFonts w:ascii="Book Antiqua" w:hAnsi="Book Antiqua"/>
              </w:rPr>
              <w:t>sig</w:t>
            </w:r>
          </w:p>
        </w:tc>
        <w:tc>
          <w:tcPr>
            <w:tcW w:w="604" w:type="pct"/>
            <w:tcBorders>
              <w:top w:val="single" w:sz="4" w:space="0" w:color="auto"/>
              <w:bottom w:val="single" w:sz="4" w:space="0" w:color="auto"/>
            </w:tcBorders>
            <w:shd w:val="clear" w:color="auto" w:fill="auto"/>
            <w:vAlign w:val="center"/>
          </w:tcPr>
          <w:p w:rsidR="007B2FDC" w:rsidRPr="0056161E" w:rsidRDefault="007B2FDC" w:rsidP="008019CB">
            <w:pPr>
              <w:adjustRightInd w:val="0"/>
              <w:snapToGrid w:val="0"/>
              <w:spacing w:after="0" w:line="360" w:lineRule="auto"/>
              <w:jc w:val="center"/>
              <w:rPr>
                <w:rFonts w:ascii="Book Antiqua" w:hAnsi="Book Antiqua"/>
              </w:rPr>
            </w:pPr>
            <w:r w:rsidRPr="0056161E">
              <w:rPr>
                <w:rFonts w:ascii="Book Antiqua" w:hAnsi="Book Antiqua"/>
              </w:rPr>
              <w:t>β</w:t>
            </w:r>
          </w:p>
        </w:tc>
        <w:tc>
          <w:tcPr>
            <w:tcW w:w="596" w:type="pct"/>
            <w:tcBorders>
              <w:top w:val="single" w:sz="4" w:space="0" w:color="auto"/>
              <w:bottom w:val="single" w:sz="4" w:space="0" w:color="auto"/>
            </w:tcBorders>
            <w:shd w:val="clear" w:color="auto" w:fill="auto"/>
            <w:vAlign w:val="center"/>
          </w:tcPr>
          <w:p w:rsidR="007B2FDC" w:rsidRPr="0056161E" w:rsidRDefault="007B2FDC" w:rsidP="008019CB">
            <w:pPr>
              <w:adjustRightInd w:val="0"/>
              <w:snapToGrid w:val="0"/>
              <w:spacing w:after="0" w:line="360" w:lineRule="auto"/>
              <w:jc w:val="center"/>
              <w:rPr>
                <w:rFonts w:ascii="Book Antiqua" w:hAnsi="Book Antiqua"/>
                <w:caps/>
                <w:lang w:eastAsia="zh-CN"/>
              </w:rPr>
            </w:pPr>
            <w:r w:rsidRPr="0056161E">
              <w:rPr>
                <w:rFonts w:ascii="Book Antiqua" w:hAnsi="Book Antiqua"/>
                <w:i/>
                <w:caps/>
              </w:rPr>
              <w:t>p</w:t>
            </w:r>
            <w:r w:rsidRPr="0056161E">
              <w:rPr>
                <w:rFonts w:ascii="Book Antiqua" w:hAnsi="Book Antiqua"/>
                <w:caps/>
                <w:lang w:eastAsia="zh-CN"/>
              </w:rPr>
              <w:t>-</w:t>
            </w:r>
            <w:r w:rsidRPr="0056161E">
              <w:rPr>
                <w:rFonts w:ascii="Book Antiqua" w:hAnsi="Book Antiqua"/>
                <w:lang w:eastAsia="zh-CN"/>
              </w:rPr>
              <w:t>value</w:t>
            </w:r>
          </w:p>
        </w:tc>
      </w:tr>
      <w:tr w:rsidR="003E0646" w:rsidRPr="003E0646" w:rsidTr="007B2FDC">
        <w:trPr>
          <w:trHeight w:val="193"/>
        </w:trPr>
        <w:tc>
          <w:tcPr>
            <w:tcW w:w="1672" w:type="pct"/>
            <w:tcBorders>
              <w:top w:val="single" w:sz="4" w:space="0" w:color="auto"/>
            </w:tcBorders>
            <w:shd w:val="clear" w:color="auto" w:fill="auto"/>
            <w:noWrap/>
            <w:vAlign w:val="center"/>
          </w:tcPr>
          <w:p w:rsidR="003E0646" w:rsidRPr="003E0646" w:rsidRDefault="003E0646" w:rsidP="008019CB">
            <w:pPr>
              <w:adjustRightInd w:val="0"/>
              <w:snapToGrid w:val="0"/>
              <w:spacing w:after="0" w:line="360" w:lineRule="auto"/>
              <w:rPr>
                <w:rFonts w:ascii="Book Antiqua" w:hAnsi="Book Antiqua"/>
              </w:rPr>
            </w:pPr>
          </w:p>
        </w:tc>
        <w:tc>
          <w:tcPr>
            <w:tcW w:w="429" w:type="pct"/>
            <w:tcBorders>
              <w:top w:val="single" w:sz="4" w:space="0" w:color="auto"/>
            </w:tcBorders>
            <w:shd w:val="clear" w:color="auto" w:fill="auto"/>
            <w:noWrap/>
          </w:tcPr>
          <w:p w:rsidR="003E0646" w:rsidRPr="003E0646" w:rsidRDefault="003E0646" w:rsidP="008019CB">
            <w:pPr>
              <w:adjustRightInd w:val="0"/>
              <w:snapToGrid w:val="0"/>
              <w:spacing w:after="0" w:line="360" w:lineRule="auto"/>
              <w:jc w:val="right"/>
              <w:rPr>
                <w:rFonts w:ascii="Book Antiqua" w:hAnsi="Book Antiqua"/>
              </w:rPr>
            </w:pPr>
            <w:r w:rsidRPr="003E0646">
              <w:rPr>
                <w:rFonts w:ascii="Book Antiqua" w:hAnsi="Book Antiqua"/>
                <w:color w:val="000000"/>
              </w:rPr>
              <w:t>0</w:t>
            </w:r>
            <w:r w:rsidR="007B2FDC">
              <w:rPr>
                <w:rFonts w:ascii="Book Antiqua" w:hAnsi="Book Antiqua" w:hint="eastAsia"/>
                <w:color w:val="000000"/>
                <w:lang w:eastAsia="zh-CN"/>
              </w:rPr>
              <w:t>.</w:t>
            </w:r>
            <w:r w:rsidRPr="003E0646">
              <w:rPr>
                <w:rFonts w:ascii="Book Antiqua" w:hAnsi="Book Antiqua"/>
                <w:color w:val="000000"/>
              </w:rPr>
              <w:t>635</w:t>
            </w:r>
          </w:p>
        </w:tc>
        <w:tc>
          <w:tcPr>
            <w:tcW w:w="493" w:type="pct"/>
            <w:tcBorders>
              <w:top w:val="single" w:sz="4" w:space="0" w:color="auto"/>
            </w:tcBorders>
            <w:shd w:val="clear" w:color="auto" w:fill="auto"/>
            <w:noWrap/>
          </w:tcPr>
          <w:p w:rsidR="003E0646" w:rsidRPr="003E0646" w:rsidRDefault="003E0646" w:rsidP="008019CB">
            <w:pPr>
              <w:adjustRightInd w:val="0"/>
              <w:snapToGrid w:val="0"/>
              <w:spacing w:after="0" w:line="360" w:lineRule="auto"/>
              <w:jc w:val="right"/>
              <w:rPr>
                <w:rFonts w:ascii="Book Antiqua" w:hAnsi="Book Antiqua"/>
                <w:color w:val="000000"/>
              </w:rPr>
            </w:pPr>
            <w:r w:rsidRPr="003E0646">
              <w:rPr>
                <w:rFonts w:ascii="Book Antiqua" w:hAnsi="Book Antiqua"/>
                <w:color w:val="000000"/>
              </w:rPr>
              <w:t>0</w:t>
            </w:r>
            <w:r w:rsidR="007B2FDC">
              <w:rPr>
                <w:rFonts w:ascii="Book Antiqua" w:hAnsi="Book Antiqua" w:hint="eastAsia"/>
                <w:color w:val="000000"/>
                <w:lang w:eastAsia="zh-CN"/>
              </w:rPr>
              <w:t>.</w:t>
            </w:r>
            <w:r w:rsidRPr="003E0646">
              <w:rPr>
                <w:rFonts w:ascii="Book Antiqua" w:hAnsi="Book Antiqua"/>
                <w:color w:val="000000"/>
              </w:rPr>
              <w:t>403</w:t>
            </w:r>
          </w:p>
        </w:tc>
        <w:tc>
          <w:tcPr>
            <w:tcW w:w="602" w:type="pct"/>
            <w:tcBorders>
              <w:top w:val="single" w:sz="4" w:space="0" w:color="auto"/>
            </w:tcBorders>
          </w:tcPr>
          <w:p w:rsidR="003E0646" w:rsidRPr="003E0646" w:rsidRDefault="003E0646" w:rsidP="008019CB">
            <w:pPr>
              <w:adjustRightInd w:val="0"/>
              <w:snapToGrid w:val="0"/>
              <w:spacing w:after="0" w:line="360" w:lineRule="auto"/>
              <w:jc w:val="right"/>
              <w:rPr>
                <w:rFonts w:ascii="Book Antiqua" w:hAnsi="Book Antiqua"/>
                <w:color w:val="000000"/>
              </w:rPr>
            </w:pPr>
            <w:r w:rsidRPr="003E0646">
              <w:rPr>
                <w:rFonts w:ascii="Book Antiqua" w:hAnsi="Book Antiqua"/>
                <w:color w:val="000000"/>
              </w:rPr>
              <w:t>2</w:t>
            </w:r>
            <w:r w:rsidR="007B2FDC">
              <w:rPr>
                <w:rFonts w:ascii="Book Antiqua" w:hAnsi="Book Antiqua" w:hint="eastAsia"/>
                <w:color w:val="000000"/>
                <w:lang w:eastAsia="zh-CN"/>
              </w:rPr>
              <w:t>.</w:t>
            </w:r>
            <w:r w:rsidRPr="003E0646">
              <w:rPr>
                <w:rFonts w:ascii="Book Antiqua" w:hAnsi="Book Antiqua"/>
                <w:color w:val="000000"/>
              </w:rPr>
              <w:t>701</w:t>
            </w:r>
          </w:p>
        </w:tc>
        <w:tc>
          <w:tcPr>
            <w:tcW w:w="604" w:type="pct"/>
            <w:tcBorders>
              <w:top w:val="single" w:sz="4" w:space="0" w:color="auto"/>
            </w:tcBorders>
          </w:tcPr>
          <w:p w:rsidR="003E0646" w:rsidRPr="003E0646" w:rsidRDefault="003E0646" w:rsidP="008019CB">
            <w:pPr>
              <w:adjustRightInd w:val="0"/>
              <w:snapToGrid w:val="0"/>
              <w:spacing w:after="0" w:line="360" w:lineRule="auto"/>
              <w:jc w:val="right"/>
              <w:rPr>
                <w:rFonts w:ascii="Book Antiqua" w:hAnsi="Book Antiqua"/>
                <w:b/>
              </w:rPr>
            </w:pPr>
            <w:r w:rsidRPr="003E0646">
              <w:rPr>
                <w:rFonts w:ascii="Book Antiqua" w:hAnsi="Book Antiqua"/>
                <w:b/>
                <w:color w:val="000000"/>
              </w:rPr>
              <w:t>0</w:t>
            </w:r>
            <w:r w:rsidR="007B2FDC">
              <w:rPr>
                <w:rFonts w:ascii="Book Antiqua" w:hAnsi="Book Antiqua" w:hint="eastAsia"/>
                <w:b/>
                <w:color w:val="000000"/>
                <w:lang w:eastAsia="zh-CN"/>
              </w:rPr>
              <w:t>.</w:t>
            </w:r>
            <w:r w:rsidRPr="003E0646">
              <w:rPr>
                <w:rFonts w:ascii="Book Antiqua" w:hAnsi="Book Antiqua"/>
                <w:b/>
                <w:color w:val="000000"/>
              </w:rPr>
              <w:t>029</w:t>
            </w:r>
          </w:p>
        </w:tc>
        <w:tc>
          <w:tcPr>
            <w:tcW w:w="604" w:type="pct"/>
            <w:tcBorders>
              <w:top w:val="single" w:sz="4" w:space="0" w:color="auto"/>
            </w:tcBorders>
            <w:shd w:val="clear" w:color="auto" w:fill="auto"/>
            <w:noWrap/>
            <w:vAlign w:val="center"/>
          </w:tcPr>
          <w:p w:rsidR="003E0646" w:rsidRPr="003E0646" w:rsidRDefault="003E0646" w:rsidP="008019CB">
            <w:pPr>
              <w:adjustRightInd w:val="0"/>
              <w:snapToGrid w:val="0"/>
              <w:spacing w:after="0" w:line="360" w:lineRule="auto"/>
              <w:jc w:val="center"/>
              <w:rPr>
                <w:rFonts w:ascii="Book Antiqua" w:hAnsi="Book Antiqua"/>
              </w:rPr>
            </w:pPr>
          </w:p>
        </w:tc>
        <w:tc>
          <w:tcPr>
            <w:tcW w:w="596" w:type="pct"/>
            <w:tcBorders>
              <w:top w:val="single" w:sz="4" w:space="0" w:color="auto"/>
            </w:tcBorders>
            <w:shd w:val="clear" w:color="auto" w:fill="auto"/>
            <w:noWrap/>
            <w:vAlign w:val="center"/>
          </w:tcPr>
          <w:p w:rsidR="003E0646" w:rsidRPr="003E0646" w:rsidRDefault="003E0646" w:rsidP="008019CB">
            <w:pPr>
              <w:adjustRightInd w:val="0"/>
              <w:snapToGrid w:val="0"/>
              <w:spacing w:after="0" w:line="360" w:lineRule="auto"/>
              <w:jc w:val="center"/>
              <w:rPr>
                <w:rFonts w:ascii="Book Antiqua" w:hAnsi="Book Antiqua"/>
              </w:rPr>
            </w:pPr>
          </w:p>
        </w:tc>
      </w:tr>
      <w:tr w:rsidR="003E0646" w:rsidRPr="003E0646" w:rsidTr="00CE47CF">
        <w:trPr>
          <w:trHeight w:val="255"/>
        </w:trPr>
        <w:tc>
          <w:tcPr>
            <w:tcW w:w="1672" w:type="pct"/>
            <w:shd w:val="clear" w:color="auto" w:fill="auto"/>
          </w:tcPr>
          <w:p w:rsidR="003E0646" w:rsidRPr="003E0646" w:rsidRDefault="003E0646" w:rsidP="008019CB">
            <w:pPr>
              <w:adjustRightInd w:val="0"/>
              <w:snapToGrid w:val="0"/>
              <w:spacing w:after="0" w:line="360" w:lineRule="auto"/>
              <w:rPr>
                <w:rFonts w:ascii="Book Antiqua" w:hAnsi="Book Antiqua" w:cs="Arial"/>
                <w:color w:val="000000"/>
                <w:sz w:val="18"/>
                <w:szCs w:val="18"/>
              </w:rPr>
            </w:pPr>
            <w:r w:rsidRPr="003E0646">
              <w:rPr>
                <w:rFonts w:ascii="Book Antiqua" w:hAnsi="Book Antiqua"/>
              </w:rPr>
              <w:t>ADV36 seropositivity</w:t>
            </w:r>
          </w:p>
        </w:tc>
        <w:tc>
          <w:tcPr>
            <w:tcW w:w="429" w:type="pct"/>
            <w:shd w:val="clear" w:color="auto" w:fill="auto"/>
            <w:noWrap/>
            <w:vAlign w:val="center"/>
          </w:tcPr>
          <w:p w:rsidR="003E0646" w:rsidRPr="003E0646" w:rsidRDefault="003E0646" w:rsidP="008019CB">
            <w:pPr>
              <w:adjustRightInd w:val="0"/>
              <w:snapToGrid w:val="0"/>
              <w:spacing w:after="0" w:line="360" w:lineRule="auto"/>
              <w:jc w:val="center"/>
              <w:rPr>
                <w:rFonts w:ascii="Book Antiqua" w:hAnsi="Book Antiqua"/>
              </w:rPr>
            </w:pPr>
          </w:p>
        </w:tc>
        <w:tc>
          <w:tcPr>
            <w:tcW w:w="493" w:type="pct"/>
            <w:shd w:val="clear" w:color="auto" w:fill="auto"/>
            <w:noWrap/>
            <w:vAlign w:val="center"/>
          </w:tcPr>
          <w:p w:rsidR="003E0646" w:rsidRPr="003E0646" w:rsidRDefault="003E0646" w:rsidP="008019CB">
            <w:pPr>
              <w:adjustRightInd w:val="0"/>
              <w:snapToGrid w:val="0"/>
              <w:spacing w:after="0" w:line="360" w:lineRule="auto"/>
              <w:jc w:val="center"/>
              <w:rPr>
                <w:rFonts w:ascii="Book Antiqua" w:hAnsi="Book Antiqua"/>
              </w:rPr>
            </w:pPr>
          </w:p>
        </w:tc>
        <w:tc>
          <w:tcPr>
            <w:tcW w:w="602" w:type="pct"/>
          </w:tcPr>
          <w:p w:rsidR="003E0646" w:rsidRPr="003E0646" w:rsidRDefault="003E0646" w:rsidP="008019CB">
            <w:pPr>
              <w:adjustRightInd w:val="0"/>
              <w:snapToGrid w:val="0"/>
              <w:spacing w:after="0" w:line="360" w:lineRule="auto"/>
              <w:jc w:val="center"/>
              <w:rPr>
                <w:rFonts w:ascii="Book Antiqua" w:hAnsi="Book Antiqua"/>
              </w:rPr>
            </w:pPr>
          </w:p>
        </w:tc>
        <w:tc>
          <w:tcPr>
            <w:tcW w:w="604" w:type="pct"/>
          </w:tcPr>
          <w:p w:rsidR="003E0646" w:rsidRPr="003E0646" w:rsidRDefault="003E0646" w:rsidP="008019CB">
            <w:pPr>
              <w:adjustRightInd w:val="0"/>
              <w:snapToGrid w:val="0"/>
              <w:spacing w:after="0" w:line="360" w:lineRule="auto"/>
              <w:jc w:val="center"/>
              <w:rPr>
                <w:rFonts w:ascii="Book Antiqua" w:hAnsi="Book Antiqua"/>
              </w:rPr>
            </w:pPr>
          </w:p>
        </w:tc>
        <w:tc>
          <w:tcPr>
            <w:tcW w:w="604" w:type="pct"/>
            <w:shd w:val="clear" w:color="auto" w:fill="auto"/>
          </w:tcPr>
          <w:p w:rsidR="003E0646" w:rsidRPr="003E0646" w:rsidRDefault="003E0646" w:rsidP="008019CB">
            <w:pPr>
              <w:adjustRightInd w:val="0"/>
              <w:snapToGrid w:val="0"/>
              <w:spacing w:after="0" w:line="360" w:lineRule="auto"/>
              <w:jc w:val="right"/>
              <w:rPr>
                <w:rFonts w:ascii="Book Antiqua" w:hAnsi="Book Antiqua"/>
                <w:color w:val="000000"/>
              </w:rPr>
            </w:pPr>
            <w:r w:rsidRPr="003E0646">
              <w:rPr>
                <w:rFonts w:ascii="Book Antiqua" w:hAnsi="Book Antiqua"/>
                <w:color w:val="000000"/>
              </w:rPr>
              <w:t>0</w:t>
            </w:r>
            <w:r w:rsidR="007B2FDC">
              <w:rPr>
                <w:rFonts w:ascii="Book Antiqua" w:hAnsi="Book Antiqua" w:hint="eastAsia"/>
                <w:color w:val="000000"/>
                <w:lang w:eastAsia="zh-CN"/>
              </w:rPr>
              <w:t>.</w:t>
            </w:r>
            <w:r w:rsidRPr="003E0646">
              <w:rPr>
                <w:rFonts w:ascii="Book Antiqua" w:hAnsi="Book Antiqua"/>
                <w:color w:val="000000"/>
              </w:rPr>
              <w:t>408</w:t>
            </w:r>
          </w:p>
        </w:tc>
        <w:tc>
          <w:tcPr>
            <w:tcW w:w="596" w:type="pct"/>
            <w:shd w:val="clear" w:color="auto" w:fill="auto"/>
          </w:tcPr>
          <w:p w:rsidR="003E0646" w:rsidRPr="003E0646" w:rsidRDefault="003E0646" w:rsidP="008019CB">
            <w:pPr>
              <w:adjustRightInd w:val="0"/>
              <w:snapToGrid w:val="0"/>
              <w:spacing w:after="0" w:line="360" w:lineRule="auto"/>
              <w:jc w:val="right"/>
              <w:rPr>
                <w:rFonts w:ascii="Book Antiqua" w:hAnsi="Book Antiqua"/>
                <w:b/>
                <w:color w:val="000000"/>
              </w:rPr>
            </w:pPr>
            <w:r w:rsidRPr="003E0646">
              <w:rPr>
                <w:rFonts w:ascii="Book Antiqua" w:hAnsi="Book Antiqua"/>
                <w:b/>
                <w:color w:val="000000"/>
              </w:rPr>
              <w:t>0</w:t>
            </w:r>
            <w:r w:rsidR="007B2FDC">
              <w:rPr>
                <w:rFonts w:ascii="Book Antiqua" w:hAnsi="Book Antiqua" w:hint="eastAsia"/>
                <w:b/>
                <w:color w:val="000000"/>
                <w:lang w:eastAsia="zh-CN"/>
              </w:rPr>
              <w:t>.</w:t>
            </w:r>
            <w:r w:rsidRPr="003E0646">
              <w:rPr>
                <w:rFonts w:ascii="Book Antiqua" w:hAnsi="Book Antiqua"/>
                <w:b/>
                <w:color w:val="000000"/>
              </w:rPr>
              <w:t>013</w:t>
            </w:r>
          </w:p>
        </w:tc>
      </w:tr>
      <w:tr w:rsidR="003E0646" w:rsidRPr="003E0646" w:rsidTr="00CE47CF">
        <w:trPr>
          <w:trHeight w:val="255"/>
        </w:trPr>
        <w:tc>
          <w:tcPr>
            <w:tcW w:w="1672" w:type="pct"/>
            <w:shd w:val="clear" w:color="auto" w:fill="auto"/>
          </w:tcPr>
          <w:p w:rsidR="003E0646" w:rsidRPr="003E0646" w:rsidRDefault="003E0646" w:rsidP="008019CB">
            <w:pPr>
              <w:adjustRightInd w:val="0"/>
              <w:snapToGrid w:val="0"/>
              <w:spacing w:after="0" w:line="360" w:lineRule="auto"/>
              <w:rPr>
                <w:rFonts w:ascii="Book Antiqua" w:hAnsi="Book Antiqua" w:cs="Arial"/>
                <w:color w:val="000000"/>
                <w:sz w:val="18"/>
                <w:szCs w:val="18"/>
              </w:rPr>
            </w:pPr>
            <w:r w:rsidRPr="003E0646">
              <w:rPr>
                <w:rFonts w:ascii="Book Antiqua" w:hAnsi="Book Antiqua"/>
                <w:lang w:val="en-US"/>
              </w:rPr>
              <w:t>Waist/hip Ratio</w:t>
            </w:r>
          </w:p>
        </w:tc>
        <w:tc>
          <w:tcPr>
            <w:tcW w:w="429" w:type="pct"/>
            <w:shd w:val="clear" w:color="auto" w:fill="auto"/>
            <w:noWrap/>
            <w:vAlign w:val="center"/>
          </w:tcPr>
          <w:p w:rsidR="003E0646" w:rsidRPr="003E0646" w:rsidRDefault="003E0646" w:rsidP="008019CB">
            <w:pPr>
              <w:adjustRightInd w:val="0"/>
              <w:snapToGrid w:val="0"/>
              <w:spacing w:after="0" w:line="360" w:lineRule="auto"/>
              <w:jc w:val="center"/>
              <w:rPr>
                <w:rFonts w:ascii="Book Antiqua" w:hAnsi="Book Antiqua"/>
              </w:rPr>
            </w:pPr>
          </w:p>
        </w:tc>
        <w:tc>
          <w:tcPr>
            <w:tcW w:w="493" w:type="pct"/>
            <w:shd w:val="clear" w:color="auto" w:fill="auto"/>
            <w:noWrap/>
            <w:vAlign w:val="center"/>
          </w:tcPr>
          <w:p w:rsidR="003E0646" w:rsidRPr="003E0646" w:rsidRDefault="003E0646" w:rsidP="008019CB">
            <w:pPr>
              <w:adjustRightInd w:val="0"/>
              <w:snapToGrid w:val="0"/>
              <w:spacing w:after="0" w:line="360" w:lineRule="auto"/>
              <w:jc w:val="center"/>
              <w:rPr>
                <w:rFonts w:ascii="Book Antiqua" w:hAnsi="Book Antiqua"/>
              </w:rPr>
            </w:pPr>
          </w:p>
        </w:tc>
        <w:tc>
          <w:tcPr>
            <w:tcW w:w="602" w:type="pct"/>
          </w:tcPr>
          <w:p w:rsidR="003E0646" w:rsidRPr="003E0646" w:rsidRDefault="003E0646" w:rsidP="008019CB">
            <w:pPr>
              <w:adjustRightInd w:val="0"/>
              <w:snapToGrid w:val="0"/>
              <w:spacing w:after="0" w:line="360" w:lineRule="auto"/>
              <w:jc w:val="center"/>
              <w:rPr>
                <w:rFonts w:ascii="Book Antiqua" w:hAnsi="Book Antiqua"/>
              </w:rPr>
            </w:pPr>
          </w:p>
        </w:tc>
        <w:tc>
          <w:tcPr>
            <w:tcW w:w="604" w:type="pct"/>
          </w:tcPr>
          <w:p w:rsidR="003E0646" w:rsidRPr="003E0646" w:rsidRDefault="003E0646" w:rsidP="008019CB">
            <w:pPr>
              <w:adjustRightInd w:val="0"/>
              <w:snapToGrid w:val="0"/>
              <w:spacing w:after="0" w:line="360" w:lineRule="auto"/>
              <w:jc w:val="center"/>
              <w:rPr>
                <w:rFonts w:ascii="Book Antiqua" w:hAnsi="Book Antiqua"/>
              </w:rPr>
            </w:pPr>
          </w:p>
        </w:tc>
        <w:tc>
          <w:tcPr>
            <w:tcW w:w="604" w:type="pct"/>
            <w:shd w:val="clear" w:color="auto" w:fill="auto"/>
          </w:tcPr>
          <w:p w:rsidR="003E0646" w:rsidRPr="003E0646" w:rsidRDefault="003E0646" w:rsidP="008019CB">
            <w:pPr>
              <w:adjustRightInd w:val="0"/>
              <w:snapToGrid w:val="0"/>
              <w:spacing w:after="0" w:line="360" w:lineRule="auto"/>
              <w:jc w:val="right"/>
              <w:rPr>
                <w:rFonts w:ascii="Book Antiqua" w:hAnsi="Book Antiqua"/>
                <w:color w:val="000000"/>
              </w:rPr>
            </w:pPr>
            <w:r w:rsidRPr="003E0646">
              <w:rPr>
                <w:rFonts w:ascii="Book Antiqua" w:hAnsi="Book Antiqua"/>
                <w:color w:val="000000"/>
              </w:rPr>
              <w:t>0</w:t>
            </w:r>
            <w:r w:rsidR="007B2FDC">
              <w:rPr>
                <w:rFonts w:ascii="Book Antiqua" w:hAnsi="Book Antiqua" w:hint="eastAsia"/>
                <w:color w:val="000000"/>
                <w:lang w:eastAsia="zh-CN"/>
              </w:rPr>
              <w:t>.</w:t>
            </w:r>
            <w:r w:rsidRPr="003E0646">
              <w:rPr>
                <w:rFonts w:ascii="Book Antiqua" w:hAnsi="Book Antiqua"/>
                <w:color w:val="000000"/>
              </w:rPr>
              <w:t>018</w:t>
            </w:r>
          </w:p>
        </w:tc>
        <w:tc>
          <w:tcPr>
            <w:tcW w:w="596" w:type="pct"/>
            <w:shd w:val="clear" w:color="auto" w:fill="auto"/>
          </w:tcPr>
          <w:p w:rsidR="003E0646" w:rsidRPr="003E0646" w:rsidRDefault="003E0646" w:rsidP="008019CB">
            <w:pPr>
              <w:adjustRightInd w:val="0"/>
              <w:snapToGrid w:val="0"/>
              <w:spacing w:after="0" w:line="360" w:lineRule="auto"/>
              <w:jc w:val="right"/>
              <w:rPr>
                <w:rFonts w:ascii="Book Antiqua" w:hAnsi="Book Antiqua"/>
                <w:color w:val="000000"/>
              </w:rPr>
            </w:pPr>
            <w:r w:rsidRPr="003E0646">
              <w:rPr>
                <w:rFonts w:ascii="Book Antiqua" w:hAnsi="Book Antiqua"/>
                <w:color w:val="000000"/>
              </w:rPr>
              <w:t>0</w:t>
            </w:r>
            <w:r w:rsidR="007B2FDC">
              <w:rPr>
                <w:rFonts w:ascii="Book Antiqua" w:hAnsi="Book Antiqua" w:hint="eastAsia"/>
                <w:color w:val="000000"/>
                <w:lang w:eastAsia="zh-CN"/>
              </w:rPr>
              <w:t>.</w:t>
            </w:r>
            <w:r w:rsidRPr="003E0646">
              <w:rPr>
                <w:rFonts w:ascii="Book Antiqua" w:hAnsi="Book Antiqua"/>
                <w:color w:val="000000"/>
              </w:rPr>
              <w:t>907</w:t>
            </w:r>
          </w:p>
        </w:tc>
      </w:tr>
      <w:tr w:rsidR="003E0646" w:rsidRPr="003E0646" w:rsidTr="00CE47CF">
        <w:trPr>
          <w:trHeight w:val="255"/>
        </w:trPr>
        <w:tc>
          <w:tcPr>
            <w:tcW w:w="1672" w:type="pct"/>
            <w:shd w:val="clear" w:color="auto" w:fill="auto"/>
          </w:tcPr>
          <w:p w:rsidR="003E0646" w:rsidRPr="003E0646" w:rsidRDefault="003E0646" w:rsidP="008019CB">
            <w:pPr>
              <w:adjustRightInd w:val="0"/>
              <w:snapToGrid w:val="0"/>
              <w:spacing w:after="0" w:line="360" w:lineRule="auto"/>
              <w:rPr>
                <w:rFonts w:ascii="Book Antiqua" w:hAnsi="Book Antiqua" w:cs="Arial"/>
                <w:color w:val="000000"/>
                <w:sz w:val="18"/>
                <w:szCs w:val="18"/>
              </w:rPr>
            </w:pPr>
            <w:r w:rsidRPr="003E0646">
              <w:rPr>
                <w:rFonts w:ascii="Book Antiqua" w:hAnsi="Book Antiqua"/>
              </w:rPr>
              <w:t>Δ</w:t>
            </w:r>
            <w:r w:rsidRPr="003E0646">
              <w:rPr>
                <w:rFonts w:ascii="Book Antiqua" w:hAnsi="Book Antiqua"/>
                <w:lang w:val="en-GB"/>
              </w:rPr>
              <w:t xml:space="preserve">Weight, </w:t>
            </w:r>
            <w:r w:rsidR="007B2FDC" w:rsidRPr="003E0646">
              <w:rPr>
                <w:rFonts w:ascii="Book Antiqua" w:hAnsi="Book Antiqua"/>
                <w:lang w:val="en-GB"/>
              </w:rPr>
              <w:t>k</w:t>
            </w:r>
            <w:r w:rsidRPr="003E0646">
              <w:rPr>
                <w:rFonts w:ascii="Book Antiqua" w:hAnsi="Book Antiqua"/>
                <w:lang w:val="en-GB"/>
              </w:rPr>
              <w:t>g</w:t>
            </w:r>
          </w:p>
        </w:tc>
        <w:tc>
          <w:tcPr>
            <w:tcW w:w="429" w:type="pct"/>
            <w:shd w:val="clear" w:color="auto" w:fill="auto"/>
            <w:noWrap/>
            <w:vAlign w:val="center"/>
          </w:tcPr>
          <w:p w:rsidR="003E0646" w:rsidRPr="003E0646" w:rsidRDefault="003E0646" w:rsidP="008019CB">
            <w:pPr>
              <w:adjustRightInd w:val="0"/>
              <w:snapToGrid w:val="0"/>
              <w:spacing w:after="0" w:line="360" w:lineRule="auto"/>
              <w:jc w:val="center"/>
              <w:rPr>
                <w:rFonts w:ascii="Book Antiqua" w:hAnsi="Book Antiqua"/>
              </w:rPr>
            </w:pPr>
          </w:p>
        </w:tc>
        <w:tc>
          <w:tcPr>
            <w:tcW w:w="493" w:type="pct"/>
            <w:shd w:val="clear" w:color="auto" w:fill="auto"/>
            <w:noWrap/>
            <w:vAlign w:val="center"/>
          </w:tcPr>
          <w:p w:rsidR="003E0646" w:rsidRPr="003E0646" w:rsidRDefault="003E0646" w:rsidP="008019CB">
            <w:pPr>
              <w:adjustRightInd w:val="0"/>
              <w:snapToGrid w:val="0"/>
              <w:spacing w:after="0" w:line="360" w:lineRule="auto"/>
              <w:jc w:val="center"/>
              <w:rPr>
                <w:rFonts w:ascii="Book Antiqua" w:hAnsi="Book Antiqua"/>
              </w:rPr>
            </w:pPr>
          </w:p>
        </w:tc>
        <w:tc>
          <w:tcPr>
            <w:tcW w:w="602" w:type="pct"/>
          </w:tcPr>
          <w:p w:rsidR="003E0646" w:rsidRPr="003E0646" w:rsidRDefault="003E0646" w:rsidP="008019CB">
            <w:pPr>
              <w:adjustRightInd w:val="0"/>
              <w:snapToGrid w:val="0"/>
              <w:spacing w:after="0" w:line="360" w:lineRule="auto"/>
              <w:jc w:val="center"/>
              <w:rPr>
                <w:rFonts w:ascii="Book Antiqua" w:hAnsi="Book Antiqua"/>
              </w:rPr>
            </w:pPr>
          </w:p>
        </w:tc>
        <w:tc>
          <w:tcPr>
            <w:tcW w:w="604" w:type="pct"/>
          </w:tcPr>
          <w:p w:rsidR="003E0646" w:rsidRPr="003E0646" w:rsidRDefault="003E0646" w:rsidP="008019CB">
            <w:pPr>
              <w:adjustRightInd w:val="0"/>
              <w:snapToGrid w:val="0"/>
              <w:spacing w:after="0" w:line="360" w:lineRule="auto"/>
              <w:jc w:val="center"/>
              <w:rPr>
                <w:rFonts w:ascii="Book Antiqua" w:hAnsi="Book Antiqua"/>
              </w:rPr>
            </w:pPr>
          </w:p>
        </w:tc>
        <w:tc>
          <w:tcPr>
            <w:tcW w:w="604" w:type="pct"/>
            <w:shd w:val="clear" w:color="auto" w:fill="auto"/>
          </w:tcPr>
          <w:p w:rsidR="003E0646" w:rsidRPr="003E0646" w:rsidRDefault="003E0646" w:rsidP="008019CB">
            <w:pPr>
              <w:adjustRightInd w:val="0"/>
              <w:snapToGrid w:val="0"/>
              <w:spacing w:after="0" w:line="360" w:lineRule="auto"/>
              <w:jc w:val="right"/>
              <w:rPr>
                <w:rFonts w:ascii="Book Antiqua" w:hAnsi="Book Antiqua"/>
                <w:color w:val="000000"/>
              </w:rPr>
            </w:pPr>
            <w:r w:rsidRPr="003E0646">
              <w:rPr>
                <w:rFonts w:ascii="Book Antiqua" w:hAnsi="Book Antiqua"/>
                <w:color w:val="000000"/>
              </w:rPr>
              <w:t>0</w:t>
            </w:r>
            <w:r w:rsidR="007B2FDC">
              <w:rPr>
                <w:rFonts w:ascii="Book Antiqua" w:hAnsi="Book Antiqua" w:hint="eastAsia"/>
                <w:color w:val="000000"/>
                <w:lang w:eastAsia="zh-CN"/>
              </w:rPr>
              <w:t>.</w:t>
            </w:r>
            <w:r w:rsidRPr="003E0646">
              <w:rPr>
                <w:rFonts w:ascii="Book Antiqua" w:hAnsi="Book Antiqua"/>
                <w:color w:val="000000"/>
              </w:rPr>
              <w:t>413</w:t>
            </w:r>
          </w:p>
        </w:tc>
        <w:tc>
          <w:tcPr>
            <w:tcW w:w="596" w:type="pct"/>
            <w:shd w:val="clear" w:color="auto" w:fill="auto"/>
          </w:tcPr>
          <w:p w:rsidR="003E0646" w:rsidRPr="003E0646" w:rsidRDefault="003E0646" w:rsidP="008019CB">
            <w:pPr>
              <w:adjustRightInd w:val="0"/>
              <w:snapToGrid w:val="0"/>
              <w:spacing w:after="0" w:line="360" w:lineRule="auto"/>
              <w:jc w:val="right"/>
              <w:rPr>
                <w:rFonts w:ascii="Book Antiqua" w:hAnsi="Book Antiqua"/>
                <w:color w:val="000000"/>
              </w:rPr>
            </w:pPr>
            <w:r w:rsidRPr="003E0646">
              <w:rPr>
                <w:rFonts w:ascii="Book Antiqua" w:hAnsi="Book Antiqua"/>
                <w:color w:val="000000"/>
              </w:rPr>
              <w:t>0</w:t>
            </w:r>
            <w:r w:rsidR="007B2FDC">
              <w:rPr>
                <w:rFonts w:ascii="Book Antiqua" w:hAnsi="Book Antiqua" w:hint="eastAsia"/>
                <w:color w:val="000000"/>
                <w:lang w:eastAsia="zh-CN"/>
              </w:rPr>
              <w:t>.</w:t>
            </w:r>
            <w:r w:rsidRPr="003E0646">
              <w:rPr>
                <w:rFonts w:ascii="Book Antiqua" w:hAnsi="Book Antiqua"/>
                <w:color w:val="000000"/>
              </w:rPr>
              <w:t>057</w:t>
            </w:r>
          </w:p>
        </w:tc>
      </w:tr>
      <w:tr w:rsidR="003E0646" w:rsidRPr="003E0646" w:rsidTr="00CE47CF">
        <w:trPr>
          <w:trHeight w:val="255"/>
        </w:trPr>
        <w:tc>
          <w:tcPr>
            <w:tcW w:w="1672" w:type="pct"/>
            <w:shd w:val="clear" w:color="auto" w:fill="auto"/>
            <w:vAlign w:val="center"/>
          </w:tcPr>
          <w:p w:rsidR="003E0646" w:rsidRPr="003E0646" w:rsidRDefault="003E0646" w:rsidP="008019CB">
            <w:pPr>
              <w:adjustRightInd w:val="0"/>
              <w:snapToGrid w:val="0"/>
              <w:spacing w:after="0" w:line="360" w:lineRule="auto"/>
              <w:rPr>
                <w:rFonts w:ascii="Book Antiqua" w:hAnsi="Book Antiqua"/>
                <w:lang w:val="en-GB"/>
              </w:rPr>
            </w:pPr>
            <w:r w:rsidRPr="003E0646">
              <w:rPr>
                <w:rFonts w:ascii="Book Antiqua" w:hAnsi="Book Antiqua"/>
              </w:rPr>
              <w:t>Δ</w:t>
            </w:r>
            <w:r w:rsidRPr="003E0646">
              <w:rPr>
                <w:rFonts w:ascii="Book Antiqua" w:hAnsi="Book Antiqua"/>
                <w:lang w:val="en-GB"/>
              </w:rPr>
              <w:t>FM,</w:t>
            </w:r>
            <w:r w:rsidRPr="003E0646">
              <w:rPr>
                <w:rFonts w:ascii="Book Antiqua" w:hAnsi="Book Antiqua"/>
                <w:i/>
                <w:lang w:val="en-GB"/>
              </w:rPr>
              <w:t>%</w:t>
            </w:r>
          </w:p>
        </w:tc>
        <w:tc>
          <w:tcPr>
            <w:tcW w:w="429" w:type="pct"/>
            <w:shd w:val="clear" w:color="auto" w:fill="auto"/>
            <w:noWrap/>
            <w:vAlign w:val="center"/>
          </w:tcPr>
          <w:p w:rsidR="003E0646" w:rsidRPr="003E0646" w:rsidRDefault="003E0646" w:rsidP="008019CB">
            <w:pPr>
              <w:adjustRightInd w:val="0"/>
              <w:snapToGrid w:val="0"/>
              <w:spacing w:after="0" w:line="360" w:lineRule="auto"/>
              <w:jc w:val="center"/>
              <w:rPr>
                <w:rFonts w:ascii="Book Antiqua" w:hAnsi="Book Antiqua"/>
              </w:rPr>
            </w:pPr>
          </w:p>
        </w:tc>
        <w:tc>
          <w:tcPr>
            <w:tcW w:w="493" w:type="pct"/>
            <w:shd w:val="clear" w:color="auto" w:fill="auto"/>
            <w:noWrap/>
            <w:vAlign w:val="center"/>
          </w:tcPr>
          <w:p w:rsidR="003E0646" w:rsidRPr="003E0646" w:rsidRDefault="003E0646" w:rsidP="008019CB">
            <w:pPr>
              <w:adjustRightInd w:val="0"/>
              <w:snapToGrid w:val="0"/>
              <w:spacing w:after="0" w:line="360" w:lineRule="auto"/>
              <w:jc w:val="center"/>
              <w:rPr>
                <w:rFonts w:ascii="Book Antiqua" w:hAnsi="Book Antiqua"/>
              </w:rPr>
            </w:pPr>
          </w:p>
        </w:tc>
        <w:tc>
          <w:tcPr>
            <w:tcW w:w="602" w:type="pct"/>
          </w:tcPr>
          <w:p w:rsidR="003E0646" w:rsidRPr="003E0646" w:rsidRDefault="003E0646" w:rsidP="008019CB">
            <w:pPr>
              <w:adjustRightInd w:val="0"/>
              <w:snapToGrid w:val="0"/>
              <w:spacing w:after="0" w:line="360" w:lineRule="auto"/>
              <w:jc w:val="center"/>
              <w:rPr>
                <w:rFonts w:ascii="Book Antiqua" w:hAnsi="Book Antiqua"/>
              </w:rPr>
            </w:pPr>
          </w:p>
        </w:tc>
        <w:tc>
          <w:tcPr>
            <w:tcW w:w="604" w:type="pct"/>
          </w:tcPr>
          <w:p w:rsidR="003E0646" w:rsidRPr="003E0646" w:rsidRDefault="003E0646" w:rsidP="008019CB">
            <w:pPr>
              <w:adjustRightInd w:val="0"/>
              <w:snapToGrid w:val="0"/>
              <w:spacing w:after="0" w:line="360" w:lineRule="auto"/>
              <w:jc w:val="center"/>
              <w:rPr>
                <w:rFonts w:ascii="Book Antiqua" w:hAnsi="Book Antiqua"/>
              </w:rPr>
            </w:pPr>
          </w:p>
        </w:tc>
        <w:tc>
          <w:tcPr>
            <w:tcW w:w="604" w:type="pct"/>
            <w:shd w:val="clear" w:color="auto" w:fill="auto"/>
          </w:tcPr>
          <w:p w:rsidR="003E0646" w:rsidRPr="003E0646" w:rsidRDefault="003E0646" w:rsidP="008019CB">
            <w:pPr>
              <w:adjustRightInd w:val="0"/>
              <w:snapToGrid w:val="0"/>
              <w:spacing w:after="0" w:line="360" w:lineRule="auto"/>
              <w:jc w:val="right"/>
              <w:rPr>
                <w:rFonts w:ascii="Book Antiqua" w:hAnsi="Book Antiqua"/>
                <w:color w:val="000000"/>
              </w:rPr>
            </w:pPr>
            <w:r w:rsidRPr="003E0646">
              <w:rPr>
                <w:rFonts w:ascii="Book Antiqua" w:hAnsi="Book Antiqua"/>
                <w:color w:val="000000"/>
              </w:rPr>
              <w:t>0</w:t>
            </w:r>
            <w:r w:rsidR="007B2FDC">
              <w:rPr>
                <w:rFonts w:ascii="Book Antiqua" w:hAnsi="Book Antiqua" w:hint="eastAsia"/>
                <w:color w:val="000000"/>
                <w:lang w:eastAsia="zh-CN"/>
              </w:rPr>
              <w:t>.</w:t>
            </w:r>
            <w:r w:rsidRPr="003E0646">
              <w:rPr>
                <w:rFonts w:ascii="Book Antiqua" w:hAnsi="Book Antiqua"/>
                <w:color w:val="000000"/>
              </w:rPr>
              <w:t>433</w:t>
            </w:r>
          </w:p>
        </w:tc>
        <w:tc>
          <w:tcPr>
            <w:tcW w:w="596" w:type="pct"/>
            <w:shd w:val="clear" w:color="auto" w:fill="auto"/>
          </w:tcPr>
          <w:p w:rsidR="003E0646" w:rsidRPr="003E0646" w:rsidRDefault="003E0646" w:rsidP="008019CB">
            <w:pPr>
              <w:adjustRightInd w:val="0"/>
              <w:snapToGrid w:val="0"/>
              <w:spacing w:after="0" w:line="360" w:lineRule="auto"/>
              <w:jc w:val="right"/>
              <w:rPr>
                <w:rFonts w:ascii="Book Antiqua" w:hAnsi="Book Antiqua"/>
                <w:b/>
                <w:color w:val="000000"/>
              </w:rPr>
            </w:pPr>
            <w:r w:rsidRPr="003E0646">
              <w:rPr>
                <w:rFonts w:ascii="Book Antiqua" w:hAnsi="Book Antiqua"/>
                <w:b/>
                <w:color w:val="000000"/>
              </w:rPr>
              <w:t>0</w:t>
            </w:r>
            <w:r w:rsidR="007B2FDC">
              <w:rPr>
                <w:rFonts w:ascii="Book Antiqua" w:hAnsi="Book Antiqua" w:hint="eastAsia"/>
                <w:b/>
                <w:color w:val="000000"/>
                <w:lang w:eastAsia="zh-CN"/>
              </w:rPr>
              <w:t>.</w:t>
            </w:r>
            <w:r w:rsidRPr="003E0646">
              <w:rPr>
                <w:rFonts w:ascii="Book Antiqua" w:hAnsi="Book Antiqua"/>
                <w:b/>
                <w:color w:val="000000"/>
              </w:rPr>
              <w:t>012</w:t>
            </w:r>
          </w:p>
        </w:tc>
      </w:tr>
      <w:tr w:rsidR="003E0646" w:rsidRPr="003E0646" w:rsidTr="00CE47CF">
        <w:trPr>
          <w:trHeight w:val="255"/>
        </w:trPr>
        <w:tc>
          <w:tcPr>
            <w:tcW w:w="1672" w:type="pct"/>
            <w:shd w:val="clear" w:color="auto" w:fill="auto"/>
            <w:vAlign w:val="center"/>
          </w:tcPr>
          <w:p w:rsidR="003E0646" w:rsidRPr="003E0646" w:rsidRDefault="003E0646" w:rsidP="008019CB">
            <w:pPr>
              <w:adjustRightInd w:val="0"/>
              <w:snapToGrid w:val="0"/>
              <w:spacing w:after="0" w:line="360" w:lineRule="auto"/>
              <w:rPr>
                <w:rFonts w:ascii="Book Antiqua" w:hAnsi="Book Antiqua"/>
                <w:lang w:val="en-GB"/>
              </w:rPr>
            </w:pPr>
            <w:r w:rsidRPr="003E0646">
              <w:rPr>
                <w:rFonts w:ascii="Book Antiqua" w:hAnsi="Book Antiqua"/>
              </w:rPr>
              <w:t>Δ</w:t>
            </w:r>
            <w:r w:rsidRPr="003E0646">
              <w:rPr>
                <w:rFonts w:ascii="Book Antiqua" w:hAnsi="Book Antiqua"/>
                <w:lang w:val="en-GB"/>
              </w:rPr>
              <w:t>HOMA</w:t>
            </w:r>
          </w:p>
        </w:tc>
        <w:tc>
          <w:tcPr>
            <w:tcW w:w="429" w:type="pct"/>
            <w:shd w:val="clear" w:color="auto" w:fill="auto"/>
            <w:noWrap/>
            <w:vAlign w:val="center"/>
          </w:tcPr>
          <w:p w:rsidR="003E0646" w:rsidRPr="003E0646" w:rsidRDefault="003E0646" w:rsidP="008019CB">
            <w:pPr>
              <w:adjustRightInd w:val="0"/>
              <w:snapToGrid w:val="0"/>
              <w:spacing w:after="0" w:line="360" w:lineRule="auto"/>
              <w:jc w:val="center"/>
              <w:rPr>
                <w:rFonts w:ascii="Book Antiqua" w:hAnsi="Book Antiqua"/>
              </w:rPr>
            </w:pPr>
          </w:p>
        </w:tc>
        <w:tc>
          <w:tcPr>
            <w:tcW w:w="493" w:type="pct"/>
            <w:shd w:val="clear" w:color="auto" w:fill="auto"/>
            <w:noWrap/>
            <w:vAlign w:val="center"/>
          </w:tcPr>
          <w:p w:rsidR="003E0646" w:rsidRPr="003E0646" w:rsidRDefault="003E0646" w:rsidP="008019CB">
            <w:pPr>
              <w:adjustRightInd w:val="0"/>
              <w:snapToGrid w:val="0"/>
              <w:spacing w:after="0" w:line="360" w:lineRule="auto"/>
              <w:jc w:val="center"/>
              <w:rPr>
                <w:rFonts w:ascii="Book Antiqua" w:hAnsi="Book Antiqua"/>
              </w:rPr>
            </w:pPr>
          </w:p>
        </w:tc>
        <w:tc>
          <w:tcPr>
            <w:tcW w:w="602" w:type="pct"/>
          </w:tcPr>
          <w:p w:rsidR="003E0646" w:rsidRPr="003E0646" w:rsidRDefault="003E0646" w:rsidP="008019CB">
            <w:pPr>
              <w:adjustRightInd w:val="0"/>
              <w:snapToGrid w:val="0"/>
              <w:spacing w:after="0" w:line="360" w:lineRule="auto"/>
              <w:jc w:val="center"/>
              <w:rPr>
                <w:rFonts w:ascii="Book Antiqua" w:hAnsi="Book Antiqua"/>
              </w:rPr>
            </w:pPr>
          </w:p>
        </w:tc>
        <w:tc>
          <w:tcPr>
            <w:tcW w:w="604" w:type="pct"/>
          </w:tcPr>
          <w:p w:rsidR="003E0646" w:rsidRPr="003E0646" w:rsidRDefault="003E0646" w:rsidP="008019CB">
            <w:pPr>
              <w:adjustRightInd w:val="0"/>
              <w:snapToGrid w:val="0"/>
              <w:spacing w:after="0" w:line="360" w:lineRule="auto"/>
              <w:jc w:val="center"/>
              <w:rPr>
                <w:rFonts w:ascii="Book Antiqua" w:hAnsi="Book Antiqua"/>
              </w:rPr>
            </w:pPr>
          </w:p>
        </w:tc>
        <w:tc>
          <w:tcPr>
            <w:tcW w:w="604" w:type="pct"/>
            <w:shd w:val="clear" w:color="auto" w:fill="auto"/>
          </w:tcPr>
          <w:p w:rsidR="003E0646" w:rsidRPr="003E0646" w:rsidRDefault="003E0646" w:rsidP="008019CB">
            <w:pPr>
              <w:adjustRightInd w:val="0"/>
              <w:snapToGrid w:val="0"/>
              <w:spacing w:after="0" w:line="360" w:lineRule="auto"/>
              <w:jc w:val="right"/>
              <w:rPr>
                <w:rFonts w:ascii="Book Antiqua" w:hAnsi="Book Antiqua"/>
                <w:color w:val="000000"/>
              </w:rPr>
            </w:pPr>
            <w:r w:rsidRPr="003E0646">
              <w:rPr>
                <w:rFonts w:ascii="Book Antiqua" w:hAnsi="Book Antiqua"/>
                <w:color w:val="000000"/>
              </w:rPr>
              <w:t>0</w:t>
            </w:r>
            <w:r w:rsidR="007B2FDC">
              <w:rPr>
                <w:rFonts w:ascii="Book Antiqua" w:hAnsi="Book Antiqua" w:hint="eastAsia"/>
                <w:color w:val="000000"/>
                <w:lang w:eastAsia="zh-CN"/>
              </w:rPr>
              <w:t>.</w:t>
            </w:r>
            <w:r w:rsidRPr="003E0646">
              <w:rPr>
                <w:rFonts w:ascii="Book Antiqua" w:hAnsi="Book Antiqua"/>
                <w:color w:val="000000"/>
              </w:rPr>
              <w:t>189</w:t>
            </w:r>
          </w:p>
        </w:tc>
        <w:tc>
          <w:tcPr>
            <w:tcW w:w="596" w:type="pct"/>
            <w:shd w:val="clear" w:color="auto" w:fill="auto"/>
          </w:tcPr>
          <w:p w:rsidR="003E0646" w:rsidRPr="003E0646" w:rsidRDefault="003E0646" w:rsidP="008019CB">
            <w:pPr>
              <w:adjustRightInd w:val="0"/>
              <w:snapToGrid w:val="0"/>
              <w:spacing w:after="0" w:line="360" w:lineRule="auto"/>
              <w:jc w:val="right"/>
              <w:rPr>
                <w:rFonts w:ascii="Book Antiqua" w:hAnsi="Book Antiqua"/>
                <w:color w:val="000000"/>
              </w:rPr>
            </w:pPr>
            <w:r w:rsidRPr="003E0646">
              <w:rPr>
                <w:rFonts w:ascii="Book Antiqua" w:hAnsi="Book Antiqua"/>
                <w:color w:val="000000"/>
              </w:rPr>
              <w:t>0</w:t>
            </w:r>
            <w:r w:rsidR="007B2FDC">
              <w:rPr>
                <w:rFonts w:ascii="Book Antiqua" w:hAnsi="Book Antiqua" w:hint="eastAsia"/>
                <w:color w:val="000000"/>
                <w:lang w:eastAsia="zh-CN"/>
              </w:rPr>
              <w:t>.</w:t>
            </w:r>
            <w:r w:rsidRPr="003E0646">
              <w:rPr>
                <w:rFonts w:ascii="Book Antiqua" w:hAnsi="Book Antiqua"/>
                <w:color w:val="000000"/>
              </w:rPr>
              <w:t>284</w:t>
            </w:r>
          </w:p>
        </w:tc>
      </w:tr>
      <w:tr w:rsidR="003E0646" w:rsidRPr="003E0646" w:rsidTr="00CE47CF">
        <w:trPr>
          <w:trHeight w:val="255"/>
        </w:trPr>
        <w:tc>
          <w:tcPr>
            <w:tcW w:w="1672" w:type="pct"/>
            <w:shd w:val="clear" w:color="auto" w:fill="auto"/>
          </w:tcPr>
          <w:p w:rsidR="003E0646" w:rsidRPr="003E0646" w:rsidRDefault="003E0646" w:rsidP="008019CB">
            <w:pPr>
              <w:adjustRightInd w:val="0"/>
              <w:snapToGrid w:val="0"/>
              <w:spacing w:after="0" w:line="360" w:lineRule="auto"/>
              <w:rPr>
                <w:rFonts w:ascii="Book Antiqua" w:hAnsi="Book Antiqua"/>
              </w:rPr>
            </w:pPr>
            <w:r w:rsidRPr="003E0646">
              <w:rPr>
                <w:rFonts w:ascii="Book Antiqua" w:hAnsi="Book Antiqua"/>
              </w:rPr>
              <w:t>ΔALT, U/L</w:t>
            </w:r>
          </w:p>
        </w:tc>
        <w:tc>
          <w:tcPr>
            <w:tcW w:w="429" w:type="pct"/>
            <w:shd w:val="clear" w:color="auto" w:fill="auto"/>
            <w:noWrap/>
            <w:vAlign w:val="center"/>
          </w:tcPr>
          <w:p w:rsidR="003E0646" w:rsidRPr="003E0646" w:rsidRDefault="003E0646" w:rsidP="008019CB">
            <w:pPr>
              <w:adjustRightInd w:val="0"/>
              <w:snapToGrid w:val="0"/>
              <w:spacing w:after="0" w:line="360" w:lineRule="auto"/>
              <w:jc w:val="center"/>
              <w:rPr>
                <w:rFonts w:ascii="Book Antiqua" w:hAnsi="Book Antiqua"/>
              </w:rPr>
            </w:pPr>
          </w:p>
        </w:tc>
        <w:tc>
          <w:tcPr>
            <w:tcW w:w="493" w:type="pct"/>
            <w:shd w:val="clear" w:color="auto" w:fill="auto"/>
            <w:noWrap/>
            <w:vAlign w:val="center"/>
          </w:tcPr>
          <w:p w:rsidR="003E0646" w:rsidRPr="003E0646" w:rsidRDefault="003E0646" w:rsidP="008019CB">
            <w:pPr>
              <w:adjustRightInd w:val="0"/>
              <w:snapToGrid w:val="0"/>
              <w:spacing w:after="0" w:line="360" w:lineRule="auto"/>
              <w:jc w:val="center"/>
              <w:rPr>
                <w:rFonts w:ascii="Book Antiqua" w:hAnsi="Book Antiqua"/>
              </w:rPr>
            </w:pPr>
          </w:p>
        </w:tc>
        <w:tc>
          <w:tcPr>
            <w:tcW w:w="602" w:type="pct"/>
          </w:tcPr>
          <w:p w:rsidR="003E0646" w:rsidRPr="003E0646" w:rsidRDefault="003E0646" w:rsidP="008019CB">
            <w:pPr>
              <w:adjustRightInd w:val="0"/>
              <w:snapToGrid w:val="0"/>
              <w:spacing w:after="0" w:line="360" w:lineRule="auto"/>
              <w:jc w:val="center"/>
              <w:rPr>
                <w:rFonts w:ascii="Book Antiqua" w:hAnsi="Book Antiqua"/>
              </w:rPr>
            </w:pPr>
          </w:p>
        </w:tc>
        <w:tc>
          <w:tcPr>
            <w:tcW w:w="604" w:type="pct"/>
          </w:tcPr>
          <w:p w:rsidR="003E0646" w:rsidRPr="003E0646" w:rsidRDefault="003E0646" w:rsidP="008019CB">
            <w:pPr>
              <w:adjustRightInd w:val="0"/>
              <w:snapToGrid w:val="0"/>
              <w:spacing w:after="0" w:line="360" w:lineRule="auto"/>
              <w:jc w:val="center"/>
              <w:rPr>
                <w:rFonts w:ascii="Book Antiqua" w:hAnsi="Book Antiqua"/>
              </w:rPr>
            </w:pPr>
          </w:p>
        </w:tc>
        <w:tc>
          <w:tcPr>
            <w:tcW w:w="604" w:type="pct"/>
            <w:shd w:val="clear" w:color="auto" w:fill="auto"/>
          </w:tcPr>
          <w:p w:rsidR="003E0646" w:rsidRPr="003E0646" w:rsidRDefault="003E0646" w:rsidP="008019CB">
            <w:pPr>
              <w:adjustRightInd w:val="0"/>
              <w:snapToGrid w:val="0"/>
              <w:spacing w:after="0" w:line="360" w:lineRule="auto"/>
              <w:jc w:val="right"/>
              <w:rPr>
                <w:rFonts w:ascii="Book Antiqua" w:hAnsi="Book Antiqua"/>
                <w:color w:val="000000"/>
              </w:rPr>
            </w:pPr>
            <w:r w:rsidRPr="003E0646">
              <w:rPr>
                <w:rFonts w:ascii="Book Antiqua" w:hAnsi="Book Antiqua"/>
                <w:color w:val="000000"/>
              </w:rPr>
              <w:t>0</w:t>
            </w:r>
            <w:r w:rsidR="007B2FDC">
              <w:rPr>
                <w:rFonts w:ascii="Book Antiqua" w:hAnsi="Book Antiqua" w:hint="eastAsia"/>
                <w:color w:val="000000"/>
                <w:lang w:eastAsia="zh-CN"/>
              </w:rPr>
              <w:t>.</w:t>
            </w:r>
            <w:r w:rsidRPr="003E0646">
              <w:rPr>
                <w:rFonts w:ascii="Book Antiqua" w:hAnsi="Book Antiqua"/>
                <w:color w:val="000000"/>
              </w:rPr>
              <w:t>279</w:t>
            </w:r>
          </w:p>
        </w:tc>
        <w:tc>
          <w:tcPr>
            <w:tcW w:w="596" w:type="pct"/>
            <w:shd w:val="clear" w:color="auto" w:fill="auto"/>
          </w:tcPr>
          <w:p w:rsidR="003E0646" w:rsidRPr="003E0646" w:rsidRDefault="003E0646" w:rsidP="008019CB">
            <w:pPr>
              <w:adjustRightInd w:val="0"/>
              <w:snapToGrid w:val="0"/>
              <w:spacing w:after="0" w:line="360" w:lineRule="auto"/>
              <w:jc w:val="right"/>
              <w:rPr>
                <w:rFonts w:ascii="Book Antiqua" w:hAnsi="Book Antiqua"/>
                <w:color w:val="000000"/>
              </w:rPr>
            </w:pPr>
            <w:r w:rsidRPr="003E0646">
              <w:rPr>
                <w:rFonts w:ascii="Book Antiqua" w:hAnsi="Book Antiqua"/>
                <w:color w:val="000000"/>
              </w:rPr>
              <w:t>0</w:t>
            </w:r>
            <w:r w:rsidR="007B2FDC">
              <w:rPr>
                <w:rFonts w:ascii="Book Antiqua" w:hAnsi="Book Antiqua" w:hint="eastAsia"/>
                <w:color w:val="000000"/>
                <w:lang w:eastAsia="zh-CN"/>
              </w:rPr>
              <w:t>.</w:t>
            </w:r>
            <w:r w:rsidRPr="003E0646">
              <w:rPr>
                <w:rFonts w:ascii="Book Antiqua" w:hAnsi="Book Antiqua"/>
                <w:color w:val="000000"/>
              </w:rPr>
              <w:t>095</w:t>
            </w:r>
          </w:p>
        </w:tc>
      </w:tr>
      <w:tr w:rsidR="003E0646" w:rsidRPr="003E0646" w:rsidTr="00CE47CF">
        <w:trPr>
          <w:trHeight w:val="255"/>
        </w:trPr>
        <w:tc>
          <w:tcPr>
            <w:tcW w:w="1672" w:type="pct"/>
            <w:tcBorders>
              <w:bottom w:val="single" w:sz="4" w:space="0" w:color="auto"/>
            </w:tcBorders>
            <w:shd w:val="clear" w:color="auto" w:fill="auto"/>
          </w:tcPr>
          <w:p w:rsidR="003E0646" w:rsidRPr="003E0646" w:rsidRDefault="003E0646" w:rsidP="008019CB">
            <w:pPr>
              <w:adjustRightInd w:val="0"/>
              <w:snapToGrid w:val="0"/>
              <w:spacing w:after="0" w:line="360" w:lineRule="auto"/>
              <w:rPr>
                <w:rFonts w:ascii="Book Antiqua" w:hAnsi="Book Antiqua" w:cs="Arial"/>
                <w:color w:val="000000"/>
                <w:sz w:val="18"/>
                <w:szCs w:val="18"/>
              </w:rPr>
            </w:pPr>
            <w:r w:rsidRPr="003E0646">
              <w:rPr>
                <w:rFonts w:ascii="Book Antiqua" w:hAnsi="Book Antiqua"/>
              </w:rPr>
              <w:t>ΔLongitudinal right liver (mm)</w:t>
            </w:r>
          </w:p>
        </w:tc>
        <w:tc>
          <w:tcPr>
            <w:tcW w:w="429" w:type="pct"/>
            <w:tcBorders>
              <w:bottom w:val="single" w:sz="4" w:space="0" w:color="auto"/>
            </w:tcBorders>
            <w:shd w:val="clear" w:color="auto" w:fill="auto"/>
            <w:noWrap/>
            <w:vAlign w:val="center"/>
          </w:tcPr>
          <w:p w:rsidR="003E0646" w:rsidRPr="003E0646" w:rsidRDefault="003E0646" w:rsidP="008019CB">
            <w:pPr>
              <w:adjustRightInd w:val="0"/>
              <w:snapToGrid w:val="0"/>
              <w:spacing w:after="0" w:line="360" w:lineRule="auto"/>
              <w:jc w:val="center"/>
              <w:rPr>
                <w:rFonts w:ascii="Book Antiqua" w:hAnsi="Book Antiqua"/>
              </w:rPr>
            </w:pPr>
          </w:p>
        </w:tc>
        <w:tc>
          <w:tcPr>
            <w:tcW w:w="493" w:type="pct"/>
            <w:tcBorders>
              <w:bottom w:val="single" w:sz="4" w:space="0" w:color="auto"/>
            </w:tcBorders>
            <w:shd w:val="clear" w:color="auto" w:fill="auto"/>
            <w:noWrap/>
            <w:vAlign w:val="center"/>
          </w:tcPr>
          <w:p w:rsidR="003E0646" w:rsidRPr="003E0646" w:rsidRDefault="003E0646" w:rsidP="008019CB">
            <w:pPr>
              <w:adjustRightInd w:val="0"/>
              <w:snapToGrid w:val="0"/>
              <w:spacing w:after="0" w:line="360" w:lineRule="auto"/>
              <w:jc w:val="center"/>
              <w:rPr>
                <w:rFonts w:ascii="Book Antiqua" w:hAnsi="Book Antiqua"/>
              </w:rPr>
            </w:pPr>
          </w:p>
        </w:tc>
        <w:tc>
          <w:tcPr>
            <w:tcW w:w="602" w:type="pct"/>
            <w:tcBorders>
              <w:bottom w:val="single" w:sz="4" w:space="0" w:color="auto"/>
            </w:tcBorders>
          </w:tcPr>
          <w:p w:rsidR="003E0646" w:rsidRPr="003E0646" w:rsidRDefault="003E0646" w:rsidP="008019CB">
            <w:pPr>
              <w:adjustRightInd w:val="0"/>
              <w:snapToGrid w:val="0"/>
              <w:spacing w:after="0" w:line="360" w:lineRule="auto"/>
              <w:jc w:val="center"/>
              <w:rPr>
                <w:rFonts w:ascii="Book Antiqua" w:hAnsi="Book Antiqua"/>
              </w:rPr>
            </w:pPr>
          </w:p>
        </w:tc>
        <w:tc>
          <w:tcPr>
            <w:tcW w:w="604" w:type="pct"/>
            <w:tcBorders>
              <w:bottom w:val="single" w:sz="4" w:space="0" w:color="auto"/>
            </w:tcBorders>
          </w:tcPr>
          <w:p w:rsidR="003E0646" w:rsidRPr="003E0646" w:rsidRDefault="003E0646" w:rsidP="008019CB">
            <w:pPr>
              <w:adjustRightInd w:val="0"/>
              <w:snapToGrid w:val="0"/>
              <w:spacing w:after="0" w:line="360" w:lineRule="auto"/>
              <w:jc w:val="center"/>
              <w:rPr>
                <w:rFonts w:ascii="Book Antiqua" w:hAnsi="Book Antiqua"/>
              </w:rPr>
            </w:pPr>
          </w:p>
        </w:tc>
        <w:tc>
          <w:tcPr>
            <w:tcW w:w="604" w:type="pct"/>
            <w:tcBorders>
              <w:bottom w:val="single" w:sz="4" w:space="0" w:color="auto"/>
            </w:tcBorders>
            <w:shd w:val="clear" w:color="auto" w:fill="auto"/>
          </w:tcPr>
          <w:p w:rsidR="003E0646" w:rsidRPr="003E0646" w:rsidRDefault="003E0646" w:rsidP="008019CB">
            <w:pPr>
              <w:adjustRightInd w:val="0"/>
              <w:snapToGrid w:val="0"/>
              <w:spacing w:after="0" w:line="360" w:lineRule="auto"/>
              <w:jc w:val="right"/>
              <w:rPr>
                <w:rFonts w:ascii="Book Antiqua" w:hAnsi="Book Antiqua"/>
                <w:color w:val="000000"/>
              </w:rPr>
            </w:pPr>
            <w:r w:rsidRPr="003E0646">
              <w:rPr>
                <w:rFonts w:ascii="Book Antiqua" w:hAnsi="Book Antiqua"/>
                <w:color w:val="000000"/>
              </w:rPr>
              <w:t>-0</w:t>
            </w:r>
            <w:r w:rsidR="007B2FDC">
              <w:rPr>
                <w:rFonts w:ascii="Book Antiqua" w:hAnsi="Book Antiqua" w:hint="eastAsia"/>
                <w:color w:val="000000"/>
                <w:lang w:eastAsia="zh-CN"/>
              </w:rPr>
              <w:t>.</w:t>
            </w:r>
            <w:r w:rsidRPr="003E0646">
              <w:rPr>
                <w:rFonts w:ascii="Book Antiqua" w:hAnsi="Book Antiqua"/>
                <w:color w:val="000000"/>
              </w:rPr>
              <w:t>154</w:t>
            </w:r>
          </w:p>
        </w:tc>
        <w:tc>
          <w:tcPr>
            <w:tcW w:w="596" w:type="pct"/>
            <w:tcBorders>
              <w:bottom w:val="single" w:sz="4" w:space="0" w:color="auto"/>
            </w:tcBorders>
            <w:shd w:val="clear" w:color="auto" w:fill="auto"/>
          </w:tcPr>
          <w:p w:rsidR="003E0646" w:rsidRPr="003E0646" w:rsidRDefault="003E0646" w:rsidP="008019CB">
            <w:pPr>
              <w:adjustRightInd w:val="0"/>
              <w:snapToGrid w:val="0"/>
              <w:spacing w:after="0" w:line="360" w:lineRule="auto"/>
              <w:jc w:val="right"/>
              <w:rPr>
                <w:rFonts w:ascii="Book Antiqua" w:hAnsi="Book Antiqua"/>
                <w:color w:val="000000"/>
              </w:rPr>
            </w:pPr>
            <w:r w:rsidRPr="003E0646">
              <w:rPr>
                <w:rFonts w:ascii="Book Antiqua" w:hAnsi="Book Antiqua"/>
                <w:color w:val="000000"/>
              </w:rPr>
              <w:t>0</w:t>
            </w:r>
            <w:r w:rsidR="007B2FDC">
              <w:rPr>
                <w:rFonts w:ascii="Book Antiqua" w:hAnsi="Book Antiqua" w:hint="eastAsia"/>
                <w:color w:val="000000"/>
                <w:lang w:eastAsia="zh-CN"/>
              </w:rPr>
              <w:t>.</w:t>
            </w:r>
            <w:r w:rsidRPr="003E0646">
              <w:rPr>
                <w:rFonts w:ascii="Book Antiqua" w:hAnsi="Book Antiqua"/>
                <w:color w:val="000000"/>
              </w:rPr>
              <w:t>386</w:t>
            </w:r>
          </w:p>
        </w:tc>
      </w:tr>
    </w:tbl>
    <w:p w:rsidR="003E0646" w:rsidRPr="007B2FDC" w:rsidRDefault="007B2FDC" w:rsidP="008019CB">
      <w:pPr>
        <w:adjustRightInd w:val="0"/>
        <w:snapToGrid w:val="0"/>
        <w:spacing w:after="0" w:line="360" w:lineRule="auto"/>
        <w:jc w:val="both"/>
        <w:rPr>
          <w:rFonts w:ascii="Book Antiqua" w:hAnsi="Book Antiqua" w:cs="Times New Roman"/>
          <w:sz w:val="24"/>
          <w:szCs w:val="24"/>
          <w:lang w:val="en-US" w:eastAsia="zh-CN"/>
        </w:rPr>
      </w:pPr>
      <w:r w:rsidRPr="007B2FDC">
        <w:rPr>
          <w:rFonts w:ascii="Book Antiqua" w:hAnsi="Book Antiqua" w:cs="Times New Roman"/>
          <w:sz w:val="24"/>
          <w:szCs w:val="24"/>
          <w:lang w:val="en-US" w:eastAsia="zh-CN"/>
        </w:rPr>
        <w:t>Weighted least squares regression - weighted by BMI.</w:t>
      </w:r>
      <w:r>
        <w:rPr>
          <w:rFonts w:ascii="Book Antiqua" w:hAnsi="Book Antiqua" w:cs="Times New Roman" w:hint="eastAsia"/>
          <w:sz w:val="24"/>
          <w:szCs w:val="24"/>
          <w:lang w:val="en-US" w:eastAsia="zh-CN"/>
        </w:rPr>
        <w:t xml:space="preserve"> </w:t>
      </w:r>
      <w:r w:rsidRPr="007B2FDC">
        <w:rPr>
          <w:rFonts w:ascii="Book Antiqua" w:hAnsi="Book Antiqua" w:cs="Times New Roman"/>
          <w:sz w:val="24"/>
          <w:szCs w:val="24"/>
          <w:lang w:val="en-US" w:eastAsia="zh-CN"/>
        </w:rPr>
        <w:t>Bold font indicates significant correlations.</w:t>
      </w:r>
      <w:r>
        <w:rPr>
          <w:rFonts w:ascii="Book Antiqua" w:hAnsi="Book Antiqua" w:cs="Times New Roman" w:hint="eastAsia"/>
          <w:sz w:val="24"/>
          <w:szCs w:val="24"/>
          <w:lang w:val="en-US" w:eastAsia="zh-CN"/>
        </w:rPr>
        <w:t xml:space="preserve"> </w:t>
      </w:r>
      <w:r w:rsidRPr="007B2FDC">
        <w:rPr>
          <w:rFonts w:ascii="Book Antiqua" w:hAnsi="Book Antiqua" w:cs="Times New Roman"/>
          <w:sz w:val="24"/>
          <w:szCs w:val="24"/>
          <w:lang w:val="en-US" w:eastAsia="zh-CN"/>
        </w:rPr>
        <w:t>BMI: Body mass index; FM: Fat mass</w:t>
      </w:r>
      <w:r>
        <w:rPr>
          <w:rFonts w:ascii="Book Antiqua" w:hAnsi="Book Antiqua" w:cs="Times New Roman"/>
          <w:sz w:val="24"/>
          <w:szCs w:val="24"/>
          <w:lang w:val="en-US" w:eastAsia="zh-CN"/>
        </w:rPr>
        <w:t xml:space="preserve">; ALT: </w:t>
      </w:r>
      <w:proofErr w:type="spellStart"/>
      <w:r>
        <w:rPr>
          <w:rFonts w:ascii="Book Antiqua" w:hAnsi="Book Antiqua" w:cs="Times New Roman"/>
          <w:sz w:val="24"/>
          <w:szCs w:val="24"/>
          <w:lang w:val="en-US" w:eastAsia="zh-CN"/>
        </w:rPr>
        <w:t>Alanineaminotransferase</w:t>
      </w:r>
      <w:proofErr w:type="spellEnd"/>
      <w:r>
        <w:rPr>
          <w:rFonts w:ascii="Book Antiqua" w:hAnsi="Book Antiqua" w:cs="Times New Roman" w:hint="eastAsia"/>
          <w:sz w:val="24"/>
          <w:szCs w:val="24"/>
          <w:lang w:val="en-US" w:eastAsia="zh-CN"/>
        </w:rPr>
        <w:t>.</w:t>
      </w:r>
    </w:p>
    <w:sectPr w:rsidR="003E0646" w:rsidRPr="007B2FDC" w:rsidSect="00347C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35EFB"/>
    <w:multiLevelType w:val="hybridMultilevel"/>
    <w:tmpl w:val="0E7637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37"/>
    <w:rsid w:val="00031C84"/>
    <w:rsid w:val="000D6437"/>
    <w:rsid w:val="00101104"/>
    <w:rsid w:val="00135024"/>
    <w:rsid w:val="00144A9D"/>
    <w:rsid w:val="001F277D"/>
    <w:rsid w:val="00253C0C"/>
    <w:rsid w:val="00265ADF"/>
    <w:rsid w:val="002D4A39"/>
    <w:rsid w:val="00306FB8"/>
    <w:rsid w:val="00340955"/>
    <w:rsid w:val="00347CBE"/>
    <w:rsid w:val="00376076"/>
    <w:rsid w:val="003E0646"/>
    <w:rsid w:val="003F67A4"/>
    <w:rsid w:val="00402704"/>
    <w:rsid w:val="00423588"/>
    <w:rsid w:val="004B260B"/>
    <w:rsid w:val="004C5EC0"/>
    <w:rsid w:val="00543889"/>
    <w:rsid w:val="005507A2"/>
    <w:rsid w:val="0056161E"/>
    <w:rsid w:val="00586AC3"/>
    <w:rsid w:val="005915A4"/>
    <w:rsid w:val="00591782"/>
    <w:rsid w:val="005D166A"/>
    <w:rsid w:val="005E09BB"/>
    <w:rsid w:val="005E4648"/>
    <w:rsid w:val="00633139"/>
    <w:rsid w:val="006528B9"/>
    <w:rsid w:val="006A39A0"/>
    <w:rsid w:val="006D5475"/>
    <w:rsid w:val="006F098B"/>
    <w:rsid w:val="00747AEE"/>
    <w:rsid w:val="00761B7A"/>
    <w:rsid w:val="0079500A"/>
    <w:rsid w:val="007B2FDC"/>
    <w:rsid w:val="007B5B8A"/>
    <w:rsid w:val="007C48E5"/>
    <w:rsid w:val="007E7409"/>
    <w:rsid w:val="008019CB"/>
    <w:rsid w:val="00815702"/>
    <w:rsid w:val="00856F6C"/>
    <w:rsid w:val="00861729"/>
    <w:rsid w:val="00906121"/>
    <w:rsid w:val="00934586"/>
    <w:rsid w:val="009C13DA"/>
    <w:rsid w:val="009C47A4"/>
    <w:rsid w:val="009D4E3C"/>
    <w:rsid w:val="009D7619"/>
    <w:rsid w:val="00A0240E"/>
    <w:rsid w:val="00A231D7"/>
    <w:rsid w:val="00A55078"/>
    <w:rsid w:val="00AA75EA"/>
    <w:rsid w:val="00AE6DF8"/>
    <w:rsid w:val="00B602E2"/>
    <w:rsid w:val="00B72441"/>
    <w:rsid w:val="00BD7FFE"/>
    <w:rsid w:val="00C914A1"/>
    <w:rsid w:val="00CA6901"/>
    <w:rsid w:val="00D33505"/>
    <w:rsid w:val="00D37614"/>
    <w:rsid w:val="00D54476"/>
    <w:rsid w:val="00DA3252"/>
    <w:rsid w:val="00DA6968"/>
    <w:rsid w:val="00DD7022"/>
    <w:rsid w:val="00E25B6E"/>
    <w:rsid w:val="00F14E41"/>
    <w:rsid w:val="00F36C01"/>
    <w:rsid w:val="00F4248D"/>
    <w:rsid w:val="00F96281"/>
    <w:rsid w:val="00FC6F5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C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9C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Char">
    <w:name w:val="HTML 预设格式 Char"/>
    <w:basedOn w:val="a0"/>
    <w:link w:val="HTML"/>
    <w:uiPriority w:val="99"/>
    <w:rsid w:val="009C13DA"/>
    <w:rPr>
      <w:rFonts w:ascii="Courier New" w:eastAsia="Times New Roman" w:hAnsi="Courier New" w:cs="Courier New"/>
      <w:sz w:val="20"/>
      <w:szCs w:val="20"/>
      <w:lang w:eastAsia="it-IT"/>
    </w:rPr>
  </w:style>
  <w:style w:type="paragraph" w:styleId="a3">
    <w:name w:val="Plain Text"/>
    <w:basedOn w:val="a"/>
    <w:link w:val="Char"/>
    <w:rsid w:val="00C914A1"/>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
    <w:name w:val="纯文本 Char"/>
    <w:basedOn w:val="a0"/>
    <w:link w:val="a3"/>
    <w:rsid w:val="00C914A1"/>
    <w:rPr>
      <w:rFonts w:ascii="宋体" w:eastAsia="宋体" w:hAnsi="Courier New" w:cs="Courier New"/>
      <w:kern w:val="2"/>
      <w:sz w:val="21"/>
      <w:szCs w:val="21"/>
      <w:lang w:val="en-US" w:eastAsia="zh-CN"/>
    </w:rPr>
  </w:style>
  <w:style w:type="paragraph" w:styleId="a4">
    <w:name w:val="List Paragraph"/>
    <w:basedOn w:val="a"/>
    <w:uiPriority w:val="34"/>
    <w:qFormat/>
    <w:rsid w:val="00B72441"/>
    <w:pPr>
      <w:ind w:firstLineChars="200" w:firstLine="420"/>
    </w:pPr>
  </w:style>
  <w:style w:type="character" w:customStyle="1" w:styleId="apple-converted-space">
    <w:name w:val="apple-converted-space"/>
    <w:basedOn w:val="a0"/>
    <w:rsid w:val="00DA3252"/>
  </w:style>
  <w:style w:type="paragraph" w:styleId="a5">
    <w:name w:val="Balloon Text"/>
    <w:basedOn w:val="a"/>
    <w:link w:val="Char0"/>
    <w:uiPriority w:val="99"/>
    <w:semiHidden/>
    <w:unhideWhenUsed/>
    <w:rsid w:val="00DA3252"/>
    <w:pPr>
      <w:spacing w:after="0" w:line="240" w:lineRule="auto"/>
    </w:pPr>
    <w:rPr>
      <w:sz w:val="18"/>
      <w:szCs w:val="18"/>
    </w:rPr>
  </w:style>
  <w:style w:type="character" w:customStyle="1" w:styleId="Char0">
    <w:name w:val="批注框文本 Char"/>
    <w:basedOn w:val="a0"/>
    <w:link w:val="a5"/>
    <w:uiPriority w:val="99"/>
    <w:semiHidden/>
    <w:rsid w:val="00DA32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C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9C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Char">
    <w:name w:val="HTML 预设格式 Char"/>
    <w:basedOn w:val="a0"/>
    <w:link w:val="HTML"/>
    <w:uiPriority w:val="99"/>
    <w:rsid w:val="009C13DA"/>
    <w:rPr>
      <w:rFonts w:ascii="Courier New" w:eastAsia="Times New Roman" w:hAnsi="Courier New" w:cs="Courier New"/>
      <w:sz w:val="20"/>
      <w:szCs w:val="20"/>
      <w:lang w:eastAsia="it-IT"/>
    </w:rPr>
  </w:style>
  <w:style w:type="paragraph" w:styleId="a3">
    <w:name w:val="Plain Text"/>
    <w:basedOn w:val="a"/>
    <w:link w:val="Char"/>
    <w:rsid w:val="00C914A1"/>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
    <w:name w:val="纯文本 Char"/>
    <w:basedOn w:val="a0"/>
    <w:link w:val="a3"/>
    <w:rsid w:val="00C914A1"/>
    <w:rPr>
      <w:rFonts w:ascii="宋体" w:eastAsia="宋体" w:hAnsi="Courier New" w:cs="Courier New"/>
      <w:kern w:val="2"/>
      <w:sz w:val="21"/>
      <w:szCs w:val="21"/>
      <w:lang w:val="en-US" w:eastAsia="zh-CN"/>
    </w:rPr>
  </w:style>
  <w:style w:type="paragraph" w:styleId="a4">
    <w:name w:val="List Paragraph"/>
    <w:basedOn w:val="a"/>
    <w:uiPriority w:val="34"/>
    <w:qFormat/>
    <w:rsid w:val="00B72441"/>
    <w:pPr>
      <w:ind w:firstLineChars="200" w:firstLine="420"/>
    </w:pPr>
  </w:style>
  <w:style w:type="character" w:customStyle="1" w:styleId="apple-converted-space">
    <w:name w:val="apple-converted-space"/>
    <w:basedOn w:val="a0"/>
    <w:rsid w:val="00DA3252"/>
  </w:style>
  <w:style w:type="paragraph" w:styleId="a5">
    <w:name w:val="Balloon Text"/>
    <w:basedOn w:val="a"/>
    <w:link w:val="Char0"/>
    <w:uiPriority w:val="99"/>
    <w:semiHidden/>
    <w:unhideWhenUsed/>
    <w:rsid w:val="00DA3252"/>
    <w:pPr>
      <w:spacing w:after="0" w:line="240" w:lineRule="auto"/>
    </w:pPr>
    <w:rPr>
      <w:sz w:val="18"/>
      <w:szCs w:val="18"/>
    </w:rPr>
  </w:style>
  <w:style w:type="character" w:customStyle="1" w:styleId="Char0">
    <w:name w:val="批注框文本 Char"/>
    <w:basedOn w:val="a0"/>
    <w:link w:val="a5"/>
    <w:uiPriority w:val="99"/>
    <w:semiHidden/>
    <w:rsid w:val="00DA32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0007">
      <w:bodyDiv w:val="1"/>
      <w:marLeft w:val="0"/>
      <w:marRight w:val="0"/>
      <w:marTop w:val="0"/>
      <w:marBottom w:val="0"/>
      <w:divBdr>
        <w:top w:val="none" w:sz="0" w:space="0" w:color="auto"/>
        <w:left w:val="none" w:sz="0" w:space="0" w:color="auto"/>
        <w:bottom w:val="none" w:sz="0" w:space="0" w:color="auto"/>
        <w:right w:val="none" w:sz="0" w:space="0" w:color="auto"/>
      </w:divBdr>
    </w:div>
    <w:div w:id="95249277">
      <w:bodyDiv w:val="1"/>
      <w:marLeft w:val="0"/>
      <w:marRight w:val="0"/>
      <w:marTop w:val="0"/>
      <w:marBottom w:val="0"/>
      <w:divBdr>
        <w:top w:val="none" w:sz="0" w:space="0" w:color="auto"/>
        <w:left w:val="none" w:sz="0" w:space="0" w:color="auto"/>
        <w:bottom w:val="none" w:sz="0" w:space="0" w:color="auto"/>
        <w:right w:val="none" w:sz="0" w:space="0" w:color="auto"/>
      </w:divBdr>
    </w:div>
    <w:div w:id="161554458">
      <w:bodyDiv w:val="1"/>
      <w:marLeft w:val="0"/>
      <w:marRight w:val="0"/>
      <w:marTop w:val="0"/>
      <w:marBottom w:val="0"/>
      <w:divBdr>
        <w:top w:val="none" w:sz="0" w:space="0" w:color="auto"/>
        <w:left w:val="none" w:sz="0" w:space="0" w:color="auto"/>
        <w:bottom w:val="none" w:sz="0" w:space="0" w:color="auto"/>
        <w:right w:val="none" w:sz="0" w:space="0" w:color="auto"/>
      </w:divBdr>
    </w:div>
    <w:div w:id="171452259">
      <w:bodyDiv w:val="1"/>
      <w:marLeft w:val="0"/>
      <w:marRight w:val="0"/>
      <w:marTop w:val="0"/>
      <w:marBottom w:val="0"/>
      <w:divBdr>
        <w:top w:val="none" w:sz="0" w:space="0" w:color="auto"/>
        <w:left w:val="none" w:sz="0" w:space="0" w:color="auto"/>
        <w:bottom w:val="none" w:sz="0" w:space="0" w:color="auto"/>
        <w:right w:val="none" w:sz="0" w:space="0" w:color="auto"/>
      </w:divBdr>
    </w:div>
    <w:div w:id="316499784">
      <w:bodyDiv w:val="1"/>
      <w:marLeft w:val="0"/>
      <w:marRight w:val="0"/>
      <w:marTop w:val="0"/>
      <w:marBottom w:val="0"/>
      <w:divBdr>
        <w:top w:val="none" w:sz="0" w:space="0" w:color="auto"/>
        <w:left w:val="none" w:sz="0" w:space="0" w:color="auto"/>
        <w:bottom w:val="none" w:sz="0" w:space="0" w:color="auto"/>
        <w:right w:val="none" w:sz="0" w:space="0" w:color="auto"/>
      </w:divBdr>
    </w:div>
    <w:div w:id="409231760">
      <w:bodyDiv w:val="1"/>
      <w:marLeft w:val="0"/>
      <w:marRight w:val="0"/>
      <w:marTop w:val="0"/>
      <w:marBottom w:val="0"/>
      <w:divBdr>
        <w:top w:val="none" w:sz="0" w:space="0" w:color="auto"/>
        <w:left w:val="none" w:sz="0" w:space="0" w:color="auto"/>
        <w:bottom w:val="none" w:sz="0" w:space="0" w:color="auto"/>
        <w:right w:val="none" w:sz="0" w:space="0" w:color="auto"/>
      </w:divBdr>
    </w:div>
    <w:div w:id="451439721">
      <w:bodyDiv w:val="1"/>
      <w:marLeft w:val="0"/>
      <w:marRight w:val="0"/>
      <w:marTop w:val="0"/>
      <w:marBottom w:val="0"/>
      <w:divBdr>
        <w:top w:val="none" w:sz="0" w:space="0" w:color="auto"/>
        <w:left w:val="none" w:sz="0" w:space="0" w:color="auto"/>
        <w:bottom w:val="none" w:sz="0" w:space="0" w:color="auto"/>
        <w:right w:val="none" w:sz="0" w:space="0" w:color="auto"/>
      </w:divBdr>
    </w:div>
    <w:div w:id="523831356">
      <w:bodyDiv w:val="1"/>
      <w:marLeft w:val="0"/>
      <w:marRight w:val="0"/>
      <w:marTop w:val="0"/>
      <w:marBottom w:val="0"/>
      <w:divBdr>
        <w:top w:val="none" w:sz="0" w:space="0" w:color="auto"/>
        <w:left w:val="none" w:sz="0" w:space="0" w:color="auto"/>
        <w:bottom w:val="none" w:sz="0" w:space="0" w:color="auto"/>
        <w:right w:val="none" w:sz="0" w:space="0" w:color="auto"/>
      </w:divBdr>
    </w:div>
    <w:div w:id="533159602">
      <w:bodyDiv w:val="1"/>
      <w:marLeft w:val="0"/>
      <w:marRight w:val="0"/>
      <w:marTop w:val="0"/>
      <w:marBottom w:val="0"/>
      <w:divBdr>
        <w:top w:val="none" w:sz="0" w:space="0" w:color="auto"/>
        <w:left w:val="none" w:sz="0" w:space="0" w:color="auto"/>
        <w:bottom w:val="none" w:sz="0" w:space="0" w:color="auto"/>
        <w:right w:val="none" w:sz="0" w:space="0" w:color="auto"/>
      </w:divBdr>
    </w:div>
    <w:div w:id="602686237">
      <w:bodyDiv w:val="1"/>
      <w:marLeft w:val="0"/>
      <w:marRight w:val="0"/>
      <w:marTop w:val="0"/>
      <w:marBottom w:val="0"/>
      <w:divBdr>
        <w:top w:val="none" w:sz="0" w:space="0" w:color="auto"/>
        <w:left w:val="none" w:sz="0" w:space="0" w:color="auto"/>
        <w:bottom w:val="none" w:sz="0" w:space="0" w:color="auto"/>
        <w:right w:val="none" w:sz="0" w:space="0" w:color="auto"/>
      </w:divBdr>
    </w:div>
    <w:div w:id="633559464">
      <w:bodyDiv w:val="1"/>
      <w:marLeft w:val="0"/>
      <w:marRight w:val="0"/>
      <w:marTop w:val="0"/>
      <w:marBottom w:val="0"/>
      <w:divBdr>
        <w:top w:val="none" w:sz="0" w:space="0" w:color="auto"/>
        <w:left w:val="none" w:sz="0" w:space="0" w:color="auto"/>
        <w:bottom w:val="none" w:sz="0" w:space="0" w:color="auto"/>
        <w:right w:val="none" w:sz="0" w:space="0" w:color="auto"/>
      </w:divBdr>
    </w:div>
    <w:div w:id="640698675">
      <w:bodyDiv w:val="1"/>
      <w:marLeft w:val="0"/>
      <w:marRight w:val="0"/>
      <w:marTop w:val="0"/>
      <w:marBottom w:val="0"/>
      <w:divBdr>
        <w:top w:val="none" w:sz="0" w:space="0" w:color="auto"/>
        <w:left w:val="none" w:sz="0" w:space="0" w:color="auto"/>
        <w:bottom w:val="none" w:sz="0" w:space="0" w:color="auto"/>
        <w:right w:val="none" w:sz="0" w:space="0" w:color="auto"/>
      </w:divBdr>
    </w:div>
    <w:div w:id="662859986">
      <w:bodyDiv w:val="1"/>
      <w:marLeft w:val="0"/>
      <w:marRight w:val="0"/>
      <w:marTop w:val="0"/>
      <w:marBottom w:val="0"/>
      <w:divBdr>
        <w:top w:val="none" w:sz="0" w:space="0" w:color="auto"/>
        <w:left w:val="none" w:sz="0" w:space="0" w:color="auto"/>
        <w:bottom w:val="none" w:sz="0" w:space="0" w:color="auto"/>
        <w:right w:val="none" w:sz="0" w:space="0" w:color="auto"/>
      </w:divBdr>
    </w:div>
    <w:div w:id="714501682">
      <w:bodyDiv w:val="1"/>
      <w:marLeft w:val="0"/>
      <w:marRight w:val="0"/>
      <w:marTop w:val="0"/>
      <w:marBottom w:val="0"/>
      <w:divBdr>
        <w:top w:val="none" w:sz="0" w:space="0" w:color="auto"/>
        <w:left w:val="none" w:sz="0" w:space="0" w:color="auto"/>
        <w:bottom w:val="none" w:sz="0" w:space="0" w:color="auto"/>
        <w:right w:val="none" w:sz="0" w:space="0" w:color="auto"/>
      </w:divBdr>
    </w:div>
    <w:div w:id="722482674">
      <w:bodyDiv w:val="1"/>
      <w:marLeft w:val="0"/>
      <w:marRight w:val="0"/>
      <w:marTop w:val="0"/>
      <w:marBottom w:val="0"/>
      <w:divBdr>
        <w:top w:val="none" w:sz="0" w:space="0" w:color="auto"/>
        <w:left w:val="none" w:sz="0" w:space="0" w:color="auto"/>
        <w:bottom w:val="none" w:sz="0" w:space="0" w:color="auto"/>
        <w:right w:val="none" w:sz="0" w:space="0" w:color="auto"/>
      </w:divBdr>
    </w:div>
    <w:div w:id="769470674">
      <w:bodyDiv w:val="1"/>
      <w:marLeft w:val="0"/>
      <w:marRight w:val="0"/>
      <w:marTop w:val="0"/>
      <w:marBottom w:val="0"/>
      <w:divBdr>
        <w:top w:val="none" w:sz="0" w:space="0" w:color="auto"/>
        <w:left w:val="none" w:sz="0" w:space="0" w:color="auto"/>
        <w:bottom w:val="none" w:sz="0" w:space="0" w:color="auto"/>
        <w:right w:val="none" w:sz="0" w:space="0" w:color="auto"/>
      </w:divBdr>
    </w:div>
    <w:div w:id="781994063">
      <w:bodyDiv w:val="1"/>
      <w:marLeft w:val="0"/>
      <w:marRight w:val="0"/>
      <w:marTop w:val="0"/>
      <w:marBottom w:val="0"/>
      <w:divBdr>
        <w:top w:val="none" w:sz="0" w:space="0" w:color="auto"/>
        <w:left w:val="none" w:sz="0" w:space="0" w:color="auto"/>
        <w:bottom w:val="none" w:sz="0" w:space="0" w:color="auto"/>
        <w:right w:val="none" w:sz="0" w:space="0" w:color="auto"/>
      </w:divBdr>
    </w:div>
    <w:div w:id="796801415">
      <w:bodyDiv w:val="1"/>
      <w:marLeft w:val="0"/>
      <w:marRight w:val="0"/>
      <w:marTop w:val="0"/>
      <w:marBottom w:val="0"/>
      <w:divBdr>
        <w:top w:val="none" w:sz="0" w:space="0" w:color="auto"/>
        <w:left w:val="none" w:sz="0" w:space="0" w:color="auto"/>
        <w:bottom w:val="none" w:sz="0" w:space="0" w:color="auto"/>
        <w:right w:val="none" w:sz="0" w:space="0" w:color="auto"/>
      </w:divBdr>
    </w:div>
    <w:div w:id="840126895">
      <w:bodyDiv w:val="1"/>
      <w:marLeft w:val="0"/>
      <w:marRight w:val="0"/>
      <w:marTop w:val="0"/>
      <w:marBottom w:val="0"/>
      <w:divBdr>
        <w:top w:val="none" w:sz="0" w:space="0" w:color="auto"/>
        <w:left w:val="none" w:sz="0" w:space="0" w:color="auto"/>
        <w:bottom w:val="none" w:sz="0" w:space="0" w:color="auto"/>
        <w:right w:val="none" w:sz="0" w:space="0" w:color="auto"/>
      </w:divBdr>
    </w:div>
    <w:div w:id="856583634">
      <w:bodyDiv w:val="1"/>
      <w:marLeft w:val="0"/>
      <w:marRight w:val="0"/>
      <w:marTop w:val="0"/>
      <w:marBottom w:val="0"/>
      <w:divBdr>
        <w:top w:val="none" w:sz="0" w:space="0" w:color="auto"/>
        <w:left w:val="none" w:sz="0" w:space="0" w:color="auto"/>
        <w:bottom w:val="none" w:sz="0" w:space="0" w:color="auto"/>
        <w:right w:val="none" w:sz="0" w:space="0" w:color="auto"/>
      </w:divBdr>
    </w:div>
    <w:div w:id="902302512">
      <w:bodyDiv w:val="1"/>
      <w:marLeft w:val="0"/>
      <w:marRight w:val="0"/>
      <w:marTop w:val="0"/>
      <w:marBottom w:val="0"/>
      <w:divBdr>
        <w:top w:val="none" w:sz="0" w:space="0" w:color="auto"/>
        <w:left w:val="none" w:sz="0" w:space="0" w:color="auto"/>
        <w:bottom w:val="none" w:sz="0" w:space="0" w:color="auto"/>
        <w:right w:val="none" w:sz="0" w:space="0" w:color="auto"/>
      </w:divBdr>
    </w:div>
    <w:div w:id="904492084">
      <w:bodyDiv w:val="1"/>
      <w:marLeft w:val="0"/>
      <w:marRight w:val="0"/>
      <w:marTop w:val="0"/>
      <w:marBottom w:val="0"/>
      <w:divBdr>
        <w:top w:val="none" w:sz="0" w:space="0" w:color="auto"/>
        <w:left w:val="none" w:sz="0" w:space="0" w:color="auto"/>
        <w:bottom w:val="none" w:sz="0" w:space="0" w:color="auto"/>
        <w:right w:val="none" w:sz="0" w:space="0" w:color="auto"/>
      </w:divBdr>
    </w:div>
    <w:div w:id="913470059">
      <w:bodyDiv w:val="1"/>
      <w:marLeft w:val="0"/>
      <w:marRight w:val="0"/>
      <w:marTop w:val="0"/>
      <w:marBottom w:val="0"/>
      <w:divBdr>
        <w:top w:val="none" w:sz="0" w:space="0" w:color="auto"/>
        <w:left w:val="none" w:sz="0" w:space="0" w:color="auto"/>
        <w:bottom w:val="none" w:sz="0" w:space="0" w:color="auto"/>
        <w:right w:val="none" w:sz="0" w:space="0" w:color="auto"/>
      </w:divBdr>
    </w:div>
    <w:div w:id="938638723">
      <w:bodyDiv w:val="1"/>
      <w:marLeft w:val="0"/>
      <w:marRight w:val="0"/>
      <w:marTop w:val="0"/>
      <w:marBottom w:val="0"/>
      <w:divBdr>
        <w:top w:val="none" w:sz="0" w:space="0" w:color="auto"/>
        <w:left w:val="none" w:sz="0" w:space="0" w:color="auto"/>
        <w:bottom w:val="none" w:sz="0" w:space="0" w:color="auto"/>
        <w:right w:val="none" w:sz="0" w:space="0" w:color="auto"/>
      </w:divBdr>
    </w:div>
    <w:div w:id="961110468">
      <w:bodyDiv w:val="1"/>
      <w:marLeft w:val="0"/>
      <w:marRight w:val="0"/>
      <w:marTop w:val="0"/>
      <w:marBottom w:val="0"/>
      <w:divBdr>
        <w:top w:val="none" w:sz="0" w:space="0" w:color="auto"/>
        <w:left w:val="none" w:sz="0" w:space="0" w:color="auto"/>
        <w:bottom w:val="none" w:sz="0" w:space="0" w:color="auto"/>
        <w:right w:val="none" w:sz="0" w:space="0" w:color="auto"/>
      </w:divBdr>
    </w:div>
    <w:div w:id="1045180314">
      <w:bodyDiv w:val="1"/>
      <w:marLeft w:val="0"/>
      <w:marRight w:val="0"/>
      <w:marTop w:val="0"/>
      <w:marBottom w:val="0"/>
      <w:divBdr>
        <w:top w:val="none" w:sz="0" w:space="0" w:color="auto"/>
        <w:left w:val="none" w:sz="0" w:space="0" w:color="auto"/>
        <w:bottom w:val="none" w:sz="0" w:space="0" w:color="auto"/>
        <w:right w:val="none" w:sz="0" w:space="0" w:color="auto"/>
      </w:divBdr>
    </w:div>
    <w:div w:id="1046374993">
      <w:bodyDiv w:val="1"/>
      <w:marLeft w:val="0"/>
      <w:marRight w:val="0"/>
      <w:marTop w:val="0"/>
      <w:marBottom w:val="0"/>
      <w:divBdr>
        <w:top w:val="none" w:sz="0" w:space="0" w:color="auto"/>
        <w:left w:val="none" w:sz="0" w:space="0" w:color="auto"/>
        <w:bottom w:val="none" w:sz="0" w:space="0" w:color="auto"/>
        <w:right w:val="none" w:sz="0" w:space="0" w:color="auto"/>
      </w:divBdr>
    </w:div>
    <w:div w:id="1057390514">
      <w:bodyDiv w:val="1"/>
      <w:marLeft w:val="0"/>
      <w:marRight w:val="0"/>
      <w:marTop w:val="0"/>
      <w:marBottom w:val="0"/>
      <w:divBdr>
        <w:top w:val="none" w:sz="0" w:space="0" w:color="auto"/>
        <w:left w:val="none" w:sz="0" w:space="0" w:color="auto"/>
        <w:bottom w:val="none" w:sz="0" w:space="0" w:color="auto"/>
        <w:right w:val="none" w:sz="0" w:space="0" w:color="auto"/>
      </w:divBdr>
    </w:div>
    <w:div w:id="1064794764">
      <w:bodyDiv w:val="1"/>
      <w:marLeft w:val="0"/>
      <w:marRight w:val="0"/>
      <w:marTop w:val="0"/>
      <w:marBottom w:val="0"/>
      <w:divBdr>
        <w:top w:val="none" w:sz="0" w:space="0" w:color="auto"/>
        <w:left w:val="none" w:sz="0" w:space="0" w:color="auto"/>
        <w:bottom w:val="none" w:sz="0" w:space="0" w:color="auto"/>
        <w:right w:val="none" w:sz="0" w:space="0" w:color="auto"/>
      </w:divBdr>
    </w:div>
    <w:div w:id="1066564823">
      <w:bodyDiv w:val="1"/>
      <w:marLeft w:val="0"/>
      <w:marRight w:val="0"/>
      <w:marTop w:val="0"/>
      <w:marBottom w:val="0"/>
      <w:divBdr>
        <w:top w:val="none" w:sz="0" w:space="0" w:color="auto"/>
        <w:left w:val="none" w:sz="0" w:space="0" w:color="auto"/>
        <w:bottom w:val="none" w:sz="0" w:space="0" w:color="auto"/>
        <w:right w:val="none" w:sz="0" w:space="0" w:color="auto"/>
      </w:divBdr>
    </w:div>
    <w:div w:id="1098602145">
      <w:bodyDiv w:val="1"/>
      <w:marLeft w:val="0"/>
      <w:marRight w:val="0"/>
      <w:marTop w:val="0"/>
      <w:marBottom w:val="0"/>
      <w:divBdr>
        <w:top w:val="none" w:sz="0" w:space="0" w:color="auto"/>
        <w:left w:val="none" w:sz="0" w:space="0" w:color="auto"/>
        <w:bottom w:val="none" w:sz="0" w:space="0" w:color="auto"/>
        <w:right w:val="none" w:sz="0" w:space="0" w:color="auto"/>
      </w:divBdr>
    </w:div>
    <w:div w:id="1231967658">
      <w:bodyDiv w:val="1"/>
      <w:marLeft w:val="0"/>
      <w:marRight w:val="0"/>
      <w:marTop w:val="0"/>
      <w:marBottom w:val="0"/>
      <w:divBdr>
        <w:top w:val="none" w:sz="0" w:space="0" w:color="auto"/>
        <w:left w:val="none" w:sz="0" w:space="0" w:color="auto"/>
        <w:bottom w:val="none" w:sz="0" w:space="0" w:color="auto"/>
        <w:right w:val="none" w:sz="0" w:space="0" w:color="auto"/>
      </w:divBdr>
    </w:div>
    <w:div w:id="1243106528">
      <w:bodyDiv w:val="1"/>
      <w:marLeft w:val="0"/>
      <w:marRight w:val="0"/>
      <w:marTop w:val="0"/>
      <w:marBottom w:val="0"/>
      <w:divBdr>
        <w:top w:val="none" w:sz="0" w:space="0" w:color="auto"/>
        <w:left w:val="none" w:sz="0" w:space="0" w:color="auto"/>
        <w:bottom w:val="none" w:sz="0" w:space="0" w:color="auto"/>
        <w:right w:val="none" w:sz="0" w:space="0" w:color="auto"/>
      </w:divBdr>
    </w:div>
    <w:div w:id="1285577639">
      <w:bodyDiv w:val="1"/>
      <w:marLeft w:val="0"/>
      <w:marRight w:val="0"/>
      <w:marTop w:val="0"/>
      <w:marBottom w:val="0"/>
      <w:divBdr>
        <w:top w:val="none" w:sz="0" w:space="0" w:color="auto"/>
        <w:left w:val="none" w:sz="0" w:space="0" w:color="auto"/>
        <w:bottom w:val="none" w:sz="0" w:space="0" w:color="auto"/>
        <w:right w:val="none" w:sz="0" w:space="0" w:color="auto"/>
      </w:divBdr>
    </w:div>
    <w:div w:id="1353803670">
      <w:bodyDiv w:val="1"/>
      <w:marLeft w:val="0"/>
      <w:marRight w:val="0"/>
      <w:marTop w:val="0"/>
      <w:marBottom w:val="0"/>
      <w:divBdr>
        <w:top w:val="none" w:sz="0" w:space="0" w:color="auto"/>
        <w:left w:val="none" w:sz="0" w:space="0" w:color="auto"/>
        <w:bottom w:val="none" w:sz="0" w:space="0" w:color="auto"/>
        <w:right w:val="none" w:sz="0" w:space="0" w:color="auto"/>
      </w:divBdr>
    </w:div>
    <w:div w:id="1398629335">
      <w:bodyDiv w:val="1"/>
      <w:marLeft w:val="0"/>
      <w:marRight w:val="0"/>
      <w:marTop w:val="0"/>
      <w:marBottom w:val="0"/>
      <w:divBdr>
        <w:top w:val="none" w:sz="0" w:space="0" w:color="auto"/>
        <w:left w:val="none" w:sz="0" w:space="0" w:color="auto"/>
        <w:bottom w:val="none" w:sz="0" w:space="0" w:color="auto"/>
        <w:right w:val="none" w:sz="0" w:space="0" w:color="auto"/>
      </w:divBdr>
    </w:div>
    <w:div w:id="1524781067">
      <w:bodyDiv w:val="1"/>
      <w:marLeft w:val="0"/>
      <w:marRight w:val="0"/>
      <w:marTop w:val="0"/>
      <w:marBottom w:val="0"/>
      <w:divBdr>
        <w:top w:val="none" w:sz="0" w:space="0" w:color="auto"/>
        <w:left w:val="none" w:sz="0" w:space="0" w:color="auto"/>
        <w:bottom w:val="none" w:sz="0" w:space="0" w:color="auto"/>
        <w:right w:val="none" w:sz="0" w:space="0" w:color="auto"/>
      </w:divBdr>
    </w:div>
    <w:div w:id="1573813778">
      <w:bodyDiv w:val="1"/>
      <w:marLeft w:val="0"/>
      <w:marRight w:val="0"/>
      <w:marTop w:val="0"/>
      <w:marBottom w:val="0"/>
      <w:divBdr>
        <w:top w:val="none" w:sz="0" w:space="0" w:color="auto"/>
        <w:left w:val="none" w:sz="0" w:space="0" w:color="auto"/>
        <w:bottom w:val="none" w:sz="0" w:space="0" w:color="auto"/>
        <w:right w:val="none" w:sz="0" w:space="0" w:color="auto"/>
      </w:divBdr>
    </w:div>
    <w:div w:id="1584489843">
      <w:bodyDiv w:val="1"/>
      <w:marLeft w:val="0"/>
      <w:marRight w:val="0"/>
      <w:marTop w:val="0"/>
      <w:marBottom w:val="0"/>
      <w:divBdr>
        <w:top w:val="none" w:sz="0" w:space="0" w:color="auto"/>
        <w:left w:val="none" w:sz="0" w:space="0" w:color="auto"/>
        <w:bottom w:val="none" w:sz="0" w:space="0" w:color="auto"/>
        <w:right w:val="none" w:sz="0" w:space="0" w:color="auto"/>
      </w:divBdr>
    </w:div>
    <w:div w:id="1666743581">
      <w:bodyDiv w:val="1"/>
      <w:marLeft w:val="0"/>
      <w:marRight w:val="0"/>
      <w:marTop w:val="0"/>
      <w:marBottom w:val="0"/>
      <w:divBdr>
        <w:top w:val="none" w:sz="0" w:space="0" w:color="auto"/>
        <w:left w:val="none" w:sz="0" w:space="0" w:color="auto"/>
        <w:bottom w:val="none" w:sz="0" w:space="0" w:color="auto"/>
        <w:right w:val="none" w:sz="0" w:space="0" w:color="auto"/>
      </w:divBdr>
    </w:div>
    <w:div w:id="1686709298">
      <w:bodyDiv w:val="1"/>
      <w:marLeft w:val="0"/>
      <w:marRight w:val="0"/>
      <w:marTop w:val="0"/>
      <w:marBottom w:val="0"/>
      <w:divBdr>
        <w:top w:val="none" w:sz="0" w:space="0" w:color="auto"/>
        <w:left w:val="none" w:sz="0" w:space="0" w:color="auto"/>
        <w:bottom w:val="none" w:sz="0" w:space="0" w:color="auto"/>
        <w:right w:val="none" w:sz="0" w:space="0" w:color="auto"/>
      </w:divBdr>
    </w:div>
    <w:div w:id="1703823030">
      <w:bodyDiv w:val="1"/>
      <w:marLeft w:val="0"/>
      <w:marRight w:val="0"/>
      <w:marTop w:val="0"/>
      <w:marBottom w:val="0"/>
      <w:divBdr>
        <w:top w:val="none" w:sz="0" w:space="0" w:color="auto"/>
        <w:left w:val="none" w:sz="0" w:space="0" w:color="auto"/>
        <w:bottom w:val="none" w:sz="0" w:space="0" w:color="auto"/>
        <w:right w:val="none" w:sz="0" w:space="0" w:color="auto"/>
      </w:divBdr>
    </w:div>
    <w:div w:id="1720938856">
      <w:bodyDiv w:val="1"/>
      <w:marLeft w:val="0"/>
      <w:marRight w:val="0"/>
      <w:marTop w:val="0"/>
      <w:marBottom w:val="0"/>
      <w:divBdr>
        <w:top w:val="none" w:sz="0" w:space="0" w:color="auto"/>
        <w:left w:val="none" w:sz="0" w:space="0" w:color="auto"/>
        <w:bottom w:val="none" w:sz="0" w:space="0" w:color="auto"/>
        <w:right w:val="none" w:sz="0" w:space="0" w:color="auto"/>
      </w:divBdr>
    </w:div>
    <w:div w:id="1726176637">
      <w:bodyDiv w:val="1"/>
      <w:marLeft w:val="0"/>
      <w:marRight w:val="0"/>
      <w:marTop w:val="0"/>
      <w:marBottom w:val="0"/>
      <w:divBdr>
        <w:top w:val="none" w:sz="0" w:space="0" w:color="auto"/>
        <w:left w:val="none" w:sz="0" w:space="0" w:color="auto"/>
        <w:bottom w:val="none" w:sz="0" w:space="0" w:color="auto"/>
        <w:right w:val="none" w:sz="0" w:space="0" w:color="auto"/>
      </w:divBdr>
    </w:div>
    <w:div w:id="1742412361">
      <w:bodyDiv w:val="1"/>
      <w:marLeft w:val="0"/>
      <w:marRight w:val="0"/>
      <w:marTop w:val="0"/>
      <w:marBottom w:val="0"/>
      <w:divBdr>
        <w:top w:val="none" w:sz="0" w:space="0" w:color="auto"/>
        <w:left w:val="none" w:sz="0" w:space="0" w:color="auto"/>
        <w:bottom w:val="none" w:sz="0" w:space="0" w:color="auto"/>
        <w:right w:val="none" w:sz="0" w:space="0" w:color="auto"/>
      </w:divBdr>
    </w:div>
    <w:div w:id="1759714145">
      <w:bodyDiv w:val="1"/>
      <w:marLeft w:val="0"/>
      <w:marRight w:val="0"/>
      <w:marTop w:val="0"/>
      <w:marBottom w:val="0"/>
      <w:divBdr>
        <w:top w:val="none" w:sz="0" w:space="0" w:color="auto"/>
        <w:left w:val="none" w:sz="0" w:space="0" w:color="auto"/>
        <w:bottom w:val="none" w:sz="0" w:space="0" w:color="auto"/>
        <w:right w:val="none" w:sz="0" w:space="0" w:color="auto"/>
      </w:divBdr>
    </w:div>
    <w:div w:id="1793983670">
      <w:bodyDiv w:val="1"/>
      <w:marLeft w:val="0"/>
      <w:marRight w:val="0"/>
      <w:marTop w:val="0"/>
      <w:marBottom w:val="0"/>
      <w:divBdr>
        <w:top w:val="none" w:sz="0" w:space="0" w:color="auto"/>
        <w:left w:val="none" w:sz="0" w:space="0" w:color="auto"/>
        <w:bottom w:val="none" w:sz="0" w:space="0" w:color="auto"/>
        <w:right w:val="none" w:sz="0" w:space="0" w:color="auto"/>
      </w:divBdr>
    </w:div>
    <w:div w:id="1843426075">
      <w:bodyDiv w:val="1"/>
      <w:marLeft w:val="0"/>
      <w:marRight w:val="0"/>
      <w:marTop w:val="0"/>
      <w:marBottom w:val="0"/>
      <w:divBdr>
        <w:top w:val="none" w:sz="0" w:space="0" w:color="auto"/>
        <w:left w:val="none" w:sz="0" w:space="0" w:color="auto"/>
        <w:bottom w:val="none" w:sz="0" w:space="0" w:color="auto"/>
        <w:right w:val="none" w:sz="0" w:space="0" w:color="auto"/>
      </w:divBdr>
    </w:div>
    <w:div w:id="1858811884">
      <w:bodyDiv w:val="1"/>
      <w:marLeft w:val="0"/>
      <w:marRight w:val="0"/>
      <w:marTop w:val="0"/>
      <w:marBottom w:val="0"/>
      <w:divBdr>
        <w:top w:val="none" w:sz="0" w:space="0" w:color="auto"/>
        <w:left w:val="none" w:sz="0" w:space="0" w:color="auto"/>
        <w:bottom w:val="none" w:sz="0" w:space="0" w:color="auto"/>
        <w:right w:val="none" w:sz="0" w:space="0" w:color="auto"/>
      </w:divBdr>
    </w:div>
    <w:div w:id="1925187741">
      <w:bodyDiv w:val="1"/>
      <w:marLeft w:val="0"/>
      <w:marRight w:val="0"/>
      <w:marTop w:val="0"/>
      <w:marBottom w:val="0"/>
      <w:divBdr>
        <w:top w:val="none" w:sz="0" w:space="0" w:color="auto"/>
        <w:left w:val="none" w:sz="0" w:space="0" w:color="auto"/>
        <w:bottom w:val="none" w:sz="0" w:space="0" w:color="auto"/>
        <w:right w:val="none" w:sz="0" w:space="0" w:color="auto"/>
      </w:divBdr>
    </w:div>
    <w:div w:id="1930232814">
      <w:bodyDiv w:val="1"/>
      <w:marLeft w:val="0"/>
      <w:marRight w:val="0"/>
      <w:marTop w:val="0"/>
      <w:marBottom w:val="0"/>
      <w:divBdr>
        <w:top w:val="none" w:sz="0" w:space="0" w:color="auto"/>
        <w:left w:val="none" w:sz="0" w:space="0" w:color="auto"/>
        <w:bottom w:val="none" w:sz="0" w:space="0" w:color="auto"/>
        <w:right w:val="none" w:sz="0" w:space="0" w:color="auto"/>
      </w:divBdr>
    </w:div>
    <w:div w:id="1933052061">
      <w:bodyDiv w:val="1"/>
      <w:marLeft w:val="0"/>
      <w:marRight w:val="0"/>
      <w:marTop w:val="0"/>
      <w:marBottom w:val="0"/>
      <w:divBdr>
        <w:top w:val="none" w:sz="0" w:space="0" w:color="auto"/>
        <w:left w:val="none" w:sz="0" w:space="0" w:color="auto"/>
        <w:bottom w:val="none" w:sz="0" w:space="0" w:color="auto"/>
        <w:right w:val="none" w:sz="0" w:space="0" w:color="auto"/>
      </w:divBdr>
    </w:div>
    <w:div w:id="2036223073">
      <w:bodyDiv w:val="1"/>
      <w:marLeft w:val="0"/>
      <w:marRight w:val="0"/>
      <w:marTop w:val="0"/>
      <w:marBottom w:val="0"/>
      <w:divBdr>
        <w:top w:val="none" w:sz="0" w:space="0" w:color="auto"/>
        <w:left w:val="none" w:sz="0" w:space="0" w:color="auto"/>
        <w:bottom w:val="none" w:sz="0" w:space="0" w:color="auto"/>
        <w:right w:val="none" w:sz="0" w:space="0" w:color="auto"/>
      </w:divBdr>
    </w:div>
    <w:div w:id="2049790429">
      <w:bodyDiv w:val="1"/>
      <w:marLeft w:val="0"/>
      <w:marRight w:val="0"/>
      <w:marTop w:val="0"/>
      <w:marBottom w:val="0"/>
      <w:divBdr>
        <w:top w:val="none" w:sz="0" w:space="0" w:color="auto"/>
        <w:left w:val="none" w:sz="0" w:space="0" w:color="auto"/>
        <w:bottom w:val="none" w:sz="0" w:space="0" w:color="auto"/>
        <w:right w:val="none" w:sz="0" w:space="0" w:color="auto"/>
      </w:divBdr>
    </w:div>
    <w:div w:id="2057467326">
      <w:bodyDiv w:val="1"/>
      <w:marLeft w:val="0"/>
      <w:marRight w:val="0"/>
      <w:marTop w:val="0"/>
      <w:marBottom w:val="0"/>
      <w:divBdr>
        <w:top w:val="none" w:sz="0" w:space="0" w:color="auto"/>
        <w:left w:val="none" w:sz="0" w:space="0" w:color="auto"/>
        <w:bottom w:val="none" w:sz="0" w:space="0" w:color="auto"/>
        <w:right w:val="none" w:sz="0" w:space="0" w:color="auto"/>
      </w:divBdr>
    </w:div>
    <w:div w:id="2116704991">
      <w:bodyDiv w:val="1"/>
      <w:marLeft w:val="0"/>
      <w:marRight w:val="0"/>
      <w:marTop w:val="0"/>
      <w:marBottom w:val="0"/>
      <w:divBdr>
        <w:top w:val="none" w:sz="0" w:space="0" w:color="auto"/>
        <w:left w:val="none" w:sz="0" w:space="0" w:color="auto"/>
        <w:bottom w:val="none" w:sz="0" w:space="0" w:color="auto"/>
        <w:right w:val="none" w:sz="0" w:space="0" w:color="auto"/>
      </w:divBdr>
    </w:div>
    <w:div w:id="2127655526">
      <w:bodyDiv w:val="1"/>
      <w:marLeft w:val="0"/>
      <w:marRight w:val="0"/>
      <w:marTop w:val="0"/>
      <w:marBottom w:val="0"/>
      <w:divBdr>
        <w:top w:val="none" w:sz="0" w:space="0" w:color="auto"/>
        <w:left w:val="none" w:sz="0" w:space="0" w:color="auto"/>
        <w:bottom w:val="none" w:sz="0" w:space="0" w:color="auto"/>
        <w:right w:val="none" w:sz="0" w:space="0" w:color="auto"/>
      </w:divBdr>
    </w:div>
    <w:div w:id="213675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CAD37-AFB9-41B3-B78C-77F54FFF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8020</Words>
  <Characters>45720</Characters>
  <Application>Microsoft Office Word</Application>
  <DocSecurity>0</DocSecurity>
  <Lines>381</Lines>
  <Paragraphs>107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ecocardio-mi</dc:creator>
  <cp:lastModifiedBy>LS Ma</cp:lastModifiedBy>
  <cp:revision>2</cp:revision>
  <dcterms:created xsi:type="dcterms:W3CDTF">2014-06-25T16:41:00Z</dcterms:created>
  <dcterms:modified xsi:type="dcterms:W3CDTF">2014-06-25T16:41:00Z</dcterms:modified>
</cp:coreProperties>
</file>