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EF2F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Name of Journal: </w:t>
      </w:r>
      <w:r w:rsidRPr="00AB1BE0">
        <w:rPr>
          <w:rFonts w:ascii="Book Antiqua" w:hAnsi="Book Antiqua" w:cs="Book Antiqua"/>
          <w:i/>
          <w:color w:val="000000"/>
        </w:rPr>
        <w:t>World Journal of Gastrointestinal Surgery</w:t>
      </w:r>
    </w:p>
    <w:p w14:paraId="23BBEDB6"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Manuscript NO: </w:t>
      </w:r>
      <w:r w:rsidRPr="00AB1BE0">
        <w:rPr>
          <w:rFonts w:ascii="Book Antiqua" w:hAnsi="Book Antiqua" w:cs="Book Antiqua"/>
          <w:color w:val="000000"/>
        </w:rPr>
        <w:t>66174</w:t>
      </w:r>
    </w:p>
    <w:p w14:paraId="7B9B1BE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Manuscript Type: </w:t>
      </w:r>
      <w:r w:rsidRPr="00AB1BE0">
        <w:rPr>
          <w:rFonts w:ascii="Book Antiqua" w:hAnsi="Book Antiqua" w:cs="Book Antiqua"/>
          <w:color w:val="000000"/>
        </w:rPr>
        <w:t>ORIGINAL ARTICLE</w:t>
      </w:r>
    </w:p>
    <w:p w14:paraId="088992DC" w14:textId="77777777" w:rsidR="003E62DD" w:rsidRPr="00AB1BE0" w:rsidRDefault="003E62DD" w:rsidP="000A34AB">
      <w:pPr>
        <w:adjustRightInd w:val="0"/>
        <w:snapToGrid w:val="0"/>
        <w:spacing w:line="360" w:lineRule="auto"/>
        <w:jc w:val="both"/>
        <w:rPr>
          <w:rFonts w:ascii="Book Antiqua" w:hAnsi="Book Antiqua"/>
        </w:rPr>
      </w:pPr>
    </w:p>
    <w:p w14:paraId="20D3A8D0"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Retrospective Cohort Study</w:t>
      </w:r>
    </w:p>
    <w:p w14:paraId="72FFF17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Suture ligation for submucosal hemostasis during hand-sewn side-to-side </w:t>
      </w:r>
      <w:proofErr w:type="spellStart"/>
      <w:r w:rsidRPr="00AB1BE0">
        <w:rPr>
          <w:rFonts w:ascii="Book Antiqua" w:hAnsi="Book Antiqua" w:cs="Book Antiqua"/>
          <w:b/>
          <w:color w:val="000000"/>
        </w:rPr>
        <w:t>duodeno</w:t>
      </w:r>
      <w:proofErr w:type="spellEnd"/>
      <w:r w:rsidRPr="00AB1BE0">
        <w:rPr>
          <w:rFonts w:ascii="Book Antiqua" w:hAnsi="Book Antiqua" w:cs="Book Antiqua"/>
          <w:b/>
          <w:color w:val="000000"/>
        </w:rPr>
        <w:t>-ileostomy in simultaneous pancreas and kidney transplantation</w:t>
      </w:r>
    </w:p>
    <w:p w14:paraId="5FDECA54" w14:textId="77777777" w:rsidR="003E62DD" w:rsidRPr="00AB1BE0" w:rsidRDefault="003E62DD" w:rsidP="000A34AB">
      <w:pPr>
        <w:adjustRightInd w:val="0"/>
        <w:snapToGrid w:val="0"/>
        <w:spacing w:line="360" w:lineRule="auto"/>
        <w:jc w:val="both"/>
        <w:rPr>
          <w:rFonts w:ascii="Book Antiqua" w:hAnsi="Book Antiqua"/>
        </w:rPr>
      </w:pPr>
    </w:p>
    <w:p w14:paraId="0104D49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Wang H </w:t>
      </w:r>
      <w:r w:rsidRPr="00AB1BE0">
        <w:rPr>
          <w:rFonts w:ascii="Book Antiqua" w:hAnsi="Book Antiqua" w:cs="Book Antiqua"/>
          <w:i/>
          <w:iCs/>
          <w:color w:val="000000"/>
        </w:rPr>
        <w:t>et al</w:t>
      </w:r>
      <w:r w:rsidRPr="00AB1BE0">
        <w:rPr>
          <w:rFonts w:ascii="Book Antiqua" w:hAnsi="Book Antiqua" w:cs="Book Antiqua"/>
          <w:color w:val="000000"/>
        </w:rPr>
        <w:t>. Suture ligation for submucosal hemostasis in SPKT</w:t>
      </w:r>
    </w:p>
    <w:p w14:paraId="315CFADA" w14:textId="77777777" w:rsidR="003E62DD" w:rsidRPr="00AB1BE0" w:rsidRDefault="003E62DD" w:rsidP="000A34AB">
      <w:pPr>
        <w:adjustRightInd w:val="0"/>
        <w:snapToGrid w:val="0"/>
        <w:spacing w:line="360" w:lineRule="auto"/>
        <w:jc w:val="both"/>
        <w:rPr>
          <w:rFonts w:ascii="Book Antiqua" w:hAnsi="Book Antiqua"/>
        </w:rPr>
      </w:pPr>
    </w:p>
    <w:p w14:paraId="57104E0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Hui Wang, Ying-Xin Fu, Wen-Li Song, Chun-Bai Mo, Gang Feng, </w:t>
      </w:r>
      <w:proofErr w:type="spellStart"/>
      <w:r w:rsidRPr="00AB1BE0">
        <w:rPr>
          <w:rFonts w:ascii="Book Antiqua" w:hAnsi="Book Antiqua" w:cs="Book Antiqua"/>
          <w:color w:val="000000"/>
        </w:rPr>
        <w:t>Jie</w:t>
      </w:r>
      <w:proofErr w:type="spellEnd"/>
      <w:r w:rsidRPr="00AB1BE0">
        <w:rPr>
          <w:rFonts w:ascii="Book Antiqua" w:hAnsi="Book Antiqua" w:cs="Book Antiqua"/>
          <w:color w:val="000000"/>
        </w:rPr>
        <w:t xml:space="preserve"> Zhao, </w:t>
      </w:r>
      <w:proofErr w:type="spellStart"/>
      <w:r w:rsidRPr="00AB1BE0">
        <w:rPr>
          <w:rFonts w:ascii="Book Antiqua" w:hAnsi="Book Antiqua" w:cs="Book Antiqua"/>
          <w:color w:val="000000"/>
        </w:rPr>
        <w:t>Guang</w:t>
      </w:r>
      <w:proofErr w:type="spellEnd"/>
      <w:r w:rsidRPr="00AB1BE0">
        <w:rPr>
          <w:rFonts w:ascii="Book Antiqua" w:hAnsi="Book Antiqua" w:cs="Book Antiqua"/>
          <w:color w:val="000000"/>
        </w:rPr>
        <w:t xml:space="preserve">-Hui Pei, Xiao-Feng Shi, Zhen Wang, Yu Cao, Ye-Qi </w:t>
      </w:r>
      <w:proofErr w:type="spellStart"/>
      <w:r w:rsidRPr="00AB1BE0">
        <w:rPr>
          <w:rFonts w:ascii="Book Antiqua" w:hAnsi="Book Antiqua" w:cs="Book Antiqua"/>
          <w:color w:val="000000"/>
        </w:rPr>
        <w:t>Nian</w:t>
      </w:r>
      <w:proofErr w:type="spellEnd"/>
      <w:r w:rsidRPr="00AB1BE0">
        <w:rPr>
          <w:rFonts w:ascii="Book Antiqua" w:hAnsi="Book Antiqua" w:cs="Book Antiqua"/>
          <w:color w:val="000000"/>
        </w:rPr>
        <w:t>, Zhong-Yang Shen</w:t>
      </w:r>
    </w:p>
    <w:p w14:paraId="278EE0F7" w14:textId="77777777" w:rsidR="003E62DD" w:rsidRPr="00AB1BE0" w:rsidRDefault="003E62DD" w:rsidP="000A34AB">
      <w:pPr>
        <w:adjustRightInd w:val="0"/>
        <w:snapToGrid w:val="0"/>
        <w:spacing w:line="360" w:lineRule="auto"/>
        <w:jc w:val="both"/>
        <w:rPr>
          <w:rFonts w:ascii="Book Antiqua" w:hAnsi="Book Antiqua"/>
        </w:rPr>
      </w:pPr>
    </w:p>
    <w:p w14:paraId="2F59212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Hui Wang, Ying-Xin Fu, Wen-Li Song, Chun-Bai Mo, Gang Feng, </w:t>
      </w:r>
      <w:proofErr w:type="spellStart"/>
      <w:r w:rsidRPr="00AB1BE0">
        <w:rPr>
          <w:rFonts w:ascii="Book Antiqua" w:hAnsi="Book Antiqua" w:cs="Book Antiqua"/>
          <w:b/>
          <w:bCs/>
          <w:color w:val="000000"/>
        </w:rPr>
        <w:t>Jie</w:t>
      </w:r>
      <w:proofErr w:type="spellEnd"/>
      <w:r w:rsidRPr="00AB1BE0">
        <w:rPr>
          <w:rFonts w:ascii="Book Antiqua" w:hAnsi="Book Antiqua" w:cs="Book Antiqua"/>
          <w:b/>
          <w:bCs/>
          <w:color w:val="000000"/>
        </w:rPr>
        <w:t xml:space="preserve"> Zhao, </w:t>
      </w:r>
      <w:proofErr w:type="spellStart"/>
      <w:r w:rsidRPr="00AB1BE0">
        <w:rPr>
          <w:rFonts w:ascii="Book Antiqua" w:hAnsi="Book Antiqua" w:cs="Book Antiqua"/>
          <w:b/>
          <w:bCs/>
          <w:color w:val="000000"/>
        </w:rPr>
        <w:t>Guang</w:t>
      </w:r>
      <w:proofErr w:type="spellEnd"/>
      <w:r w:rsidRPr="00AB1BE0">
        <w:rPr>
          <w:rFonts w:ascii="Book Antiqua" w:hAnsi="Book Antiqua" w:cs="Book Antiqua"/>
          <w:b/>
          <w:bCs/>
          <w:color w:val="000000"/>
        </w:rPr>
        <w:t xml:space="preserve">-Hui Pei, Xiao-Feng Shi, Zhen Wang, Yu Cao, Ye-Qi </w:t>
      </w:r>
      <w:proofErr w:type="spellStart"/>
      <w:r w:rsidRPr="00AB1BE0">
        <w:rPr>
          <w:rFonts w:ascii="Book Antiqua" w:hAnsi="Book Antiqua" w:cs="Book Antiqua"/>
          <w:b/>
          <w:bCs/>
          <w:color w:val="000000"/>
        </w:rPr>
        <w:t>Nian</w:t>
      </w:r>
      <w:proofErr w:type="spellEnd"/>
      <w:r w:rsidRPr="00AB1BE0">
        <w:rPr>
          <w:rFonts w:ascii="Book Antiqua" w:hAnsi="Book Antiqua" w:cs="Book Antiqua"/>
          <w:b/>
          <w:bCs/>
          <w:color w:val="000000"/>
        </w:rPr>
        <w:t xml:space="preserve">, Zhong-Yang Shen, </w:t>
      </w:r>
      <w:r w:rsidRPr="00AB1BE0">
        <w:rPr>
          <w:rFonts w:ascii="Book Antiqua" w:hAnsi="Book Antiqua" w:cs="Book Antiqua"/>
          <w:color w:val="000000"/>
        </w:rPr>
        <w:t xml:space="preserve">Department of Kidney and Pancreas Transplant, Tianjin First Central Hospital, </w:t>
      </w:r>
      <w:bookmarkStart w:id="0" w:name="OLE_LINK1"/>
      <w:r w:rsidRPr="00AB1BE0">
        <w:rPr>
          <w:rFonts w:ascii="Book Antiqua" w:hAnsi="Book Antiqua" w:cs="Book Antiqua"/>
          <w:color w:val="000000"/>
        </w:rPr>
        <w:t xml:space="preserve">School of Medicine, Nankai University, </w:t>
      </w:r>
      <w:bookmarkEnd w:id="0"/>
      <w:r w:rsidRPr="00AB1BE0">
        <w:rPr>
          <w:rFonts w:ascii="Book Antiqua" w:hAnsi="Book Antiqua" w:cs="Book Antiqua"/>
          <w:color w:val="000000"/>
        </w:rPr>
        <w:t>Tianjin 300192, China</w:t>
      </w:r>
    </w:p>
    <w:p w14:paraId="3060C29B" w14:textId="77777777" w:rsidR="003E62DD" w:rsidRPr="00AB1BE0" w:rsidRDefault="003E62DD" w:rsidP="000A34AB">
      <w:pPr>
        <w:adjustRightInd w:val="0"/>
        <w:snapToGrid w:val="0"/>
        <w:spacing w:line="360" w:lineRule="auto"/>
        <w:jc w:val="both"/>
        <w:rPr>
          <w:rFonts w:ascii="Book Antiqua" w:hAnsi="Book Antiqua"/>
        </w:rPr>
      </w:pPr>
    </w:p>
    <w:p w14:paraId="0B16781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Author contributions: </w:t>
      </w:r>
      <w:r w:rsidRPr="00AB1BE0">
        <w:rPr>
          <w:rFonts w:ascii="Book Antiqua" w:hAnsi="Book Antiqua" w:cs="Book Antiqua"/>
          <w:color w:val="000000"/>
        </w:rPr>
        <w:t xml:space="preserve">Wang H contributed to acquisition of data and wrote the manuscript; Fu YX and Shen ZY provided substantial contribution to the conception and design of the study and corrected the manuscript; Song WL, Mo CB, Feng G, Zhao J, Pei GH, Shi XF and Wang Z performed operations and provided study materials of the patients; Cao Y and </w:t>
      </w:r>
      <w:proofErr w:type="spellStart"/>
      <w:r w:rsidRPr="00AB1BE0">
        <w:rPr>
          <w:rFonts w:ascii="Book Antiqua" w:hAnsi="Book Antiqua" w:cs="Book Antiqua"/>
          <w:color w:val="000000"/>
        </w:rPr>
        <w:t>Nian</w:t>
      </w:r>
      <w:proofErr w:type="spellEnd"/>
      <w:r w:rsidRPr="00AB1BE0">
        <w:rPr>
          <w:rFonts w:ascii="Book Antiqua" w:hAnsi="Book Antiqua" w:cs="Book Antiqua"/>
          <w:color w:val="000000"/>
        </w:rPr>
        <w:t xml:space="preserve"> YQ contributed to acquisition of data, analysis, and interpretation of data.</w:t>
      </w:r>
    </w:p>
    <w:p w14:paraId="780AFF7F" w14:textId="77777777" w:rsidR="003E62DD" w:rsidRPr="00AB1BE0" w:rsidRDefault="003E62DD" w:rsidP="000A34AB">
      <w:pPr>
        <w:adjustRightInd w:val="0"/>
        <w:snapToGrid w:val="0"/>
        <w:spacing w:line="360" w:lineRule="auto"/>
        <w:jc w:val="both"/>
        <w:rPr>
          <w:rFonts w:ascii="Book Antiqua" w:hAnsi="Book Antiqua"/>
        </w:rPr>
      </w:pPr>
    </w:p>
    <w:p w14:paraId="58F89AD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Supported by </w:t>
      </w:r>
      <w:r w:rsidRPr="00AB1BE0">
        <w:rPr>
          <w:rFonts w:ascii="Book Antiqua" w:hAnsi="Book Antiqua" w:cs="Book Antiqua"/>
          <w:color w:val="000000"/>
        </w:rPr>
        <w:t>National Natural Science Foundation of China, No. 81970654.</w:t>
      </w:r>
    </w:p>
    <w:p w14:paraId="545996CE" w14:textId="77777777" w:rsidR="003E62DD" w:rsidRPr="00AB1BE0" w:rsidRDefault="003E62DD" w:rsidP="000A34AB">
      <w:pPr>
        <w:adjustRightInd w:val="0"/>
        <w:snapToGrid w:val="0"/>
        <w:spacing w:line="360" w:lineRule="auto"/>
        <w:jc w:val="both"/>
        <w:rPr>
          <w:rFonts w:ascii="Book Antiqua" w:hAnsi="Book Antiqua"/>
        </w:rPr>
      </w:pPr>
    </w:p>
    <w:p w14:paraId="0BFB2F1C" w14:textId="0DCB4CEB"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Corresponding author: Ying-Xin Fu, MD, Chief Doctor, </w:t>
      </w:r>
      <w:r w:rsidR="00832F20" w:rsidRPr="00832F20">
        <w:rPr>
          <w:rFonts w:ascii="Book Antiqua" w:hAnsi="Book Antiqua" w:cs="Book Antiqua"/>
          <w:color w:val="000000"/>
        </w:rPr>
        <w:t xml:space="preserve">Department of Kidney and Pancreas Transplant, Tianjin First Central Hospital, School of Medicine, Nankai </w:t>
      </w:r>
      <w:r w:rsidR="00832F20" w:rsidRPr="00832F20">
        <w:rPr>
          <w:rFonts w:ascii="Book Antiqua" w:hAnsi="Book Antiqua" w:cs="Book Antiqua"/>
          <w:color w:val="000000"/>
        </w:rPr>
        <w:lastRenderedPageBreak/>
        <w:t>University</w:t>
      </w:r>
      <w:r w:rsidRPr="00AB1BE0">
        <w:rPr>
          <w:rFonts w:ascii="Book Antiqua" w:hAnsi="Book Antiqua" w:cs="Book Antiqua"/>
          <w:color w:val="000000"/>
        </w:rPr>
        <w:t xml:space="preserve">, No. 24 </w:t>
      </w:r>
      <w:proofErr w:type="spellStart"/>
      <w:r w:rsidRPr="00AB1BE0">
        <w:rPr>
          <w:rFonts w:ascii="Book Antiqua" w:hAnsi="Book Antiqua" w:cs="Book Antiqua"/>
          <w:color w:val="000000"/>
        </w:rPr>
        <w:t>Fukang</w:t>
      </w:r>
      <w:proofErr w:type="spellEnd"/>
      <w:r w:rsidRPr="00AB1BE0">
        <w:rPr>
          <w:rFonts w:ascii="Book Antiqua" w:hAnsi="Book Antiqua" w:cs="Book Antiqua"/>
          <w:color w:val="000000"/>
        </w:rPr>
        <w:t xml:space="preserve"> Road, Nankai District, Tianjin 300192, China. yingxinfu@nankai.edu.cn</w:t>
      </w:r>
    </w:p>
    <w:p w14:paraId="3E4B0995" w14:textId="77777777" w:rsidR="003E62DD" w:rsidRPr="00AB1BE0" w:rsidRDefault="003E62DD" w:rsidP="000A34AB">
      <w:pPr>
        <w:adjustRightInd w:val="0"/>
        <w:snapToGrid w:val="0"/>
        <w:spacing w:line="360" w:lineRule="auto"/>
        <w:jc w:val="both"/>
        <w:rPr>
          <w:rFonts w:ascii="Book Antiqua" w:hAnsi="Book Antiqua"/>
        </w:rPr>
      </w:pPr>
    </w:p>
    <w:p w14:paraId="5FBB6CB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Received: </w:t>
      </w:r>
      <w:r w:rsidRPr="00AB1BE0">
        <w:rPr>
          <w:rFonts w:ascii="Book Antiqua" w:hAnsi="Book Antiqua" w:cs="Book Antiqua"/>
          <w:color w:val="000000"/>
        </w:rPr>
        <w:t>March 22, 2021</w:t>
      </w:r>
    </w:p>
    <w:p w14:paraId="3447D080" w14:textId="5310F190" w:rsidR="003E62DD" w:rsidRPr="00832F2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Revised:</w:t>
      </w:r>
      <w:r w:rsidRPr="00832F20">
        <w:rPr>
          <w:rFonts w:ascii="Book Antiqua" w:hAnsi="Book Antiqua" w:cs="Book Antiqua"/>
          <w:color w:val="000000"/>
        </w:rPr>
        <w:t xml:space="preserve"> </w:t>
      </w:r>
      <w:r w:rsidR="00832F20" w:rsidRPr="00832F20">
        <w:rPr>
          <w:rFonts w:ascii="Book Antiqua" w:hAnsi="Book Antiqua" w:cs="Book Antiqua"/>
          <w:color w:val="000000"/>
        </w:rPr>
        <w:t>May 17, 2021</w:t>
      </w:r>
    </w:p>
    <w:p w14:paraId="421694AB" w14:textId="50DF34FB"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Accepted: </w:t>
      </w:r>
      <w:bookmarkStart w:id="1" w:name="OLE_LINK15"/>
      <w:bookmarkStart w:id="2" w:name="OLE_LINK33"/>
      <w:bookmarkStart w:id="3" w:name="OLE_LINK48"/>
      <w:r w:rsidR="00BF3910" w:rsidRPr="00BF3910">
        <w:rPr>
          <w:rFonts w:ascii="Book Antiqua" w:hAnsi="Book Antiqua" w:hint="eastAsia"/>
          <w:color w:val="000000"/>
        </w:rPr>
        <w:t>Au</w:t>
      </w:r>
      <w:r w:rsidR="00BF3910" w:rsidRPr="00BF3910">
        <w:rPr>
          <w:rFonts w:ascii="Book Antiqua" w:hAnsi="Book Antiqua"/>
          <w:color w:val="000000"/>
        </w:rPr>
        <w:t>gust 10, 2021</w:t>
      </w:r>
      <w:bookmarkEnd w:id="1"/>
      <w:bookmarkEnd w:id="2"/>
      <w:bookmarkEnd w:id="3"/>
    </w:p>
    <w:p w14:paraId="7752399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Published online: </w:t>
      </w:r>
    </w:p>
    <w:p w14:paraId="28791F8B" w14:textId="77777777" w:rsidR="003E62DD" w:rsidRPr="00AB1BE0" w:rsidRDefault="003E62DD" w:rsidP="000A34AB">
      <w:pPr>
        <w:adjustRightInd w:val="0"/>
        <w:snapToGrid w:val="0"/>
        <w:spacing w:line="360" w:lineRule="auto"/>
        <w:jc w:val="both"/>
        <w:rPr>
          <w:rFonts w:ascii="Book Antiqua" w:hAnsi="Book Antiqua"/>
        </w:rPr>
        <w:sectPr w:rsidR="003E62DD" w:rsidRPr="00AB1BE0">
          <w:footerReference w:type="default" r:id="rId6"/>
          <w:pgSz w:w="12240" w:h="15840"/>
          <w:pgMar w:top="1440" w:right="1440" w:bottom="1440" w:left="1440" w:header="720" w:footer="720" w:gutter="0"/>
          <w:cols w:space="720"/>
          <w:docGrid w:linePitch="360"/>
        </w:sectPr>
      </w:pPr>
    </w:p>
    <w:p w14:paraId="49BBD35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lastRenderedPageBreak/>
        <w:t>Abstract</w:t>
      </w:r>
    </w:p>
    <w:p w14:paraId="45A875A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BACKGROUND</w:t>
      </w:r>
    </w:p>
    <w:p w14:paraId="6AB6132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Enteric anastomotic (EA) bleeding is a potentially life-threatening surgical complication associated with enteric anastomosis during simultaneous pancreas and kidney transplantation (SPKT).</w:t>
      </w:r>
    </w:p>
    <w:p w14:paraId="6608D12C" w14:textId="77777777" w:rsidR="003E62DD" w:rsidRPr="00AB1BE0" w:rsidRDefault="003E62DD" w:rsidP="000A34AB">
      <w:pPr>
        <w:adjustRightInd w:val="0"/>
        <w:snapToGrid w:val="0"/>
        <w:spacing w:line="360" w:lineRule="auto"/>
        <w:jc w:val="both"/>
        <w:rPr>
          <w:rFonts w:ascii="Book Antiqua" w:hAnsi="Book Antiqua"/>
        </w:rPr>
      </w:pPr>
    </w:p>
    <w:p w14:paraId="7B4D6C4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AIM</w:t>
      </w:r>
    </w:p>
    <w:p w14:paraId="6440FF0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To investigate whether suture ligation (SL) for submucosal hemostasis during hand-sewn enteric anastomosis could decrease the morbidity of early EA bleeding in SPKT.</w:t>
      </w:r>
    </w:p>
    <w:p w14:paraId="2C853C03" w14:textId="77777777" w:rsidR="003E62DD" w:rsidRPr="00AB1BE0" w:rsidRDefault="003E62DD" w:rsidP="000A34AB">
      <w:pPr>
        <w:adjustRightInd w:val="0"/>
        <w:snapToGrid w:val="0"/>
        <w:spacing w:line="360" w:lineRule="auto"/>
        <w:jc w:val="both"/>
        <w:rPr>
          <w:rFonts w:ascii="Book Antiqua" w:hAnsi="Book Antiqua"/>
        </w:rPr>
      </w:pPr>
    </w:p>
    <w:p w14:paraId="0E5C11F7"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METHODS</w:t>
      </w:r>
    </w:p>
    <w:p w14:paraId="7D29E02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We compared the outcomes of 134 patients classified into SL (</w:t>
      </w:r>
      <w:r w:rsidRPr="00AB1BE0">
        <w:rPr>
          <w:rFonts w:ascii="Book Antiqua" w:hAnsi="Book Antiqua" w:cs="Book Antiqua"/>
          <w:i/>
          <w:iCs/>
          <w:color w:val="000000"/>
        </w:rPr>
        <w:t>n</w:t>
      </w:r>
      <w:r w:rsidRPr="00AB1BE0">
        <w:rPr>
          <w:rFonts w:ascii="Book Antiqua" w:hAnsi="Book Antiqua" w:cs="Book Antiqua"/>
          <w:color w:val="000000"/>
        </w:rPr>
        <w:t xml:space="preserve"> = 44) and no SL (NSL) groups (</w:t>
      </w:r>
      <w:r w:rsidRPr="00AB1BE0">
        <w:rPr>
          <w:rFonts w:ascii="Book Antiqua" w:hAnsi="Book Antiqua" w:cs="Book Antiqua"/>
          <w:i/>
          <w:iCs/>
          <w:color w:val="000000"/>
        </w:rPr>
        <w:t>n</w:t>
      </w:r>
      <w:r w:rsidRPr="00AB1BE0">
        <w:rPr>
          <w:rFonts w:ascii="Book Antiqua" w:hAnsi="Book Antiqua" w:cs="Book Antiqua"/>
          <w:color w:val="000000"/>
        </w:rPr>
        <w:t xml:space="preserve"> = 90). This study adheres to the declarations of Istanbul and Helsinki and all donors were neither paid nor coerced.</w:t>
      </w:r>
    </w:p>
    <w:p w14:paraId="4A895DE9" w14:textId="77777777" w:rsidR="003E62DD" w:rsidRPr="00AB1BE0" w:rsidRDefault="003E62DD" w:rsidP="000A34AB">
      <w:pPr>
        <w:adjustRightInd w:val="0"/>
        <w:snapToGrid w:val="0"/>
        <w:spacing w:line="360" w:lineRule="auto"/>
        <w:jc w:val="both"/>
        <w:rPr>
          <w:rFonts w:ascii="Book Antiqua" w:hAnsi="Book Antiqua"/>
        </w:rPr>
      </w:pPr>
    </w:p>
    <w:p w14:paraId="12E4856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RESULTS</w:t>
      </w:r>
    </w:p>
    <w:p w14:paraId="63DE2DA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During the first postoperative week, the EA bleeding rate in the SL group was lower than that in the NSL group (2.27% </w:t>
      </w:r>
      <w:r w:rsidRPr="00AB1BE0">
        <w:rPr>
          <w:rFonts w:ascii="Book Antiqua" w:hAnsi="Book Antiqua" w:cs="Book Antiqua"/>
          <w:i/>
          <w:iCs/>
          <w:color w:val="000000"/>
        </w:rPr>
        <w:t>vs</w:t>
      </w:r>
      <w:r w:rsidRPr="00AB1BE0">
        <w:rPr>
          <w:rFonts w:ascii="Book Antiqua" w:hAnsi="Book Antiqua" w:cs="Book Antiqua"/>
          <w:color w:val="000000"/>
        </w:rPr>
        <w:t xml:space="preserve"> 15.56%; </w:t>
      </w:r>
      <w:r w:rsidRPr="00AB1BE0">
        <w:rPr>
          <w:rFonts w:ascii="Book Antiqua" w:hAnsi="Book Antiqua" w:cs="Book Antiqua"/>
          <w:i/>
          <w:iCs/>
          <w:color w:val="000000"/>
        </w:rPr>
        <w:t xml:space="preserve">P </w:t>
      </w:r>
      <w:r w:rsidRPr="00AB1BE0">
        <w:rPr>
          <w:rFonts w:ascii="Book Antiqua" w:hAnsi="Book Antiqua" w:cs="Book Antiqua"/>
          <w:color w:val="000000"/>
        </w:rPr>
        <w:t>=</w:t>
      </w:r>
      <w:r w:rsidRPr="00AB1BE0">
        <w:rPr>
          <w:rFonts w:ascii="Book Antiqua" w:hAnsi="Book Antiqua" w:cs="Book Antiqua"/>
          <w:i/>
          <w:iCs/>
          <w:color w:val="000000"/>
        </w:rPr>
        <w:t xml:space="preserve"> </w:t>
      </w:r>
      <w:r w:rsidRPr="00AB1BE0">
        <w:rPr>
          <w:rFonts w:ascii="Book Antiqua" w:hAnsi="Book Antiqua" w:cs="Book Antiqua"/>
          <w:color w:val="000000"/>
        </w:rPr>
        <w:t>0.021); no relationship was found between EA bleeding and donor age, mean pancreatic cold ischemia time, platelet count, prothrombin time international normalized rate, activated partial thromboplastin time, and thrombin time. Anastomotic leakage was observed in one case in the SL group at postoperative day (POD) 14 and in one case at POD 16 in the NSL group (</w:t>
      </w:r>
      <w:r w:rsidRPr="00AB1BE0">
        <w:rPr>
          <w:rFonts w:ascii="Book Antiqua" w:hAnsi="Book Antiqua" w:cs="Book Antiqua"/>
          <w:i/>
          <w:iCs/>
          <w:color w:val="000000"/>
        </w:rPr>
        <w:t xml:space="preserve">P </w:t>
      </w:r>
      <w:r w:rsidRPr="00AB1BE0">
        <w:rPr>
          <w:rFonts w:ascii="Book Antiqua" w:hAnsi="Book Antiqua" w:cs="Book Antiqua"/>
          <w:iCs/>
          <w:color w:val="000000"/>
        </w:rPr>
        <w:t>=</w:t>
      </w:r>
      <w:r w:rsidRPr="00AB1BE0">
        <w:rPr>
          <w:rFonts w:ascii="Book Antiqua" w:hAnsi="Book Antiqua" w:cs="Book Antiqua"/>
          <w:i/>
          <w:iCs/>
          <w:color w:val="000000"/>
        </w:rPr>
        <w:t xml:space="preserve"> </w:t>
      </w:r>
      <w:r w:rsidRPr="00AB1BE0">
        <w:rPr>
          <w:rFonts w:ascii="Book Antiqua" w:hAnsi="Book Antiqua" w:cs="Book Antiqua"/>
          <w:color w:val="000000"/>
        </w:rPr>
        <w:t>0.754). No significant difference was found between the two groups in the patient survival, pancreas graft survival, or kidney graft survival.</w:t>
      </w:r>
    </w:p>
    <w:p w14:paraId="5D8B830A" w14:textId="77777777" w:rsidR="003E62DD" w:rsidRPr="00AB1BE0" w:rsidRDefault="003E62DD" w:rsidP="000A34AB">
      <w:pPr>
        <w:adjustRightInd w:val="0"/>
        <w:snapToGrid w:val="0"/>
        <w:spacing w:line="360" w:lineRule="auto"/>
        <w:jc w:val="both"/>
        <w:rPr>
          <w:rFonts w:ascii="Book Antiqua" w:hAnsi="Book Antiqua"/>
        </w:rPr>
      </w:pPr>
    </w:p>
    <w:p w14:paraId="4C2F091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CONCLUSION</w:t>
      </w:r>
    </w:p>
    <w:p w14:paraId="437DD91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SL for submucosal hemostasis during hand-sewn enteric anastomosis in SPKT can decrease the morbidity of early EA bleeding without increasing the anastomotic leakage rate.</w:t>
      </w:r>
    </w:p>
    <w:p w14:paraId="4DFDC6E8" w14:textId="77777777" w:rsidR="003E62DD" w:rsidRPr="00AB1BE0" w:rsidRDefault="003E62DD" w:rsidP="000A34AB">
      <w:pPr>
        <w:adjustRightInd w:val="0"/>
        <w:snapToGrid w:val="0"/>
        <w:spacing w:line="360" w:lineRule="auto"/>
        <w:jc w:val="both"/>
        <w:rPr>
          <w:rFonts w:ascii="Book Antiqua" w:hAnsi="Book Antiqua"/>
        </w:rPr>
      </w:pPr>
    </w:p>
    <w:p w14:paraId="1BC488A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Key Words: </w:t>
      </w:r>
      <w:r w:rsidRPr="00AB1BE0">
        <w:rPr>
          <w:rFonts w:ascii="Book Antiqua" w:hAnsi="Book Antiqua" w:cs="Book Antiqua"/>
          <w:color w:val="000000"/>
        </w:rPr>
        <w:t>Anastomosis; Gastrointestinal bleeding; Hemostasis; Ligation; Pancreas; Transplantation</w:t>
      </w:r>
    </w:p>
    <w:p w14:paraId="5DBC18E2" w14:textId="77777777" w:rsidR="003E62DD" w:rsidRPr="00AB1BE0" w:rsidRDefault="003E62DD" w:rsidP="000A34AB">
      <w:pPr>
        <w:adjustRightInd w:val="0"/>
        <w:snapToGrid w:val="0"/>
        <w:spacing w:line="360" w:lineRule="auto"/>
        <w:jc w:val="both"/>
        <w:rPr>
          <w:rFonts w:ascii="Book Antiqua" w:hAnsi="Book Antiqua"/>
        </w:rPr>
      </w:pPr>
    </w:p>
    <w:p w14:paraId="4852C6E1" w14:textId="37B9836E" w:rsidR="003E62DD" w:rsidRDefault="00832F20" w:rsidP="000A34AB">
      <w:pPr>
        <w:adjustRightInd w:val="0"/>
        <w:snapToGrid w:val="0"/>
        <w:spacing w:line="360" w:lineRule="auto"/>
        <w:jc w:val="both"/>
        <w:rPr>
          <w:rFonts w:ascii="Book Antiqua" w:hAnsi="Book Antiqua" w:cs="Book Antiqua"/>
          <w:color w:val="000000"/>
        </w:rPr>
      </w:pPr>
      <w:r w:rsidRPr="00832F20">
        <w:rPr>
          <w:rFonts w:ascii="Book Antiqua" w:hAnsi="Book Antiqua" w:cs="Book Antiqua"/>
          <w:color w:val="000000"/>
        </w:rPr>
        <w:t xml:space="preserve">Wang H, Fu YX, Song WL, Mo CB, Feng G, Zhao J, Pei GH, Shi XF, Wang Z, Cao Y, </w:t>
      </w:r>
      <w:proofErr w:type="spellStart"/>
      <w:r w:rsidRPr="00832F20">
        <w:rPr>
          <w:rFonts w:ascii="Book Antiqua" w:hAnsi="Book Antiqua" w:cs="Book Antiqua"/>
          <w:color w:val="000000"/>
        </w:rPr>
        <w:t>Nian</w:t>
      </w:r>
      <w:proofErr w:type="spellEnd"/>
      <w:r w:rsidRPr="00832F20">
        <w:rPr>
          <w:rFonts w:ascii="Book Antiqua" w:hAnsi="Book Antiqua" w:cs="Book Antiqua"/>
          <w:color w:val="000000"/>
        </w:rPr>
        <w:t xml:space="preserve"> YQ, Shen ZY. Suture ligation for submucosal hemostasis during hand-sewn side-to-side </w:t>
      </w:r>
      <w:proofErr w:type="spellStart"/>
      <w:r w:rsidRPr="00832F20">
        <w:rPr>
          <w:rFonts w:ascii="Book Antiqua" w:hAnsi="Book Antiqua" w:cs="Book Antiqua"/>
          <w:color w:val="000000"/>
        </w:rPr>
        <w:t>duodeno</w:t>
      </w:r>
      <w:proofErr w:type="spellEnd"/>
      <w:r w:rsidRPr="00832F20">
        <w:rPr>
          <w:rFonts w:ascii="Book Antiqua" w:hAnsi="Book Antiqua" w:cs="Book Antiqua"/>
          <w:color w:val="000000"/>
        </w:rPr>
        <w:t xml:space="preserve">-ileostomy in simultaneous pancreas and kidney transplantation. </w:t>
      </w:r>
      <w:r w:rsidRPr="00832F20">
        <w:rPr>
          <w:rFonts w:ascii="Book Antiqua" w:hAnsi="Book Antiqua" w:cs="Book Antiqua"/>
          <w:i/>
          <w:iCs/>
          <w:color w:val="000000"/>
        </w:rPr>
        <w:t xml:space="preserve">World J </w:t>
      </w:r>
      <w:proofErr w:type="spellStart"/>
      <w:r w:rsidRPr="00832F20">
        <w:rPr>
          <w:rFonts w:ascii="Book Antiqua" w:hAnsi="Book Antiqua" w:cs="Book Antiqua"/>
          <w:i/>
          <w:iCs/>
          <w:color w:val="000000"/>
        </w:rPr>
        <w:t>Gastrointest</w:t>
      </w:r>
      <w:proofErr w:type="spellEnd"/>
      <w:r w:rsidRPr="00832F20">
        <w:rPr>
          <w:rFonts w:ascii="Book Antiqua" w:hAnsi="Book Antiqua" w:cs="Book Antiqua"/>
          <w:i/>
          <w:iCs/>
          <w:color w:val="000000"/>
        </w:rPr>
        <w:t xml:space="preserve"> Surg</w:t>
      </w:r>
      <w:r w:rsidRPr="00832F20">
        <w:rPr>
          <w:rFonts w:ascii="Book Antiqua" w:hAnsi="Book Antiqua" w:cs="Book Antiqua"/>
          <w:color w:val="000000"/>
        </w:rPr>
        <w:t xml:space="preserve"> 2021; In press</w:t>
      </w:r>
    </w:p>
    <w:p w14:paraId="62F3F44A" w14:textId="77777777" w:rsidR="00832F20" w:rsidRPr="00AB1BE0" w:rsidRDefault="00832F20" w:rsidP="000A34AB">
      <w:pPr>
        <w:adjustRightInd w:val="0"/>
        <w:snapToGrid w:val="0"/>
        <w:spacing w:line="360" w:lineRule="auto"/>
        <w:jc w:val="both"/>
        <w:rPr>
          <w:rFonts w:ascii="Book Antiqua" w:hAnsi="Book Antiqua"/>
        </w:rPr>
      </w:pPr>
    </w:p>
    <w:p w14:paraId="2AA47A0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Core Tip: </w:t>
      </w:r>
      <w:r w:rsidRPr="00AB1BE0">
        <w:rPr>
          <w:rFonts w:ascii="Book Antiqua" w:hAnsi="Book Antiqua" w:cs="Book Antiqua"/>
          <w:color w:val="000000"/>
        </w:rPr>
        <w:t>Enteric anastomotic (EA) bleeding is a potentially life-threatening complication of simultaneous pancreas and kidney transplantation (SPKT) and can result in graft loss; therefore, it is essential to lower the incidence of EA bleeding. This study aimed to investigate whether suture ligation for submucosal hemostasis during enteric anastomosis could decrease the morbidity of early EA bleeding in SPKT. By comparing the outcomes of patients of suture ligation and no suture ligation groups, we found that suture ligation for submucosal hemostasis during enteric anastomosis in SPKT can decrease the morbidity of early EA bleeding without concurrently increasing the anastomotic leakage rate.</w:t>
      </w:r>
    </w:p>
    <w:p w14:paraId="02EA6C03" w14:textId="77777777" w:rsidR="003E62DD" w:rsidRPr="00AB1BE0" w:rsidRDefault="003E62DD" w:rsidP="000A34AB">
      <w:pPr>
        <w:adjustRightInd w:val="0"/>
        <w:snapToGrid w:val="0"/>
        <w:spacing w:line="360" w:lineRule="auto"/>
        <w:jc w:val="both"/>
        <w:rPr>
          <w:rFonts w:ascii="Book Antiqua" w:hAnsi="Book Antiqua"/>
        </w:rPr>
      </w:pPr>
    </w:p>
    <w:p w14:paraId="763E602A"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t>INTRODUCTION</w:t>
      </w:r>
    </w:p>
    <w:p w14:paraId="51FC2A7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Pancreas transplantation is the treatment of choice for patients with type 1 insulin-dependent diabetes mellitus; recently, more patients with type 2 diabetes mellitus have undergone pancreas </w:t>
      </w:r>
      <w:proofErr w:type="gramStart"/>
      <w:r w:rsidRPr="00AB1BE0">
        <w:rPr>
          <w:rFonts w:ascii="Book Antiqua" w:hAnsi="Book Antiqua" w:cs="Book Antiqua"/>
          <w:color w:val="000000"/>
        </w:rPr>
        <w:t>transplantation</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w:t>
      </w:r>
      <w:r w:rsidRPr="00AB1BE0">
        <w:rPr>
          <w:rFonts w:ascii="Book Antiqua" w:hAnsi="Book Antiqua" w:cs="Book Antiqua"/>
          <w:color w:val="000000"/>
        </w:rPr>
        <w:t>. In the United States, simultaneous pancreas and kidney transplantation (SPKT) was the most common type of pancreas transplantation in 2018</w:t>
      </w:r>
      <w:r w:rsidRPr="00AB1BE0">
        <w:rPr>
          <w:rFonts w:ascii="Book Antiqua" w:hAnsi="Book Antiqua" w:cs="Book Antiqua"/>
          <w:color w:val="000000"/>
          <w:vertAlign w:val="superscript"/>
        </w:rPr>
        <w:t>[1]</w:t>
      </w:r>
      <w:r w:rsidRPr="00AB1BE0">
        <w:rPr>
          <w:rFonts w:ascii="Book Antiqua" w:hAnsi="Book Antiqua" w:cs="Book Antiqua"/>
          <w:color w:val="000000"/>
        </w:rPr>
        <w:t xml:space="preserve">. More than 80% of pancreas transplantations are performed with enteric drainage (ED), and systemic venous drainage is used for more than 90% of pancreas </w:t>
      </w:r>
      <w:proofErr w:type="gramStart"/>
      <w:r w:rsidRPr="00AB1BE0">
        <w:rPr>
          <w:rFonts w:ascii="Book Antiqua" w:hAnsi="Book Antiqua" w:cs="Book Antiqua"/>
          <w:color w:val="000000"/>
        </w:rPr>
        <w:t>transplantations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2]</w:t>
      </w:r>
      <w:r w:rsidRPr="00AB1BE0">
        <w:rPr>
          <w:rFonts w:ascii="Book Antiqua" w:hAnsi="Book Antiqua" w:cs="Book Antiqua"/>
          <w:color w:val="000000"/>
        </w:rPr>
        <w:t xml:space="preserve">. The site of enteric anastomosis can range from the stomach to the distal ileum of the </w:t>
      </w:r>
      <w:proofErr w:type="gramStart"/>
      <w:r w:rsidRPr="00AB1BE0">
        <w:rPr>
          <w:rFonts w:ascii="Book Antiqua" w:hAnsi="Book Antiqua" w:cs="Book Antiqua"/>
          <w:color w:val="000000"/>
        </w:rPr>
        <w:t>recipient</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3-6]</w:t>
      </w:r>
      <w:r w:rsidRPr="00AB1BE0">
        <w:rPr>
          <w:rFonts w:ascii="Book Antiqua" w:hAnsi="Book Antiqua" w:cs="Book Antiqua"/>
          <w:color w:val="000000"/>
        </w:rPr>
        <w:t>; most often, the site of anastomosis is at the jejunum</w:t>
      </w:r>
      <w:r w:rsidRPr="00AB1BE0">
        <w:rPr>
          <w:rFonts w:ascii="Book Antiqua" w:hAnsi="Book Antiqua" w:cs="Book Antiqua"/>
          <w:color w:val="000000"/>
          <w:vertAlign w:val="superscript"/>
        </w:rPr>
        <w:t>[2]</w:t>
      </w:r>
      <w:r w:rsidRPr="00AB1BE0">
        <w:rPr>
          <w:rFonts w:ascii="Book Antiqua" w:hAnsi="Book Antiqua" w:cs="Book Antiqua"/>
          <w:color w:val="000000"/>
        </w:rPr>
        <w:t xml:space="preserve">. Direct side-to-side anastomosis between the transplanted duodenal segment and the </w:t>
      </w:r>
      <w:r w:rsidRPr="00AB1BE0">
        <w:rPr>
          <w:rFonts w:ascii="Book Antiqua" w:hAnsi="Book Antiqua" w:cs="Book Antiqua"/>
          <w:color w:val="000000"/>
        </w:rPr>
        <w:lastRenderedPageBreak/>
        <w:t xml:space="preserve">recipient small bowel is the most common technique. Gastrointestinal (GI) bleeding and anastomotic leak are the most common surgical complications associated with enteric </w:t>
      </w:r>
      <w:proofErr w:type="gramStart"/>
      <w:r w:rsidRPr="00AB1BE0">
        <w:rPr>
          <w:rFonts w:ascii="Book Antiqua" w:hAnsi="Book Antiqua" w:cs="Book Antiqua"/>
          <w:color w:val="000000"/>
        </w:rPr>
        <w:t>anastomosis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7]</w:t>
      </w:r>
      <w:r w:rsidRPr="00AB1BE0">
        <w:rPr>
          <w:rFonts w:ascii="Book Antiqua" w:hAnsi="Book Antiqua" w:cs="Book Antiqua"/>
          <w:color w:val="000000"/>
        </w:rPr>
        <w:t xml:space="preserve">. GI bleeding may occur early and late after transplantation, and the morbidity of GI bleeding could be as high as approximately 11% according to previous </w:t>
      </w:r>
      <w:proofErr w:type="gramStart"/>
      <w:r w:rsidRPr="00AB1BE0">
        <w:rPr>
          <w:rFonts w:ascii="Book Antiqua" w:hAnsi="Book Antiqua" w:cs="Book Antiqua"/>
          <w:color w:val="000000"/>
        </w:rPr>
        <w:t>reports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5,8]</w:t>
      </w:r>
      <w:r w:rsidRPr="00AB1BE0">
        <w:rPr>
          <w:rFonts w:ascii="Book Antiqua" w:hAnsi="Book Antiqua" w:cs="Book Antiqua"/>
          <w:color w:val="000000"/>
        </w:rPr>
        <w:t>; it can result in graft loss and can be a life-threatening condition</w:t>
      </w:r>
      <w:r w:rsidRPr="00AB1BE0">
        <w:rPr>
          <w:rFonts w:ascii="Book Antiqua" w:hAnsi="Book Antiqua" w:cs="Book Antiqua"/>
          <w:color w:val="000000"/>
          <w:vertAlign w:val="superscript"/>
        </w:rPr>
        <w:t>[7,9]</w:t>
      </w:r>
      <w:r w:rsidRPr="00AB1BE0">
        <w:rPr>
          <w:rFonts w:ascii="Book Antiqua" w:hAnsi="Book Antiqua" w:cs="Book Antiqua"/>
          <w:color w:val="000000"/>
        </w:rPr>
        <w:t xml:space="preserve">. The sites of GI bleeding are mainly at the level of the enteric </w:t>
      </w:r>
      <w:proofErr w:type="gramStart"/>
      <w:r w:rsidRPr="00AB1BE0">
        <w:rPr>
          <w:rFonts w:ascii="Book Antiqua" w:hAnsi="Book Antiqua" w:cs="Book Antiqua"/>
          <w:color w:val="000000"/>
        </w:rPr>
        <w:t>anastomosis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8,9]</w:t>
      </w:r>
      <w:r w:rsidRPr="00AB1BE0">
        <w:rPr>
          <w:rFonts w:ascii="Book Antiqua" w:hAnsi="Book Antiqua" w:cs="Book Antiqua"/>
          <w:color w:val="000000"/>
        </w:rPr>
        <w:t xml:space="preserve">. Suture ligation (SL) techniques have been used during hemostasis for larger blood vessels throughout gastrectomy. The intestinal wall has abundant </w:t>
      </w:r>
      <w:proofErr w:type="spellStart"/>
      <w:r w:rsidRPr="00AB1BE0">
        <w:rPr>
          <w:rFonts w:ascii="Book Antiqua" w:hAnsi="Book Antiqua" w:cs="Book Antiqua"/>
          <w:color w:val="000000"/>
        </w:rPr>
        <w:t>microvessels</w:t>
      </w:r>
      <w:proofErr w:type="spellEnd"/>
      <w:r w:rsidRPr="00AB1BE0">
        <w:rPr>
          <w:rFonts w:ascii="Book Antiqua" w:hAnsi="Book Antiqua" w:cs="Book Antiqua"/>
          <w:color w:val="000000"/>
        </w:rPr>
        <w:t>. For ordinary small intestinal anastomosis, sufficient suture pitch and the adequate strength of knotting can ensure adequate hemostasis during the anastomosis between the small intestine, and an SL technique is not needed usually. Enteric anastomosis during SPKT is different from ordinary small intestinal anastomosis: The transplanted duodenal segment is edematous after blood reperfusion, and the anastomotic stoma is corroded by constant exocrine outputs of the pancreas graft. There have been no reports on whether the SL technique is beneficial for submucosal hemostasis during hand-sewn enteric anastomosis in pancreas transplantation. To investigate the advantages and disadvantages of this novel technique on early EA bleeding and anastomotic leakage, we retrospectively analyzed the clinical data of patients who underwent SPKT at our center. This study adheres to the declarations of Istanbul and Helsinki, and none of the organs used were from executed prisoners. All donors were neither paid nor coerced.</w:t>
      </w:r>
    </w:p>
    <w:p w14:paraId="51F6D84C" w14:textId="77777777" w:rsidR="003E62DD" w:rsidRPr="00AB1BE0" w:rsidRDefault="003E62DD" w:rsidP="000A34AB">
      <w:pPr>
        <w:adjustRightInd w:val="0"/>
        <w:snapToGrid w:val="0"/>
        <w:spacing w:line="360" w:lineRule="auto"/>
        <w:jc w:val="both"/>
        <w:rPr>
          <w:rFonts w:ascii="Book Antiqua" w:hAnsi="Book Antiqua"/>
        </w:rPr>
      </w:pPr>
    </w:p>
    <w:p w14:paraId="05D4C21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t>MATERIALS AND METHODS</w:t>
      </w:r>
    </w:p>
    <w:p w14:paraId="4E279898" w14:textId="77777777" w:rsidR="003E62DD" w:rsidRPr="00AB1BE0" w:rsidRDefault="003E62DD" w:rsidP="000A34AB">
      <w:pPr>
        <w:adjustRightInd w:val="0"/>
        <w:snapToGrid w:val="0"/>
        <w:spacing w:line="360" w:lineRule="auto"/>
        <w:ind w:hanging="1"/>
        <w:jc w:val="both"/>
        <w:rPr>
          <w:rFonts w:ascii="Book Antiqua" w:hAnsi="Book Antiqua"/>
          <w:i/>
          <w:iCs/>
        </w:rPr>
      </w:pPr>
      <w:r w:rsidRPr="00AB1BE0">
        <w:rPr>
          <w:rFonts w:ascii="Book Antiqua" w:hAnsi="Book Antiqua" w:cs="Book Antiqua"/>
          <w:b/>
          <w:bCs/>
          <w:i/>
          <w:iCs/>
          <w:color w:val="000000"/>
        </w:rPr>
        <w:t>Study subjects</w:t>
      </w:r>
    </w:p>
    <w:p w14:paraId="6015D2B0" w14:textId="77777777" w:rsidR="003E62DD" w:rsidRPr="00AB1BE0" w:rsidRDefault="003E62DD" w:rsidP="000A34AB">
      <w:pPr>
        <w:adjustRightInd w:val="0"/>
        <w:snapToGrid w:val="0"/>
        <w:spacing w:line="360" w:lineRule="auto"/>
        <w:ind w:hanging="1"/>
        <w:jc w:val="both"/>
        <w:rPr>
          <w:rFonts w:ascii="Book Antiqua" w:hAnsi="Book Antiqua"/>
        </w:rPr>
      </w:pPr>
      <w:r w:rsidRPr="00AB1BE0">
        <w:rPr>
          <w:rFonts w:ascii="Book Antiqua" w:hAnsi="Book Antiqua" w:cs="Book Antiqua"/>
          <w:color w:val="000000"/>
        </w:rPr>
        <w:t xml:space="preserve">From January 2016 to December 2019, 138 SKPT were performed in our center, and 134 patients were included in this study. All graft organs came from deceased donors, including 9 cases of anoxia, 45 cases of cerebrovascular accident/stroke, 73 cases of head trauma, 4 cases of central nervous system tumor, and 3 cases of organophosphorus poisoning. The indications for transplantation were type 1 or type 2 diabetes with end-stage renal disease. During the transplant evaluation process, all </w:t>
      </w:r>
      <w:r w:rsidRPr="00AB1BE0">
        <w:rPr>
          <w:rFonts w:ascii="Book Antiqua" w:hAnsi="Book Antiqua" w:cs="Book Antiqua"/>
          <w:color w:val="000000"/>
        </w:rPr>
        <w:lastRenderedPageBreak/>
        <w:t xml:space="preserve">patients underwent gastroscopy and colonoscopy. Exploration of all the small intestines during operation was performed for every patient. Patients with one or more of the below diseases were excluded from the study: Gastroduodenal ulcer, severe gastritis and duodenitis, colitis, digestive tract tumor, diverticulum, digestive tract polyp, and GI bleeding history. Patients with graft </w:t>
      </w:r>
      <w:proofErr w:type="spellStart"/>
      <w:r w:rsidRPr="00AB1BE0">
        <w:rPr>
          <w:rFonts w:ascii="Book Antiqua" w:hAnsi="Book Antiqua" w:cs="Book Antiqua"/>
          <w:color w:val="000000"/>
        </w:rPr>
        <w:t>pancreasectomy</w:t>
      </w:r>
      <w:proofErr w:type="spellEnd"/>
      <w:r w:rsidRPr="00AB1BE0">
        <w:rPr>
          <w:rFonts w:ascii="Book Antiqua" w:hAnsi="Book Antiqua" w:cs="Book Antiqua"/>
          <w:color w:val="000000"/>
        </w:rPr>
        <w:t xml:space="preserve"> due to thrombosis or severe infection within the first postoperative week were excluded from the study. According the above criteria, two patients with graft </w:t>
      </w:r>
      <w:proofErr w:type="spellStart"/>
      <w:r w:rsidRPr="00AB1BE0">
        <w:rPr>
          <w:rFonts w:ascii="Book Antiqua" w:hAnsi="Book Antiqua" w:cs="Book Antiqua"/>
          <w:color w:val="000000"/>
        </w:rPr>
        <w:t>pancreasectomy</w:t>
      </w:r>
      <w:proofErr w:type="spellEnd"/>
      <w:r w:rsidRPr="00AB1BE0">
        <w:rPr>
          <w:rFonts w:ascii="Book Antiqua" w:hAnsi="Book Antiqua" w:cs="Book Antiqua"/>
          <w:color w:val="000000"/>
        </w:rPr>
        <w:t xml:space="preserve"> due to thrombosis within the first postoperative week were excluded from the study. One patient diagnosed with ascending colonic diverticulum by colonoscope before transplantation and experienced hemorrhage of diverticulum after SPKT was excluded. Another patient was excluded from the study because of a history of duodenal ulcer bleeding. Cytomegalovirus (CMV) DNA tests performed before SPKT were negative for all included patients. The characteristics of the recipients and donors included in the study are shown in Table 1.</w:t>
      </w:r>
    </w:p>
    <w:p w14:paraId="4040911D" w14:textId="77777777" w:rsidR="003E62DD" w:rsidRPr="00AB1BE0" w:rsidRDefault="003E62DD" w:rsidP="000A34AB">
      <w:pPr>
        <w:adjustRightInd w:val="0"/>
        <w:snapToGrid w:val="0"/>
        <w:spacing w:line="360" w:lineRule="auto"/>
        <w:ind w:hanging="1"/>
        <w:jc w:val="both"/>
        <w:rPr>
          <w:rFonts w:ascii="Book Antiqua" w:hAnsi="Book Antiqua"/>
        </w:rPr>
      </w:pPr>
    </w:p>
    <w:p w14:paraId="080BE3F3"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Surgical techniques</w:t>
      </w:r>
    </w:p>
    <w:p w14:paraId="4B348FA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The liver, pancreas, and kidney were recovered using an </w:t>
      </w:r>
      <w:proofErr w:type="spellStart"/>
      <w:r w:rsidRPr="00AB1BE0">
        <w:rPr>
          <w:rFonts w:ascii="Book Antiqua" w:hAnsi="Book Antiqua" w:cs="Book Antiqua"/>
          <w:i/>
          <w:iCs/>
          <w:color w:val="000000"/>
        </w:rPr>
        <w:t>en</w:t>
      </w:r>
      <w:proofErr w:type="spellEnd"/>
      <w:r w:rsidRPr="00AB1BE0">
        <w:rPr>
          <w:rFonts w:ascii="Book Antiqua" w:hAnsi="Book Antiqua" w:cs="Book Antiqua"/>
          <w:i/>
          <w:iCs/>
          <w:color w:val="000000"/>
        </w:rPr>
        <w:t xml:space="preserve"> bloc</w:t>
      </w:r>
      <w:r w:rsidRPr="00AB1BE0">
        <w:rPr>
          <w:rFonts w:ascii="Book Antiqua" w:hAnsi="Book Antiqua" w:cs="Book Antiqua"/>
          <w:color w:val="000000"/>
        </w:rPr>
        <w:t xml:space="preserve"> technique for organ procurement. For the duodenal decontamination, lavage technique </w:t>
      </w:r>
      <w:r w:rsidRPr="00AB1BE0">
        <w:rPr>
          <w:rFonts w:ascii="Book Antiqua" w:hAnsi="Book Antiqua" w:cs="Book Antiqua"/>
          <w:i/>
          <w:iCs/>
          <w:color w:val="000000"/>
        </w:rPr>
        <w:t>via</w:t>
      </w:r>
      <w:r w:rsidRPr="00AB1BE0">
        <w:rPr>
          <w:rFonts w:ascii="Book Antiqua" w:hAnsi="Book Antiqua" w:cs="Book Antiqua"/>
          <w:color w:val="000000"/>
        </w:rPr>
        <w:t xml:space="preserve"> the nasogastric tube was performed routinely with normal saline (500 mL), and then metronidazole solution (200 mL) was then instilled during pancreas procurement. The proximal gastroduodenal artery (GDA) and distal common hepatic artery were distributed to the liver, leaving the aortic patch with the superior mesenteric artery and celiac trunk for the pancreas. Subsequently, the distal splenic artery and vein were ligated, and the spleen was removed. After the proximal and distal donor duodenum were closed using a linear cutting stapler, the stump was strengthened by interrupted seromuscular sutures. As reported in the </w:t>
      </w:r>
      <w:proofErr w:type="gramStart"/>
      <w:r w:rsidRPr="00AB1BE0">
        <w:rPr>
          <w:rFonts w:ascii="Book Antiqua" w:hAnsi="Book Antiqua" w:cs="Book Antiqua"/>
          <w:color w:val="000000"/>
        </w:rPr>
        <w:t>literature</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10]</w:t>
      </w:r>
      <w:r w:rsidRPr="00AB1BE0">
        <w:rPr>
          <w:rFonts w:ascii="Book Antiqua" w:hAnsi="Book Antiqua" w:cs="Book Antiqua"/>
          <w:color w:val="000000"/>
        </w:rPr>
        <w:t>, we reconstructed the GDA by end-to-end anastomosis with the common hepatic artery or left gastric artery and interposed a donor mesentery artery, if necessary.</w:t>
      </w:r>
    </w:p>
    <w:p w14:paraId="3A780A94" w14:textId="77777777" w:rsidR="003E62DD" w:rsidRPr="00AB1BE0" w:rsidRDefault="003E62DD" w:rsidP="000A34AB">
      <w:pPr>
        <w:adjustRightInd w:val="0"/>
        <w:snapToGrid w:val="0"/>
        <w:spacing w:line="360" w:lineRule="auto"/>
        <w:ind w:firstLine="360"/>
        <w:jc w:val="both"/>
        <w:rPr>
          <w:rFonts w:ascii="Book Antiqua" w:hAnsi="Book Antiqua"/>
        </w:rPr>
      </w:pPr>
      <w:r w:rsidRPr="00AB1BE0">
        <w:rPr>
          <w:rFonts w:ascii="Book Antiqua" w:hAnsi="Book Antiqua" w:cs="Book Antiqua"/>
          <w:color w:val="000000"/>
        </w:rPr>
        <w:t xml:space="preserve">Both kidney and pancreas transplantations were performed using a single right incision through the rectus abdominis. As reported by </w:t>
      </w:r>
      <w:proofErr w:type="gramStart"/>
      <w:r w:rsidRPr="00AB1BE0">
        <w:rPr>
          <w:rFonts w:ascii="Book Antiqua" w:hAnsi="Book Antiqua" w:cs="Book Antiqua"/>
          <w:color w:val="000000"/>
        </w:rPr>
        <w:t>Tso</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11]</w:t>
      </w:r>
      <w:r w:rsidRPr="00AB1BE0">
        <w:rPr>
          <w:rFonts w:ascii="Book Antiqua" w:hAnsi="Book Antiqua" w:cs="Book Antiqua"/>
          <w:color w:val="000000"/>
        </w:rPr>
        <w:t xml:space="preserve">, we anastomosed the renal </w:t>
      </w:r>
      <w:r w:rsidRPr="00AB1BE0">
        <w:rPr>
          <w:rFonts w:ascii="Book Antiqua" w:hAnsi="Book Antiqua" w:cs="Book Antiqua"/>
          <w:color w:val="000000"/>
        </w:rPr>
        <w:lastRenderedPageBreak/>
        <w:t xml:space="preserve">artery to the internal iliac artery limb of the donor conduit and anastomosed the aortic patch of the graft to the external iliac artery limb of the donor conduit and the common iliac artery of the donor conduit to the right external iliac artery of the recipient in an end-to-side fashion, so both organs could be vascularized by utilizing a single Y arterial conduit (Figure 1). Both organs were transplanted on the right side of the patient’s abdominal cavity. The renal vein was anastomosed to the right external iliac vein. The venous outflow of the pancreas graft was arranged </w:t>
      </w:r>
      <w:r w:rsidRPr="00AB1BE0">
        <w:rPr>
          <w:rFonts w:ascii="Book Antiqua" w:hAnsi="Book Antiqua" w:cs="Book Antiqua"/>
          <w:i/>
          <w:iCs/>
          <w:color w:val="000000"/>
        </w:rPr>
        <w:t>via</w:t>
      </w:r>
      <w:r w:rsidRPr="00AB1BE0">
        <w:rPr>
          <w:rFonts w:ascii="Book Antiqua" w:hAnsi="Book Antiqua" w:cs="Book Antiqua"/>
          <w:color w:val="000000"/>
        </w:rPr>
        <w:t xml:space="preserve"> the systemic venous system by anastomosing the portal vein end-to-side to the distal vena cava. The head of the pancreas and duodenum were oriented superiorly, and the donor duodenal segment was anastomosed side-to-side to the distal ileum. The distance from the anastomotic stoma to the ileocecal valve was 60 cm. The operation process is illustrated in Figure 1.</w:t>
      </w:r>
    </w:p>
    <w:p w14:paraId="2A3AB4D8" w14:textId="77777777" w:rsidR="003E62DD" w:rsidRPr="00AB1BE0" w:rsidRDefault="003E62DD" w:rsidP="000A34AB">
      <w:pPr>
        <w:adjustRightInd w:val="0"/>
        <w:snapToGrid w:val="0"/>
        <w:spacing w:line="360" w:lineRule="auto"/>
        <w:ind w:firstLine="360"/>
        <w:jc w:val="both"/>
        <w:rPr>
          <w:rFonts w:ascii="Book Antiqua" w:hAnsi="Book Antiqua"/>
        </w:rPr>
      </w:pPr>
      <w:r w:rsidRPr="00AB1BE0">
        <w:rPr>
          <w:rFonts w:ascii="Book Antiqua" w:hAnsi="Book Antiqua" w:cs="Book Antiqua"/>
          <w:color w:val="000000"/>
        </w:rPr>
        <w:t xml:space="preserve">According to the pattern of enteric anastomosis, patients were divided into two groups: SL or no SL (NSL) groups. From the first outpatient visit, during preoperative evaluation, operation, and follow-up after SPKT, a patient will be under constant supervision by the same doctor in our center. If a patient was supervised by the doctor who is the corresponding author of this paper, then the patient was allocated into the SL group. If a patient was not supervised by the doctor who is the corresponding author of this paper, then the patient was allocated into the NSL group. There were no other criteria for grouping. A total of 44 and 90 patients were classified into the SL group and NSL group, respectively. The transplanted duodenal segment and the distal ileum of the recipient were incised 3-4 cm longitudinally at the site of the anastomotic stoma by using a scalpel after pancreas graft blood reperfusion. Then, mucosal </w:t>
      </w:r>
      <w:proofErr w:type="spellStart"/>
      <w:r w:rsidRPr="00AB1BE0">
        <w:rPr>
          <w:rFonts w:ascii="Book Antiqua" w:hAnsi="Book Antiqua" w:cs="Book Antiqua"/>
          <w:color w:val="000000"/>
        </w:rPr>
        <w:t>aneriodine</w:t>
      </w:r>
      <w:proofErr w:type="spellEnd"/>
      <w:r w:rsidRPr="00AB1BE0">
        <w:rPr>
          <w:rFonts w:ascii="Book Antiqua" w:hAnsi="Book Antiqua" w:cs="Book Antiqua"/>
          <w:color w:val="000000"/>
        </w:rPr>
        <w:t xml:space="preserve"> cotton balls were used for decontamination of the duodenal segment and the distal ileum. In the SL group, bleeding spots at the cut edge of the bowel (ileum of the recipient and duodenum of the transplanted organ) were staunched by transmural figure-of-eight SL at the mucosal points of the bleeding with a silk thread (Figure 2). A penetration of all layers from the serosa to the lumen was made, and the needle position on the serosa and mucosa was 1-2 mm apart from the cut edge. In the NSL group, SL was not performed, and electric coagulation using an argon knife was performed if </w:t>
      </w:r>
      <w:r w:rsidRPr="00AB1BE0">
        <w:rPr>
          <w:rFonts w:ascii="Book Antiqua" w:hAnsi="Book Antiqua" w:cs="Book Antiqua"/>
          <w:color w:val="000000"/>
        </w:rPr>
        <w:lastRenderedPageBreak/>
        <w:t xml:space="preserve">necessary. After submucosal hemostasis, side-to-side </w:t>
      </w:r>
      <w:proofErr w:type="spellStart"/>
      <w:r w:rsidRPr="00AB1BE0">
        <w:rPr>
          <w:rFonts w:ascii="Book Antiqua" w:hAnsi="Book Antiqua" w:cs="Book Antiqua"/>
          <w:color w:val="000000"/>
        </w:rPr>
        <w:t>duodeno</w:t>
      </w:r>
      <w:proofErr w:type="spellEnd"/>
      <w:r w:rsidRPr="00AB1BE0">
        <w:rPr>
          <w:rFonts w:ascii="Book Antiqua" w:hAnsi="Book Antiqua" w:cs="Book Antiqua"/>
          <w:color w:val="000000"/>
        </w:rPr>
        <w:t xml:space="preserve">-ileostomy was performed using a two-layer hand-sewn running anastomosis: a running unabsorbable suture for the transmural inner layer and an outer inverted seromuscular layer in both groups. The needle position was 4-5 mm from the cut edge when suturing the inner layer. Enteric anastomoses in the NSL group were performed by an experienced surgical team member who had performed more than 100 SPKT operations before this study, while enteric anastomoses in the SL group were performed by a relative younger surgical team member who had performed less than 10 SPKT operations before this study. To decrease the EA bleeding rate in SPKT, the doctors in the SL group proposed the conception of SL for submucosal hemostasis during hand-sewn side-to-side </w:t>
      </w:r>
      <w:proofErr w:type="spellStart"/>
      <w:r w:rsidRPr="00AB1BE0">
        <w:rPr>
          <w:rFonts w:ascii="Book Antiqua" w:hAnsi="Book Antiqua" w:cs="Book Antiqua"/>
          <w:color w:val="000000"/>
        </w:rPr>
        <w:t>duodeno</w:t>
      </w:r>
      <w:proofErr w:type="spellEnd"/>
      <w:r w:rsidRPr="00AB1BE0">
        <w:rPr>
          <w:rFonts w:ascii="Book Antiqua" w:hAnsi="Book Antiqua" w:cs="Book Antiqua"/>
          <w:color w:val="000000"/>
        </w:rPr>
        <w:t>-ileostomy and applied this technique from January 2016. Cases before January 2016 in our center were excluded from this study.</w:t>
      </w:r>
    </w:p>
    <w:p w14:paraId="29389D95" w14:textId="77777777" w:rsidR="003E62DD" w:rsidRPr="00AB1BE0" w:rsidRDefault="003E62DD" w:rsidP="000A34AB">
      <w:pPr>
        <w:adjustRightInd w:val="0"/>
        <w:snapToGrid w:val="0"/>
        <w:spacing w:line="360" w:lineRule="auto"/>
        <w:ind w:firstLine="360"/>
        <w:jc w:val="both"/>
        <w:rPr>
          <w:rFonts w:ascii="Book Antiqua" w:hAnsi="Book Antiqua"/>
        </w:rPr>
      </w:pPr>
    </w:p>
    <w:p w14:paraId="7C02322B"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Immunosuppressive agents</w:t>
      </w:r>
    </w:p>
    <w:p w14:paraId="7B4BA20A"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Anti-thymocyte globulin was administered for induction at 1.5 mg/kg during surgery and 1.5 mg/kg per day for 3 d after transplantation. The maintenance immunosuppression regimen included tacrolimus or cyclosporine, mycophenolate mofetil, and prednisolone (Table 1). The target trough level of tacrolimus was 8-12 ng/mL within 3 </w:t>
      </w:r>
      <w:proofErr w:type="spellStart"/>
      <w:r w:rsidRPr="00AB1BE0">
        <w:rPr>
          <w:rFonts w:ascii="Book Antiqua" w:hAnsi="Book Antiqua" w:cs="Book Antiqua"/>
          <w:color w:val="000000"/>
        </w:rPr>
        <w:t>mo</w:t>
      </w:r>
      <w:proofErr w:type="spellEnd"/>
      <w:r w:rsidRPr="00AB1BE0">
        <w:rPr>
          <w:rFonts w:ascii="Book Antiqua" w:hAnsi="Book Antiqua" w:cs="Book Antiqua"/>
          <w:color w:val="000000"/>
        </w:rPr>
        <w:t xml:space="preserve"> of transplantation, the target trough level of cyclosporine was 150-200 ng/mL, and the target level of cyclosporine 2 h after administering the medicine was 800-1200 ng/</w:t>
      </w:r>
      <w:proofErr w:type="spellStart"/>
      <w:r w:rsidRPr="00AB1BE0">
        <w:rPr>
          <w:rFonts w:ascii="Book Antiqua" w:hAnsi="Book Antiqua" w:cs="Book Antiqua"/>
          <w:color w:val="000000"/>
        </w:rPr>
        <w:t>mL.</w:t>
      </w:r>
      <w:proofErr w:type="spellEnd"/>
    </w:p>
    <w:p w14:paraId="1F9454BE" w14:textId="77777777" w:rsidR="003E62DD" w:rsidRPr="00AB1BE0" w:rsidRDefault="003E62DD" w:rsidP="000A34AB">
      <w:pPr>
        <w:adjustRightInd w:val="0"/>
        <w:snapToGrid w:val="0"/>
        <w:spacing w:line="360" w:lineRule="auto"/>
        <w:jc w:val="both"/>
        <w:rPr>
          <w:rFonts w:ascii="Book Antiqua" w:hAnsi="Book Antiqua"/>
        </w:rPr>
      </w:pPr>
    </w:p>
    <w:p w14:paraId="1883C149"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Prophylactic anticoagulation therapy </w:t>
      </w:r>
    </w:p>
    <w:p w14:paraId="119AD33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To prevent pancreatic graft thrombosis, low-molecular-weight heparin was administered for 6 d (50 IU/kg/d) by subcutaneous injection for all patients, followed by the oral administration of aspirin (100 mg/d) for 3 mo. If GI bleeding occurred, prophylactic anticoagulation therapy was withdrawn. Patients of the two groups received the same anticoagulation prophylaxis. Routine monitoring of the platelet count </w:t>
      </w:r>
      <w:r w:rsidRPr="00AB1BE0">
        <w:rPr>
          <w:rFonts w:ascii="Book Antiqua" w:hAnsi="Book Antiqua" w:cs="Book Antiqua"/>
          <w:color w:val="000000"/>
        </w:rPr>
        <w:lastRenderedPageBreak/>
        <w:t>and disseminated intravascular coagulation (DIC) indicators was performed during anticoagulation therapy.</w:t>
      </w:r>
    </w:p>
    <w:p w14:paraId="7BA548E1" w14:textId="77777777" w:rsidR="003E62DD" w:rsidRPr="00AB1BE0" w:rsidRDefault="003E62DD" w:rsidP="000A34AB">
      <w:pPr>
        <w:adjustRightInd w:val="0"/>
        <w:snapToGrid w:val="0"/>
        <w:spacing w:line="360" w:lineRule="auto"/>
        <w:jc w:val="both"/>
        <w:rPr>
          <w:rFonts w:ascii="Book Antiqua" w:hAnsi="Book Antiqua"/>
        </w:rPr>
      </w:pPr>
    </w:p>
    <w:p w14:paraId="0EE9DB86"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Defining EA bleeding and anastomotic leak </w:t>
      </w:r>
    </w:p>
    <w:p w14:paraId="3C9759DA" w14:textId="7D73B61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The diagnostic criteria of EA bleeding were as follows: (1) Patient experienced melena or hematochezia with obvious hemoglobin decline, and anastomotic bleeding was identified by angiography or relaparotomy; and (2) If the patient experienced melena or hematochezia with obvious hemoglobin decline, but relaparotomy was not performed and angiography results was negative and could not show the site of GI bleeding, then the following criteria must be met: </w:t>
      </w:r>
      <w:r w:rsidR="00AB1BE0" w:rsidRPr="00AB1BE0">
        <w:rPr>
          <w:rFonts w:ascii="Book Antiqua" w:hAnsi="Book Antiqua" w:cs="Book Antiqua"/>
          <w:color w:val="000000"/>
          <w:lang w:eastAsia="zh-CN"/>
        </w:rPr>
        <w:t>N</w:t>
      </w:r>
      <w:r w:rsidRPr="00AB1BE0">
        <w:rPr>
          <w:rFonts w:ascii="Book Antiqua" w:hAnsi="Book Antiqua" w:cs="Book Antiqua"/>
          <w:color w:val="000000"/>
        </w:rPr>
        <w:t xml:space="preserve">o blood fluid was drained from nasogastric tubes and colonoscopy revealed that the end ileal lumen next to the ileocecal valve contained blood fluid. Anastomotic leak was diagnosed based on clinical symptoms, imaging study results, laboratory findings, or a combination thereof, as previously </w:t>
      </w:r>
      <w:proofErr w:type="gramStart"/>
      <w:r w:rsidRPr="00AB1BE0">
        <w:rPr>
          <w:rFonts w:ascii="Book Antiqua" w:hAnsi="Book Antiqua" w:cs="Book Antiqua"/>
          <w:color w:val="000000"/>
        </w:rPr>
        <w:t>reported</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12]</w:t>
      </w:r>
      <w:r w:rsidRPr="00AB1BE0">
        <w:rPr>
          <w:rFonts w:ascii="Book Antiqua" w:hAnsi="Book Antiqua" w:cs="Book Antiqua"/>
          <w:color w:val="000000"/>
        </w:rPr>
        <w:t>.</w:t>
      </w:r>
    </w:p>
    <w:p w14:paraId="155EE68D" w14:textId="77777777" w:rsidR="003E62DD" w:rsidRPr="00AB1BE0" w:rsidRDefault="003E62DD" w:rsidP="000A34AB">
      <w:pPr>
        <w:adjustRightInd w:val="0"/>
        <w:snapToGrid w:val="0"/>
        <w:spacing w:line="360" w:lineRule="auto"/>
        <w:jc w:val="both"/>
        <w:rPr>
          <w:rFonts w:ascii="Book Antiqua" w:hAnsi="Book Antiqua"/>
        </w:rPr>
      </w:pPr>
    </w:p>
    <w:p w14:paraId="74BF6757"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CMV DNA tests </w:t>
      </w:r>
    </w:p>
    <w:p w14:paraId="6DEC76AE"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The results of CMV DNA blood tests of all EA bleeding recipients at the time of EA bleeding were collected. </w:t>
      </w:r>
    </w:p>
    <w:p w14:paraId="2391D7A4" w14:textId="77777777" w:rsidR="003E62DD" w:rsidRPr="00AB1BE0" w:rsidRDefault="003E62DD" w:rsidP="000A34AB">
      <w:pPr>
        <w:adjustRightInd w:val="0"/>
        <w:snapToGrid w:val="0"/>
        <w:spacing w:line="360" w:lineRule="auto"/>
        <w:jc w:val="both"/>
        <w:rPr>
          <w:rFonts w:ascii="Book Antiqua" w:hAnsi="Book Antiqua"/>
        </w:rPr>
      </w:pPr>
    </w:p>
    <w:p w14:paraId="2D0A6DBF"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Statistical analysis </w:t>
      </w:r>
    </w:p>
    <w:p w14:paraId="0420F096"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Continuous variables were reported as mean ± standard deviation (SD) or medians [interquartile range (IQR)] depending on the distribution of the data. If data were normally distributed and had variance homogeneity, an analysis of variance was used for comparisons between groups. If the distribution was not normal, a Kruskal-Wallis rank-sum test was used for comparisons between groups. Categorical variables were analyzed using a chi-square test. Cumulative graft and patient survival rates were computed by a Kaplan-Meier survival analysis. Data analyses were performed using R 3.6.2 statistical software. The study was reviewed by our expert biomedical statistician Cao Y, MD.</w:t>
      </w:r>
    </w:p>
    <w:p w14:paraId="7EBA66CE" w14:textId="77777777" w:rsidR="003E62DD" w:rsidRPr="00AB1BE0" w:rsidRDefault="003E62DD" w:rsidP="000A34AB">
      <w:pPr>
        <w:adjustRightInd w:val="0"/>
        <w:snapToGrid w:val="0"/>
        <w:spacing w:line="360" w:lineRule="auto"/>
        <w:jc w:val="both"/>
        <w:rPr>
          <w:rFonts w:ascii="Book Antiqua" w:hAnsi="Book Antiqua"/>
        </w:rPr>
      </w:pPr>
    </w:p>
    <w:p w14:paraId="5006F58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lastRenderedPageBreak/>
        <w:t>RESULTS</w:t>
      </w:r>
    </w:p>
    <w:p w14:paraId="36053BB1"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Patient characteristics</w:t>
      </w:r>
    </w:p>
    <w:p w14:paraId="01CFC960"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The characteristics of the donors and recipients in the SL and NSL groups are displayed in Table 1. There were 44 and 90 patients in the SL group and NSL group, respectively. The two groups were matched for the following: age of the donor; donor sex; age of the recipient; diabetes duration; diabetes type; body mass index; blood type; human leukocyte antigen (HLA) -A, HLA-B, and HLA-DR mismatch; immunosuppression; DIC indicators; and platelet count. The duration of dialysis was slightly longer in the SL group than in the NSL group [12.00 </w:t>
      </w:r>
      <w:proofErr w:type="spellStart"/>
      <w:r w:rsidRPr="00AB1BE0">
        <w:rPr>
          <w:rFonts w:ascii="Book Antiqua" w:hAnsi="Book Antiqua" w:cs="Book Antiqua"/>
          <w:color w:val="000000"/>
        </w:rPr>
        <w:t>mo</w:t>
      </w:r>
      <w:proofErr w:type="spellEnd"/>
      <w:r w:rsidRPr="00AB1BE0">
        <w:rPr>
          <w:rFonts w:ascii="Book Antiqua" w:hAnsi="Book Antiqua" w:cs="Book Antiqua"/>
          <w:color w:val="000000"/>
        </w:rPr>
        <w:t xml:space="preserve"> (IQR, 6.25, 36.00) </w:t>
      </w:r>
      <w:r w:rsidRPr="00AB1BE0">
        <w:rPr>
          <w:rFonts w:ascii="Book Antiqua" w:hAnsi="Book Antiqua" w:cs="Book Antiqua"/>
          <w:i/>
          <w:iCs/>
          <w:color w:val="000000"/>
        </w:rPr>
        <w:t>vs</w:t>
      </w:r>
      <w:r w:rsidRPr="00AB1BE0">
        <w:rPr>
          <w:rFonts w:ascii="Book Antiqua" w:hAnsi="Book Antiqua" w:cs="Book Antiqua"/>
          <w:color w:val="000000"/>
        </w:rPr>
        <w:t xml:space="preserve"> 10.00 </w:t>
      </w:r>
      <w:proofErr w:type="spellStart"/>
      <w:r w:rsidRPr="00AB1BE0">
        <w:rPr>
          <w:rFonts w:ascii="Book Antiqua" w:hAnsi="Book Antiqua" w:cs="Book Antiqua"/>
          <w:color w:val="000000"/>
        </w:rPr>
        <w:t>mo</w:t>
      </w:r>
      <w:proofErr w:type="spellEnd"/>
      <w:r w:rsidRPr="00AB1BE0">
        <w:rPr>
          <w:rFonts w:ascii="Book Antiqua" w:hAnsi="Book Antiqua" w:cs="Book Antiqua"/>
          <w:color w:val="000000"/>
        </w:rPr>
        <w:t xml:space="preserve"> (IQR, 5.00, 20.75); </w:t>
      </w:r>
      <w:r w:rsidRPr="00AB1BE0">
        <w:rPr>
          <w:rFonts w:ascii="Book Antiqua" w:hAnsi="Book Antiqua" w:cs="Book Antiqua"/>
          <w:i/>
          <w:iCs/>
          <w:color w:val="000000"/>
        </w:rPr>
        <w:t xml:space="preserve">P </w:t>
      </w:r>
      <w:r w:rsidRPr="00AB1BE0">
        <w:rPr>
          <w:rFonts w:ascii="Book Antiqua" w:hAnsi="Book Antiqua" w:cs="Book Antiqua"/>
          <w:iCs/>
          <w:color w:val="000000"/>
        </w:rPr>
        <w:t>=</w:t>
      </w:r>
      <w:r w:rsidRPr="00AB1BE0">
        <w:rPr>
          <w:rFonts w:ascii="Book Antiqua" w:hAnsi="Book Antiqua" w:cs="Book Antiqua"/>
          <w:i/>
          <w:iCs/>
          <w:color w:val="000000"/>
        </w:rPr>
        <w:t xml:space="preserve"> </w:t>
      </w:r>
      <w:r w:rsidRPr="00AB1BE0">
        <w:rPr>
          <w:rFonts w:ascii="Book Antiqua" w:hAnsi="Book Antiqua" w:cs="Book Antiqua"/>
          <w:color w:val="000000"/>
        </w:rPr>
        <w:t xml:space="preserve">0.037]. The pancreas ischemia time was longer in the SL group than in the NSL group (446.71 ± 104.11 min </w:t>
      </w:r>
      <w:r w:rsidRPr="00AB1BE0">
        <w:rPr>
          <w:rFonts w:ascii="Book Antiqua" w:hAnsi="Book Antiqua" w:cs="Book Antiqua"/>
          <w:i/>
          <w:iCs/>
          <w:color w:val="000000"/>
        </w:rPr>
        <w:t>vs</w:t>
      </w:r>
      <w:r w:rsidRPr="00AB1BE0">
        <w:rPr>
          <w:rFonts w:ascii="Book Antiqua" w:hAnsi="Book Antiqua" w:cs="Book Antiqua"/>
          <w:color w:val="000000"/>
        </w:rPr>
        <w:t xml:space="preserve"> 400.94 ± 89.79 min; </w:t>
      </w:r>
      <w:r w:rsidRPr="00AB1BE0">
        <w:rPr>
          <w:rFonts w:ascii="Book Antiqua" w:hAnsi="Book Antiqua" w:cs="Book Antiqua"/>
          <w:i/>
          <w:iCs/>
          <w:color w:val="000000"/>
        </w:rPr>
        <w:t xml:space="preserve">P </w:t>
      </w:r>
      <w:r w:rsidRPr="00AB1BE0">
        <w:rPr>
          <w:rFonts w:ascii="Book Antiqua" w:hAnsi="Book Antiqua" w:cs="Book Antiqua"/>
          <w:iCs/>
          <w:color w:val="000000"/>
        </w:rPr>
        <w:t xml:space="preserve">= </w:t>
      </w:r>
      <w:r w:rsidRPr="00AB1BE0">
        <w:rPr>
          <w:rFonts w:ascii="Book Antiqua" w:hAnsi="Book Antiqua" w:cs="Book Antiqua"/>
          <w:color w:val="000000"/>
        </w:rPr>
        <w:t xml:space="preserve">0.010). </w:t>
      </w:r>
    </w:p>
    <w:p w14:paraId="1B6D13B6" w14:textId="77777777" w:rsidR="003E62DD" w:rsidRPr="00AB1BE0" w:rsidRDefault="003E62DD" w:rsidP="000A34AB">
      <w:pPr>
        <w:adjustRightInd w:val="0"/>
        <w:snapToGrid w:val="0"/>
        <w:spacing w:line="360" w:lineRule="auto"/>
        <w:jc w:val="both"/>
        <w:rPr>
          <w:rFonts w:ascii="Book Antiqua" w:hAnsi="Book Antiqua"/>
        </w:rPr>
      </w:pPr>
    </w:p>
    <w:p w14:paraId="4299EA90"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EA bleeding and anastomotic leakage during the first 3 </w:t>
      </w:r>
      <w:proofErr w:type="spellStart"/>
      <w:r w:rsidRPr="00AB1BE0">
        <w:rPr>
          <w:rFonts w:ascii="Book Antiqua" w:hAnsi="Book Antiqua" w:cs="Book Antiqua"/>
          <w:b/>
          <w:bCs/>
          <w:i/>
          <w:iCs/>
          <w:color w:val="000000"/>
        </w:rPr>
        <w:t>mo</w:t>
      </w:r>
      <w:proofErr w:type="spellEnd"/>
      <w:r w:rsidRPr="00AB1BE0">
        <w:rPr>
          <w:rFonts w:ascii="Book Antiqua" w:hAnsi="Book Antiqua" w:cs="Book Antiqua"/>
          <w:b/>
          <w:bCs/>
          <w:i/>
          <w:iCs/>
          <w:color w:val="000000"/>
        </w:rPr>
        <w:t xml:space="preserve"> after transplantation </w:t>
      </w:r>
    </w:p>
    <w:p w14:paraId="25C85EB2" w14:textId="5B1D83AB"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In the first postoperative week, the</w:t>
      </w:r>
      <w:r w:rsidRPr="00AB1BE0">
        <w:rPr>
          <w:rFonts w:ascii="Book Antiqua" w:hAnsi="Book Antiqua" w:cs="Book Antiqua"/>
          <w:b/>
          <w:bCs/>
          <w:color w:val="000000"/>
        </w:rPr>
        <w:t xml:space="preserve"> </w:t>
      </w:r>
      <w:r w:rsidRPr="00AB1BE0">
        <w:rPr>
          <w:rFonts w:ascii="Book Antiqua" w:hAnsi="Book Antiqua" w:cs="Book Antiqua"/>
          <w:color w:val="000000"/>
        </w:rPr>
        <w:t xml:space="preserve">EA bleeding rate was less in the SL group (1/44; 2.27%) than in the NSL group (14/90; 15.56%; </w:t>
      </w:r>
      <w:r w:rsidRPr="00AB1BE0">
        <w:rPr>
          <w:rFonts w:ascii="Book Antiqua" w:hAnsi="Book Antiqua" w:cs="Book Antiqua"/>
          <w:i/>
          <w:iCs/>
          <w:color w:val="000000"/>
        </w:rPr>
        <w:t xml:space="preserve">P </w:t>
      </w:r>
      <w:r w:rsidRPr="00AB1BE0">
        <w:rPr>
          <w:rFonts w:ascii="Book Antiqua" w:hAnsi="Book Antiqua" w:cs="Book Antiqua"/>
          <w:iCs/>
          <w:color w:val="000000"/>
        </w:rPr>
        <w:t>=</w:t>
      </w:r>
      <w:r w:rsidRPr="00AB1BE0">
        <w:rPr>
          <w:rFonts w:ascii="Book Antiqua" w:hAnsi="Book Antiqua" w:cs="Book Antiqua"/>
          <w:i/>
          <w:iCs/>
          <w:color w:val="000000"/>
        </w:rPr>
        <w:t xml:space="preserve"> </w:t>
      </w:r>
      <w:r w:rsidRPr="00AB1BE0">
        <w:rPr>
          <w:rFonts w:ascii="Book Antiqua" w:hAnsi="Book Antiqua" w:cs="Book Antiqua"/>
          <w:color w:val="000000"/>
        </w:rPr>
        <w:t>0.021) (Table 2)</w:t>
      </w:r>
      <w:r w:rsidRPr="00AB1BE0">
        <w:rPr>
          <w:rFonts w:ascii="Book Antiqua" w:hAnsi="Book Antiqua" w:cs="Book Antiqua"/>
          <w:color w:val="000000"/>
          <w:lang w:eastAsia="zh-CN"/>
        </w:rPr>
        <w:t>,</w:t>
      </w:r>
      <w:r w:rsidRPr="00AB1BE0">
        <w:rPr>
          <w:rFonts w:ascii="Book Antiqua" w:hAnsi="Book Antiqua" w:cs="Book Antiqua"/>
          <w:color w:val="000000"/>
        </w:rPr>
        <w:t xml:space="preserve"> respectively.</w:t>
      </w:r>
      <w:r w:rsidRPr="00AB1BE0">
        <w:rPr>
          <w:rFonts w:ascii="Book Antiqua" w:hAnsi="Book Antiqua" w:cs="Book Antiqua"/>
          <w:b/>
          <w:bCs/>
          <w:color w:val="000000"/>
        </w:rPr>
        <w:t xml:space="preserve"> </w:t>
      </w:r>
      <w:r w:rsidRPr="00AB1BE0">
        <w:rPr>
          <w:rFonts w:ascii="Book Antiqua" w:hAnsi="Book Antiqua" w:cs="Book Antiqua"/>
          <w:color w:val="000000"/>
        </w:rPr>
        <w:t xml:space="preserve">Patients from both groups received immediate anticoagulant treatment. The transfusion rate for EA bleeding in the first postoperative week was lower in the SL group than in the NSL group [2.27% (1/44) </w:t>
      </w:r>
      <w:r w:rsidRPr="00AB1BE0">
        <w:rPr>
          <w:rFonts w:ascii="Book Antiqua" w:hAnsi="Book Antiqua" w:cs="Book Antiqua"/>
          <w:i/>
          <w:iCs/>
          <w:color w:val="000000"/>
        </w:rPr>
        <w:t>vs</w:t>
      </w:r>
      <w:r w:rsidRPr="00AB1BE0">
        <w:rPr>
          <w:rFonts w:ascii="Book Antiqua" w:hAnsi="Book Antiqua" w:cs="Book Antiqua"/>
          <w:color w:val="000000"/>
        </w:rPr>
        <w:t xml:space="preserve"> 14.44% (13/90); </w:t>
      </w:r>
      <w:r w:rsidRPr="00AB1BE0">
        <w:rPr>
          <w:rFonts w:ascii="Book Antiqua" w:hAnsi="Book Antiqua" w:cs="Book Antiqua"/>
          <w:i/>
          <w:iCs/>
          <w:color w:val="000000"/>
        </w:rPr>
        <w:t xml:space="preserve">P </w:t>
      </w:r>
      <w:r w:rsidRPr="00AB1BE0">
        <w:rPr>
          <w:rFonts w:ascii="Book Antiqua" w:hAnsi="Book Antiqua" w:cs="Book Antiqua"/>
          <w:iCs/>
          <w:color w:val="000000"/>
        </w:rPr>
        <w:t xml:space="preserve">= </w:t>
      </w:r>
      <w:r w:rsidRPr="00AB1BE0">
        <w:rPr>
          <w:rFonts w:ascii="Book Antiqua" w:hAnsi="Book Antiqua" w:cs="Book Antiqua"/>
          <w:color w:val="000000"/>
        </w:rPr>
        <w:t>0.035].</w:t>
      </w:r>
    </w:p>
    <w:p w14:paraId="12E597FA" w14:textId="77777777" w:rsidR="003E62DD" w:rsidRPr="00AB1BE0" w:rsidRDefault="003E62DD" w:rsidP="000A34AB">
      <w:pPr>
        <w:adjustRightInd w:val="0"/>
        <w:snapToGrid w:val="0"/>
        <w:spacing w:line="360" w:lineRule="auto"/>
        <w:ind w:firstLine="360"/>
        <w:jc w:val="both"/>
        <w:rPr>
          <w:rFonts w:ascii="Book Antiqua" w:hAnsi="Book Antiqua"/>
        </w:rPr>
      </w:pPr>
      <w:r w:rsidRPr="00AB1BE0">
        <w:rPr>
          <w:rFonts w:ascii="Book Antiqua" w:hAnsi="Book Antiqua" w:cs="Book Antiqua"/>
          <w:color w:val="000000"/>
        </w:rPr>
        <w:t xml:space="preserve">If medical treatment exceeded more than 48 h and hematochezia was not relieved and was accompanied by unstable blood pressure, relaparotomy was considered. Owing to the failure of conservative therapy, three patients in the NSL group underwent relaparotomy (Tables 2 and 3), and EA bleeding was identified, and the reconstruction of the anastomosis was performed in these three patients. There were no pancreas graft loss and no recurrence of GI bleeding after relaparotomy. The rate of relaparotomy due to EA bleeding was lower in the SL group than in the NSL group; however, no differences were found between the two groups [0% (0/44) </w:t>
      </w:r>
      <w:r w:rsidRPr="00AB1BE0">
        <w:rPr>
          <w:rFonts w:ascii="Book Antiqua" w:hAnsi="Book Antiqua" w:cs="Book Antiqua"/>
          <w:i/>
          <w:iCs/>
          <w:color w:val="000000"/>
        </w:rPr>
        <w:t xml:space="preserve">vs </w:t>
      </w:r>
      <w:r w:rsidRPr="00AB1BE0">
        <w:rPr>
          <w:rFonts w:ascii="Book Antiqua" w:hAnsi="Book Antiqua" w:cs="Book Antiqua"/>
          <w:color w:val="000000"/>
        </w:rPr>
        <w:t xml:space="preserve">3.33% (3/90); </w:t>
      </w:r>
      <w:r w:rsidRPr="00AB1BE0">
        <w:rPr>
          <w:rFonts w:ascii="Book Antiqua" w:hAnsi="Book Antiqua" w:cs="Book Antiqua"/>
          <w:i/>
          <w:iCs/>
          <w:color w:val="000000"/>
        </w:rPr>
        <w:t xml:space="preserve">P </w:t>
      </w:r>
      <w:r w:rsidRPr="00AB1BE0">
        <w:rPr>
          <w:rFonts w:ascii="Book Antiqua" w:hAnsi="Book Antiqua" w:cs="Book Antiqua"/>
          <w:iCs/>
          <w:color w:val="000000"/>
        </w:rPr>
        <w:t xml:space="preserve">= </w:t>
      </w:r>
      <w:r w:rsidRPr="00AB1BE0">
        <w:rPr>
          <w:rFonts w:ascii="Book Antiqua" w:hAnsi="Book Antiqua" w:cs="Book Antiqua"/>
          <w:color w:val="000000"/>
        </w:rPr>
        <w:t xml:space="preserve">0.551]. </w:t>
      </w:r>
    </w:p>
    <w:p w14:paraId="0D0405F9" w14:textId="77777777" w:rsidR="003E62DD" w:rsidRPr="00AB1BE0" w:rsidRDefault="003E62DD" w:rsidP="000A34AB">
      <w:pPr>
        <w:adjustRightInd w:val="0"/>
        <w:snapToGrid w:val="0"/>
        <w:spacing w:line="360" w:lineRule="auto"/>
        <w:ind w:firstLine="360"/>
        <w:jc w:val="both"/>
        <w:rPr>
          <w:rFonts w:ascii="Book Antiqua" w:hAnsi="Book Antiqua"/>
        </w:rPr>
      </w:pPr>
      <w:r w:rsidRPr="00AB1BE0">
        <w:rPr>
          <w:rFonts w:ascii="Book Antiqua" w:hAnsi="Book Antiqua" w:cs="Book Antiqua"/>
          <w:color w:val="000000"/>
        </w:rPr>
        <w:t xml:space="preserve">Anastomotic leakage was observed in 1 (2.27%) of 44 patients in the SL group at postoperative day (POD) 14 and was healed by conservative treatment. One patient in </w:t>
      </w:r>
      <w:r w:rsidRPr="00AB1BE0">
        <w:rPr>
          <w:rFonts w:ascii="Book Antiqua" w:hAnsi="Book Antiqua" w:cs="Book Antiqua"/>
          <w:color w:val="000000"/>
        </w:rPr>
        <w:lastRenderedPageBreak/>
        <w:t>the NSL group (1/90; 1.11%) experienced anastomotic leakage at POD 16; subsequently, the pancreas graft was lost.</w:t>
      </w:r>
    </w:p>
    <w:p w14:paraId="6E65E51D" w14:textId="77777777" w:rsidR="003E62DD" w:rsidRPr="00AB1BE0" w:rsidRDefault="003E62DD" w:rsidP="000A34AB">
      <w:pPr>
        <w:adjustRightInd w:val="0"/>
        <w:snapToGrid w:val="0"/>
        <w:spacing w:line="360" w:lineRule="auto"/>
        <w:ind w:firstLine="360"/>
        <w:jc w:val="both"/>
        <w:rPr>
          <w:rFonts w:ascii="Book Antiqua" w:hAnsi="Book Antiqua"/>
        </w:rPr>
      </w:pPr>
    </w:p>
    <w:p w14:paraId="56138A90"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 xml:space="preserve">CMV DNA test results of patients with GI bleeding </w:t>
      </w:r>
    </w:p>
    <w:p w14:paraId="46B7880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CMV DNA blood testing was performed for all EA bleeding patients within 1 </w:t>
      </w:r>
      <w:proofErr w:type="spellStart"/>
      <w:r w:rsidRPr="00AB1BE0">
        <w:rPr>
          <w:rFonts w:ascii="Book Antiqua" w:hAnsi="Book Antiqua" w:cs="Book Antiqua"/>
          <w:color w:val="000000"/>
        </w:rPr>
        <w:t>wk</w:t>
      </w:r>
      <w:proofErr w:type="spellEnd"/>
      <w:r w:rsidRPr="00AB1BE0">
        <w:rPr>
          <w:rFonts w:ascii="Book Antiqua" w:hAnsi="Book Antiqua" w:cs="Book Antiqua"/>
          <w:color w:val="000000"/>
        </w:rPr>
        <w:t xml:space="preserve"> post-operation, and results were all negative. Three patients in the NSL group underwent relaparotomy; unfortunately, the biopsy of the transplanted duodenal segment was not performed during relaparotomy. Therefore, the results of the immunohistochemistry staining of the transplanted duodenal segment for CMV were not available.</w:t>
      </w:r>
    </w:p>
    <w:p w14:paraId="09EB87D0" w14:textId="77777777" w:rsidR="003E62DD" w:rsidRPr="00AB1BE0" w:rsidRDefault="003E62DD" w:rsidP="000A34AB">
      <w:pPr>
        <w:adjustRightInd w:val="0"/>
        <w:snapToGrid w:val="0"/>
        <w:spacing w:line="360" w:lineRule="auto"/>
        <w:jc w:val="both"/>
        <w:rPr>
          <w:rFonts w:ascii="Book Antiqua" w:hAnsi="Book Antiqua"/>
        </w:rPr>
      </w:pPr>
    </w:p>
    <w:p w14:paraId="2BC5DA4E"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Donor age, mean pancreatic cold ischemia time, and DIC indicators of patients with and without GI bleeding</w:t>
      </w:r>
    </w:p>
    <w:p w14:paraId="6054AE76"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A comparison of patients with EA bleeding (</w:t>
      </w:r>
      <w:r w:rsidRPr="00AB1BE0">
        <w:rPr>
          <w:rFonts w:ascii="Book Antiqua" w:hAnsi="Book Antiqua" w:cs="Book Antiqua"/>
          <w:i/>
          <w:iCs/>
          <w:color w:val="000000"/>
        </w:rPr>
        <w:t>n</w:t>
      </w:r>
      <w:r w:rsidRPr="00AB1BE0">
        <w:rPr>
          <w:rFonts w:ascii="Book Antiqua" w:hAnsi="Book Antiqua" w:cs="Book Antiqua"/>
          <w:color w:val="000000"/>
        </w:rPr>
        <w:t xml:space="preserve"> = 15) and those without EA bleeding (</w:t>
      </w:r>
      <w:r w:rsidRPr="00AB1BE0">
        <w:rPr>
          <w:rFonts w:ascii="Book Antiqua" w:hAnsi="Book Antiqua" w:cs="Book Antiqua"/>
          <w:i/>
          <w:iCs/>
          <w:color w:val="000000"/>
        </w:rPr>
        <w:t>n</w:t>
      </w:r>
      <w:r w:rsidRPr="00AB1BE0">
        <w:rPr>
          <w:rFonts w:ascii="Book Antiqua" w:hAnsi="Book Antiqua" w:cs="Book Antiqua"/>
          <w:color w:val="000000"/>
        </w:rPr>
        <w:t xml:space="preserve"> = 119) within the first week after transplantation showed no differences in donor age (Figure 3A), mean pancreatic cold ischemia time (Figure 3B), platelet count (Figure 3C), prothrombin time international normalized rate (Figure 3D), activated partial thromboplastin time (Figure 3E), and thrombin time (Figure 3F).</w:t>
      </w:r>
    </w:p>
    <w:p w14:paraId="2BB5D3B0" w14:textId="77777777" w:rsidR="003E62DD" w:rsidRPr="00AB1BE0" w:rsidRDefault="003E62DD" w:rsidP="000A34AB">
      <w:pPr>
        <w:adjustRightInd w:val="0"/>
        <w:snapToGrid w:val="0"/>
        <w:spacing w:line="360" w:lineRule="auto"/>
        <w:jc w:val="both"/>
        <w:rPr>
          <w:rFonts w:ascii="Book Antiqua" w:hAnsi="Book Antiqua"/>
        </w:rPr>
      </w:pPr>
    </w:p>
    <w:p w14:paraId="7986D336" w14:textId="77777777" w:rsidR="003E62DD" w:rsidRPr="00AB1BE0" w:rsidRDefault="003E62DD" w:rsidP="000A34AB">
      <w:pPr>
        <w:adjustRightInd w:val="0"/>
        <w:snapToGrid w:val="0"/>
        <w:spacing w:line="360" w:lineRule="auto"/>
        <w:jc w:val="both"/>
        <w:rPr>
          <w:rFonts w:ascii="Book Antiqua" w:hAnsi="Book Antiqua"/>
          <w:i/>
          <w:iCs/>
        </w:rPr>
      </w:pPr>
      <w:r w:rsidRPr="00AB1BE0">
        <w:rPr>
          <w:rFonts w:ascii="Book Antiqua" w:hAnsi="Book Antiqua" w:cs="Book Antiqua"/>
          <w:b/>
          <w:bCs/>
          <w:i/>
          <w:iCs/>
          <w:color w:val="000000"/>
        </w:rPr>
        <w:t>Survival analysis</w:t>
      </w:r>
    </w:p>
    <w:p w14:paraId="4461BB5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The median follow-up durations were 2.11 years and 2.12 years for patients of the SL group and NSL group, respectively. The Kaplan–Meier curves plotted for comparisons between the SL and NSL groups after transplantation are shown in Figure 4. No significant difference was found between the two groups in terms of the survival curves for patients, pancreas graft, and kidney graft. The study was reviewed by our expert </w:t>
      </w:r>
      <w:proofErr w:type="spellStart"/>
      <w:r w:rsidRPr="00AB1BE0">
        <w:rPr>
          <w:rFonts w:ascii="Book Antiqua" w:hAnsi="Book Antiqua" w:cs="Book Antiqua"/>
          <w:color w:val="000000"/>
        </w:rPr>
        <w:t>Biostatistic</w:t>
      </w:r>
      <w:proofErr w:type="spellEnd"/>
      <w:r w:rsidRPr="00AB1BE0">
        <w:rPr>
          <w:rFonts w:ascii="Book Antiqua" w:hAnsi="Book Antiqua" w:cs="Book Antiqua"/>
          <w:color w:val="000000"/>
        </w:rPr>
        <w:t xml:space="preserve"> Cao Y, MD.</w:t>
      </w:r>
    </w:p>
    <w:p w14:paraId="745E15FB" w14:textId="77777777" w:rsidR="003E62DD" w:rsidRPr="00AB1BE0" w:rsidRDefault="003E62DD" w:rsidP="000A34AB">
      <w:pPr>
        <w:adjustRightInd w:val="0"/>
        <w:snapToGrid w:val="0"/>
        <w:spacing w:line="360" w:lineRule="auto"/>
        <w:jc w:val="both"/>
        <w:rPr>
          <w:rFonts w:ascii="Book Antiqua" w:hAnsi="Book Antiqua"/>
        </w:rPr>
      </w:pPr>
    </w:p>
    <w:p w14:paraId="587E42A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t>DISCUSSION</w:t>
      </w:r>
    </w:p>
    <w:p w14:paraId="7ED00643" w14:textId="42295AD4"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In 1967, the first SPKT was performed by Kelly </w:t>
      </w:r>
      <w:r w:rsidRPr="00AB1BE0">
        <w:rPr>
          <w:rFonts w:ascii="Book Antiqua" w:hAnsi="Book Antiqua" w:cs="Book Antiqua"/>
          <w:i/>
          <w:iCs/>
          <w:color w:val="000000"/>
        </w:rPr>
        <w:t xml:space="preserve">et </w:t>
      </w:r>
      <w:proofErr w:type="gramStart"/>
      <w:r w:rsidRPr="00AB1BE0">
        <w:rPr>
          <w:rFonts w:ascii="Book Antiqua" w:hAnsi="Book Antiqua" w:cs="Book Antiqua"/>
          <w:i/>
          <w:iCs/>
          <w:color w:val="000000"/>
        </w:rPr>
        <w:t>al</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13]</w:t>
      </w:r>
      <w:r w:rsidRPr="00AB1BE0">
        <w:rPr>
          <w:rFonts w:ascii="Book Antiqua" w:hAnsi="Book Antiqua" w:cs="Book Antiqua"/>
          <w:color w:val="000000"/>
        </w:rPr>
        <w:t xml:space="preserve"> at the University of Minnesota. Since then, several pancreas transplantation techniques have been developed. From the </w:t>
      </w:r>
      <w:r w:rsidRPr="00AB1BE0">
        <w:rPr>
          <w:rFonts w:ascii="Book Antiqua" w:hAnsi="Book Antiqua" w:cs="Book Antiqua"/>
          <w:color w:val="000000"/>
        </w:rPr>
        <w:lastRenderedPageBreak/>
        <w:t xml:space="preserve">mid-1970s to the mid-1980s, segmental pancreas transplantation was the prevalent technique. Subsequently, whole pancreaticoduodenal graft transplantation with ED became the gold standard for </w:t>
      </w:r>
      <w:proofErr w:type="gramStart"/>
      <w:r w:rsidRPr="00AB1BE0">
        <w:rPr>
          <w:rFonts w:ascii="Book Antiqua" w:hAnsi="Book Antiqua" w:cs="Book Antiqua"/>
          <w:color w:val="000000"/>
        </w:rPr>
        <w:t>SPKT</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6]</w:t>
      </w:r>
      <w:r w:rsidRPr="00AB1BE0">
        <w:rPr>
          <w:rFonts w:ascii="Book Antiqua" w:hAnsi="Book Antiqua" w:cs="Book Antiqua"/>
          <w:color w:val="000000"/>
        </w:rPr>
        <w:t xml:space="preserve">. In the majority of cases involving ED, systemic venous drainage was </w:t>
      </w:r>
      <w:proofErr w:type="gramStart"/>
      <w:r w:rsidRPr="00AB1BE0">
        <w:rPr>
          <w:rFonts w:ascii="Book Antiqua" w:hAnsi="Book Antiqua" w:cs="Book Antiqua"/>
          <w:color w:val="000000"/>
        </w:rPr>
        <w:t>used</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14]</w:t>
      </w:r>
      <w:r w:rsidRPr="00AB1BE0">
        <w:rPr>
          <w:rFonts w:ascii="Book Antiqua" w:hAnsi="Book Antiqua" w:cs="Book Antiqua"/>
          <w:color w:val="000000"/>
        </w:rPr>
        <w:t xml:space="preserve">. </w:t>
      </w:r>
      <w:r w:rsidRPr="00AB1BE0">
        <w:rPr>
          <w:rFonts w:ascii="Book Antiqua" w:hAnsi="Book Antiqua" w:cs="Book Antiqua"/>
          <w:color w:val="000000"/>
          <w:lang w:eastAsia="zh-CN"/>
        </w:rPr>
        <w:t>I</w:t>
      </w:r>
      <w:r w:rsidRPr="00AB1BE0">
        <w:rPr>
          <w:rFonts w:ascii="Book Antiqua" w:hAnsi="Book Antiqua" w:cs="Book Antiqua"/>
          <w:color w:val="000000"/>
        </w:rPr>
        <w:t xml:space="preserve">nferior vena cava drainage and </w:t>
      </w:r>
      <w:proofErr w:type="spellStart"/>
      <w:r w:rsidRPr="00AB1BE0">
        <w:rPr>
          <w:rFonts w:ascii="Book Antiqua" w:hAnsi="Book Antiqua" w:cs="Book Antiqua"/>
          <w:color w:val="000000"/>
          <w:lang w:eastAsia="zh-CN"/>
        </w:rPr>
        <w:t>d</w:t>
      </w:r>
      <w:r w:rsidRPr="00AB1BE0">
        <w:rPr>
          <w:rFonts w:ascii="Book Antiqua" w:hAnsi="Book Antiqua" w:cs="Book Antiqua"/>
          <w:color w:val="000000"/>
        </w:rPr>
        <w:t>uodeno</w:t>
      </w:r>
      <w:proofErr w:type="spellEnd"/>
      <w:r w:rsidRPr="00AB1BE0">
        <w:rPr>
          <w:rFonts w:ascii="Book Antiqua" w:hAnsi="Book Antiqua" w:cs="Book Antiqua"/>
          <w:color w:val="000000"/>
        </w:rPr>
        <w:t xml:space="preserve">-ileostomy without a Roux-en-Y loop have been used in our center. </w:t>
      </w:r>
    </w:p>
    <w:p w14:paraId="0D8D3360" w14:textId="77777777" w:rsidR="003E62DD" w:rsidRPr="00AB1BE0" w:rsidRDefault="003E62DD" w:rsidP="000A34AB">
      <w:pPr>
        <w:adjustRightInd w:val="0"/>
        <w:snapToGrid w:val="0"/>
        <w:spacing w:line="360" w:lineRule="auto"/>
        <w:ind w:firstLine="240"/>
        <w:jc w:val="both"/>
        <w:rPr>
          <w:rFonts w:ascii="Book Antiqua" w:hAnsi="Book Antiqua"/>
        </w:rPr>
      </w:pPr>
      <w:r w:rsidRPr="00AB1BE0">
        <w:rPr>
          <w:rFonts w:ascii="Book Antiqua" w:hAnsi="Book Antiqua" w:cs="Book Antiqua"/>
          <w:color w:val="000000"/>
        </w:rPr>
        <w:t xml:space="preserve">ED can be justified based on physiological conditions; however, the complications associated with a simultaneously transplanted duodenum, such as GI bleeding and anastomotic leakage, may be potentially life-threatening. The accurate morbidity rate associated with GI bleeding after ED pancreas transplantation is unknown. In the literature, the data on GI bleeding following pancreas transplantation are under-reported. Large case series reports are insufficient and the criteria for GI bleeding were not elucidated from these reports. </w:t>
      </w:r>
      <w:proofErr w:type="spellStart"/>
      <w:r w:rsidRPr="00AB1BE0">
        <w:rPr>
          <w:rFonts w:ascii="Book Antiqua" w:hAnsi="Book Antiqua" w:cs="Book Antiqua"/>
          <w:color w:val="000000"/>
        </w:rPr>
        <w:t>Orsenigo</w:t>
      </w:r>
      <w:proofErr w:type="spellEnd"/>
      <w:r w:rsidRPr="00AB1BE0">
        <w:rPr>
          <w:rFonts w:ascii="Book Antiqua" w:hAnsi="Book Antiqua" w:cs="Book Antiqua"/>
          <w:color w:val="000000"/>
        </w:rPr>
        <w:t xml:space="preserve"> </w:t>
      </w:r>
      <w:r w:rsidRPr="00AB1BE0">
        <w:rPr>
          <w:rFonts w:ascii="Book Antiqua" w:hAnsi="Book Antiqua" w:cs="Book Antiqua"/>
          <w:i/>
          <w:iCs/>
          <w:color w:val="000000"/>
        </w:rPr>
        <w:t xml:space="preserve">et </w:t>
      </w:r>
      <w:proofErr w:type="gramStart"/>
      <w:r w:rsidRPr="00AB1BE0">
        <w:rPr>
          <w:rFonts w:ascii="Book Antiqua" w:hAnsi="Book Antiqua" w:cs="Book Antiqua"/>
          <w:i/>
          <w:iCs/>
          <w:color w:val="000000"/>
        </w:rPr>
        <w:t>al</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8]</w:t>
      </w:r>
      <w:r w:rsidRPr="00AB1BE0">
        <w:rPr>
          <w:rFonts w:ascii="Book Antiqua" w:hAnsi="Book Antiqua" w:cs="Book Antiqua"/>
          <w:color w:val="000000"/>
        </w:rPr>
        <w:t xml:space="preserve"> reported that 11% (7/61) of recipients experienced GI bleeding complications during the first postoperative week, and six patients (85.71%) required relaparotomy and EA bleeding was identified in five patients. In a study of 11 cases, one patient required endoscopy for the luminal bleeding of the duodenal anastomosis </w:t>
      </w:r>
      <w:proofErr w:type="gramStart"/>
      <w:r w:rsidRPr="00AB1BE0">
        <w:rPr>
          <w:rFonts w:ascii="Book Antiqua" w:hAnsi="Book Antiqua" w:cs="Book Antiqua"/>
          <w:color w:val="000000"/>
        </w:rPr>
        <w:t>site</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4]</w:t>
      </w:r>
      <w:r w:rsidRPr="00AB1BE0">
        <w:rPr>
          <w:rFonts w:ascii="Book Antiqua" w:hAnsi="Book Antiqua" w:cs="Book Antiqua"/>
          <w:color w:val="000000"/>
        </w:rPr>
        <w:t xml:space="preserve">. A report in Austria showed that in 379 pancreas transplants, GI bleeding occurred in 28 (7.38%) patients, of which 23 (82.14%) patients experienced GI bleeding at the level of the enteric anastomosis, and surgery was required in 25% of GI bleeding </w:t>
      </w:r>
      <w:proofErr w:type="gramStart"/>
      <w:r w:rsidRPr="00AB1BE0">
        <w:rPr>
          <w:rFonts w:ascii="Book Antiqua" w:hAnsi="Book Antiqua" w:cs="Book Antiqua"/>
          <w:color w:val="000000"/>
        </w:rPr>
        <w:t>cases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9]</w:t>
      </w:r>
      <w:r w:rsidRPr="00AB1BE0">
        <w:rPr>
          <w:rFonts w:ascii="Book Antiqua" w:hAnsi="Book Antiqua" w:cs="Book Antiqua"/>
          <w:color w:val="000000"/>
        </w:rPr>
        <w:t xml:space="preserve">. In our study, 20.0% (3/15) of the patients with EA bleeding underwent relaparotomy. </w:t>
      </w:r>
    </w:p>
    <w:p w14:paraId="7CF8A73D" w14:textId="77777777" w:rsidR="003E62DD" w:rsidRPr="00AB1BE0" w:rsidRDefault="003E62DD" w:rsidP="000A34AB">
      <w:pPr>
        <w:adjustRightInd w:val="0"/>
        <w:snapToGrid w:val="0"/>
        <w:spacing w:line="360" w:lineRule="auto"/>
        <w:ind w:firstLineChars="200" w:firstLine="480"/>
        <w:jc w:val="both"/>
        <w:rPr>
          <w:rFonts w:ascii="Book Antiqua" w:hAnsi="Book Antiqua"/>
        </w:rPr>
      </w:pPr>
      <w:r w:rsidRPr="00AB1BE0">
        <w:rPr>
          <w:rFonts w:ascii="Book Antiqua" w:hAnsi="Book Antiqua" w:cs="Book Antiqua"/>
          <w:color w:val="000000"/>
        </w:rPr>
        <w:t xml:space="preserve">With the dramatic improvements in staplers, stapled anastomoses are being used for digestive tract reconstruction in ordinary small intestinal surgery and for pancreas </w:t>
      </w:r>
      <w:proofErr w:type="gramStart"/>
      <w:r w:rsidRPr="00AB1BE0">
        <w:rPr>
          <w:rFonts w:ascii="Book Antiqua" w:hAnsi="Book Antiqua" w:cs="Book Antiqua"/>
          <w:color w:val="000000"/>
        </w:rPr>
        <w:t>transplantation</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15,16]</w:t>
      </w:r>
      <w:r w:rsidRPr="00AB1BE0">
        <w:rPr>
          <w:rFonts w:ascii="Book Antiqua" w:hAnsi="Book Antiqua" w:cs="Book Antiqua"/>
          <w:color w:val="000000"/>
        </w:rPr>
        <w:t xml:space="preserve">. When using a linear cutting stapler for enteric anastomosis, bleeding along the staple line could be controlled by interrupted </w:t>
      </w:r>
      <w:proofErr w:type="gramStart"/>
      <w:r w:rsidRPr="00AB1BE0">
        <w:rPr>
          <w:rFonts w:ascii="Book Antiqua" w:hAnsi="Book Antiqua" w:cs="Book Antiqua"/>
          <w:color w:val="000000"/>
        </w:rPr>
        <w:t>sutures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16]</w:t>
      </w:r>
      <w:r w:rsidRPr="00AB1BE0">
        <w:rPr>
          <w:rFonts w:ascii="Book Antiqua" w:hAnsi="Book Antiqua" w:cs="Book Antiqua"/>
          <w:color w:val="000000"/>
        </w:rPr>
        <w:t xml:space="preserve">. Because the transplanted duodenal segment is usually edematous after blood reperfusion, stapled anastomoses may be unsuitable for the intestinal tract in severe edematous cases. Besides, stapled anastomoses are more expensive than hand-sewn technique especially in developing </w:t>
      </w:r>
      <w:proofErr w:type="gramStart"/>
      <w:r w:rsidRPr="00AB1BE0">
        <w:rPr>
          <w:rFonts w:ascii="Book Antiqua" w:hAnsi="Book Antiqua" w:cs="Book Antiqua"/>
          <w:color w:val="000000"/>
        </w:rPr>
        <w:t>countries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17]</w:t>
      </w:r>
      <w:r w:rsidRPr="00AB1BE0">
        <w:rPr>
          <w:rFonts w:ascii="Book Antiqua" w:hAnsi="Book Antiqua" w:cs="Book Antiqua"/>
          <w:color w:val="000000"/>
        </w:rPr>
        <w:t xml:space="preserve">. Compared with </w:t>
      </w:r>
      <w:proofErr w:type="spellStart"/>
      <w:r w:rsidRPr="00AB1BE0">
        <w:rPr>
          <w:rFonts w:ascii="Book Antiqua" w:hAnsi="Book Antiqua" w:cs="Book Antiqua"/>
          <w:color w:val="000000"/>
        </w:rPr>
        <w:t>duodeno</w:t>
      </w:r>
      <w:proofErr w:type="spellEnd"/>
      <w:r w:rsidRPr="00AB1BE0">
        <w:rPr>
          <w:rFonts w:ascii="Book Antiqua" w:hAnsi="Book Antiqua" w:cs="Book Antiqua"/>
          <w:color w:val="000000"/>
        </w:rPr>
        <w:t xml:space="preserve">-duodenostomy, </w:t>
      </w:r>
      <w:proofErr w:type="spellStart"/>
      <w:r w:rsidRPr="00AB1BE0">
        <w:rPr>
          <w:rFonts w:ascii="Book Antiqua" w:hAnsi="Book Antiqua" w:cs="Book Antiqua"/>
          <w:color w:val="000000"/>
        </w:rPr>
        <w:t>duodeno</w:t>
      </w:r>
      <w:proofErr w:type="spellEnd"/>
      <w:r w:rsidRPr="00AB1BE0">
        <w:rPr>
          <w:rFonts w:ascii="Book Antiqua" w:hAnsi="Book Antiqua" w:cs="Book Antiqua"/>
          <w:color w:val="000000"/>
        </w:rPr>
        <w:t xml:space="preserve">-ileostomy combined with postcava drainage in our study could decrease the surgical </w:t>
      </w:r>
      <w:r w:rsidRPr="00AB1BE0">
        <w:rPr>
          <w:rFonts w:ascii="Book Antiqua" w:hAnsi="Book Antiqua" w:cs="Book Antiqua"/>
          <w:color w:val="000000"/>
        </w:rPr>
        <w:lastRenderedPageBreak/>
        <w:t>difficulty significantly but made it difficult to perform hemostasis by endoscopy in cases of EA bleeding. Therefore, improvements in the hand-sewn technique for ED are still required to decrease morbidity associated with complications related to the transplanted duodenal segment.</w:t>
      </w:r>
    </w:p>
    <w:p w14:paraId="6A34C64B" w14:textId="77777777" w:rsidR="003E62DD" w:rsidRPr="00AB1BE0" w:rsidRDefault="003E62DD" w:rsidP="000A34AB">
      <w:pPr>
        <w:adjustRightInd w:val="0"/>
        <w:snapToGrid w:val="0"/>
        <w:spacing w:line="360" w:lineRule="auto"/>
        <w:ind w:firstLineChars="200" w:firstLine="480"/>
        <w:jc w:val="both"/>
        <w:rPr>
          <w:rFonts w:ascii="Book Antiqua" w:hAnsi="Book Antiqua"/>
        </w:rPr>
      </w:pPr>
      <w:r w:rsidRPr="00AB1BE0">
        <w:rPr>
          <w:rFonts w:ascii="Book Antiqua" w:hAnsi="Book Antiqua" w:cs="Book Antiqua"/>
          <w:color w:val="000000"/>
        </w:rPr>
        <w:t xml:space="preserve">There are abundant vessels in the submucosal plexus of the intestinal </w:t>
      </w:r>
      <w:proofErr w:type="gramStart"/>
      <w:r w:rsidRPr="00AB1BE0">
        <w:rPr>
          <w:rFonts w:ascii="Book Antiqua" w:hAnsi="Book Antiqua" w:cs="Book Antiqua"/>
          <w:color w:val="000000"/>
        </w:rPr>
        <w:t>wall</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18]</w:t>
      </w:r>
      <w:r w:rsidRPr="00AB1BE0">
        <w:rPr>
          <w:rFonts w:ascii="Book Antiqua" w:hAnsi="Book Antiqua" w:cs="Book Antiqua"/>
          <w:color w:val="000000"/>
        </w:rPr>
        <w:t xml:space="preserve">. In one report, ligation or electric coagulation was performed for hemostasis in 46 cases involving anastomoses of the small bowel to the small bowel in the control </w:t>
      </w:r>
      <w:proofErr w:type="gramStart"/>
      <w:r w:rsidRPr="00AB1BE0">
        <w:rPr>
          <w:rFonts w:ascii="Book Antiqua" w:hAnsi="Book Antiqua" w:cs="Book Antiqua"/>
          <w:color w:val="000000"/>
        </w:rPr>
        <w:t>group</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17]</w:t>
      </w:r>
      <w:r w:rsidRPr="00AB1BE0">
        <w:rPr>
          <w:rFonts w:ascii="Book Antiqua" w:hAnsi="Book Antiqua" w:cs="Book Antiqua"/>
          <w:color w:val="000000"/>
        </w:rPr>
        <w:t xml:space="preserve">; however, there is no report involving SPKT cases. GI bleeding that occurs within 7 d of pancreas transplantation with ED usually initiates from the anastomotic suture </w:t>
      </w:r>
      <w:proofErr w:type="gramStart"/>
      <w:r w:rsidRPr="00AB1BE0">
        <w:rPr>
          <w:rFonts w:ascii="Book Antiqua" w:hAnsi="Book Antiqua" w:cs="Book Antiqua"/>
          <w:color w:val="000000"/>
        </w:rPr>
        <w:t>line</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8-9,19]</w:t>
      </w:r>
      <w:r w:rsidRPr="00AB1BE0">
        <w:rPr>
          <w:rFonts w:ascii="Book Antiqua" w:hAnsi="Book Antiqua" w:cs="Book Antiqua"/>
          <w:color w:val="000000"/>
        </w:rPr>
        <w:t xml:space="preserve">. Our study demonstrated that the incidence of EA bleeding within the first </w:t>
      </w:r>
      <w:proofErr w:type="gramStart"/>
      <w:r w:rsidRPr="00AB1BE0">
        <w:rPr>
          <w:rFonts w:ascii="Book Antiqua" w:hAnsi="Book Antiqua" w:cs="Book Antiqua"/>
          <w:color w:val="000000"/>
        </w:rPr>
        <w:t>postoperative  week</w:t>
      </w:r>
      <w:proofErr w:type="gramEnd"/>
      <w:r w:rsidRPr="00AB1BE0">
        <w:rPr>
          <w:rFonts w:ascii="Book Antiqua" w:hAnsi="Book Antiqua" w:cs="Book Antiqua"/>
          <w:color w:val="000000"/>
        </w:rPr>
        <w:t xml:space="preserve"> could be minimized by using a careful plication technique during SPKT. Pancreas transplantation is a complicated transplant procedure, and the surgical experience for pancreas transplantation may influence the success and complication rates of such a complicated transplant procedure. The surgical team in the NSL group possessed much more surgical experience and should achieve lower EA bleeding rate than the relative younger surgical team in the SL group, but our data showed the opposite result: the EA bleeding rate was lower in the SL group. We think that the plication technique affected the EA bleeding rate more than surgical experience, leading to the decreasing EA bleeding rate in the SL group. Non-crushing bowel clamps should be applied to the ileum only, and the mesentery of the ileum should not be clamped, so that bleeding spots at the cut edge of the ileum of the patient could be thoroughly staunched. The blood vessels in the submucous layers might be destroyed by ligation, which may affect the anastomotic stoma healing rate, and cause anastomotic leakage. Compared with no SL, our data showed that plication techniques did not increase the morbidity of anastomotic leakage. </w:t>
      </w:r>
    </w:p>
    <w:p w14:paraId="05A82442" w14:textId="77777777" w:rsidR="003E62DD" w:rsidRPr="00AB1BE0" w:rsidRDefault="003E62DD" w:rsidP="000A34AB">
      <w:pPr>
        <w:adjustRightInd w:val="0"/>
        <w:snapToGrid w:val="0"/>
        <w:spacing w:line="360" w:lineRule="auto"/>
        <w:ind w:firstLineChars="200" w:firstLine="480"/>
        <w:jc w:val="both"/>
        <w:rPr>
          <w:rFonts w:ascii="Book Antiqua" w:hAnsi="Book Antiqua"/>
        </w:rPr>
      </w:pPr>
      <w:r w:rsidRPr="00AB1BE0">
        <w:rPr>
          <w:rFonts w:ascii="Book Antiqua" w:hAnsi="Book Antiqua" w:cs="Book Antiqua"/>
          <w:color w:val="000000"/>
        </w:rPr>
        <w:t xml:space="preserve">Several factors may account for the anastomotic stoma’s propensity for EA bleeding. The transplanted duodenal segment is edematous after blood reperfusion. When edema subsides postoperatively, an onset of anastomotic stoma bleeding might occur at the anastomotic suture line due to the weakening compressive strength of the </w:t>
      </w:r>
      <w:r w:rsidRPr="00AB1BE0">
        <w:rPr>
          <w:rFonts w:ascii="Book Antiqua" w:hAnsi="Book Antiqua" w:cs="Book Antiqua"/>
          <w:color w:val="000000"/>
        </w:rPr>
        <w:lastRenderedPageBreak/>
        <w:t xml:space="preserve">suture thread. Another factor is the exocrine output of the pancreas graft. Trypsinogen enters the small intestine and is stimulated as active trypsin by enterokinase in the small intestine. The </w:t>
      </w:r>
      <w:proofErr w:type="spellStart"/>
      <w:r w:rsidRPr="00AB1BE0">
        <w:rPr>
          <w:rFonts w:ascii="Book Antiqua" w:hAnsi="Book Antiqua" w:cs="Book Antiqua"/>
          <w:color w:val="000000"/>
        </w:rPr>
        <w:t>introrsus</w:t>
      </w:r>
      <w:proofErr w:type="spellEnd"/>
      <w:r w:rsidRPr="00AB1BE0">
        <w:rPr>
          <w:rFonts w:ascii="Book Antiqua" w:hAnsi="Book Antiqua" w:cs="Book Antiqua"/>
          <w:color w:val="000000"/>
        </w:rPr>
        <w:t xml:space="preserve"> cut edges of the bowel at the anastomotic site are directly exposed to the intestinal cavity and corroded by the active trypsin, thus increasing the susceptibility of the anastomotic stoma to bleeding. In 1982, </w:t>
      </w:r>
      <w:proofErr w:type="spellStart"/>
      <w:r w:rsidRPr="00AB1BE0">
        <w:rPr>
          <w:rFonts w:ascii="Book Antiqua" w:hAnsi="Book Antiqua" w:cs="Book Antiqua"/>
          <w:color w:val="000000"/>
        </w:rPr>
        <w:t>Groth</w:t>
      </w:r>
      <w:proofErr w:type="spellEnd"/>
      <w:r w:rsidRPr="00AB1BE0">
        <w:rPr>
          <w:rFonts w:ascii="Book Antiqua" w:hAnsi="Book Antiqua" w:cs="Book Antiqua"/>
          <w:color w:val="000000"/>
        </w:rPr>
        <w:t xml:space="preserve"> </w:t>
      </w:r>
      <w:r w:rsidRPr="00AB1BE0">
        <w:rPr>
          <w:rFonts w:ascii="Book Antiqua" w:hAnsi="Book Antiqua" w:cs="Book Antiqua"/>
          <w:i/>
          <w:iCs/>
          <w:color w:val="000000"/>
        </w:rPr>
        <w:t xml:space="preserve">et </w:t>
      </w:r>
      <w:proofErr w:type="gramStart"/>
      <w:r w:rsidRPr="00AB1BE0">
        <w:rPr>
          <w:rFonts w:ascii="Book Antiqua" w:hAnsi="Book Antiqua" w:cs="Book Antiqua"/>
          <w:i/>
          <w:iCs/>
          <w:color w:val="000000"/>
        </w:rPr>
        <w:t>al</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20]</w:t>
      </w:r>
      <w:r w:rsidRPr="00AB1BE0">
        <w:rPr>
          <w:rFonts w:ascii="Book Antiqua" w:hAnsi="Book Antiqua" w:cs="Book Antiqua"/>
          <w:color w:val="000000"/>
        </w:rPr>
        <w:t xml:space="preserve"> inserted a catheter in the pancreatic duct to protect the anastomosis sutures during the segmental pancreas transplantation. Because of a propensity for thrombosis, most centers use some types of empiric </w:t>
      </w:r>
      <w:proofErr w:type="gramStart"/>
      <w:r w:rsidRPr="00AB1BE0">
        <w:rPr>
          <w:rFonts w:ascii="Book Antiqua" w:hAnsi="Book Antiqua" w:cs="Book Antiqua"/>
          <w:color w:val="000000"/>
        </w:rPr>
        <w:t>thromboprophylaxis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21,22]</w:t>
      </w:r>
      <w:r w:rsidRPr="00AB1BE0">
        <w:rPr>
          <w:rFonts w:ascii="Book Antiqua" w:hAnsi="Book Antiqua" w:cs="Book Antiqua"/>
          <w:color w:val="000000"/>
        </w:rPr>
        <w:t xml:space="preserve">. Poor coagulation function may be a risk factor for EA bleeding in SPKT. Our data showed no relationship between coagulation indicators and EA bleeding (Figure 3). Ulceration with bleeding due to CMV infections has been reported in the duodenal cuff of the transplanted </w:t>
      </w:r>
      <w:proofErr w:type="gramStart"/>
      <w:r w:rsidRPr="00AB1BE0">
        <w:rPr>
          <w:rFonts w:ascii="Book Antiqua" w:hAnsi="Book Antiqua" w:cs="Book Antiqua"/>
          <w:color w:val="000000"/>
        </w:rPr>
        <w:t>pancreas</w:t>
      </w:r>
      <w:r w:rsidRPr="00AB1BE0">
        <w:rPr>
          <w:rFonts w:ascii="Book Antiqua" w:hAnsi="Book Antiqua" w:cs="Book Antiqua"/>
          <w:color w:val="000000"/>
          <w:vertAlign w:val="superscript"/>
        </w:rPr>
        <w:t>[</w:t>
      </w:r>
      <w:proofErr w:type="gramEnd"/>
      <w:r w:rsidRPr="00AB1BE0">
        <w:rPr>
          <w:rFonts w:ascii="Book Antiqua" w:hAnsi="Book Antiqua" w:cs="Book Antiqua"/>
          <w:color w:val="000000"/>
          <w:vertAlign w:val="superscript"/>
        </w:rPr>
        <w:t>23]</w:t>
      </w:r>
      <w:r w:rsidRPr="00AB1BE0">
        <w:rPr>
          <w:rFonts w:ascii="Book Antiqua" w:hAnsi="Book Antiqua" w:cs="Book Antiqua"/>
          <w:color w:val="000000"/>
        </w:rPr>
        <w:t xml:space="preserve">, but CMV infection did not correlate with EA bleeding in our study. </w:t>
      </w:r>
    </w:p>
    <w:p w14:paraId="1E83B8DE" w14:textId="77777777" w:rsidR="003E62DD" w:rsidRPr="00AB1BE0" w:rsidRDefault="003E62DD" w:rsidP="000A34AB">
      <w:pPr>
        <w:adjustRightInd w:val="0"/>
        <w:snapToGrid w:val="0"/>
        <w:spacing w:line="360" w:lineRule="auto"/>
        <w:ind w:firstLine="240"/>
        <w:jc w:val="both"/>
        <w:rPr>
          <w:rFonts w:ascii="Book Antiqua" w:hAnsi="Book Antiqua"/>
        </w:rPr>
      </w:pPr>
      <w:r w:rsidRPr="00AB1BE0">
        <w:rPr>
          <w:rFonts w:ascii="Book Antiqua" w:hAnsi="Book Antiqua" w:cs="Book Antiqua"/>
          <w:color w:val="000000"/>
        </w:rPr>
        <w:t>The first limitation in this study is its retrospective approach. Another limitation of this study is the relatively small number of patients in the SL group; more cases are needed to confirm the benefit of SL technique in SPKT.</w:t>
      </w:r>
    </w:p>
    <w:p w14:paraId="3E57DBAA" w14:textId="77777777" w:rsidR="003E62DD" w:rsidRPr="00AB1BE0" w:rsidRDefault="003E62DD" w:rsidP="000A34AB">
      <w:pPr>
        <w:adjustRightInd w:val="0"/>
        <w:snapToGrid w:val="0"/>
        <w:spacing w:line="360" w:lineRule="auto"/>
        <w:ind w:firstLine="240"/>
        <w:jc w:val="both"/>
        <w:rPr>
          <w:rFonts w:ascii="Book Antiqua" w:hAnsi="Book Antiqua"/>
        </w:rPr>
      </w:pPr>
    </w:p>
    <w:p w14:paraId="4B92D96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t>CONCLUSION</w:t>
      </w:r>
    </w:p>
    <w:p w14:paraId="5BAA492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Compared with no SL, a two-layer running hand-sewn anastomosis with hemostasis by SL at the cut edge of the bowel (ileum of the recipient and duodenum of the donor organ) may help decrease the morbidity of early EA bleeding and the transfusion rate, without increasing the anastomotic leakage rate.</w:t>
      </w:r>
    </w:p>
    <w:p w14:paraId="2EC58B74" w14:textId="77777777" w:rsidR="003E62DD" w:rsidRPr="00AB1BE0" w:rsidRDefault="003E62DD" w:rsidP="000A34AB">
      <w:pPr>
        <w:adjustRightInd w:val="0"/>
        <w:snapToGrid w:val="0"/>
        <w:spacing w:line="360" w:lineRule="auto"/>
        <w:jc w:val="both"/>
        <w:rPr>
          <w:rFonts w:ascii="Book Antiqua" w:hAnsi="Book Antiqua"/>
        </w:rPr>
      </w:pPr>
    </w:p>
    <w:p w14:paraId="6B83A7A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aps/>
          <w:color w:val="000000"/>
          <w:u w:val="single"/>
        </w:rPr>
        <w:t>ARTICLE HIGHLIGHTS</w:t>
      </w:r>
    </w:p>
    <w:p w14:paraId="34C3623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background</w:t>
      </w:r>
    </w:p>
    <w:p w14:paraId="469BF32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As a potentially life-threatening complication of simultaneous pancreas and kidney transplantation (SPKT), enteric anastomotic (EA) bleeding frequently results in surgical relaparotomy and graft loss; therefore, it is essential to decrease the incidence of EA bleeding.</w:t>
      </w:r>
    </w:p>
    <w:p w14:paraId="67CC2630" w14:textId="77777777" w:rsidR="003E62DD" w:rsidRPr="00AB1BE0" w:rsidRDefault="003E62DD" w:rsidP="000A34AB">
      <w:pPr>
        <w:adjustRightInd w:val="0"/>
        <w:snapToGrid w:val="0"/>
        <w:spacing w:line="360" w:lineRule="auto"/>
        <w:jc w:val="both"/>
        <w:rPr>
          <w:rFonts w:ascii="Book Antiqua" w:hAnsi="Book Antiqua"/>
        </w:rPr>
      </w:pPr>
    </w:p>
    <w:p w14:paraId="1DE1E56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lastRenderedPageBreak/>
        <w:t>Research motivation</w:t>
      </w:r>
    </w:p>
    <w:p w14:paraId="7E2AF58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An effort was made for submucosal hemostasis during enteric anastomosis in SPKT with a lower EA bleeding rate.</w:t>
      </w:r>
    </w:p>
    <w:p w14:paraId="511992E8" w14:textId="77777777" w:rsidR="003E62DD" w:rsidRPr="00AB1BE0" w:rsidRDefault="003E62DD" w:rsidP="000A34AB">
      <w:pPr>
        <w:adjustRightInd w:val="0"/>
        <w:snapToGrid w:val="0"/>
        <w:spacing w:line="360" w:lineRule="auto"/>
        <w:jc w:val="both"/>
        <w:rPr>
          <w:rFonts w:ascii="Book Antiqua" w:hAnsi="Book Antiqua"/>
        </w:rPr>
      </w:pPr>
    </w:p>
    <w:p w14:paraId="5D25B2E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objectives</w:t>
      </w:r>
    </w:p>
    <w:p w14:paraId="0A4D6C50"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To investigate the advantages and disadvantages of suture ligation (SL) for submucosal hemostasis during enteric anastomosis on early EA bleeding and anastomotic leakage in SPKT.</w:t>
      </w:r>
    </w:p>
    <w:p w14:paraId="57410078" w14:textId="77777777" w:rsidR="003E62DD" w:rsidRPr="00AB1BE0" w:rsidRDefault="003E62DD" w:rsidP="000A34AB">
      <w:pPr>
        <w:adjustRightInd w:val="0"/>
        <w:snapToGrid w:val="0"/>
        <w:spacing w:line="360" w:lineRule="auto"/>
        <w:jc w:val="both"/>
        <w:rPr>
          <w:rFonts w:ascii="Book Antiqua" w:hAnsi="Book Antiqua"/>
        </w:rPr>
      </w:pPr>
    </w:p>
    <w:p w14:paraId="73BBD967"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methods</w:t>
      </w:r>
    </w:p>
    <w:p w14:paraId="08902E2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We compared the outcomes of 134 patients classified into SL (</w:t>
      </w:r>
      <w:r w:rsidRPr="00AB1BE0">
        <w:rPr>
          <w:rFonts w:ascii="Book Antiqua" w:hAnsi="Book Antiqua" w:cs="Book Antiqua"/>
          <w:i/>
          <w:iCs/>
          <w:color w:val="000000"/>
        </w:rPr>
        <w:t>n</w:t>
      </w:r>
      <w:r w:rsidRPr="00AB1BE0">
        <w:rPr>
          <w:rFonts w:ascii="Book Antiqua" w:hAnsi="Book Antiqua" w:cs="Book Antiqua"/>
          <w:color w:val="000000"/>
        </w:rPr>
        <w:t xml:space="preserve"> = 44) and no SL (NSL) groups (</w:t>
      </w:r>
      <w:r w:rsidRPr="00AB1BE0">
        <w:rPr>
          <w:rFonts w:ascii="Book Antiqua" w:hAnsi="Book Antiqua" w:cs="Book Antiqua"/>
          <w:i/>
          <w:iCs/>
          <w:color w:val="000000"/>
        </w:rPr>
        <w:t>n</w:t>
      </w:r>
      <w:r w:rsidRPr="00AB1BE0">
        <w:rPr>
          <w:rFonts w:ascii="Book Antiqua" w:hAnsi="Book Antiqua" w:cs="Book Antiqua"/>
          <w:color w:val="000000"/>
        </w:rPr>
        <w:t xml:space="preserve"> = 90).</w:t>
      </w:r>
    </w:p>
    <w:p w14:paraId="1E47004F" w14:textId="77777777" w:rsidR="003E62DD" w:rsidRPr="00AB1BE0" w:rsidRDefault="003E62DD" w:rsidP="000A34AB">
      <w:pPr>
        <w:adjustRightInd w:val="0"/>
        <w:snapToGrid w:val="0"/>
        <w:spacing w:line="360" w:lineRule="auto"/>
        <w:jc w:val="both"/>
        <w:rPr>
          <w:rFonts w:ascii="Book Antiqua" w:hAnsi="Book Antiqua"/>
        </w:rPr>
      </w:pPr>
    </w:p>
    <w:p w14:paraId="24E3996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results</w:t>
      </w:r>
    </w:p>
    <w:p w14:paraId="4A8037C4"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During the first postoperative week, the EA bleeding rate in the SL group was lower than that in the NSL group during the first postoperative week. No relationship was found between EA bleeding and donor age, mean pancreatic cold ischemia time, platelet count, prothrombin time international normalized rate, activated partial thromboplastin time, and thrombin time. No significant difference was noted between the two groups in terms of the anastomotic leakage rate, patient survival curve, pancreas graft survival curve, or kidney graft survival curve.</w:t>
      </w:r>
    </w:p>
    <w:p w14:paraId="33E83B03" w14:textId="77777777" w:rsidR="003E62DD" w:rsidRPr="00AB1BE0" w:rsidRDefault="003E62DD" w:rsidP="000A34AB">
      <w:pPr>
        <w:adjustRightInd w:val="0"/>
        <w:snapToGrid w:val="0"/>
        <w:spacing w:line="360" w:lineRule="auto"/>
        <w:jc w:val="both"/>
        <w:rPr>
          <w:rFonts w:ascii="Book Antiqua" w:hAnsi="Book Antiqua"/>
        </w:rPr>
      </w:pPr>
    </w:p>
    <w:p w14:paraId="6F2CAFA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conclusions</w:t>
      </w:r>
    </w:p>
    <w:p w14:paraId="205B005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Compared with no SL, SL for submucosal hemostasis during enteric anastomosis in SPKT can decrease the EA bleeding rate and do not increase the anastomotic leakage rate.</w:t>
      </w:r>
    </w:p>
    <w:p w14:paraId="5E28FAD2" w14:textId="77777777" w:rsidR="003E62DD" w:rsidRPr="00AB1BE0" w:rsidRDefault="003E62DD" w:rsidP="000A34AB">
      <w:pPr>
        <w:adjustRightInd w:val="0"/>
        <w:snapToGrid w:val="0"/>
        <w:spacing w:line="360" w:lineRule="auto"/>
        <w:jc w:val="both"/>
        <w:rPr>
          <w:rFonts w:ascii="Book Antiqua" w:hAnsi="Book Antiqua"/>
        </w:rPr>
      </w:pPr>
    </w:p>
    <w:p w14:paraId="652B35B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i/>
          <w:color w:val="000000"/>
        </w:rPr>
        <w:t>Research perspectives</w:t>
      </w:r>
    </w:p>
    <w:p w14:paraId="45B9594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lastRenderedPageBreak/>
        <w:t>Further clinical randomized controlled studies with a large sample size are needed to confirm the effect of plication techniques on submucosal hemostasis during enteric anastomosis in SPKT in the future.</w:t>
      </w:r>
    </w:p>
    <w:p w14:paraId="72A27C16" w14:textId="77777777" w:rsidR="003E62DD" w:rsidRPr="00AB1BE0" w:rsidRDefault="003E62DD" w:rsidP="000A34AB">
      <w:pPr>
        <w:adjustRightInd w:val="0"/>
        <w:snapToGrid w:val="0"/>
        <w:spacing w:line="360" w:lineRule="auto"/>
        <w:jc w:val="both"/>
        <w:rPr>
          <w:rFonts w:ascii="Book Antiqua" w:hAnsi="Book Antiqua"/>
        </w:rPr>
      </w:pPr>
    </w:p>
    <w:p w14:paraId="5E7F57E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REFERENCES</w:t>
      </w:r>
    </w:p>
    <w:p w14:paraId="565BC86D" w14:textId="77777777" w:rsidR="003E62DD" w:rsidRPr="00AB1BE0" w:rsidRDefault="003E62DD" w:rsidP="000A34AB">
      <w:pPr>
        <w:adjustRightInd w:val="0"/>
        <w:snapToGrid w:val="0"/>
        <w:spacing w:line="360" w:lineRule="auto"/>
        <w:jc w:val="both"/>
        <w:rPr>
          <w:rFonts w:ascii="Book Antiqua" w:hAnsi="Book Antiqua"/>
        </w:rPr>
      </w:pPr>
      <w:bookmarkStart w:id="4" w:name="OLE_LINK23"/>
      <w:r w:rsidRPr="00AB1BE0">
        <w:rPr>
          <w:rFonts w:ascii="Book Antiqua" w:hAnsi="Book Antiqua" w:cs="Book Antiqua"/>
          <w:color w:val="000000"/>
        </w:rPr>
        <w:t xml:space="preserve">1 </w:t>
      </w:r>
      <w:proofErr w:type="spellStart"/>
      <w:r w:rsidRPr="00AB1BE0">
        <w:rPr>
          <w:rFonts w:ascii="Book Antiqua" w:hAnsi="Book Antiqua" w:cs="Book Antiqua"/>
          <w:b/>
          <w:bCs/>
          <w:color w:val="000000"/>
        </w:rPr>
        <w:t>Kandaswamy</w:t>
      </w:r>
      <w:proofErr w:type="spellEnd"/>
      <w:r w:rsidRPr="00AB1BE0">
        <w:rPr>
          <w:rFonts w:ascii="Book Antiqua" w:hAnsi="Book Antiqua" w:cs="Book Antiqua"/>
          <w:b/>
          <w:bCs/>
          <w:color w:val="000000"/>
        </w:rPr>
        <w:t xml:space="preserve"> R</w:t>
      </w:r>
      <w:r w:rsidRPr="00AB1BE0">
        <w:rPr>
          <w:rFonts w:ascii="Book Antiqua" w:hAnsi="Book Antiqua" w:cs="Book Antiqua"/>
          <w:color w:val="000000"/>
        </w:rPr>
        <w:t xml:space="preserve">, Stock PG, Gustafson SK, Skeans MA, Urban R, Fox A, </w:t>
      </w:r>
      <w:proofErr w:type="spellStart"/>
      <w:r w:rsidRPr="00AB1BE0">
        <w:rPr>
          <w:rFonts w:ascii="Book Antiqua" w:hAnsi="Book Antiqua" w:cs="Book Antiqua"/>
          <w:color w:val="000000"/>
        </w:rPr>
        <w:t>Israni</w:t>
      </w:r>
      <w:proofErr w:type="spellEnd"/>
      <w:r w:rsidRPr="00AB1BE0">
        <w:rPr>
          <w:rFonts w:ascii="Book Antiqua" w:hAnsi="Book Antiqua" w:cs="Book Antiqua"/>
          <w:color w:val="000000"/>
        </w:rPr>
        <w:t xml:space="preserve"> AK, Snyder JJ, </w:t>
      </w:r>
      <w:proofErr w:type="spellStart"/>
      <w:r w:rsidRPr="00AB1BE0">
        <w:rPr>
          <w:rFonts w:ascii="Book Antiqua" w:hAnsi="Book Antiqua" w:cs="Book Antiqua"/>
          <w:color w:val="000000"/>
        </w:rPr>
        <w:t>Kasiske</w:t>
      </w:r>
      <w:proofErr w:type="spellEnd"/>
      <w:r w:rsidRPr="00AB1BE0">
        <w:rPr>
          <w:rFonts w:ascii="Book Antiqua" w:hAnsi="Book Antiqua" w:cs="Book Antiqua"/>
          <w:color w:val="000000"/>
        </w:rPr>
        <w:t xml:space="preserve"> BL. OPTN/SRTR 2018 Annual Data Report: Pancreas. </w:t>
      </w:r>
      <w:r w:rsidRPr="00AB1BE0">
        <w:rPr>
          <w:rFonts w:ascii="Book Antiqua" w:hAnsi="Book Antiqua" w:cs="Book Antiqua"/>
          <w:i/>
          <w:iCs/>
          <w:color w:val="000000"/>
        </w:rPr>
        <w:t>Am J Transplant</w:t>
      </w:r>
      <w:r w:rsidRPr="00AB1BE0">
        <w:rPr>
          <w:rFonts w:ascii="Book Antiqua" w:hAnsi="Book Antiqua" w:cs="Book Antiqua"/>
          <w:color w:val="000000"/>
        </w:rPr>
        <w:t xml:space="preserve"> 2020; </w:t>
      </w:r>
      <w:r w:rsidRPr="00AB1BE0">
        <w:rPr>
          <w:rFonts w:ascii="Book Antiqua" w:hAnsi="Book Antiqua" w:cs="Book Antiqua"/>
          <w:b/>
          <w:bCs/>
          <w:color w:val="000000"/>
        </w:rPr>
        <w:t>20</w:t>
      </w:r>
      <w:r w:rsidRPr="00AB1BE0">
        <w:rPr>
          <w:rFonts w:ascii="Book Antiqua" w:hAnsi="Book Antiqua" w:cs="Book Antiqua"/>
          <w:color w:val="000000"/>
        </w:rPr>
        <w:t xml:space="preserve"> Suppl s1: 131-192 [PMID: 31898415 DOI: 10.1111/ajt.15673]</w:t>
      </w:r>
    </w:p>
    <w:p w14:paraId="1A24EE7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2 </w:t>
      </w:r>
      <w:r w:rsidRPr="00AB1BE0">
        <w:rPr>
          <w:rFonts w:ascii="Book Antiqua" w:hAnsi="Book Antiqua" w:cs="Book Antiqua"/>
          <w:b/>
          <w:bCs/>
          <w:color w:val="000000"/>
        </w:rPr>
        <w:t>Kerr HR</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Hatipoglu</w:t>
      </w:r>
      <w:proofErr w:type="spellEnd"/>
      <w:r w:rsidRPr="00AB1BE0">
        <w:rPr>
          <w:rFonts w:ascii="Book Antiqua" w:hAnsi="Book Antiqua" w:cs="Book Antiqua"/>
          <w:color w:val="000000"/>
        </w:rPr>
        <w:t xml:space="preserve"> B, </w:t>
      </w:r>
      <w:proofErr w:type="spellStart"/>
      <w:r w:rsidRPr="00AB1BE0">
        <w:rPr>
          <w:rFonts w:ascii="Book Antiqua" w:hAnsi="Book Antiqua" w:cs="Book Antiqua"/>
          <w:color w:val="000000"/>
        </w:rPr>
        <w:t>Krishnamurthi</w:t>
      </w:r>
      <w:proofErr w:type="spellEnd"/>
      <w:r w:rsidRPr="00AB1BE0">
        <w:rPr>
          <w:rFonts w:ascii="Book Antiqua" w:hAnsi="Book Antiqua" w:cs="Book Antiqua"/>
          <w:color w:val="000000"/>
        </w:rPr>
        <w:t xml:space="preserve"> V. Pancreas transplant for diabetes mellitus. </w:t>
      </w:r>
      <w:r w:rsidRPr="00AB1BE0">
        <w:rPr>
          <w:rFonts w:ascii="Book Antiqua" w:hAnsi="Book Antiqua" w:cs="Book Antiqua"/>
          <w:i/>
          <w:iCs/>
          <w:color w:val="000000"/>
        </w:rPr>
        <w:t>Cleve Clin J Med</w:t>
      </w:r>
      <w:r w:rsidRPr="00AB1BE0">
        <w:rPr>
          <w:rFonts w:ascii="Book Antiqua" w:hAnsi="Book Antiqua" w:cs="Book Antiqua"/>
          <w:color w:val="000000"/>
        </w:rPr>
        <w:t xml:space="preserve"> 2015; </w:t>
      </w:r>
      <w:r w:rsidRPr="00AB1BE0">
        <w:rPr>
          <w:rFonts w:ascii="Book Antiqua" w:hAnsi="Book Antiqua" w:cs="Book Antiqua"/>
          <w:b/>
          <w:bCs/>
          <w:color w:val="000000"/>
        </w:rPr>
        <w:t>82</w:t>
      </w:r>
      <w:r w:rsidRPr="00AB1BE0">
        <w:rPr>
          <w:rFonts w:ascii="Book Antiqua" w:hAnsi="Book Antiqua" w:cs="Book Antiqua"/>
          <w:color w:val="000000"/>
        </w:rPr>
        <w:t>: 738-744 [PMID: 26540324 DOI: 10.3949/ccjm.82a.14090]</w:t>
      </w:r>
    </w:p>
    <w:p w14:paraId="15DC2DA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3 </w:t>
      </w:r>
      <w:proofErr w:type="spellStart"/>
      <w:r w:rsidRPr="00AB1BE0">
        <w:rPr>
          <w:rFonts w:ascii="Book Antiqua" w:hAnsi="Book Antiqua" w:cs="Book Antiqua"/>
          <w:b/>
          <w:bCs/>
          <w:color w:val="000000"/>
        </w:rPr>
        <w:t>Linhares</w:t>
      </w:r>
      <w:proofErr w:type="spellEnd"/>
      <w:r w:rsidRPr="00AB1BE0">
        <w:rPr>
          <w:rFonts w:ascii="Book Antiqua" w:hAnsi="Book Antiqua" w:cs="Book Antiqua"/>
          <w:b/>
          <w:bCs/>
          <w:color w:val="000000"/>
        </w:rPr>
        <w:t xml:space="preserve"> MM</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Beron</w:t>
      </w:r>
      <w:proofErr w:type="spellEnd"/>
      <w:r w:rsidRPr="00AB1BE0">
        <w:rPr>
          <w:rFonts w:ascii="Book Antiqua" w:hAnsi="Book Antiqua" w:cs="Book Antiqua"/>
          <w:color w:val="000000"/>
        </w:rPr>
        <w:t xml:space="preserve"> RI, Gonzalez AM, </w:t>
      </w:r>
      <w:proofErr w:type="spellStart"/>
      <w:r w:rsidRPr="00AB1BE0">
        <w:rPr>
          <w:rFonts w:ascii="Book Antiqua" w:hAnsi="Book Antiqua" w:cs="Book Antiqua"/>
          <w:color w:val="000000"/>
        </w:rPr>
        <w:t>Tarazona</w:t>
      </w:r>
      <w:proofErr w:type="spellEnd"/>
      <w:r w:rsidRPr="00AB1BE0">
        <w:rPr>
          <w:rFonts w:ascii="Book Antiqua" w:hAnsi="Book Antiqua" w:cs="Book Antiqua"/>
          <w:color w:val="000000"/>
        </w:rPr>
        <w:t xml:space="preserve"> C, </w:t>
      </w:r>
      <w:proofErr w:type="spellStart"/>
      <w:r w:rsidRPr="00AB1BE0">
        <w:rPr>
          <w:rFonts w:ascii="Book Antiqua" w:hAnsi="Book Antiqua" w:cs="Book Antiqua"/>
          <w:color w:val="000000"/>
        </w:rPr>
        <w:t>Salzedas</w:t>
      </w:r>
      <w:proofErr w:type="spellEnd"/>
      <w:r w:rsidRPr="00AB1BE0">
        <w:rPr>
          <w:rFonts w:ascii="Book Antiqua" w:hAnsi="Book Antiqua" w:cs="Book Antiqua"/>
          <w:color w:val="000000"/>
        </w:rPr>
        <w:t xml:space="preserve"> A, Rangel EB, Sá JR, </w:t>
      </w:r>
      <w:proofErr w:type="spellStart"/>
      <w:r w:rsidRPr="00AB1BE0">
        <w:rPr>
          <w:rFonts w:ascii="Book Antiqua" w:hAnsi="Book Antiqua" w:cs="Book Antiqua"/>
          <w:color w:val="000000"/>
        </w:rPr>
        <w:t>Melaragno</w:t>
      </w:r>
      <w:proofErr w:type="spellEnd"/>
      <w:r w:rsidRPr="00AB1BE0">
        <w:rPr>
          <w:rFonts w:ascii="Book Antiqua" w:hAnsi="Book Antiqua" w:cs="Book Antiqua"/>
          <w:color w:val="000000"/>
        </w:rPr>
        <w:t xml:space="preserve"> C, Goldman SM, Souza MG, Sato NY, Matos D, Lopes-Filho GJ, Medina JO. Duodenum-stomach anastomosis: a new technique for exocrine drainage in pancreas transplantation. </w:t>
      </w:r>
      <w:r w:rsidRPr="00AB1BE0">
        <w:rPr>
          <w:rFonts w:ascii="Book Antiqua" w:hAnsi="Book Antiqua" w:cs="Book Antiqua"/>
          <w:i/>
          <w:iCs/>
          <w:color w:val="000000"/>
        </w:rPr>
        <w:t xml:space="preserve">J </w:t>
      </w:r>
      <w:proofErr w:type="spellStart"/>
      <w:r w:rsidRPr="00AB1BE0">
        <w:rPr>
          <w:rFonts w:ascii="Book Antiqua" w:hAnsi="Book Antiqua" w:cs="Book Antiqua"/>
          <w:i/>
          <w:iCs/>
          <w:color w:val="000000"/>
        </w:rPr>
        <w:t>Gastrointest</w:t>
      </w:r>
      <w:proofErr w:type="spellEnd"/>
      <w:r w:rsidRPr="00AB1BE0">
        <w:rPr>
          <w:rFonts w:ascii="Book Antiqua" w:hAnsi="Book Antiqua" w:cs="Book Antiqua"/>
          <w:i/>
          <w:iCs/>
          <w:color w:val="000000"/>
        </w:rPr>
        <w:t xml:space="preserve"> Surg</w:t>
      </w:r>
      <w:r w:rsidRPr="00AB1BE0">
        <w:rPr>
          <w:rFonts w:ascii="Book Antiqua" w:hAnsi="Book Antiqua" w:cs="Book Antiqua"/>
          <w:color w:val="000000"/>
        </w:rPr>
        <w:t xml:space="preserve"> 2012; </w:t>
      </w:r>
      <w:r w:rsidRPr="00AB1BE0">
        <w:rPr>
          <w:rFonts w:ascii="Book Antiqua" w:hAnsi="Book Antiqua" w:cs="Book Antiqua"/>
          <w:b/>
          <w:bCs/>
          <w:color w:val="000000"/>
        </w:rPr>
        <w:t>16</w:t>
      </w:r>
      <w:r w:rsidRPr="00AB1BE0">
        <w:rPr>
          <w:rFonts w:ascii="Book Antiqua" w:hAnsi="Book Antiqua" w:cs="Book Antiqua"/>
          <w:color w:val="000000"/>
        </w:rPr>
        <w:t>: 1072-1075 [PMID: 22258867 DOI: 10.1007/s11605-011-1806-1]</w:t>
      </w:r>
    </w:p>
    <w:p w14:paraId="3AD0603F" w14:textId="3E444273"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4 </w:t>
      </w:r>
      <w:r w:rsidRPr="00AB1BE0">
        <w:rPr>
          <w:rFonts w:ascii="Book Antiqua" w:hAnsi="Book Antiqua" w:cs="Book Antiqua"/>
          <w:b/>
          <w:bCs/>
          <w:color w:val="000000"/>
        </w:rPr>
        <w:t>Ryu JH</w:t>
      </w:r>
      <w:r w:rsidRPr="00AB1BE0">
        <w:rPr>
          <w:rFonts w:ascii="Book Antiqua" w:hAnsi="Book Antiqua" w:cs="Book Antiqua"/>
          <w:color w:val="000000"/>
        </w:rPr>
        <w:t xml:space="preserve">, Lee TB, Park YM, Yang KH, Chu CW, Lee JH, Kim T, Choi BH. Pancreas </w:t>
      </w:r>
      <w:r w:rsidRPr="00AB1BE0">
        <w:rPr>
          <w:rFonts w:ascii="Book Antiqua" w:hAnsi="Book Antiqua" w:cs="Book Antiqua"/>
          <w:color w:val="000000"/>
          <w:lang w:eastAsia="zh-CN"/>
        </w:rPr>
        <w:t>t</w:t>
      </w:r>
      <w:r w:rsidRPr="00AB1BE0">
        <w:rPr>
          <w:rFonts w:ascii="Book Antiqua" w:hAnsi="Book Antiqua" w:cs="Book Antiqua"/>
          <w:color w:val="000000"/>
        </w:rPr>
        <w:t xml:space="preserve">ransplant with </w:t>
      </w:r>
      <w:proofErr w:type="spellStart"/>
      <w:r w:rsidRPr="00AB1BE0">
        <w:rPr>
          <w:rFonts w:ascii="Book Antiqua" w:hAnsi="Book Antiqua" w:cs="Book Antiqua"/>
          <w:color w:val="000000"/>
          <w:lang w:eastAsia="zh-CN"/>
        </w:rPr>
        <w:t>d</w:t>
      </w:r>
      <w:r w:rsidRPr="00AB1BE0">
        <w:rPr>
          <w:rFonts w:ascii="Book Antiqua" w:hAnsi="Book Antiqua" w:cs="Book Antiqua"/>
          <w:color w:val="000000"/>
        </w:rPr>
        <w:t>uodeno</w:t>
      </w:r>
      <w:proofErr w:type="spellEnd"/>
      <w:r w:rsidRPr="00AB1BE0">
        <w:rPr>
          <w:rFonts w:ascii="Book Antiqua" w:hAnsi="Book Antiqua" w:cs="Book Antiqua"/>
          <w:color w:val="000000"/>
        </w:rPr>
        <w:t>-</w:t>
      </w:r>
      <w:r w:rsidRPr="00AB1BE0">
        <w:rPr>
          <w:rFonts w:ascii="Book Antiqua" w:hAnsi="Book Antiqua" w:cs="Book Antiqua"/>
          <w:color w:val="000000"/>
          <w:lang w:eastAsia="zh-CN"/>
        </w:rPr>
        <w:t>d</w:t>
      </w:r>
      <w:r w:rsidRPr="00AB1BE0">
        <w:rPr>
          <w:rFonts w:ascii="Book Antiqua" w:hAnsi="Book Antiqua" w:cs="Book Antiqua"/>
          <w:color w:val="000000"/>
        </w:rPr>
        <w:t xml:space="preserve">uodenostomy and </w:t>
      </w:r>
      <w:proofErr w:type="spellStart"/>
      <w:r w:rsidRPr="00AB1BE0">
        <w:rPr>
          <w:rFonts w:ascii="Book Antiqua" w:hAnsi="Book Antiqua" w:cs="Book Antiqua"/>
          <w:color w:val="000000"/>
          <w:lang w:eastAsia="zh-CN"/>
        </w:rPr>
        <w:t>c</w:t>
      </w:r>
      <w:r w:rsidRPr="00AB1BE0">
        <w:rPr>
          <w:rFonts w:ascii="Book Antiqua" w:hAnsi="Book Antiqua" w:cs="Book Antiqua"/>
          <w:color w:val="000000"/>
        </w:rPr>
        <w:t>aval</w:t>
      </w:r>
      <w:proofErr w:type="spellEnd"/>
      <w:r w:rsidRPr="00AB1BE0">
        <w:rPr>
          <w:rFonts w:ascii="Book Antiqua" w:hAnsi="Book Antiqua" w:cs="Book Antiqua"/>
          <w:color w:val="000000"/>
        </w:rPr>
        <w:t xml:space="preserve"> </w:t>
      </w:r>
      <w:r w:rsidRPr="00AB1BE0">
        <w:rPr>
          <w:rFonts w:ascii="Book Antiqua" w:hAnsi="Book Antiqua" w:cs="Book Antiqua"/>
          <w:color w:val="000000"/>
          <w:lang w:eastAsia="zh-CN"/>
        </w:rPr>
        <w:t>d</w:t>
      </w:r>
      <w:r w:rsidRPr="00AB1BE0">
        <w:rPr>
          <w:rFonts w:ascii="Book Antiqua" w:hAnsi="Book Antiqua" w:cs="Book Antiqua"/>
          <w:color w:val="000000"/>
        </w:rPr>
        <w:t xml:space="preserve">rainage </w:t>
      </w:r>
      <w:r w:rsidRPr="00AB1BE0">
        <w:rPr>
          <w:rFonts w:ascii="Book Antiqua" w:hAnsi="Book Antiqua" w:cs="Book Antiqua"/>
          <w:color w:val="000000"/>
          <w:lang w:eastAsia="zh-CN"/>
        </w:rPr>
        <w:t>u</w:t>
      </w:r>
      <w:r w:rsidRPr="00AB1BE0">
        <w:rPr>
          <w:rFonts w:ascii="Book Antiqua" w:hAnsi="Book Antiqua" w:cs="Book Antiqua"/>
          <w:color w:val="000000"/>
        </w:rPr>
        <w:t xml:space="preserve">sing a </w:t>
      </w:r>
      <w:r w:rsidRPr="00AB1BE0">
        <w:rPr>
          <w:rFonts w:ascii="Book Antiqua" w:hAnsi="Book Antiqua" w:cs="Book Antiqua"/>
          <w:color w:val="000000"/>
          <w:lang w:eastAsia="zh-CN"/>
        </w:rPr>
        <w:t>d</w:t>
      </w:r>
      <w:r w:rsidRPr="00AB1BE0">
        <w:rPr>
          <w:rFonts w:ascii="Book Antiqua" w:hAnsi="Book Antiqua" w:cs="Book Antiqua"/>
          <w:color w:val="000000"/>
        </w:rPr>
        <w:t xml:space="preserve">iamond </w:t>
      </w:r>
      <w:r w:rsidRPr="00AB1BE0">
        <w:rPr>
          <w:rFonts w:ascii="Book Antiqua" w:hAnsi="Book Antiqua" w:cs="Book Antiqua"/>
          <w:color w:val="000000"/>
          <w:lang w:eastAsia="zh-CN"/>
        </w:rPr>
        <w:t>p</w:t>
      </w:r>
      <w:r w:rsidRPr="00AB1BE0">
        <w:rPr>
          <w:rFonts w:ascii="Book Antiqua" w:hAnsi="Book Antiqua" w:cs="Book Antiqua"/>
          <w:color w:val="000000"/>
        </w:rPr>
        <w:t xml:space="preserve">atch </w:t>
      </w:r>
      <w:r w:rsidRPr="00AB1BE0">
        <w:rPr>
          <w:rFonts w:ascii="Book Antiqua" w:hAnsi="Book Antiqua" w:cs="Book Antiqua"/>
          <w:color w:val="000000"/>
          <w:lang w:eastAsia="zh-CN"/>
        </w:rPr>
        <w:t>g</w:t>
      </w:r>
      <w:r w:rsidRPr="00AB1BE0">
        <w:rPr>
          <w:rFonts w:ascii="Book Antiqua" w:hAnsi="Book Antiqua" w:cs="Book Antiqua"/>
          <w:color w:val="000000"/>
        </w:rPr>
        <w:t xml:space="preserve">raft: </w:t>
      </w:r>
      <w:r w:rsidRPr="00AB1BE0">
        <w:rPr>
          <w:rFonts w:ascii="Book Antiqua" w:hAnsi="Book Antiqua" w:cs="Book Antiqua"/>
          <w:color w:val="000000"/>
          <w:lang w:eastAsia="zh-CN"/>
        </w:rPr>
        <w:t>a s</w:t>
      </w:r>
      <w:r w:rsidRPr="00AB1BE0">
        <w:rPr>
          <w:rFonts w:ascii="Book Antiqua" w:hAnsi="Book Antiqua" w:cs="Book Antiqua"/>
          <w:color w:val="000000"/>
        </w:rPr>
        <w:t>ingle-</w:t>
      </w:r>
      <w:r w:rsidRPr="00AB1BE0">
        <w:rPr>
          <w:rFonts w:ascii="Book Antiqua" w:hAnsi="Book Antiqua" w:cs="Book Antiqua"/>
          <w:color w:val="000000"/>
          <w:lang w:eastAsia="zh-CN"/>
        </w:rPr>
        <w:t>c</w:t>
      </w:r>
      <w:r w:rsidRPr="00AB1BE0">
        <w:rPr>
          <w:rFonts w:ascii="Book Antiqua" w:hAnsi="Book Antiqua" w:cs="Book Antiqua"/>
          <w:color w:val="000000"/>
        </w:rPr>
        <w:t xml:space="preserve">enter </w:t>
      </w:r>
      <w:r w:rsidRPr="00AB1BE0">
        <w:rPr>
          <w:rFonts w:ascii="Book Antiqua" w:hAnsi="Book Antiqua" w:cs="Book Antiqua"/>
          <w:color w:val="000000"/>
          <w:lang w:eastAsia="zh-CN"/>
        </w:rPr>
        <w:t>e</w:t>
      </w:r>
      <w:r w:rsidRPr="00AB1BE0">
        <w:rPr>
          <w:rFonts w:ascii="Book Antiqua" w:hAnsi="Book Antiqua" w:cs="Book Antiqua"/>
          <w:color w:val="000000"/>
        </w:rPr>
        <w:t xml:space="preserve">xperience. </w:t>
      </w:r>
      <w:r w:rsidRPr="00AB1BE0">
        <w:rPr>
          <w:rFonts w:ascii="Book Antiqua" w:hAnsi="Book Antiqua" w:cs="Book Antiqua"/>
          <w:i/>
          <w:iCs/>
          <w:color w:val="000000"/>
        </w:rPr>
        <w:t>Ann Transplant</w:t>
      </w:r>
      <w:r w:rsidRPr="00AB1BE0">
        <w:rPr>
          <w:rFonts w:ascii="Book Antiqua" w:hAnsi="Book Antiqua" w:cs="Book Antiqua"/>
          <w:color w:val="000000"/>
        </w:rPr>
        <w:t xml:space="preserve"> 2017; </w:t>
      </w:r>
      <w:r w:rsidRPr="00AB1BE0">
        <w:rPr>
          <w:rFonts w:ascii="Book Antiqua" w:hAnsi="Book Antiqua" w:cs="Book Antiqua"/>
          <w:b/>
          <w:bCs/>
          <w:color w:val="000000"/>
        </w:rPr>
        <w:t>22</w:t>
      </w:r>
      <w:r w:rsidRPr="00AB1BE0">
        <w:rPr>
          <w:rFonts w:ascii="Book Antiqua" w:hAnsi="Book Antiqua" w:cs="Book Antiqua"/>
          <w:color w:val="000000"/>
        </w:rPr>
        <w:t>: 24-34 [PMID: 28100901 DOI: 10.12659/aot.901469]</w:t>
      </w:r>
    </w:p>
    <w:p w14:paraId="67091F09" w14:textId="5BB5FE4E"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5 </w:t>
      </w:r>
      <w:r w:rsidRPr="00AB1BE0">
        <w:rPr>
          <w:rFonts w:ascii="Book Antiqua" w:hAnsi="Book Antiqua" w:cs="Book Antiqua"/>
          <w:b/>
          <w:bCs/>
          <w:color w:val="000000"/>
        </w:rPr>
        <w:t>Walter M</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Jazra</w:t>
      </w:r>
      <w:proofErr w:type="spellEnd"/>
      <w:r w:rsidRPr="00AB1BE0">
        <w:rPr>
          <w:rFonts w:ascii="Book Antiqua" w:hAnsi="Book Antiqua" w:cs="Book Antiqua"/>
          <w:color w:val="000000"/>
        </w:rPr>
        <w:t xml:space="preserve"> M, </w:t>
      </w:r>
      <w:proofErr w:type="spellStart"/>
      <w:r w:rsidRPr="00AB1BE0">
        <w:rPr>
          <w:rFonts w:ascii="Book Antiqua" w:hAnsi="Book Antiqua" w:cs="Book Antiqua"/>
          <w:color w:val="000000"/>
        </w:rPr>
        <w:t>Kykalos</w:t>
      </w:r>
      <w:proofErr w:type="spellEnd"/>
      <w:r w:rsidRPr="00AB1BE0">
        <w:rPr>
          <w:rFonts w:ascii="Book Antiqua" w:hAnsi="Book Antiqua" w:cs="Book Antiqua"/>
          <w:color w:val="000000"/>
        </w:rPr>
        <w:t xml:space="preserve"> S, Kuehn P, Michalski S, Klein T, Wunsch A, </w:t>
      </w:r>
      <w:proofErr w:type="spellStart"/>
      <w:r w:rsidRPr="00AB1BE0">
        <w:rPr>
          <w:rFonts w:ascii="Book Antiqua" w:hAnsi="Book Antiqua" w:cs="Book Antiqua"/>
          <w:color w:val="000000"/>
        </w:rPr>
        <w:t>Viebahn</w:t>
      </w:r>
      <w:proofErr w:type="spellEnd"/>
      <w:r w:rsidRPr="00AB1BE0">
        <w:rPr>
          <w:rFonts w:ascii="Book Antiqua" w:hAnsi="Book Antiqua" w:cs="Book Antiqua"/>
          <w:color w:val="000000"/>
        </w:rPr>
        <w:t xml:space="preserve"> R, Schenker P. 125 </w:t>
      </w:r>
      <w:r w:rsidRPr="00AB1BE0">
        <w:rPr>
          <w:rFonts w:ascii="Book Antiqua" w:hAnsi="Book Antiqua" w:cs="Book Antiqua"/>
          <w:color w:val="000000"/>
          <w:lang w:eastAsia="zh-CN"/>
        </w:rPr>
        <w:t>c</w:t>
      </w:r>
      <w:r w:rsidRPr="00AB1BE0">
        <w:rPr>
          <w:rFonts w:ascii="Book Antiqua" w:hAnsi="Book Antiqua" w:cs="Book Antiqua"/>
          <w:color w:val="000000"/>
        </w:rPr>
        <w:t xml:space="preserve">ases of </w:t>
      </w:r>
      <w:proofErr w:type="spellStart"/>
      <w:r w:rsidRPr="00AB1BE0">
        <w:rPr>
          <w:rFonts w:ascii="Book Antiqua" w:hAnsi="Book Antiqua" w:cs="Book Antiqua"/>
          <w:color w:val="000000"/>
        </w:rPr>
        <w:t>duodenoduodenostomy</w:t>
      </w:r>
      <w:proofErr w:type="spellEnd"/>
      <w:r w:rsidRPr="00AB1BE0">
        <w:rPr>
          <w:rFonts w:ascii="Book Antiqua" w:hAnsi="Book Antiqua" w:cs="Book Antiqua"/>
          <w:color w:val="000000"/>
        </w:rPr>
        <w:t xml:space="preserve"> in pancreas transplantation: a single-</w:t>
      </w:r>
      <w:proofErr w:type="spellStart"/>
      <w:r w:rsidRPr="00AB1BE0">
        <w:rPr>
          <w:rFonts w:ascii="Book Antiqua" w:hAnsi="Book Antiqua" w:cs="Book Antiqua"/>
          <w:color w:val="000000"/>
        </w:rPr>
        <w:t>centre</w:t>
      </w:r>
      <w:proofErr w:type="spellEnd"/>
      <w:r w:rsidRPr="00AB1BE0">
        <w:rPr>
          <w:rFonts w:ascii="Book Antiqua" w:hAnsi="Book Antiqua" w:cs="Book Antiqua"/>
          <w:color w:val="000000"/>
        </w:rPr>
        <w:t xml:space="preserve"> experience of an alternative enteric drainage. </w:t>
      </w:r>
      <w:proofErr w:type="spellStart"/>
      <w:r w:rsidRPr="00AB1BE0">
        <w:rPr>
          <w:rFonts w:ascii="Book Antiqua" w:hAnsi="Book Antiqua" w:cs="Book Antiqua"/>
          <w:i/>
          <w:iCs/>
          <w:color w:val="000000"/>
        </w:rPr>
        <w:t>Transpl</w:t>
      </w:r>
      <w:proofErr w:type="spellEnd"/>
      <w:r w:rsidRPr="00AB1BE0">
        <w:rPr>
          <w:rFonts w:ascii="Book Antiqua" w:hAnsi="Book Antiqua" w:cs="Book Antiqua"/>
          <w:i/>
          <w:iCs/>
          <w:color w:val="000000"/>
        </w:rPr>
        <w:t xml:space="preserve"> Int</w:t>
      </w:r>
      <w:r w:rsidRPr="00AB1BE0">
        <w:rPr>
          <w:rFonts w:ascii="Book Antiqua" w:hAnsi="Book Antiqua" w:cs="Book Antiqua"/>
          <w:color w:val="000000"/>
        </w:rPr>
        <w:t xml:space="preserve"> 2014; </w:t>
      </w:r>
      <w:r w:rsidRPr="00AB1BE0">
        <w:rPr>
          <w:rFonts w:ascii="Book Antiqua" w:hAnsi="Book Antiqua" w:cs="Book Antiqua"/>
          <w:b/>
          <w:bCs/>
          <w:color w:val="000000"/>
        </w:rPr>
        <w:t>27</w:t>
      </w:r>
      <w:r w:rsidRPr="00AB1BE0">
        <w:rPr>
          <w:rFonts w:ascii="Book Antiqua" w:hAnsi="Book Antiqua" w:cs="Book Antiqua"/>
          <w:color w:val="000000"/>
        </w:rPr>
        <w:t>: 805-815 [PMID: 24750305 DOI: 10.1111/tri.12337]</w:t>
      </w:r>
    </w:p>
    <w:p w14:paraId="63F8876A"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6 </w:t>
      </w:r>
      <w:proofErr w:type="spellStart"/>
      <w:r w:rsidRPr="00AB1BE0">
        <w:rPr>
          <w:rFonts w:ascii="Book Antiqua" w:hAnsi="Book Antiqua" w:cs="Book Antiqua"/>
          <w:b/>
          <w:bCs/>
          <w:color w:val="000000"/>
        </w:rPr>
        <w:t>Squifflet</w:t>
      </w:r>
      <w:proofErr w:type="spellEnd"/>
      <w:r w:rsidRPr="00AB1BE0">
        <w:rPr>
          <w:rFonts w:ascii="Book Antiqua" w:hAnsi="Book Antiqua" w:cs="Book Antiqua"/>
          <w:b/>
          <w:bCs/>
          <w:color w:val="000000"/>
        </w:rPr>
        <w:t xml:space="preserve"> JP</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Gruessner</w:t>
      </w:r>
      <w:proofErr w:type="spellEnd"/>
      <w:r w:rsidRPr="00AB1BE0">
        <w:rPr>
          <w:rFonts w:ascii="Book Antiqua" w:hAnsi="Book Antiqua" w:cs="Book Antiqua"/>
          <w:color w:val="000000"/>
        </w:rPr>
        <w:t xml:space="preserve"> RW, Sutherland DE. The history of pancreas transplantation: past, present and future. </w:t>
      </w:r>
      <w:r w:rsidRPr="00AB1BE0">
        <w:rPr>
          <w:rFonts w:ascii="Book Antiqua" w:hAnsi="Book Antiqua" w:cs="Book Antiqua"/>
          <w:i/>
          <w:iCs/>
          <w:color w:val="000000"/>
        </w:rPr>
        <w:t xml:space="preserve">Acta </w:t>
      </w:r>
      <w:proofErr w:type="spellStart"/>
      <w:r w:rsidRPr="00AB1BE0">
        <w:rPr>
          <w:rFonts w:ascii="Book Antiqua" w:hAnsi="Book Antiqua" w:cs="Book Antiqua"/>
          <w:i/>
          <w:iCs/>
          <w:color w:val="000000"/>
        </w:rPr>
        <w:t>Chir</w:t>
      </w:r>
      <w:proofErr w:type="spellEnd"/>
      <w:r w:rsidRPr="00AB1BE0">
        <w:rPr>
          <w:rFonts w:ascii="Book Antiqua" w:hAnsi="Book Antiqua" w:cs="Book Antiqua"/>
          <w:i/>
          <w:iCs/>
          <w:color w:val="000000"/>
        </w:rPr>
        <w:t xml:space="preserve"> </w:t>
      </w:r>
      <w:proofErr w:type="spellStart"/>
      <w:r w:rsidRPr="00AB1BE0">
        <w:rPr>
          <w:rFonts w:ascii="Book Antiqua" w:hAnsi="Book Antiqua" w:cs="Book Antiqua"/>
          <w:i/>
          <w:iCs/>
          <w:color w:val="000000"/>
        </w:rPr>
        <w:t>Belg</w:t>
      </w:r>
      <w:proofErr w:type="spellEnd"/>
      <w:r w:rsidRPr="00AB1BE0">
        <w:rPr>
          <w:rFonts w:ascii="Book Antiqua" w:hAnsi="Book Antiqua" w:cs="Book Antiqua"/>
          <w:color w:val="000000"/>
        </w:rPr>
        <w:t xml:space="preserve"> 2008; </w:t>
      </w:r>
      <w:r w:rsidRPr="00AB1BE0">
        <w:rPr>
          <w:rFonts w:ascii="Book Antiqua" w:hAnsi="Book Antiqua" w:cs="Book Antiqua"/>
          <w:b/>
          <w:bCs/>
          <w:color w:val="000000"/>
        </w:rPr>
        <w:t>108</w:t>
      </w:r>
      <w:r w:rsidRPr="00AB1BE0">
        <w:rPr>
          <w:rFonts w:ascii="Book Antiqua" w:hAnsi="Book Antiqua" w:cs="Book Antiqua"/>
          <w:color w:val="000000"/>
        </w:rPr>
        <w:t>: 367-378 [PMID: 18710120 DOI: 10.1080/00015458.2008.11680243]</w:t>
      </w:r>
    </w:p>
    <w:p w14:paraId="506FE3F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7 </w:t>
      </w:r>
      <w:proofErr w:type="spellStart"/>
      <w:r w:rsidRPr="00AB1BE0">
        <w:rPr>
          <w:rFonts w:ascii="Book Antiqua" w:hAnsi="Book Antiqua" w:cs="Book Antiqua"/>
          <w:b/>
          <w:bCs/>
          <w:color w:val="000000"/>
        </w:rPr>
        <w:t>Boggi</w:t>
      </w:r>
      <w:proofErr w:type="spellEnd"/>
      <w:r w:rsidRPr="00AB1BE0">
        <w:rPr>
          <w:rFonts w:ascii="Book Antiqua" w:hAnsi="Book Antiqua" w:cs="Book Antiqua"/>
          <w:b/>
          <w:bCs/>
          <w:color w:val="000000"/>
        </w:rPr>
        <w:t xml:space="preserve"> U</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Vistoli</w:t>
      </w:r>
      <w:proofErr w:type="spellEnd"/>
      <w:r w:rsidRPr="00AB1BE0">
        <w:rPr>
          <w:rFonts w:ascii="Book Antiqua" w:hAnsi="Book Antiqua" w:cs="Book Antiqua"/>
          <w:color w:val="000000"/>
        </w:rPr>
        <w:t xml:space="preserve"> F, Del </w:t>
      </w:r>
      <w:proofErr w:type="spellStart"/>
      <w:r w:rsidRPr="00AB1BE0">
        <w:rPr>
          <w:rFonts w:ascii="Book Antiqua" w:hAnsi="Book Antiqua" w:cs="Book Antiqua"/>
          <w:color w:val="000000"/>
        </w:rPr>
        <w:t>Chiaro</w:t>
      </w:r>
      <w:proofErr w:type="spellEnd"/>
      <w:r w:rsidRPr="00AB1BE0">
        <w:rPr>
          <w:rFonts w:ascii="Book Antiqua" w:hAnsi="Book Antiqua" w:cs="Book Antiqua"/>
          <w:color w:val="000000"/>
        </w:rPr>
        <w:t xml:space="preserve"> M, Moretto C, Croce C, Signori S, </w:t>
      </w:r>
      <w:proofErr w:type="spellStart"/>
      <w:r w:rsidRPr="00AB1BE0">
        <w:rPr>
          <w:rFonts w:ascii="Book Antiqua" w:hAnsi="Book Antiqua" w:cs="Book Antiqua"/>
          <w:color w:val="000000"/>
        </w:rPr>
        <w:t>D'Imporzano</w:t>
      </w:r>
      <w:proofErr w:type="spellEnd"/>
      <w:r w:rsidRPr="00AB1BE0">
        <w:rPr>
          <w:rFonts w:ascii="Book Antiqua" w:hAnsi="Book Antiqua" w:cs="Book Antiqua"/>
          <w:color w:val="000000"/>
        </w:rPr>
        <w:t xml:space="preserve"> S, </w:t>
      </w:r>
      <w:proofErr w:type="spellStart"/>
      <w:r w:rsidRPr="00AB1BE0">
        <w:rPr>
          <w:rFonts w:ascii="Book Antiqua" w:hAnsi="Book Antiqua" w:cs="Book Antiqua"/>
          <w:color w:val="000000"/>
        </w:rPr>
        <w:t>Amorese</w:t>
      </w:r>
      <w:proofErr w:type="spellEnd"/>
      <w:r w:rsidRPr="00AB1BE0">
        <w:rPr>
          <w:rFonts w:ascii="Book Antiqua" w:hAnsi="Book Antiqua" w:cs="Book Antiqua"/>
          <w:color w:val="000000"/>
        </w:rPr>
        <w:t xml:space="preserve"> G, </w:t>
      </w:r>
      <w:proofErr w:type="spellStart"/>
      <w:r w:rsidRPr="00AB1BE0">
        <w:rPr>
          <w:rFonts w:ascii="Book Antiqua" w:hAnsi="Book Antiqua" w:cs="Book Antiqua"/>
          <w:color w:val="000000"/>
        </w:rPr>
        <w:t>Campani</w:t>
      </w:r>
      <w:proofErr w:type="spellEnd"/>
      <w:r w:rsidRPr="00AB1BE0">
        <w:rPr>
          <w:rFonts w:ascii="Book Antiqua" w:hAnsi="Book Antiqua" w:cs="Book Antiqua"/>
          <w:color w:val="000000"/>
        </w:rPr>
        <w:t xml:space="preserve"> D, Calabrese F, </w:t>
      </w:r>
      <w:proofErr w:type="spellStart"/>
      <w:r w:rsidRPr="00AB1BE0">
        <w:rPr>
          <w:rFonts w:ascii="Book Antiqua" w:hAnsi="Book Antiqua" w:cs="Book Antiqua"/>
          <w:color w:val="000000"/>
        </w:rPr>
        <w:t>Capocasale</w:t>
      </w:r>
      <w:proofErr w:type="spellEnd"/>
      <w:r w:rsidRPr="00AB1BE0">
        <w:rPr>
          <w:rFonts w:ascii="Book Antiqua" w:hAnsi="Book Antiqua" w:cs="Book Antiqua"/>
          <w:color w:val="000000"/>
        </w:rPr>
        <w:t xml:space="preserve"> E, Marchetti P. Total duodenectomy with enteric duct drainage: a rescue operation for duodenal complications occurring </w:t>
      </w:r>
      <w:r w:rsidRPr="00AB1BE0">
        <w:rPr>
          <w:rFonts w:ascii="Book Antiqua" w:hAnsi="Book Antiqua" w:cs="Book Antiqua"/>
          <w:color w:val="000000"/>
        </w:rPr>
        <w:lastRenderedPageBreak/>
        <w:t xml:space="preserve">after pancreas transplantation. </w:t>
      </w:r>
      <w:r w:rsidRPr="00AB1BE0">
        <w:rPr>
          <w:rFonts w:ascii="Book Antiqua" w:hAnsi="Book Antiqua" w:cs="Book Antiqua"/>
          <w:i/>
          <w:iCs/>
          <w:color w:val="000000"/>
        </w:rPr>
        <w:t>Am J Transplant</w:t>
      </w:r>
      <w:r w:rsidRPr="00AB1BE0">
        <w:rPr>
          <w:rFonts w:ascii="Book Antiqua" w:hAnsi="Book Antiqua" w:cs="Book Antiqua"/>
          <w:color w:val="000000"/>
        </w:rPr>
        <w:t xml:space="preserve"> 2010; </w:t>
      </w:r>
      <w:r w:rsidRPr="00AB1BE0">
        <w:rPr>
          <w:rFonts w:ascii="Book Antiqua" w:hAnsi="Book Antiqua" w:cs="Book Antiqua"/>
          <w:b/>
          <w:bCs/>
          <w:color w:val="000000"/>
        </w:rPr>
        <w:t>10</w:t>
      </w:r>
      <w:r w:rsidRPr="00AB1BE0">
        <w:rPr>
          <w:rFonts w:ascii="Book Antiqua" w:hAnsi="Book Antiqua" w:cs="Book Antiqua"/>
          <w:color w:val="000000"/>
        </w:rPr>
        <w:t>: 692-697 [PMID: 20121744 DOI: 10.1111/j.1600-6143.</w:t>
      </w:r>
      <w:proofErr w:type="gramStart"/>
      <w:r w:rsidRPr="00AB1BE0">
        <w:rPr>
          <w:rFonts w:ascii="Book Antiqua" w:hAnsi="Book Antiqua" w:cs="Book Antiqua"/>
          <w:color w:val="000000"/>
        </w:rPr>
        <w:t>2009.02981.x</w:t>
      </w:r>
      <w:proofErr w:type="gramEnd"/>
      <w:r w:rsidRPr="00AB1BE0">
        <w:rPr>
          <w:rFonts w:ascii="Book Antiqua" w:hAnsi="Book Antiqua" w:cs="Book Antiqua"/>
          <w:color w:val="000000"/>
        </w:rPr>
        <w:t>]</w:t>
      </w:r>
    </w:p>
    <w:p w14:paraId="6F898199"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8 </w:t>
      </w:r>
      <w:proofErr w:type="spellStart"/>
      <w:r w:rsidRPr="00AB1BE0">
        <w:rPr>
          <w:rFonts w:ascii="Book Antiqua" w:hAnsi="Book Antiqua" w:cs="Book Antiqua"/>
          <w:b/>
          <w:bCs/>
          <w:color w:val="000000"/>
        </w:rPr>
        <w:t>Orsenigo</w:t>
      </w:r>
      <w:proofErr w:type="spellEnd"/>
      <w:r w:rsidRPr="00AB1BE0">
        <w:rPr>
          <w:rFonts w:ascii="Book Antiqua" w:hAnsi="Book Antiqua" w:cs="Book Antiqua"/>
          <w:b/>
          <w:bCs/>
          <w:color w:val="000000"/>
        </w:rPr>
        <w:t xml:space="preserve"> E</w:t>
      </w:r>
      <w:r w:rsidRPr="00AB1BE0">
        <w:rPr>
          <w:rFonts w:ascii="Book Antiqua" w:hAnsi="Book Antiqua" w:cs="Book Antiqua"/>
          <w:color w:val="000000"/>
        </w:rPr>
        <w:t xml:space="preserve">, Fiorina P, </w:t>
      </w:r>
      <w:proofErr w:type="spellStart"/>
      <w:r w:rsidRPr="00AB1BE0">
        <w:rPr>
          <w:rFonts w:ascii="Book Antiqua" w:hAnsi="Book Antiqua" w:cs="Book Antiqua"/>
          <w:color w:val="000000"/>
        </w:rPr>
        <w:t>Dell'Antonio</w:t>
      </w:r>
      <w:proofErr w:type="spellEnd"/>
      <w:r w:rsidRPr="00AB1BE0">
        <w:rPr>
          <w:rFonts w:ascii="Book Antiqua" w:hAnsi="Book Antiqua" w:cs="Book Antiqua"/>
          <w:color w:val="000000"/>
        </w:rPr>
        <w:t xml:space="preserve"> G, </w:t>
      </w:r>
      <w:proofErr w:type="spellStart"/>
      <w:r w:rsidRPr="00AB1BE0">
        <w:rPr>
          <w:rFonts w:ascii="Book Antiqua" w:hAnsi="Book Antiqua" w:cs="Book Antiqua"/>
          <w:color w:val="000000"/>
        </w:rPr>
        <w:t>Cristallo</w:t>
      </w:r>
      <w:proofErr w:type="spellEnd"/>
      <w:r w:rsidRPr="00AB1BE0">
        <w:rPr>
          <w:rFonts w:ascii="Book Antiqua" w:hAnsi="Book Antiqua" w:cs="Book Antiqua"/>
          <w:color w:val="000000"/>
        </w:rPr>
        <w:t xml:space="preserve"> M, </w:t>
      </w:r>
      <w:proofErr w:type="spellStart"/>
      <w:r w:rsidRPr="00AB1BE0">
        <w:rPr>
          <w:rFonts w:ascii="Book Antiqua" w:hAnsi="Book Antiqua" w:cs="Book Antiqua"/>
          <w:color w:val="000000"/>
        </w:rPr>
        <w:t>Socci</w:t>
      </w:r>
      <w:proofErr w:type="spellEnd"/>
      <w:r w:rsidRPr="00AB1BE0">
        <w:rPr>
          <w:rFonts w:ascii="Book Antiqua" w:hAnsi="Book Antiqua" w:cs="Book Antiqua"/>
          <w:color w:val="000000"/>
        </w:rPr>
        <w:t xml:space="preserve"> C, </w:t>
      </w:r>
      <w:proofErr w:type="spellStart"/>
      <w:r w:rsidRPr="00AB1BE0">
        <w:rPr>
          <w:rFonts w:ascii="Book Antiqua" w:hAnsi="Book Antiqua" w:cs="Book Antiqua"/>
          <w:color w:val="000000"/>
        </w:rPr>
        <w:t>Invernizzi</w:t>
      </w:r>
      <w:proofErr w:type="spellEnd"/>
      <w:r w:rsidRPr="00AB1BE0">
        <w:rPr>
          <w:rFonts w:ascii="Book Antiqua" w:hAnsi="Book Antiqua" w:cs="Book Antiqua"/>
          <w:color w:val="000000"/>
        </w:rPr>
        <w:t xml:space="preserve"> L, </w:t>
      </w:r>
      <w:proofErr w:type="spellStart"/>
      <w:r w:rsidRPr="00AB1BE0">
        <w:rPr>
          <w:rFonts w:ascii="Book Antiqua" w:hAnsi="Book Antiqua" w:cs="Book Antiqua"/>
          <w:color w:val="000000"/>
        </w:rPr>
        <w:t>Maffi</w:t>
      </w:r>
      <w:proofErr w:type="spellEnd"/>
      <w:r w:rsidRPr="00AB1BE0">
        <w:rPr>
          <w:rFonts w:ascii="Book Antiqua" w:hAnsi="Book Antiqua" w:cs="Book Antiqua"/>
          <w:color w:val="000000"/>
        </w:rPr>
        <w:t xml:space="preserve"> P, Secchi A, Di Carlo V. Gastrointestinal bleeding from enterically drained transplanted pancreas. </w:t>
      </w:r>
      <w:proofErr w:type="spellStart"/>
      <w:r w:rsidRPr="00AB1BE0">
        <w:rPr>
          <w:rFonts w:ascii="Book Antiqua" w:hAnsi="Book Antiqua" w:cs="Book Antiqua"/>
          <w:i/>
          <w:iCs/>
          <w:color w:val="000000"/>
        </w:rPr>
        <w:t>Transpl</w:t>
      </w:r>
      <w:proofErr w:type="spellEnd"/>
      <w:r w:rsidRPr="00AB1BE0">
        <w:rPr>
          <w:rFonts w:ascii="Book Antiqua" w:hAnsi="Book Antiqua" w:cs="Book Antiqua"/>
          <w:i/>
          <w:iCs/>
          <w:color w:val="000000"/>
        </w:rPr>
        <w:t xml:space="preserve"> Int</w:t>
      </w:r>
      <w:r w:rsidRPr="00AB1BE0">
        <w:rPr>
          <w:rFonts w:ascii="Book Antiqua" w:hAnsi="Book Antiqua" w:cs="Book Antiqua"/>
          <w:color w:val="000000"/>
        </w:rPr>
        <w:t xml:space="preserve"> 2005; </w:t>
      </w:r>
      <w:r w:rsidRPr="00AB1BE0">
        <w:rPr>
          <w:rFonts w:ascii="Book Antiqua" w:hAnsi="Book Antiqua" w:cs="Book Antiqua"/>
          <w:b/>
          <w:bCs/>
          <w:color w:val="000000"/>
        </w:rPr>
        <w:t>18</w:t>
      </w:r>
      <w:r w:rsidRPr="00AB1BE0">
        <w:rPr>
          <w:rFonts w:ascii="Book Antiqua" w:hAnsi="Book Antiqua" w:cs="Book Antiqua"/>
          <w:color w:val="000000"/>
        </w:rPr>
        <w:t>: 296-302 [PMID: 15730489 DOI: 10.1111/j.1432-2277.</w:t>
      </w:r>
      <w:proofErr w:type="gramStart"/>
      <w:r w:rsidRPr="00AB1BE0">
        <w:rPr>
          <w:rFonts w:ascii="Book Antiqua" w:hAnsi="Book Antiqua" w:cs="Book Antiqua"/>
          <w:color w:val="000000"/>
        </w:rPr>
        <w:t>2004.00023.x</w:t>
      </w:r>
      <w:proofErr w:type="gramEnd"/>
      <w:r w:rsidRPr="00AB1BE0">
        <w:rPr>
          <w:rFonts w:ascii="Book Antiqua" w:hAnsi="Book Antiqua" w:cs="Book Antiqua"/>
          <w:color w:val="000000"/>
        </w:rPr>
        <w:t>]</w:t>
      </w:r>
    </w:p>
    <w:p w14:paraId="093DC8F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9 </w:t>
      </w:r>
      <w:r w:rsidRPr="00AB1BE0">
        <w:rPr>
          <w:rFonts w:ascii="Book Antiqua" w:hAnsi="Book Antiqua" w:cs="Book Antiqua"/>
          <w:b/>
          <w:bCs/>
          <w:color w:val="000000"/>
        </w:rPr>
        <w:t>Messner F</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Bösmüller</w:t>
      </w:r>
      <w:proofErr w:type="spellEnd"/>
      <w:r w:rsidRPr="00AB1BE0">
        <w:rPr>
          <w:rFonts w:ascii="Book Antiqua" w:hAnsi="Book Antiqua" w:cs="Book Antiqua"/>
          <w:color w:val="000000"/>
        </w:rPr>
        <w:t xml:space="preserve"> C, </w:t>
      </w:r>
      <w:proofErr w:type="spellStart"/>
      <w:r w:rsidRPr="00AB1BE0">
        <w:rPr>
          <w:rFonts w:ascii="Book Antiqua" w:hAnsi="Book Antiqua" w:cs="Book Antiqua"/>
          <w:color w:val="000000"/>
        </w:rPr>
        <w:t>Oberhuber</w:t>
      </w:r>
      <w:proofErr w:type="spellEnd"/>
      <w:r w:rsidRPr="00AB1BE0">
        <w:rPr>
          <w:rFonts w:ascii="Book Antiqua" w:hAnsi="Book Antiqua" w:cs="Book Antiqua"/>
          <w:color w:val="000000"/>
        </w:rPr>
        <w:t xml:space="preserve"> R, </w:t>
      </w:r>
      <w:proofErr w:type="spellStart"/>
      <w:r w:rsidRPr="00AB1BE0">
        <w:rPr>
          <w:rFonts w:ascii="Book Antiqua" w:hAnsi="Book Antiqua" w:cs="Book Antiqua"/>
          <w:color w:val="000000"/>
        </w:rPr>
        <w:t>Maglione</w:t>
      </w:r>
      <w:proofErr w:type="spellEnd"/>
      <w:r w:rsidRPr="00AB1BE0">
        <w:rPr>
          <w:rFonts w:ascii="Book Antiqua" w:hAnsi="Book Antiqua" w:cs="Book Antiqua"/>
          <w:color w:val="000000"/>
        </w:rPr>
        <w:t xml:space="preserve"> M, </w:t>
      </w:r>
      <w:proofErr w:type="spellStart"/>
      <w:r w:rsidRPr="00AB1BE0">
        <w:rPr>
          <w:rFonts w:ascii="Book Antiqua" w:hAnsi="Book Antiqua" w:cs="Book Antiqua"/>
          <w:color w:val="000000"/>
        </w:rPr>
        <w:t>Cardini</w:t>
      </w:r>
      <w:proofErr w:type="spellEnd"/>
      <w:r w:rsidRPr="00AB1BE0">
        <w:rPr>
          <w:rFonts w:ascii="Book Antiqua" w:hAnsi="Book Antiqua" w:cs="Book Antiqua"/>
          <w:color w:val="000000"/>
        </w:rPr>
        <w:t xml:space="preserve"> B, Resch T, </w:t>
      </w:r>
      <w:proofErr w:type="spellStart"/>
      <w:r w:rsidRPr="00AB1BE0">
        <w:rPr>
          <w:rFonts w:ascii="Book Antiqua" w:hAnsi="Book Antiqua" w:cs="Book Antiqua"/>
          <w:color w:val="000000"/>
        </w:rPr>
        <w:t>Scheidl</w:t>
      </w:r>
      <w:proofErr w:type="spellEnd"/>
      <w:r w:rsidRPr="00AB1BE0">
        <w:rPr>
          <w:rFonts w:ascii="Book Antiqua" w:hAnsi="Book Antiqua" w:cs="Book Antiqua"/>
          <w:color w:val="000000"/>
        </w:rPr>
        <w:t xml:space="preserve"> S, </w:t>
      </w:r>
      <w:proofErr w:type="spellStart"/>
      <w:r w:rsidRPr="00AB1BE0">
        <w:rPr>
          <w:rFonts w:ascii="Book Antiqua" w:hAnsi="Book Antiqua" w:cs="Book Antiqua"/>
          <w:color w:val="000000"/>
        </w:rPr>
        <w:t>Öfner</w:t>
      </w:r>
      <w:proofErr w:type="spellEnd"/>
      <w:r w:rsidRPr="00AB1BE0">
        <w:rPr>
          <w:rFonts w:ascii="Book Antiqua" w:hAnsi="Book Antiqua" w:cs="Book Antiqua"/>
          <w:color w:val="000000"/>
        </w:rPr>
        <w:t xml:space="preserve"> D, </w:t>
      </w:r>
      <w:proofErr w:type="spellStart"/>
      <w:r w:rsidRPr="00AB1BE0">
        <w:rPr>
          <w:rFonts w:ascii="Book Antiqua" w:hAnsi="Book Antiqua" w:cs="Book Antiqua"/>
          <w:color w:val="000000"/>
        </w:rPr>
        <w:t>Schneeberger</w:t>
      </w:r>
      <w:proofErr w:type="spellEnd"/>
      <w:r w:rsidRPr="00AB1BE0">
        <w:rPr>
          <w:rFonts w:ascii="Book Antiqua" w:hAnsi="Book Antiqua" w:cs="Book Antiqua"/>
          <w:color w:val="000000"/>
        </w:rPr>
        <w:t xml:space="preserve"> S, </w:t>
      </w:r>
      <w:proofErr w:type="spellStart"/>
      <w:r w:rsidRPr="00AB1BE0">
        <w:rPr>
          <w:rFonts w:ascii="Book Antiqua" w:hAnsi="Book Antiqua" w:cs="Book Antiqua"/>
          <w:color w:val="000000"/>
        </w:rPr>
        <w:t>Margreiter</w:t>
      </w:r>
      <w:proofErr w:type="spellEnd"/>
      <w:r w:rsidRPr="00AB1BE0">
        <w:rPr>
          <w:rFonts w:ascii="Book Antiqua" w:hAnsi="Book Antiqua" w:cs="Book Antiqua"/>
          <w:color w:val="000000"/>
        </w:rPr>
        <w:t xml:space="preserve"> C. Late recurrent bleeding episodes from duodenojejunostomy after pancreas transplantation. </w:t>
      </w:r>
      <w:r w:rsidRPr="00AB1BE0">
        <w:rPr>
          <w:rFonts w:ascii="Book Antiqua" w:hAnsi="Book Antiqua" w:cs="Book Antiqua"/>
          <w:i/>
          <w:iCs/>
          <w:color w:val="000000"/>
        </w:rPr>
        <w:t>Clin Transplant</w:t>
      </w:r>
      <w:r w:rsidRPr="00AB1BE0">
        <w:rPr>
          <w:rFonts w:ascii="Book Antiqua" w:hAnsi="Book Antiqua" w:cs="Book Antiqua"/>
          <w:color w:val="000000"/>
        </w:rPr>
        <w:t xml:space="preserve"> 2018; </w:t>
      </w:r>
      <w:r w:rsidRPr="00AB1BE0">
        <w:rPr>
          <w:rFonts w:ascii="Book Antiqua" w:hAnsi="Book Antiqua" w:cs="Book Antiqua"/>
          <w:b/>
          <w:bCs/>
          <w:color w:val="000000"/>
        </w:rPr>
        <w:t>32</w:t>
      </w:r>
      <w:r w:rsidRPr="00AB1BE0">
        <w:rPr>
          <w:rFonts w:ascii="Book Antiqua" w:hAnsi="Book Antiqua" w:cs="Book Antiqua"/>
          <w:color w:val="000000"/>
        </w:rPr>
        <w:t>: e13350 [PMID: 30007083 DOI: 10.1111/ctr.13350]</w:t>
      </w:r>
    </w:p>
    <w:p w14:paraId="225455D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10 </w:t>
      </w:r>
      <w:r w:rsidRPr="00AB1BE0">
        <w:rPr>
          <w:rFonts w:ascii="Book Antiqua" w:hAnsi="Book Antiqua" w:cs="Book Antiqua"/>
          <w:b/>
          <w:bCs/>
          <w:color w:val="000000"/>
        </w:rPr>
        <w:t>Li JQ</w:t>
      </w:r>
      <w:r w:rsidRPr="00AB1BE0">
        <w:rPr>
          <w:rFonts w:ascii="Book Antiqua" w:hAnsi="Book Antiqua" w:cs="Book Antiqua"/>
          <w:color w:val="000000"/>
        </w:rPr>
        <w:t xml:space="preserve">, He ZJ, Si ZZ, Hu W, Li YN, Qi HZ. Gastroduodenal arterial reconstruction of the pancreaticoduodenal allograft. </w:t>
      </w:r>
      <w:r w:rsidRPr="00AB1BE0">
        <w:rPr>
          <w:rFonts w:ascii="Book Antiqua" w:hAnsi="Book Antiqua" w:cs="Book Antiqua"/>
          <w:i/>
          <w:iCs/>
          <w:color w:val="000000"/>
        </w:rPr>
        <w:t>Transplant Proc</w:t>
      </w:r>
      <w:r w:rsidRPr="00AB1BE0">
        <w:rPr>
          <w:rFonts w:ascii="Book Antiqua" w:hAnsi="Book Antiqua" w:cs="Book Antiqua"/>
          <w:color w:val="000000"/>
        </w:rPr>
        <w:t xml:space="preserve"> 2011; </w:t>
      </w:r>
      <w:r w:rsidRPr="00AB1BE0">
        <w:rPr>
          <w:rFonts w:ascii="Book Antiqua" w:hAnsi="Book Antiqua" w:cs="Book Antiqua"/>
          <w:b/>
          <w:bCs/>
          <w:color w:val="000000"/>
        </w:rPr>
        <w:t>43</w:t>
      </w:r>
      <w:r w:rsidRPr="00AB1BE0">
        <w:rPr>
          <w:rFonts w:ascii="Book Antiqua" w:hAnsi="Book Antiqua" w:cs="Book Antiqua"/>
          <w:color w:val="000000"/>
        </w:rPr>
        <w:t>: 3905-3907 [PMID: 22172870 DOI: 10.1016/j.transproceed.2011.10.043]</w:t>
      </w:r>
    </w:p>
    <w:p w14:paraId="186F1C30"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11 </w:t>
      </w:r>
      <w:r w:rsidRPr="00AB1BE0">
        <w:rPr>
          <w:rFonts w:ascii="Book Antiqua" w:hAnsi="Book Antiqua" w:cs="Book Antiqua"/>
          <w:b/>
          <w:bCs/>
          <w:color w:val="000000"/>
        </w:rPr>
        <w:t>Tso PL</w:t>
      </w:r>
      <w:r w:rsidRPr="00AB1BE0">
        <w:rPr>
          <w:rFonts w:ascii="Book Antiqua" w:hAnsi="Book Antiqua" w:cs="Book Antiqua"/>
          <w:color w:val="000000"/>
        </w:rPr>
        <w:t xml:space="preserve">, Cash MP, Pearson TC, Larsen CP, Newell KA. Simultaneous pancreas-kidney transplantation utilizing a common arterial conduit: early experience and potential applications. </w:t>
      </w:r>
      <w:r w:rsidRPr="00AB1BE0">
        <w:rPr>
          <w:rFonts w:ascii="Book Antiqua" w:hAnsi="Book Antiqua" w:cs="Book Antiqua"/>
          <w:i/>
          <w:iCs/>
          <w:color w:val="000000"/>
        </w:rPr>
        <w:t>Am J Transplant</w:t>
      </w:r>
      <w:r w:rsidRPr="00AB1BE0">
        <w:rPr>
          <w:rFonts w:ascii="Book Antiqua" w:hAnsi="Book Antiqua" w:cs="Book Antiqua"/>
          <w:color w:val="000000"/>
        </w:rPr>
        <w:t xml:space="preserve"> 2003; </w:t>
      </w:r>
      <w:r w:rsidRPr="00AB1BE0">
        <w:rPr>
          <w:rFonts w:ascii="Book Antiqua" w:hAnsi="Book Antiqua" w:cs="Book Antiqua"/>
          <w:b/>
          <w:bCs/>
          <w:color w:val="000000"/>
        </w:rPr>
        <w:t>3</w:t>
      </w:r>
      <w:r w:rsidRPr="00AB1BE0">
        <w:rPr>
          <w:rFonts w:ascii="Book Antiqua" w:hAnsi="Book Antiqua" w:cs="Book Antiqua"/>
          <w:color w:val="000000"/>
        </w:rPr>
        <w:t>: 1440-1443 [PMID: 14525607 DOI: 10.1046/j.1600-6135.</w:t>
      </w:r>
      <w:proofErr w:type="gramStart"/>
      <w:r w:rsidRPr="00AB1BE0">
        <w:rPr>
          <w:rFonts w:ascii="Book Antiqua" w:hAnsi="Book Antiqua" w:cs="Book Antiqua"/>
          <w:color w:val="000000"/>
        </w:rPr>
        <w:t>2003.00236.x</w:t>
      </w:r>
      <w:proofErr w:type="gramEnd"/>
      <w:r w:rsidRPr="00AB1BE0">
        <w:rPr>
          <w:rFonts w:ascii="Book Antiqua" w:hAnsi="Book Antiqua" w:cs="Book Antiqua"/>
          <w:color w:val="000000"/>
        </w:rPr>
        <w:t>]</w:t>
      </w:r>
    </w:p>
    <w:p w14:paraId="79991E8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12 </w:t>
      </w:r>
      <w:proofErr w:type="spellStart"/>
      <w:r w:rsidRPr="00AB1BE0">
        <w:rPr>
          <w:rFonts w:ascii="Book Antiqua" w:hAnsi="Book Antiqua" w:cs="Book Antiqua"/>
          <w:b/>
          <w:bCs/>
          <w:color w:val="000000"/>
        </w:rPr>
        <w:t>Humar</w:t>
      </w:r>
      <w:proofErr w:type="spellEnd"/>
      <w:r w:rsidRPr="00AB1BE0">
        <w:rPr>
          <w:rFonts w:ascii="Book Antiqua" w:hAnsi="Book Antiqua" w:cs="Book Antiqua"/>
          <w:b/>
          <w:bCs/>
          <w:color w:val="000000"/>
        </w:rPr>
        <w:t xml:space="preserve"> A</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Kandaswamy</w:t>
      </w:r>
      <w:proofErr w:type="spellEnd"/>
      <w:r w:rsidRPr="00AB1BE0">
        <w:rPr>
          <w:rFonts w:ascii="Book Antiqua" w:hAnsi="Book Antiqua" w:cs="Book Antiqua"/>
          <w:color w:val="000000"/>
        </w:rPr>
        <w:t xml:space="preserve"> R, Granger D, </w:t>
      </w:r>
      <w:proofErr w:type="spellStart"/>
      <w:r w:rsidRPr="00AB1BE0">
        <w:rPr>
          <w:rFonts w:ascii="Book Antiqua" w:hAnsi="Book Antiqua" w:cs="Book Antiqua"/>
          <w:color w:val="000000"/>
        </w:rPr>
        <w:t>Gruessner</w:t>
      </w:r>
      <w:proofErr w:type="spellEnd"/>
      <w:r w:rsidRPr="00AB1BE0">
        <w:rPr>
          <w:rFonts w:ascii="Book Antiqua" w:hAnsi="Book Antiqua" w:cs="Book Antiqua"/>
          <w:color w:val="000000"/>
        </w:rPr>
        <w:t xml:space="preserve"> RW, </w:t>
      </w:r>
      <w:proofErr w:type="spellStart"/>
      <w:r w:rsidRPr="00AB1BE0">
        <w:rPr>
          <w:rFonts w:ascii="Book Antiqua" w:hAnsi="Book Antiqua" w:cs="Book Antiqua"/>
          <w:color w:val="000000"/>
        </w:rPr>
        <w:t>Gruessner</w:t>
      </w:r>
      <w:proofErr w:type="spellEnd"/>
      <w:r w:rsidRPr="00AB1BE0">
        <w:rPr>
          <w:rFonts w:ascii="Book Antiqua" w:hAnsi="Book Antiqua" w:cs="Book Antiqua"/>
          <w:color w:val="000000"/>
        </w:rPr>
        <w:t xml:space="preserve"> AC, Sutherland DE. Decreased surgical risks of pancreas transplantation in the modern era. </w:t>
      </w:r>
      <w:r w:rsidRPr="00AB1BE0">
        <w:rPr>
          <w:rFonts w:ascii="Book Antiqua" w:hAnsi="Book Antiqua" w:cs="Book Antiqua"/>
          <w:i/>
          <w:iCs/>
          <w:color w:val="000000"/>
        </w:rPr>
        <w:t>Ann Surg</w:t>
      </w:r>
      <w:r w:rsidRPr="00AB1BE0">
        <w:rPr>
          <w:rFonts w:ascii="Book Antiqua" w:hAnsi="Book Antiqua" w:cs="Book Antiqua"/>
          <w:color w:val="000000"/>
        </w:rPr>
        <w:t xml:space="preserve"> 2000; </w:t>
      </w:r>
      <w:r w:rsidRPr="00AB1BE0">
        <w:rPr>
          <w:rFonts w:ascii="Book Antiqua" w:hAnsi="Book Antiqua" w:cs="Book Antiqua"/>
          <w:b/>
          <w:bCs/>
          <w:color w:val="000000"/>
        </w:rPr>
        <w:t>231</w:t>
      </w:r>
      <w:r w:rsidRPr="00AB1BE0">
        <w:rPr>
          <w:rFonts w:ascii="Book Antiqua" w:hAnsi="Book Antiqua" w:cs="Book Antiqua"/>
          <w:color w:val="000000"/>
        </w:rPr>
        <w:t>: 269-275 [PMID: 10674620 DOI: 10.1097/00000658-200002000-00017]</w:t>
      </w:r>
    </w:p>
    <w:p w14:paraId="0235DB2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13 </w:t>
      </w:r>
      <w:r w:rsidRPr="00AB1BE0">
        <w:rPr>
          <w:rFonts w:ascii="Book Antiqua" w:hAnsi="Book Antiqua" w:cs="Book Antiqua"/>
          <w:b/>
          <w:bCs/>
          <w:color w:val="000000"/>
        </w:rPr>
        <w:t>Kelly WD</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Lillehei</w:t>
      </w:r>
      <w:proofErr w:type="spellEnd"/>
      <w:r w:rsidRPr="00AB1BE0">
        <w:rPr>
          <w:rFonts w:ascii="Book Antiqua" w:hAnsi="Book Antiqua" w:cs="Book Antiqua"/>
          <w:color w:val="000000"/>
        </w:rPr>
        <w:t xml:space="preserve"> RC, Merkel FK, </w:t>
      </w:r>
      <w:proofErr w:type="spellStart"/>
      <w:r w:rsidRPr="00AB1BE0">
        <w:rPr>
          <w:rFonts w:ascii="Book Antiqua" w:hAnsi="Book Antiqua" w:cs="Book Antiqua"/>
          <w:color w:val="000000"/>
        </w:rPr>
        <w:t>Idezuki</w:t>
      </w:r>
      <w:proofErr w:type="spellEnd"/>
      <w:r w:rsidRPr="00AB1BE0">
        <w:rPr>
          <w:rFonts w:ascii="Book Antiqua" w:hAnsi="Book Antiqua" w:cs="Book Antiqua"/>
          <w:color w:val="000000"/>
        </w:rPr>
        <w:t xml:space="preserve"> Y, Goetz FC. Allotransplantation of the pancreas and duodenum along with the kidney in diabetic nephropathy. </w:t>
      </w:r>
      <w:r w:rsidRPr="00AB1BE0">
        <w:rPr>
          <w:rFonts w:ascii="Book Antiqua" w:hAnsi="Book Antiqua" w:cs="Book Antiqua"/>
          <w:i/>
          <w:iCs/>
          <w:color w:val="000000"/>
        </w:rPr>
        <w:t>Surgery</w:t>
      </w:r>
      <w:r w:rsidRPr="00AB1BE0">
        <w:rPr>
          <w:rFonts w:ascii="Book Antiqua" w:hAnsi="Book Antiqua" w:cs="Book Antiqua"/>
          <w:color w:val="000000"/>
        </w:rPr>
        <w:t xml:space="preserve"> 1967; </w:t>
      </w:r>
      <w:r w:rsidRPr="00AB1BE0">
        <w:rPr>
          <w:rFonts w:ascii="Book Antiqua" w:hAnsi="Book Antiqua" w:cs="Book Antiqua"/>
          <w:b/>
          <w:bCs/>
          <w:color w:val="000000"/>
        </w:rPr>
        <w:t>61</w:t>
      </w:r>
      <w:r w:rsidRPr="00AB1BE0">
        <w:rPr>
          <w:rFonts w:ascii="Book Antiqua" w:hAnsi="Book Antiqua" w:cs="Book Antiqua"/>
          <w:color w:val="000000"/>
        </w:rPr>
        <w:t>: 827-837 [PMID: 5338113]</w:t>
      </w:r>
    </w:p>
    <w:p w14:paraId="6724DEB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14 </w:t>
      </w:r>
      <w:proofErr w:type="spellStart"/>
      <w:r w:rsidRPr="00AB1BE0">
        <w:rPr>
          <w:rFonts w:ascii="Book Antiqua" w:hAnsi="Book Antiqua" w:cs="Book Antiqua"/>
          <w:b/>
          <w:bCs/>
          <w:color w:val="000000"/>
        </w:rPr>
        <w:t>Gruessner</w:t>
      </w:r>
      <w:proofErr w:type="spellEnd"/>
      <w:r w:rsidRPr="00AB1BE0">
        <w:rPr>
          <w:rFonts w:ascii="Book Antiqua" w:hAnsi="Book Antiqua" w:cs="Book Antiqua"/>
          <w:b/>
          <w:bCs/>
          <w:color w:val="000000"/>
        </w:rPr>
        <w:t xml:space="preserve"> AC</w:t>
      </w:r>
      <w:r w:rsidRPr="00AB1BE0">
        <w:rPr>
          <w:rFonts w:ascii="Book Antiqua" w:hAnsi="Book Antiqua" w:cs="Book Antiqua"/>
          <w:color w:val="000000"/>
        </w:rPr>
        <w:t xml:space="preserve">. 2011 update on pancreas transplantation: comprehensive trend analysis of 25,000 cases followed up over the course of twenty-four years at the International Pancreas Transplant Registry (IPTR). </w:t>
      </w:r>
      <w:r w:rsidRPr="00AB1BE0">
        <w:rPr>
          <w:rFonts w:ascii="Book Antiqua" w:hAnsi="Book Antiqua" w:cs="Book Antiqua"/>
          <w:i/>
          <w:iCs/>
          <w:color w:val="000000"/>
        </w:rPr>
        <w:t xml:space="preserve">Rev </w:t>
      </w:r>
      <w:proofErr w:type="spellStart"/>
      <w:r w:rsidRPr="00AB1BE0">
        <w:rPr>
          <w:rFonts w:ascii="Book Antiqua" w:hAnsi="Book Antiqua" w:cs="Book Antiqua"/>
          <w:i/>
          <w:iCs/>
          <w:color w:val="000000"/>
        </w:rPr>
        <w:t>Diabet</w:t>
      </w:r>
      <w:proofErr w:type="spellEnd"/>
      <w:r w:rsidRPr="00AB1BE0">
        <w:rPr>
          <w:rFonts w:ascii="Book Antiqua" w:hAnsi="Book Antiqua" w:cs="Book Antiqua"/>
          <w:i/>
          <w:iCs/>
          <w:color w:val="000000"/>
        </w:rPr>
        <w:t xml:space="preserve"> Stud</w:t>
      </w:r>
      <w:r w:rsidRPr="00AB1BE0">
        <w:rPr>
          <w:rFonts w:ascii="Book Antiqua" w:hAnsi="Book Antiqua" w:cs="Book Antiqua"/>
          <w:color w:val="000000"/>
        </w:rPr>
        <w:t xml:space="preserve"> 2011; </w:t>
      </w:r>
      <w:r w:rsidRPr="00AB1BE0">
        <w:rPr>
          <w:rFonts w:ascii="Book Antiqua" w:hAnsi="Book Antiqua" w:cs="Book Antiqua"/>
          <w:b/>
          <w:bCs/>
          <w:color w:val="000000"/>
        </w:rPr>
        <w:t>8</w:t>
      </w:r>
      <w:r w:rsidRPr="00AB1BE0">
        <w:rPr>
          <w:rFonts w:ascii="Book Antiqua" w:hAnsi="Book Antiqua" w:cs="Book Antiqua"/>
          <w:color w:val="000000"/>
        </w:rPr>
        <w:t>: 6-16 [PMID: 21720668 DOI: 10.1900/RDS.2011.8.6]</w:t>
      </w:r>
    </w:p>
    <w:p w14:paraId="0C806514"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lastRenderedPageBreak/>
        <w:t xml:space="preserve">15 </w:t>
      </w:r>
      <w:proofErr w:type="spellStart"/>
      <w:r w:rsidRPr="00AB1BE0">
        <w:rPr>
          <w:rFonts w:ascii="Book Antiqua" w:hAnsi="Book Antiqua" w:cs="Book Antiqua"/>
          <w:b/>
          <w:bCs/>
          <w:color w:val="000000"/>
        </w:rPr>
        <w:t>Verzaro</w:t>
      </w:r>
      <w:proofErr w:type="spellEnd"/>
      <w:r w:rsidRPr="00AB1BE0">
        <w:rPr>
          <w:rFonts w:ascii="Book Antiqua" w:hAnsi="Book Antiqua" w:cs="Book Antiqua"/>
          <w:b/>
          <w:bCs/>
          <w:color w:val="000000"/>
        </w:rPr>
        <w:t xml:space="preserve"> R</w:t>
      </w:r>
      <w:r w:rsidRPr="00AB1BE0">
        <w:rPr>
          <w:rFonts w:ascii="Book Antiqua" w:hAnsi="Book Antiqua" w:cs="Book Antiqua"/>
          <w:color w:val="000000"/>
        </w:rPr>
        <w:t xml:space="preserve">, de Simone P. Use of circular stapler for enteric drainage of the pancreatic graft. </w:t>
      </w:r>
      <w:r w:rsidRPr="00AB1BE0">
        <w:rPr>
          <w:rFonts w:ascii="Book Antiqua" w:hAnsi="Book Antiqua" w:cs="Book Antiqua"/>
          <w:i/>
          <w:iCs/>
          <w:color w:val="000000"/>
        </w:rPr>
        <w:t>J Am Coll Surg</w:t>
      </w:r>
      <w:r w:rsidRPr="00AB1BE0">
        <w:rPr>
          <w:rFonts w:ascii="Book Antiqua" w:hAnsi="Book Antiqua" w:cs="Book Antiqua"/>
          <w:color w:val="000000"/>
        </w:rPr>
        <w:t xml:space="preserve"> 2004; </w:t>
      </w:r>
      <w:r w:rsidRPr="00AB1BE0">
        <w:rPr>
          <w:rFonts w:ascii="Book Antiqua" w:hAnsi="Book Antiqua" w:cs="Book Antiqua"/>
          <w:b/>
          <w:bCs/>
          <w:color w:val="000000"/>
        </w:rPr>
        <w:t>199</w:t>
      </w:r>
      <w:r w:rsidRPr="00AB1BE0">
        <w:rPr>
          <w:rFonts w:ascii="Book Antiqua" w:hAnsi="Book Antiqua" w:cs="Book Antiqua"/>
          <w:color w:val="000000"/>
        </w:rPr>
        <w:t>: 518 [PMID: 15325628 DOI: 10.1016/j.jamcollsurg.2004.05.261]</w:t>
      </w:r>
    </w:p>
    <w:p w14:paraId="34B277E6"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16 </w:t>
      </w:r>
      <w:r w:rsidRPr="00AB1BE0">
        <w:rPr>
          <w:rFonts w:ascii="Book Antiqua" w:hAnsi="Book Antiqua" w:cs="Book Antiqua"/>
          <w:b/>
          <w:bCs/>
          <w:color w:val="000000"/>
        </w:rPr>
        <w:t>Lam VW</w:t>
      </w:r>
      <w:r w:rsidRPr="00AB1BE0">
        <w:rPr>
          <w:rFonts w:ascii="Book Antiqua" w:hAnsi="Book Antiqua" w:cs="Book Antiqua"/>
          <w:color w:val="000000"/>
        </w:rPr>
        <w:t xml:space="preserve">, Wong K, Hawthorne W, Ryan B, Lau H, Robertson P, Allen RD, </w:t>
      </w:r>
      <w:proofErr w:type="spellStart"/>
      <w:r w:rsidRPr="00AB1BE0">
        <w:rPr>
          <w:rFonts w:ascii="Book Antiqua" w:hAnsi="Book Antiqua" w:cs="Book Antiqua"/>
          <w:color w:val="000000"/>
        </w:rPr>
        <w:t>Pleass</w:t>
      </w:r>
      <w:proofErr w:type="spellEnd"/>
      <w:r w:rsidRPr="00AB1BE0">
        <w:rPr>
          <w:rFonts w:ascii="Book Antiqua" w:hAnsi="Book Antiqua" w:cs="Book Antiqua"/>
          <w:color w:val="000000"/>
        </w:rPr>
        <w:t xml:space="preserve"> H. The linear cutting stapler for enteric anastomosis: a new technique in pancreas transplantation. </w:t>
      </w:r>
      <w:proofErr w:type="spellStart"/>
      <w:r w:rsidRPr="00AB1BE0">
        <w:rPr>
          <w:rFonts w:ascii="Book Antiqua" w:hAnsi="Book Antiqua" w:cs="Book Antiqua"/>
          <w:i/>
          <w:iCs/>
          <w:color w:val="000000"/>
        </w:rPr>
        <w:t>Transpl</w:t>
      </w:r>
      <w:proofErr w:type="spellEnd"/>
      <w:r w:rsidRPr="00AB1BE0">
        <w:rPr>
          <w:rFonts w:ascii="Book Antiqua" w:hAnsi="Book Antiqua" w:cs="Book Antiqua"/>
          <w:i/>
          <w:iCs/>
          <w:color w:val="000000"/>
        </w:rPr>
        <w:t xml:space="preserve"> Int</w:t>
      </w:r>
      <w:r w:rsidRPr="00AB1BE0">
        <w:rPr>
          <w:rFonts w:ascii="Book Antiqua" w:hAnsi="Book Antiqua" w:cs="Book Antiqua"/>
          <w:color w:val="000000"/>
        </w:rPr>
        <w:t xml:space="preserve"> 2006; </w:t>
      </w:r>
      <w:r w:rsidRPr="00AB1BE0">
        <w:rPr>
          <w:rFonts w:ascii="Book Antiqua" w:hAnsi="Book Antiqua" w:cs="Book Antiqua"/>
          <w:b/>
          <w:bCs/>
          <w:color w:val="000000"/>
        </w:rPr>
        <w:t>19</w:t>
      </w:r>
      <w:r w:rsidRPr="00AB1BE0">
        <w:rPr>
          <w:rFonts w:ascii="Book Antiqua" w:hAnsi="Book Antiqua" w:cs="Book Antiqua"/>
          <w:color w:val="000000"/>
        </w:rPr>
        <w:t>: 915-918 [PMID: 17018127 DOI: 10.1111/j.1432-2277.</w:t>
      </w:r>
      <w:proofErr w:type="gramStart"/>
      <w:r w:rsidRPr="00AB1BE0">
        <w:rPr>
          <w:rFonts w:ascii="Book Antiqua" w:hAnsi="Book Antiqua" w:cs="Book Antiqua"/>
          <w:color w:val="000000"/>
        </w:rPr>
        <w:t>2006.00368.x</w:t>
      </w:r>
      <w:proofErr w:type="gramEnd"/>
      <w:r w:rsidRPr="00AB1BE0">
        <w:rPr>
          <w:rFonts w:ascii="Book Antiqua" w:hAnsi="Book Antiqua" w:cs="Book Antiqua"/>
          <w:color w:val="000000"/>
        </w:rPr>
        <w:t>]</w:t>
      </w:r>
    </w:p>
    <w:p w14:paraId="3DAE7EE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17 </w:t>
      </w:r>
      <w:r w:rsidRPr="00AB1BE0">
        <w:rPr>
          <w:rFonts w:ascii="Book Antiqua" w:hAnsi="Book Antiqua" w:cs="Book Antiqua"/>
          <w:b/>
          <w:bCs/>
          <w:color w:val="000000"/>
        </w:rPr>
        <w:t>Zhang Q</w:t>
      </w:r>
      <w:r w:rsidRPr="00AB1BE0">
        <w:rPr>
          <w:rFonts w:ascii="Book Antiqua" w:hAnsi="Book Antiqua" w:cs="Book Antiqua"/>
          <w:color w:val="000000"/>
        </w:rPr>
        <w:t xml:space="preserve">, Zeng Q, Lin W, Chen Y, Yu Z, Zhou M, Han S, You J. Single-layer anastomosis without hemostasis in the submucosa layer by electric coagulation or ligation: a novel technique of anastomosis for all gastrointestinal tracts. </w:t>
      </w:r>
      <w:proofErr w:type="spellStart"/>
      <w:r w:rsidRPr="00AB1BE0">
        <w:rPr>
          <w:rFonts w:ascii="Book Antiqua" w:hAnsi="Book Antiqua" w:cs="Book Antiqua"/>
          <w:i/>
          <w:iCs/>
          <w:color w:val="000000"/>
        </w:rPr>
        <w:t>Hepatogastroenterology</w:t>
      </w:r>
      <w:proofErr w:type="spellEnd"/>
      <w:r w:rsidRPr="00AB1BE0">
        <w:rPr>
          <w:rFonts w:ascii="Book Antiqua" w:hAnsi="Book Antiqua" w:cs="Book Antiqua"/>
          <w:color w:val="000000"/>
        </w:rPr>
        <w:t xml:space="preserve"> 2011; </w:t>
      </w:r>
      <w:r w:rsidRPr="00AB1BE0">
        <w:rPr>
          <w:rFonts w:ascii="Book Antiqua" w:hAnsi="Book Antiqua" w:cs="Book Antiqua"/>
          <w:b/>
          <w:bCs/>
          <w:color w:val="000000"/>
        </w:rPr>
        <w:t>58</w:t>
      </w:r>
      <w:r w:rsidRPr="00AB1BE0">
        <w:rPr>
          <w:rFonts w:ascii="Book Antiqua" w:hAnsi="Book Antiqua" w:cs="Book Antiqua"/>
          <w:color w:val="000000"/>
        </w:rPr>
        <w:t>: 96-98 [PMID: 21510293]</w:t>
      </w:r>
    </w:p>
    <w:p w14:paraId="6A4767A4"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18 </w:t>
      </w:r>
      <w:r w:rsidRPr="00AB1BE0">
        <w:rPr>
          <w:rFonts w:ascii="Book Antiqua" w:hAnsi="Book Antiqua" w:cs="Book Antiqua"/>
          <w:b/>
          <w:bCs/>
          <w:color w:val="000000"/>
        </w:rPr>
        <w:t>BOULTER PS</w:t>
      </w:r>
      <w:r w:rsidRPr="00AB1BE0">
        <w:rPr>
          <w:rFonts w:ascii="Book Antiqua" w:hAnsi="Book Antiqua" w:cs="Book Antiqua"/>
          <w:color w:val="000000"/>
        </w:rPr>
        <w:t xml:space="preserve">, PARKS AG. Submucosal vascular patterns of the alimentary tract and their significance. </w:t>
      </w:r>
      <w:r w:rsidRPr="00AB1BE0">
        <w:rPr>
          <w:rFonts w:ascii="Book Antiqua" w:hAnsi="Book Antiqua" w:cs="Book Antiqua"/>
          <w:i/>
          <w:iCs/>
          <w:color w:val="000000"/>
        </w:rPr>
        <w:t>Br J Surg</w:t>
      </w:r>
      <w:r w:rsidRPr="00AB1BE0">
        <w:rPr>
          <w:rFonts w:ascii="Book Antiqua" w:hAnsi="Book Antiqua" w:cs="Book Antiqua"/>
          <w:color w:val="000000"/>
        </w:rPr>
        <w:t xml:space="preserve"> 1960; </w:t>
      </w:r>
      <w:r w:rsidRPr="00AB1BE0">
        <w:rPr>
          <w:rFonts w:ascii="Book Antiqua" w:hAnsi="Book Antiqua" w:cs="Book Antiqua"/>
          <w:b/>
          <w:bCs/>
          <w:color w:val="000000"/>
        </w:rPr>
        <w:t>47</w:t>
      </w:r>
      <w:r w:rsidRPr="00AB1BE0">
        <w:rPr>
          <w:rFonts w:ascii="Book Antiqua" w:hAnsi="Book Antiqua" w:cs="Book Antiqua"/>
          <w:color w:val="000000"/>
        </w:rPr>
        <w:t>: 546-550 [PMID: 13803264 DOI: 10.1002/bjs.18004720518]</w:t>
      </w:r>
    </w:p>
    <w:p w14:paraId="505FE4DB"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19 </w:t>
      </w:r>
      <w:proofErr w:type="spellStart"/>
      <w:r w:rsidRPr="00AB1BE0">
        <w:rPr>
          <w:rFonts w:ascii="Book Antiqua" w:hAnsi="Book Antiqua" w:cs="Book Antiqua"/>
          <w:b/>
          <w:bCs/>
          <w:color w:val="000000"/>
        </w:rPr>
        <w:t>Dhanireddy</w:t>
      </w:r>
      <w:proofErr w:type="spellEnd"/>
      <w:r w:rsidRPr="00AB1BE0">
        <w:rPr>
          <w:rFonts w:ascii="Book Antiqua" w:hAnsi="Book Antiqua" w:cs="Book Antiqua"/>
          <w:b/>
          <w:bCs/>
          <w:color w:val="000000"/>
        </w:rPr>
        <w:t xml:space="preserve"> KK</w:t>
      </w:r>
      <w:r w:rsidRPr="00AB1BE0">
        <w:rPr>
          <w:rFonts w:ascii="Book Antiqua" w:hAnsi="Book Antiqua" w:cs="Book Antiqua"/>
          <w:color w:val="000000"/>
        </w:rPr>
        <w:t xml:space="preserve">. Pancreas transplantation. </w:t>
      </w:r>
      <w:r w:rsidRPr="00AB1BE0">
        <w:rPr>
          <w:rFonts w:ascii="Book Antiqua" w:hAnsi="Book Antiqua" w:cs="Book Antiqua"/>
          <w:i/>
          <w:iCs/>
          <w:color w:val="000000"/>
        </w:rPr>
        <w:t>Gastroenterol Clin North Am</w:t>
      </w:r>
      <w:r w:rsidRPr="00AB1BE0">
        <w:rPr>
          <w:rFonts w:ascii="Book Antiqua" w:hAnsi="Book Antiqua" w:cs="Book Antiqua"/>
          <w:color w:val="000000"/>
        </w:rPr>
        <w:t xml:space="preserve"> 2012; </w:t>
      </w:r>
      <w:r w:rsidRPr="00AB1BE0">
        <w:rPr>
          <w:rFonts w:ascii="Book Antiqua" w:hAnsi="Book Antiqua" w:cs="Book Antiqua"/>
          <w:b/>
          <w:bCs/>
          <w:color w:val="000000"/>
        </w:rPr>
        <w:t>41</w:t>
      </w:r>
      <w:r w:rsidRPr="00AB1BE0">
        <w:rPr>
          <w:rFonts w:ascii="Book Antiqua" w:hAnsi="Book Antiqua" w:cs="Book Antiqua"/>
          <w:color w:val="000000"/>
        </w:rPr>
        <w:t>: 133-142 [PMID: 22341254 DOI: 10.1016/j.gtc.2011.12.002]</w:t>
      </w:r>
    </w:p>
    <w:p w14:paraId="09DB7D14"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20 </w:t>
      </w:r>
      <w:proofErr w:type="spellStart"/>
      <w:r w:rsidRPr="00AB1BE0">
        <w:rPr>
          <w:rFonts w:ascii="Book Antiqua" w:hAnsi="Book Antiqua" w:cs="Book Antiqua"/>
          <w:b/>
          <w:bCs/>
          <w:color w:val="000000"/>
        </w:rPr>
        <w:t>Groth</w:t>
      </w:r>
      <w:proofErr w:type="spellEnd"/>
      <w:r w:rsidRPr="00AB1BE0">
        <w:rPr>
          <w:rFonts w:ascii="Book Antiqua" w:hAnsi="Book Antiqua" w:cs="Book Antiqua"/>
          <w:b/>
          <w:bCs/>
          <w:color w:val="000000"/>
        </w:rPr>
        <w:t xml:space="preserve"> CG</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Collste</w:t>
      </w:r>
      <w:proofErr w:type="spellEnd"/>
      <w:r w:rsidRPr="00AB1BE0">
        <w:rPr>
          <w:rFonts w:ascii="Book Antiqua" w:hAnsi="Book Antiqua" w:cs="Book Antiqua"/>
          <w:color w:val="000000"/>
        </w:rPr>
        <w:t xml:space="preserve"> H, Lundgren G, </w:t>
      </w:r>
      <w:proofErr w:type="spellStart"/>
      <w:r w:rsidRPr="00AB1BE0">
        <w:rPr>
          <w:rFonts w:ascii="Book Antiqua" w:hAnsi="Book Antiqua" w:cs="Book Antiqua"/>
          <w:color w:val="000000"/>
        </w:rPr>
        <w:t>Wilczek</w:t>
      </w:r>
      <w:proofErr w:type="spellEnd"/>
      <w:r w:rsidRPr="00AB1BE0">
        <w:rPr>
          <w:rFonts w:ascii="Book Antiqua" w:hAnsi="Book Antiqua" w:cs="Book Antiqua"/>
          <w:color w:val="000000"/>
        </w:rPr>
        <w:t xml:space="preserve"> H, </w:t>
      </w:r>
      <w:proofErr w:type="spellStart"/>
      <w:r w:rsidRPr="00AB1BE0">
        <w:rPr>
          <w:rFonts w:ascii="Book Antiqua" w:hAnsi="Book Antiqua" w:cs="Book Antiqua"/>
          <w:color w:val="000000"/>
        </w:rPr>
        <w:t>Klintmalm</w:t>
      </w:r>
      <w:proofErr w:type="spellEnd"/>
      <w:r w:rsidRPr="00AB1BE0">
        <w:rPr>
          <w:rFonts w:ascii="Book Antiqua" w:hAnsi="Book Antiqua" w:cs="Book Antiqua"/>
          <w:color w:val="000000"/>
        </w:rPr>
        <w:t xml:space="preserve"> G, </w:t>
      </w:r>
      <w:proofErr w:type="spellStart"/>
      <w:r w:rsidRPr="00AB1BE0">
        <w:rPr>
          <w:rFonts w:ascii="Book Antiqua" w:hAnsi="Book Antiqua" w:cs="Book Antiqua"/>
          <w:color w:val="000000"/>
        </w:rPr>
        <w:t>Ringdén</w:t>
      </w:r>
      <w:proofErr w:type="spellEnd"/>
      <w:r w:rsidRPr="00AB1BE0">
        <w:rPr>
          <w:rFonts w:ascii="Book Antiqua" w:hAnsi="Book Antiqua" w:cs="Book Antiqua"/>
          <w:color w:val="000000"/>
        </w:rPr>
        <w:t xml:space="preserve"> O, Gunnarsson R, </w:t>
      </w:r>
      <w:proofErr w:type="spellStart"/>
      <w:r w:rsidRPr="00AB1BE0">
        <w:rPr>
          <w:rFonts w:ascii="Book Antiqua" w:hAnsi="Book Antiqua" w:cs="Book Antiqua"/>
          <w:color w:val="000000"/>
        </w:rPr>
        <w:t>Ostman</w:t>
      </w:r>
      <w:proofErr w:type="spellEnd"/>
      <w:r w:rsidRPr="00AB1BE0">
        <w:rPr>
          <w:rFonts w:ascii="Book Antiqua" w:hAnsi="Book Antiqua" w:cs="Book Antiqua"/>
          <w:color w:val="000000"/>
        </w:rPr>
        <w:t xml:space="preserve"> J. Successful outcome of segmental human pancreatic transplantation with enteric exocrine diversion after modifications in technique. </w:t>
      </w:r>
      <w:r w:rsidRPr="00AB1BE0">
        <w:rPr>
          <w:rFonts w:ascii="Book Antiqua" w:hAnsi="Book Antiqua" w:cs="Book Antiqua"/>
          <w:i/>
          <w:iCs/>
          <w:color w:val="000000"/>
        </w:rPr>
        <w:t>Lancet</w:t>
      </w:r>
      <w:r w:rsidRPr="00AB1BE0">
        <w:rPr>
          <w:rFonts w:ascii="Book Antiqua" w:hAnsi="Book Antiqua" w:cs="Book Antiqua"/>
          <w:color w:val="000000"/>
        </w:rPr>
        <w:t xml:space="preserve"> 1982; </w:t>
      </w:r>
      <w:r w:rsidRPr="00AB1BE0">
        <w:rPr>
          <w:rFonts w:ascii="Book Antiqua" w:hAnsi="Book Antiqua" w:cs="Book Antiqua"/>
          <w:b/>
          <w:bCs/>
          <w:color w:val="000000"/>
        </w:rPr>
        <w:t>2</w:t>
      </w:r>
      <w:r w:rsidRPr="00AB1BE0">
        <w:rPr>
          <w:rFonts w:ascii="Book Antiqua" w:hAnsi="Book Antiqua" w:cs="Book Antiqua"/>
          <w:color w:val="000000"/>
        </w:rPr>
        <w:t>: 522-524 [PMID: 6125680 DOI: 10.1016/s0140-6736(82)90601-8]</w:t>
      </w:r>
    </w:p>
    <w:p w14:paraId="445A21B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21 </w:t>
      </w:r>
      <w:r w:rsidRPr="00AB1BE0">
        <w:rPr>
          <w:rFonts w:ascii="Book Antiqua" w:hAnsi="Book Antiqua" w:cs="Book Antiqua"/>
          <w:b/>
          <w:bCs/>
          <w:color w:val="000000"/>
        </w:rPr>
        <w:t>Muthusamy AS</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Giangrande</w:t>
      </w:r>
      <w:proofErr w:type="spellEnd"/>
      <w:r w:rsidRPr="00AB1BE0">
        <w:rPr>
          <w:rFonts w:ascii="Book Antiqua" w:hAnsi="Book Antiqua" w:cs="Book Antiqua"/>
          <w:color w:val="000000"/>
        </w:rPr>
        <w:t xml:space="preserve"> PL, Friend PJ. Pancreas allograft thrombosis. </w:t>
      </w:r>
      <w:r w:rsidRPr="00AB1BE0">
        <w:rPr>
          <w:rFonts w:ascii="Book Antiqua" w:hAnsi="Book Antiqua" w:cs="Book Antiqua"/>
          <w:i/>
          <w:iCs/>
          <w:color w:val="000000"/>
        </w:rPr>
        <w:t>Transplantation</w:t>
      </w:r>
      <w:r w:rsidRPr="00AB1BE0">
        <w:rPr>
          <w:rFonts w:ascii="Book Antiqua" w:hAnsi="Book Antiqua" w:cs="Book Antiqua"/>
          <w:color w:val="000000"/>
        </w:rPr>
        <w:t xml:space="preserve"> 2010; </w:t>
      </w:r>
      <w:r w:rsidRPr="00AB1BE0">
        <w:rPr>
          <w:rFonts w:ascii="Book Antiqua" w:hAnsi="Book Antiqua" w:cs="Book Antiqua"/>
          <w:b/>
          <w:bCs/>
          <w:color w:val="000000"/>
        </w:rPr>
        <w:t>90</w:t>
      </w:r>
      <w:r w:rsidRPr="00AB1BE0">
        <w:rPr>
          <w:rFonts w:ascii="Book Antiqua" w:hAnsi="Book Antiqua" w:cs="Book Antiqua"/>
          <w:color w:val="000000"/>
        </w:rPr>
        <w:t>: 705-707 [PMID: 20616765 DOI: 10.1097/TP.0b013e3181eb2ea0]</w:t>
      </w:r>
    </w:p>
    <w:p w14:paraId="50CD0F59" w14:textId="6FE9EFF1"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22 </w:t>
      </w:r>
      <w:proofErr w:type="spellStart"/>
      <w:r w:rsidRPr="00AB1BE0">
        <w:rPr>
          <w:rFonts w:ascii="Book Antiqua" w:hAnsi="Book Antiqua" w:cs="Book Antiqua"/>
          <w:b/>
          <w:bCs/>
          <w:color w:val="000000"/>
        </w:rPr>
        <w:t>Raveh</w:t>
      </w:r>
      <w:proofErr w:type="spellEnd"/>
      <w:r w:rsidRPr="00AB1BE0">
        <w:rPr>
          <w:rFonts w:ascii="Book Antiqua" w:hAnsi="Book Antiqua" w:cs="Book Antiqua"/>
          <w:b/>
          <w:bCs/>
          <w:color w:val="000000"/>
        </w:rPr>
        <w:t xml:space="preserve"> Y</w:t>
      </w:r>
      <w:r w:rsidRPr="00AB1BE0">
        <w:rPr>
          <w:rFonts w:ascii="Book Antiqua" w:hAnsi="Book Antiqua" w:cs="Book Antiqua"/>
          <w:color w:val="000000"/>
        </w:rPr>
        <w:t xml:space="preserve">, </w:t>
      </w:r>
      <w:proofErr w:type="spellStart"/>
      <w:r w:rsidRPr="00AB1BE0">
        <w:rPr>
          <w:rFonts w:ascii="Book Antiqua" w:hAnsi="Book Antiqua" w:cs="Book Antiqua"/>
          <w:color w:val="000000"/>
        </w:rPr>
        <w:t>Ciancio</w:t>
      </w:r>
      <w:proofErr w:type="spellEnd"/>
      <w:r w:rsidRPr="00AB1BE0">
        <w:rPr>
          <w:rFonts w:ascii="Book Antiqua" w:hAnsi="Book Antiqua" w:cs="Book Antiqua"/>
          <w:color w:val="000000"/>
        </w:rPr>
        <w:t xml:space="preserve"> G, Burke GW, </w:t>
      </w:r>
      <w:proofErr w:type="spellStart"/>
      <w:r w:rsidRPr="00AB1BE0">
        <w:rPr>
          <w:rFonts w:ascii="Book Antiqua" w:hAnsi="Book Antiqua" w:cs="Book Antiqua"/>
          <w:color w:val="000000"/>
        </w:rPr>
        <w:t>Figueiro</w:t>
      </w:r>
      <w:proofErr w:type="spellEnd"/>
      <w:r w:rsidRPr="00AB1BE0">
        <w:rPr>
          <w:rFonts w:ascii="Book Antiqua" w:hAnsi="Book Antiqua" w:cs="Book Antiqua"/>
          <w:color w:val="000000"/>
        </w:rPr>
        <w:t xml:space="preserve"> J, Chen L, Morsi M, </w:t>
      </w:r>
      <w:proofErr w:type="spellStart"/>
      <w:r w:rsidRPr="00AB1BE0">
        <w:rPr>
          <w:rFonts w:ascii="Book Antiqua" w:hAnsi="Book Antiqua" w:cs="Book Antiqua"/>
          <w:color w:val="000000"/>
        </w:rPr>
        <w:t>Namias</w:t>
      </w:r>
      <w:proofErr w:type="spellEnd"/>
      <w:r w:rsidRPr="00AB1BE0">
        <w:rPr>
          <w:rFonts w:ascii="Book Antiqua" w:hAnsi="Book Antiqua" w:cs="Book Antiqua"/>
          <w:color w:val="000000"/>
        </w:rPr>
        <w:t xml:space="preserve"> N, Singh BP, Lindsay M, </w:t>
      </w:r>
      <w:proofErr w:type="spellStart"/>
      <w:r w:rsidRPr="00AB1BE0">
        <w:rPr>
          <w:rFonts w:ascii="Book Antiqua" w:hAnsi="Book Antiqua" w:cs="Book Antiqua"/>
          <w:color w:val="000000"/>
        </w:rPr>
        <w:t>Alfahel</w:t>
      </w:r>
      <w:proofErr w:type="spellEnd"/>
      <w:r w:rsidRPr="00AB1BE0">
        <w:rPr>
          <w:rFonts w:ascii="Book Antiqua" w:hAnsi="Book Antiqua" w:cs="Book Antiqua"/>
          <w:color w:val="000000"/>
        </w:rPr>
        <w:t xml:space="preserve"> W, </w:t>
      </w:r>
      <w:proofErr w:type="spellStart"/>
      <w:r w:rsidRPr="00AB1BE0">
        <w:rPr>
          <w:rFonts w:ascii="Book Antiqua" w:hAnsi="Book Antiqua" w:cs="Book Antiqua"/>
          <w:color w:val="000000"/>
        </w:rPr>
        <w:t>Sleem</w:t>
      </w:r>
      <w:proofErr w:type="spellEnd"/>
      <w:r w:rsidRPr="00AB1BE0">
        <w:rPr>
          <w:rFonts w:ascii="Book Antiqua" w:hAnsi="Book Antiqua" w:cs="Book Antiqua"/>
          <w:color w:val="000000"/>
        </w:rPr>
        <w:t xml:space="preserve"> MS, </w:t>
      </w:r>
      <w:proofErr w:type="spellStart"/>
      <w:r w:rsidRPr="00AB1BE0">
        <w:rPr>
          <w:rFonts w:ascii="Book Antiqua" w:hAnsi="Book Antiqua" w:cs="Book Antiqua"/>
          <w:color w:val="000000"/>
        </w:rPr>
        <w:t>Nicolau-Raducu</w:t>
      </w:r>
      <w:proofErr w:type="spellEnd"/>
      <w:r w:rsidRPr="00AB1BE0">
        <w:rPr>
          <w:rFonts w:ascii="Book Antiqua" w:hAnsi="Book Antiqua" w:cs="Book Antiqua"/>
          <w:color w:val="000000"/>
        </w:rPr>
        <w:t xml:space="preserve"> R. Susceptibility-directed anticoagulation after pancreas transplantation: </w:t>
      </w:r>
      <w:r w:rsidRPr="00AB1BE0">
        <w:rPr>
          <w:rFonts w:ascii="Book Antiqua" w:hAnsi="Book Antiqua" w:cs="Book Antiqua"/>
          <w:color w:val="000000"/>
          <w:lang w:eastAsia="zh-CN"/>
        </w:rPr>
        <w:t xml:space="preserve">a </w:t>
      </w:r>
      <w:r w:rsidRPr="00AB1BE0">
        <w:rPr>
          <w:rFonts w:ascii="Book Antiqua" w:hAnsi="Book Antiqua" w:cs="Book Antiqua"/>
          <w:color w:val="000000"/>
        </w:rPr>
        <w:t xml:space="preserve">single-center retrospective study. </w:t>
      </w:r>
      <w:r w:rsidRPr="00AB1BE0">
        <w:rPr>
          <w:rFonts w:ascii="Book Antiqua" w:hAnsi="Book Antiqua" w:cs="Book Antiqua"/>
          <w:i/>
          <w:iCs/>
          <w:color w:val="000000"/>
        </w:rPr>
        <w:t>Clin Transplant</w:t>
      </w:r>
      <w:r w:rsidRPr="00AB1BE0">
        <w:rPr>
          <w:rFonts w:ascii="Book Antiqua" w:hAnsi="Book Antiqua" w:cs="Book Antiqua"/>
          <w:color w:val="000000"/>
        </w:rPr>
        <w:t xml:space="preserve"> 2019; </w:t>
      </w:r>
      <w:r w:rsidRPr="00AB1BE0">
        <w:rPr>
          <w:rFonts w:ascii="Book Antiqua" w:hAnsi="Book Antiqua" w:cs="Book Antiqua"/>
          <w:b/>
          <w:bCs/>
          <w:color w:val="000000"/>
        </w:rPr>
        <w:t>33</w:t>
      </w:r>
      <w:r w:rsidRPr="00AB1BE0">
        <w:rPr>
          <w:rFonts w:ascii="Book Antiqua" w:hAnsi="Book Antiqua" w:cs="Book Antiqua"/>
          <w:color w:val="000000"/>
        </w:rPr>
        <w:t>: e13619 [PMID: 31152563 DOI: 10.1111/ctr.13619]</w:t>
      </w:r>
    </w:p>
    <w:p w14:paraId="65D2B24E"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 xml:space="preserve">23 </w:t>
      </w:r>
      <w:r w:rsidRPr="00AB1BE0">
        <w:rPr>
          <w:rFonts w:ascii="Book Antiqua" w:hAnsi="Book Antiqua" w:cs="Book Antiqua"/>
          <w:b/>
          <w:bCs/>
          <w:color w:val="000000"/>
        </w:rPr>
        <w:t>Barone GW</w:t>
      </w:r>
      <w:r w:rsidRPr="00AB1BE0">
        <w:rPr>
          <w:rFonts w:ascii="Book Antiqua" w:hAnsi="Book Antiqua" w:cs="Book Antiqua"/>
          <w:color w:val="000000"/>
        </w:rPr>
        <w:t xml:space="preserve">, Webb JW, </w:t>
      </w:r>
      <w:proofErr w:type="spellStart"/>
      <w:r w:rsidRPr="00AB1BE0">
        <w:rPr>
          <w:rFonts w:ascii="Book Antiqua" w:hAnsi="Book Antiqua" w:cs="Book Antiqua"/>
          <w:color w:val="000000"/>
        </w:rPr>
        <w:t>Hudec</w:t>
      </w:r>
      <w:proofErr w:type="spellEnd"/>
      <w:r w:rsidRPr="00AB1BE0">
        <w:rPr>
          <w:rFonts w:ascii="Book Antiqua" w:hAnsi="Book Antiqua" w:cs="Book Antiqua"/>
          <w:color w:val="000000"/>
        </w:rPr>
        <w:t xml:space="preserve"> WA. The enteric drained pancreas transplant: another potential source of gastrointestinal bleeding. </w:t>
      </w:r>
      <w:r w:rsidRPr="00AB1BE0">
        <w:rPr>
          <w:rFonts w:ascii="Book Antiqua" w:hAnsi="Book Antiqua" w:cs="Book Antiqua"/>
          <w:i/>
          <w:iCs/>
          <w:color w:val="000000"/>
        </w:rPr>
        <w:t>Am J Gastroenterol</w:t>
      </w:r>
      <w:r w:rsidRPr="00AB1BE0">
        <w:rPr>
          <w:rFonts w:ascii="Book Antiqua" w:hAnsi="Book Antiqua" w:cs="Book Antiqua"/>
          <w:color w:val="000000"/>
        </w:rPr>
        <w:t xml:space="preserve"> 1998; </w:t>
      </w:r>
      <w:r w:rsidRPr="00AB1BE0">
        <w:rPr>
          <w:rFonts w:ascii="Book Antiqua" w:hAnsi="Book Antiqua" w:cs="Book Antiqua"/>
          <w:b/>
          <w:bCs/>
          <w:color w:val="000000"/>
        </w:rPr>
        <w:t>93</w:t>
      </w:r>
      <w:r w:rsidRPr="00AB1BE0">
        <w:rPr>
          <w:rFonts w:ascii="Book Antiqua" w:hAnsi="Book Antiqua" w:cs="Book Antiqua"/>
          <w:color w:val="000000"/>
        </w:rPr>
        <w:t>: 1369-1371 [PMID: 9707069 DOI: 10.1111/j.1572-0241.1998.420_a.x]</w:t>
      </w:r>
    </w:p>
    <w:bookmarkEnd w:id="4"/>
    <w:p w14:paraId="5F0F4688" w14:textId="77777777" w:rsidR="003E62DD" w:rsidRPr="00AB1BE0" w:rsidRDefault="003E62DD" w:rsidP="000A34AB">
      <w:pPr>
        <w:adjustRightInd w:val="0"/>
        <w:snapToGrid w:val="0"/>
        <w:spacing w:line="360" w:lineRule="auto"/>
        <w:jc w:val="both"/>
        <w:rPr>
          <w:rFonts w:ascii="Book Antiqua" w:hAnsi="Book Antiqua"/>
        </w:rPr>
        <w:sectPr w:rsidR="003E62DD" w:rsidRPr="00AB1BE0">
          <w:pgSz w:w="12240" w:h="15840"/>
          <w:pgMar w:top="1440" w:right="1440" w:bottom="1440" w:left="1440" w:header="720" w:footer="720" w:gutter="0"/>
          <w:cols w:space="720"/>
          <w:docGrid w:linePitch="360"/>
        </w:sectPr>
      </w:pPr>
    </w:p>
    <w:p w14:paraId="6811B455"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lastRenderedPageBreak/>
        <w:t>Footnotes</w:t>
      </w:r>
    </w:p>
    <w:p w14:paraId="0A40146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Institutional review board statement: </w:t>
      </w:r>
      <w:r w:rsidRPr="00AB1BE0">
        <w:rPr>
          <w:rFonts w:ascii="Book Antiqua" w:hAnsi="Book Antiqua" w:cs="Book Antiqua"/>
          <w:color w:val="000000"/>
        </w:rPr>
        <w:t>The study was approved by the clinical research ethics committee of the Tianjin First Central Hospital.</w:t>
      </w:r>
    </w:p>
    <w:p w14:paraId="575C2A28" w14:textId="77777777" w:rsidR="003E62DD" w:rsidRPr="00AB1BE0" w:rsidRDefault="003E62DD" w:rsidP="000A34AB">
      <w:pPr>
        <w:adjustRightInd w:val="0"/>
        <w:snapToGrid w:val="0"/>
        <w:spacing w:line="360" w:lineRule="auto"/>
        <w:jc w:val="both"/>
        <w:rPr>
          <w:rFonts w:ascii="Book Antiqua" w:hAnsi="Book Antiqua"/>
        </w:rPr>
      </w:pPr>
    </w:p>
    <w:p w14:paraId="05CA1FD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Informed consent statement: </w:t>
      </w:r>
      <w:r w:rsidRPr="00AB1BE0">
        <w:rPr>
          <w:rFonts w:ascii="Book Antiqua" w:hAnsi="Book Antiqua" w:cs="Book Antiqua"/>
          <w:color w:val="000000"/>
          <w:shd w:val="clear" w:color="auto" w:fill="FFFFFF"/>
        </w:rPr>
        <w:t>All study participants, or their legal guardian, provided informed written consent prior to study enrollment.</w:t>
      </w:r>
    </w:p>
    <w:p w14:paraId="363456BE" w14:textId="77777777" w:rsidR="003E62DD" w:rsidRPr="00AB1BE0" w:rsidRDefault="003E62DD" w:rsidP="000A34AB">
      <w:pPr>
        <w:adjustRightInd w:val="0"/>
        <w:snapToGrid w:val="0"/>
        <w:spacing w:line="360" w:lineRule="auto"/>
        <w:jc w:val="both"/>
        <w:rPr>
          <w:rFonts w:ascii="Book Antiqua" w:hAnsi="Book Antiqua"/>
        </w:rPr>
      </w:pPr>
    </w:p>
    <w:p w14:paraId="10F0967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Conflict-of-interest statement: </w:t>
      </w:r>
      <w:r w:rsidRPr="00AB1BE0">
        <w:rPr>
          <w:rFonts w:ascii="Book Antiqua" w:hAnsi="Book Antiqua" w:cs="Book Antiqua"/>
          <w:color w:val="000000"/>
        </w:rPr>
        <w:t>All the Authors have no conflict of interest related to the manuscript.</w:t>
      </w:r>
    </w:p>
    <w:p w14:paraId="78C9D641" w14:textId="77777777" w:rsidR="003E62DD" w:rsidRPr="00AB1BE0" w:rsidRDefault="003E62DD" w:rsidP="000A34AB">
      <w:pPr>
        <w:adjustRightInd w:val="0"/>
        <w:snapToGrid w:val="0"/>
        <w:spacing w:line="360" w:lineRule="auto"/>
        <w:jc w:val="both"/>
        <w:rPr>
          <w:rFonts w:ascii="Book Antiqua" w:hAnsi="Book Antiqua"/>
        </w:rPr>
      </w:pPr>
    </w:p>
    <w:p w14:paraId="722D793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Data sharing statement: </w:t>
      </w:r>
      <w:r w:rsidRPr="00AB1BE0">
        <w:rPr>
          <w:rFonts w:ascii="Book Antiqua" w:hAnsi="Book Antiqua" w:cs="Book Antiqua"/>
          <w:color w:val="000000"/>
        </w:rPr>
        <w:t xml:space="preserve">The anonymous dataset is available on request from the corresponding author at </w:t>
      </w:r>
      <w:hyperlink r:id="rId7" w:history="1">
        <w:r w:rsidRPr="00AB1BE0">
          <w:rPr>
            <w:rFonts w:ascii="Book Antiqua" w:hAnsi="Book Antiqua" w:cs="Book Antiqua"/>
            <w:color w:val="000000"/>
          </w:rPr>
          <w:t>yingxinfu@nankai.edu.c</w:t>
        </w:r>
      </w:hyperlink>
      <w:r w:rsidRPr="00AB1BE0">
        <w:rPr>
          <w:rFonts w:ascii="Book Antiqua" w:hAnsi="Book Antiqua" w:cs="Book Antiqua"/>
          <w:color w:val="000000"/>
        </w:rPr>
        <w:t>n.</w:t>
      </w:r>
    </w:p>
    <w:p w14:paraId="558F371F" w14:textId="77777777" w:rsidR="003E62DD" w:rsidRPr="00AB1BE0" w:rsidRDefault="003E62DD" w:rsidP="000A34AB">
      <w:pPr>
        <w:adjustRightInd w:val="0"/>
        <w:snapToGrid w:val="0"/>
        <w:spacing w:line="360" w:lineRule="auto"/>
        <w:jc w:val="both"/>
        <w:rPr>
          <w:rFonts w:ascii="Book Antiqua" w:hAnsi="Book Antiqua"/>
        </w:rPr>
      </w:pPr>
    </w:p>
    <w:p w14:paraId="724296D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STROBE statement: </w:t>
      </w:r>
      <w:r w:rsidRPr="00AB1BE0">
        <w:rPr>
          <w:rFonts w:ascii="Book Antiqua" w:hAnsi="Book Antiqua" w:cs="Book Antiqua"/>
          <w:color w:val="000000"/>
        </w:rPr>
        <w:t>The authors have read the STROBE Statement, and the manuscript was prepared and revised according to the STROBE Statement.</w:t>
      </w:r>
    </w:p>
    <w:p w14:paraId="7FA2D774" w14:textId="77777777" w:rsidR="003E62DD" w:rsidRPr="00AB1BE0" w:rsidRDefault="003E62DD" w:rsidP="000A34AB">
      <w:pPr>
        <w:adjustRightInd w:val="0"/>
        <w:snapToGrid w:val="0"/>
        <w:spacing w:line="360" w:lineRule="auto"/>
        <w:jc w:val="both"/>
        <w:rPr>
          <w:rFonts w:ascii="Book Antiqua" w:hAnsi="Book Antiqua"/>
        </w:rPr>
      </w:pPr>
    </w:p>
    <w:p w14:paraId="25307374"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t xml:space="preserve">Open-Access: </w:t>
      </w:r>
      <w:r w:rsidRPr="00AB1BE0">
        <w:rPr>
          <w:rFonts w:ascii="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1BE0">
        <w:rPr>
          <w:rFonts w:ascii="Book Antiqua" w:hAnsi="Book Antiqua" w:cs="Book Antiqua"/>
          <w:color w:val="000000"/>
        </w:rPr>
        <w:t>NonCommercial</w:t>
      </w:r>
      <w:proofErr w:type="spellEnd"/>
      <w:r w:rsidRPr="00AB1BE0">
        <w:rPr>
          <w:rFonts w:ascii="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C9FBC9" w14:textId="77777777" w:rsidR="003E62DD" w:rsidRPr="00AB1BE0" w:rsidRDefault="003E62DD" w:rsidP="000A34AB">
      <w:pPr>
        <w:adjustRightInd w:val="0"/>
        <w:snapToGrid w:val="0"/>
        <w:spacing w:line="360" w:lineRule="auto"/>
        <w:jc w:val="both"/>
        <w:rPr>
          <w:rFonts w:ascii="Book Antiqua" w:hAnsi="Book Antiqua"/>
        </w:rPr>
      </w:pPr>
    </w:p>
    <w:p w14:paraId="35CD3546" w14:textId="5612FCBF"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Manuscript source: </w:t>
      </w:r>
      <w:r w:rsidRPr="00AB1BE0">
        <w:rPr>
          <w:rFonts w:ascii="Book Antiqua" w:hAnsi="Book Antiqua" w:cs="Book Antiqua"/>
          <w:color w:val="000000"/>
        </w:rPr>
        <w:t>Unsolici</w:t>
      </w:r>
      <w:r w:rsidR="000A34AB" w:rsidRPr="00AB1BE0">
        <w:rPr>
          <w:rFonts w:ascii="Book Antiqua" w:hAnsi="Book Antiqua" w:cs="Book Antiqua"/>
          <w:color w:val="000000"/>
        </w:rPr>
        <w:t>ted manus</w:t>
      </w:r>
      <w:r w:rsidRPr="00AB1BE0">
        <w:rPr>
          <w:rFonts w:ascii="Book Antiqua" w:hAnsi="Book Antiqua" w:cs="Book Antiqua"/>
          <w:color w:val="000000"/>
        </w:rPr>
        <w:t>cript</w:t>
      </w:r>
    </w:p>
    <w:p w14:paraId="1C817D72" w14:textId="77777777" w:rsidR="003E62DD" w:rsidRPr="00AB1BE0" w:rsidRDefault="003E62DD" w:rsidP="000A34AB">
      <w:pPr>
        <w:adjustRightInd w:val="0"/>
        <w:snapToGrid w:val="0"/>
        <w:spacing w:line="360" w:lineRule="auto"/>
        <w:jc w:val="both"/>
        <w:rPr>
          <w:rFonts w:ascii="Book Antiqua" w:hAnsi="Book Antiqua"/>
        </w:rPr>
      </w:pPr>
    </w:p>
    <w:p w14:paraId="2EB64F0A"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Peer-review started: </w:t>
      </w:r>
      <w:r w:rsidRPr="00AB1BE0">
        <w:rPr>
          <w:rFonts w:ascii="Book Antiqua" w:hAnsi="Book Antiqua" w:cs="Book Antiqua"/>
          <w:color w:val="000000"/>
        </w:rPr>
        <w:t>March 22, 2021</w:t>
      </w:r>
    </w:p>
    <w:p w14:paraId="2302F732"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First decision: </w:t>
      </w:r>
      <w:r w:rsidRPr="00AB1BE0">
        <w:rPr>
          <w:rFonts w:ascii="Book Antiqua" w:hAnsi="Book Antiqua" w:cs="Book Antiqua"/>
          <w:color w:val="000000"/>
        </w:rPr>
        <w:t>May 13, 2021</w:t>
      </w:r>
    </w:p>
    <w:p w14:paraId="43D1F45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Article in press: </w:t>
      </w:r>
    </w:p>
    <w:p w14:paraId="689833ED" w14:textId="77777777" w:rsidR="003E62DD" w:rsidRPr="00AB1BE0" w:rsidRDefault="003E62DD" w:rsidP="000A34AB">
      <w:pPr>
        <w:adjustRightInd w:val="0"/>
        <w:snapToGrid w:val="0"/>
        <w:spacing w:line="360" w:lineRule="auto"/>
        <w:jc w:val="both"/>
        <w:rPr>
          <w:rFonts w:ascii="Book Antiqua" w:hAnsi="Book Antiqua"/>
        </w:rPr>
      </w:pPr>
    </w:p>
    <w:p w14:paraId="320D0861"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Specialty type: </w:t>
      </w:r>
      <w:r w:rsidRPr="00AB1BE0">
        <w:rPr>
          <w:rFonts w:ascii="Book Antiqua" w:hAnsi="Book Antiqua" w:cs="Book Antiqua"/>
          <w:color w:val="000000"/>
        </w:rPr>
        <w:t>Transplantation</w:t>
      </w:r>
    </w:p>
    <w:p w14:paraId="39073FB0"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 xml:space="preserve">Country/Territory of origin: </w:t>
      </w:r>
      <w:r w:rsidRPr="00AB1BE0">
        <w:rPr>
          <w:rFonts w:ascii="Book Antiqua" w:hAnsi="Book Antiqua" w:cs="Book Antiqua"/>
          <w:color w:val="000000"/>
        </w:rPr>
        <w:t>China</w:t>
      </w:r>
    </w:p>
    <w:p w14:paraId="66232398"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color w:val="000000"/>
        </w:rPr>
        <w:t>Peer-review report’s scientific quality classification</w:t>
      </w:r>
    </w:p>
    <w:p w14:paraId="6D196432"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Grade A (Excellent): 0</w:t>
      </w:r>
    </w:p>
    <w:p w14:paraId="0225B42D"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Grade B (Very good): 0</w:t>
      </w:r>
    </w:p>
    <w:p w14:paraId="7B7DC5E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Grade C (Good): C</w:t>
      </w:r>
    </w:p>
    <w:p w14:paraId="231F6CBF"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color w:val="000000"/>
        </w:rPr>
        <w:t>Grade D (Fair): 0</w:t>
      </w:r>
    </w:p>
    <w:p w14:paraId="079B9CCE" w14:textId="77777777" w:rsidR="003E62DD" w:rsidRPr="00AB1BE0" w:rsidRDefault="003E62DD" w:rsidP="000A34AB">
      <w:pPr>
        <w:adjustRightInd w:val="0"/>
        <w:snapToGrid w:val="0"/>
        <w:spacing w:line="360" w:lineRule="auto"/>
        <w:jc w:val="both"/>
        <w:rPr>
          <w:rFonts w:ascii="Book Antiqua" w:hAnsi="Book Antiqua"/>
          <w:lang w:val="pt-BR"/>
        </w:rPr>
      </w:pPr>
      <w:r w:rsidRPr="00AB1BE0">
        <w:rPr>
          <w:rFonts w:ascii="Book Antiqua" w:hAnsi="Book Antiqua" w:cs="Book Antiqua"/>
          <w:color w:val="000000"/>
          <w:lang w:val="pt-BR"/>
        </w:rPr>
        <w:t>Grade E (Poor): 0</w:t>
      </w:r>
    </w:p>
    <w:p w14:paraId="77DB2DE6" w14:textId="77777777" w:rsidR="003E62DD" w:rsidRPr="00AB1BE0" w:rsidRDefault="003E62DD" w:rsidP="000A34AB">
      <w:pPr>
        <w:adjustRightInd w:val="0"/>
        <w:snapToGrid w:val="0"/>
        <w:spacing w:line="360" w:lineRule="auto"/>
        <w:jc w:val="both"/>
        <w:rPr>
          <w:rFonts w:ascii="Book Antiqua" w:hAnsi="Book Antiqua"/>
          <w:lang w:val="pt-BR"/>
        </w:rPr>
      </w:pPr>
    </w:p>
    <w:p w14:paraId="2E7CD10F" w14:textId="77777777" w:rsidR="003E62DD" w:rsidRPr="00AB1BE0" w:rsidRDefault="003E62DD" w:rsidP="000A34AB">
      <w:pPr>
        <w:adjustRightInd w:val="0"/>
        <w:snapToGrid w:val="0"/>
        <w:spacing w:line="360" w:lineRule="auto"/>
        <w:jc w:val="both"/>
        <w:rPr>
          <w:rFonts w:ascii="Book Antiqua" w:hAnsi="Book Antiqua"/>
          <w:lang w:val="pt-BR"/>
        </w:rPr>
        <w:sectPr w:rsidR="003E62DD" w:rsidRPr="00AB1BE0">
          <w:pgSz w:w="12240" w:h="15840"/>
          <w:pgMar w:top="1440" w:right="1440" w:bottom="1440" w:left="1440" w:header="720" w:footer="720" w:gutter="0"/>
          <w:cols w:space="720"/>
          <w:docGrid w:linePitch="360"/>
        </w:sectPr>
      </w:pPr>
      <w:r w:rsidRPr="00AB1BE0">
        <w:rPr>
          <w:rFonts w:ascii="Book Antiqua" w:hAnsi="Book Antiqua" w:cs="Book Antiqua"/>
          <w:b/>
          <w:color w:val="000000"/>
          <w:lang w:val="pt-BR"/>
        </w:rPr>
        <w:t xml:space="preserve">P-Reviewer: </w:t>
      </w:r>
      <w:r w:rsidRPr="00AB1BE0">
        <w:rPr>
          <w:rFonts w:ascii="Book Antiqua" w:hAnsi="Book Antiqua" w:cs="Book Antiqua"/>
          <w:color w:val="000000"/>
          <w:lang w:val="pt-BR"/>
        </w:rPr>
        <w:t>De Carlis R</w:t>
      </w:r>
      <w:r w:rsidRPr="00AB1BE0">
        <w:rPr>
          <w:rFonts w:ascii="Book Antiqua" w:hAnsi="Book Antiqua" w:cs="Book Antiqua"/>
          <w:b/>
          <w:color w:val="000000"/>
          <w:lang w:val="pt-BR"/>
        </w:rPr>
        <w:t xml:space="preserve"> S-Editor: </w:t>
      </w:r>
      <w:r w:rsidRPr="00AB1BE0">
        <w:rPr>
          <w:rFonts w:ascii="Book Antiqua" w:hAnsi="Book Antiqua" w:cs="Book Antiqua"/>
          <w:color w:val="000000"/>
          <w:lang w:val="pt-BR"/>
        </w:rPr>
        <w:t>Liu M</w:t>
      </w:r>
      <w:r w:rsidRPr="00AB1BE0">
        <w:rPr>
          <w:rFonts w:ascii="Book Antiqua" w:hAnsi="Book Antiqua" w:cs="Book Antiqua"/>
          <w:b/>
          <w:color w:val="000000"/>
          <w:lang w:val="pt-BR"/>
        </w:rPr>
        <w:t xml:space="preserve"> L-Editor:  P-Editor: </w:t>
      </w:r>
    </w:p>
    <w:p w14:paraId="056CF3B6" w14:textId="77777777" w:rsidR="003E62DD" w:rsidRPr="00AB1BE0" w:rsidRDefault="003E62DD" w:rsidP="000A34AB">
      <w:pPr>
        <w:adjustRightInd w:val="0"/>
        <w:snapToGrid w:val="0"/>
        <w:spacing w:line="360" w:lineRule="auto"/>
        <w:jc w:val="both"/>
        <w:rPr>
          <w:rFonts w:ascii="Book Antiqua" w:hAnsi="Book Antiqua" w:cs="Book Antiqua"/>
          <w:b/>
          <w:color w:val="000000"/>
        </w:rPr>
      </w:pPr>
      <w:r w:rsidRPr="00AB1BE0">
        <w:rPr>
          <w:rFonts w:ascii="Book Antiqua" w:hAnsi="Book Antiqua" w:cs="Book Antiqua"/>
          <w:b/>
          <w:color w:val="000000"/>
        </w:rPr>
        <w:lastRenderedPageBreak/>
        <w:t>Figure Legends</w:t>
      </w:r>
    </w:p>
    <w:p w14:paraId="3FCE36A1" w14:textId="77777777" w:rsidR="003E62DD" w:rsidRPr="00AB1BE0" w:rsidRDefault="00B73559" w:rsidP="000A34AB">
      <w:pPr>
        <w:adjustRightInd w:val="0"/>
        <w:snapToGrid w:val="0"/>
        <w:spacing w:line="360" w:lineRule="auto"/>
        <w:jc w:val="both"/>
        <w:rPr>
          <w:rFonts w:ascii="Book Antiqua" w:hAnsi="Book Antiqua"/>
        </w:rPr>
      </w:pPr>
      <w:r>
        <w:rPr>
          <w:rFonts w:ascii="Book Antiqua" w:hAnsi="Book Antiqua"/>
          <w:noProof/>
          <w:lang w:eastAsia="zh-CN"/>
        </w:rPr>
        <w:pict w14:anchorId="49D64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21.5pt;height:227.25pt;visibility:visible">
            <v:imagedata r:id="rId8" o:title=""/>
          </v:shape>
        </w:pict>
      </w:r>
    </w:p>
    <w:p w14:paraId="65128A17" w14:textId="6EE99E3B" w:rsidR="003E62DD" w:rsidRPr="00AB1BE0" w:rsidRDefault="003E62DD" w:rsidP="000A34AB">
      <w:pPr>
        <w:adjustRightInd w:val="0"/>
        <w:snapToGrid w:val="0"/>
        <w:spacing w:line="360" w:lineRule="auto"/>
        <w:jc w:val="both"/>
        <w:rPr>
          <w:rFonts w:ascii="Book Antiqua" w:hAnsi="Book Antiqua" w:cs="Book Antiqua"/>
          <w:color w:val="000000"/>
        </w:rPr>
      </w:pPr>
      <w:r w:rsidRPr="00AB1BE0">
        <w:rPr>
          <w:rFonts w:ascii="Book Antiqua" w:hAnsi="Book Antiqua" w:cs="Book Antiqua"/>
          <w:b/>
          <w:bCs/>
          <w:color w:val="000000"/>
        </w:rPr>
        <w:t xml:space="preserve">Figure 1 Revascularization of the pancreas and kidney with a single arterial conduit. The donor duodenum segment was anastomosed side-to-side to the recipient’s distal ileum. </w:t>
      </w:r>
      <w:r w:rsidRPr="00AB1BE0">
        <w:rPr>
          <w:rFonts w:ascii="Book Antiqua" w:hAnsi="Book Antiqua" w:cs="Book Antiqua"/>
          <w:color w:val="000000"/>
        </w:rPr>
        <w:t xml:space="preserve">CHA: </w:t>
      </w:r>
      <w:r w:rsidR="00B73559">
        <w:rPr>
          <w:rFonts w:ascii="Book Antiqua" w:hAnsi="Book Antiqua" w:cs="Book Antiqua"/>
          <w:color w:val="000000"/>
        </w:rPr>
        <w:t>C</w:t>
      </w:r>
      <w:r w:rsidRPr="00AB1BE0">
        <w:rPr>
          <w:rFonts w:ascii="Book Antiqua" w:hAnsi="Book Antiqua" w:cs="Book Antiqua"/>
          <w:color w:val="000000"/>
        </w:rPr>
        <w:t xml:space="preserve">ommon hepatic artery, GDA: </w:t>
      </w:r>
      <w:r w:rsidR="00B73559">
        <w:rPr>
          <w:rFonts w:ascii="Book Antiqua" w:hAnsi="Book Antiqua" w:cs="Book Antiqua"/>
          <w:color w:val="000000"/>
        </w:rPr>
        <w:t>G</w:t>
      </w:r>
      <w:r w:rsidRPr="00AB1BE0">
        <w:rPr>
          <w:rFonts w:ascii="Book Antiqua" w:hAnsi="Book Antiqua" w:cs="Book Antiqua"/>
          <w:color w:val="000000"/>
        </w:rPr>
        <w:t xml:space="preserve">astroduodenal arterial, SMA: </w:t>
      </w:r>
      <w:r w:rsidR="00B73559">
        <w:rPr>
          <w:rFonts w:ascii="Book Antiqua" w:hAnsi="Book Antiqua" w:cs="Book Antiqua"/>
          <w:color w:val="000000"/>
        </w:rPr>
        <w:t>S</w:t>
      </w:r>
      <w:r w:rsidRPr="00AB1BE0">
        <w:rPr>
          <w:rFonts w:ascii="Book Antiqua" w:hAnsi="Book Antiqua" w:cs="Book Antiqua"/>
          <w:color w:val="000000"/>
        </w:rPr>
        <w:t>uperior mesenteric artery.</w:t>
      </w:r>
    </w:p>
    <w:p w14:paraId="134878C3"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br w:type="page"/>
      </w:r>
      <w:r w:rsidR="00B73559">
        <w:rPr>
          <w:rFonts w:ascii="Book Antiqua" w:hAnsi="Book Antiqua" w:cs="Book Antiqua"/>
          <w:b/>
          <w:noProof/>
          <w:color w:val="000000"/>
          <w:lang w:eastAsia="zh-CN"/>
        </w:rPr>
        <w:lastRenderedPageBreak/>
        <w:pict w14:anchorId="3B84E3AA">
          <v:shape id="图片 2" o:spid="_x0000_i1026" type="#_x0000_t75" style="width:243pt;height:300.75pt;visibility:visible">
            <v:imagedata r:id="rId9" o:title=""/>
          </v:shape>
        </w:pict>
      </w:r>
    </w:p>
    <w:p w14:paraId="5E4D9399" w14:textId="77777777" w:rsidR="003E62DD" w:rsidRPr="00AB1BE0" w:rsidRDefault="003E62DD" w:rsidP="000A34AB">
      <w:pPr>
        <w:adjustRightInd w:val="0"/>
        <w:snapToGrid w:val="0"/>
        <w:spacing w:line="360" w:lineRule="auto"/>
        <w:jc w:val="both"/>
        <w:rPr>
          <w:rFonts w:ascii="Book Antiqua" w:hAnsi="Book Antiqua" w:cs="Book Antiqua"/>
          <w:color w:val="000000"/>
        </w:rPr>
      </w:pPr>
      <w:r w:rsidRPr="00AB1BE0">
        <w:rPr>
          <w:rFonts w:ascii="Book Antiqua" w:hAnsi="Book Antiqua" w:cs="Book Antiqua"/>
          <w:b/>
          <w:bCs/>
          <w:color w:val="000000"/>
        </w:rPr>
        <w:t xml:space="preserve">Figure 2 Suture ligation for submucosal hemostasis. </w:t>
      </w:r>
      <w:r w:rsidRPr="00AB1BE0">
        <w:rPr>
          <w:rFonts w:ascii="Book Antiqua" w:hAnsi="Book Antiqua" w:cs="Book Antiqua"/>
          <w:color w:val="000000"/>
        </w:rPr>
        <w:t>A: Bleeding at the cut edge of the duodenum; B: Bleeding spots of the duodenum were staunched by transmural suture ligation; C: Bleeding at the cut edge of the ileum; D: Bleeding spots of the ileum were staunched by transmural suture ligation. Black arrow: Knot of suture thread.</w:t>
      </w:r>
    </w:p>
    <w:p w14:paraId="61244EB7" w14:textId="14BB9A52"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br w:type="page"/>
      </w:r>
      <w:r w:rsidR="00B73559">
        <w:rPr>
          <w:rFonts w:ascii="Book Antiqua" w:hAnsi="Book Antiqua" w:cs="Book Antiqua"/>
          <w:b/>
          <w:bCs/>
          <w:color w:val="000000"/>
        </w:rPr>
        <w:lastRenderedPageBreak/>
        <w:pict w14:anchorId="1DF9E63E">
          <v:shape id="_x0000_i1027" type="#_x0000_t75" style="width:486.75pt;height:292.5pt;mso-left-percent:-10001;mso-top-percent:-10001;mso-position-horizontal:absolute;mso-position-horizontal-relative:char;mso-position-vertical:absolute;mso-position-vertical-relative:line;mso-left-percent:-10001;mso-top-percent:-10001">
            <v:imagedata r:id="rId10" o:title="" cropbottom="6913f"/>
          </v:shape>
        </w:pict>
      </w:r>
    </w:p>
    <w:p w14:paraId="48EC9F2B" w14:textId="33F6F968" w:rsidR="003E62DD" w:rsidRPr="00AB1BE0" w:rsidRDefault="003E62DD" w:rsidP="000A34AB">
      <w:pPr>
        <w:adjustRightInd w:val="0"/>
        <w:snapToGrid w:val="0"/>
        <w:spacing w:line="360" w:lineRule="auto"/>
        <w:jc w:val="both"/>
        <w:rPr>
          <w:rFonts w:ascii="Book Antiqua" w:hAnsi="Book Antiqua" w:cs="Book Antiqua"/>
          <w:color w:val="000000"/>
        </w:rPr>
      </w:pPr>
      <w:r w:rsidRPr="00AB1BE0">
        <w:rPr>
          <w:rFonts w:ascii="Book Antiqua" w:hAnsi="Book Antiqua" w:cs="Book Antiqua"/>
          <w:b/>
          <w:bCs/>
          <w:color w:val="000000"/>
        </w:rPr>
        <w:t xml:space="preserve">Figure 3 Comparison of clinical features within 1 </w:t>
      </w:r>
      <w:proofErr w:type="spellStart"/>
      <w:r w:rsidRPr="00AB1BE0">
        <w:rPr>
          <w:rFonts w:ascii="Book Antiqua" w:hAnsi="Book Antiqua" w:cs="Book Antiqua"/>
          <w:b/>
          <w:bCs/>
          <w:color w:val="000000"/>
        </w:rPr>
        <w:t>wk</w:t>
      </w:r>
      <w:proofErr w:type="spellEnd"/>
      <w:r w:rsidRPr="00AB1BE0">
        <w:rPr>
          <w:rFonts w:ascii="Book Antiqua" w:hAnsi="Book Antiqua" w:cs="Book Antiqua"/>
          <w:b/>
          <w:bCs/>
          <w:color w:val="000000"/>
        </w:rPr>
        <w:t xml:space="preserve"> postoperatively in </w:t>
      </w:r>
      <w:r w:rsidRPr="00AB1BE0">
        <w:rPr>
          <w:rFonts w:ascii="Book Antiqua" w:hAnsi="Book Antiqua" w:cs="Book Antiqua"/>
          <w:b/>
          <w:color w:val="000000"/>
          <w:lang w:eastAsia="zh-CN"/>
        </w:rPr>
        <w:t>g</w:t>
      </w:r>
      <w:r w:rsidRPr="00AB1BE0">
        <w:rPr>
          <w:rFonts w:ascii="Book Antiqua" w:hAnsi="Book Antiqua" w:cs="Book Antiqua"/>
          <w:b/>
          <w:color w:val="000000"/>
        </w:rPr>
        <w:t>astrointestinal</w:t>
      </w:r>
      <w:r w:rsidRPr="00AB1BE0">
        <w:rPr>
          <w:rFonts w:ascii="Book Antiqua" w:hAnsi="Book Antiqua" w:cs="Book Antiqua"/>
          <w:b/>
          <w:bCs/>
          <w:color w:val="000000"/>
        </w:rPr>
        <w:t xml:space="preserve"> bleeding and no </w:t>
      </w:r>
      <w:r w:rsidRPr="00AB1BE0">
        <w:rPr>
          <w:rFonts w:ascii="Book Antiqua" w:hAnsi="Book Antiqua" w:cs="Book Antiqua"/>
          <w:b/>
          <w:color w:val="000000"/>
          <w:lang w:eastAsia="zh-CN"/>
        </w:rPr>
        <w:t>g</w:t>
      </w:r>
      <w:r w:rsidRPr="00AB1BE0">
        <w:rPr>
          <w:rFonts w:ascii="Book Antiqua" w:hAnsi="Book Antiqua" w:cs="Book Antiqua"/>
          <w:b/>
          <w:color w:val="000000"/>
        </w:rPr>
        <w:t>astrointestinal</w:t>
      </w:r>
      <w:r w:rsidRPr="00AB1BE0">
        <w:rPr>
          <w:rFonts w:ascii="Book Antiqua" w:hAnsi="Book Antiqua" w:cs="Book Antiqua"/>
          <w:b/>
          <w:bCs/>
          <w:color w:val="000000"/>
        </w:rPr>
        <w:t xml:space="preserve"> bleeding group.</w:t>
      </w:r>
      <w:r w:rsidRPr="00AB1BE0">
        <w:rPr>
          <w:rFonts w:ascii="Book Antiqua" w:hAnsi="Book Antiqua" w:cs="Calibri"/>
          <w:b/>
          <w:lang w:eastAsia="zh-CN"/>
        </w:rPr>
        <w:t xml:space="preserve"> </w:t>
      </w:r>
      <w:r w:rsidRPr="00AB1BE0">
        <w:rPr>
          <w:rFonts w:ascii="Book Antiqua" w:hAnsi="Book Antiqua" w:cs="Calibri"/>
          <w:lang w:eastAsia="zh-CN"/>
        </w:rPr>
        <w:t xml:space="preserve">A: </w:t>
      </w:r>
      <w:r w:rsidRPr="00AB1BE0">
        <w:rPr>
          <w:rFonts w:ascii="Book Antiqua" w:hAnsi="Book Antiqua" w:cs="Book Antiqua"/>
          <w:bCs/>
          <w:color w:val="000000"/>
          <w:lang w:eastAsia="zh-CN"/>
        </w:rPr>
        <w:t>D</w:t>
      </w:r>
      <w:r w:rsidRPr="00AB1BE0">
        <w:rPr>
          <w:rFonts w:ascii="Book Antiqua" w:hAnsi="Book Antiqua" w:cs="Book Antiqua"/>
          <w:bCs/>
          <w:color w:val="000000"/>
        </w:rPr>
        <w:t>onor age</w:t>
      </w:r>
      <w:r w:rsidRPr="00AB1BE0">
        <w:rPr>
          <w:rFonts w:ascii="Book Antiqua" w:hAnsi="Book Antiqua" w:cs="Book Antiqua"/>
          <w:color w:val="000000"/>
          <w:lang w:eastAsia="zh-CN"/>
        </w:rPr>
        <w:t>; B:</w:t>
      </w:r>
      <w:r w:rsidRPr="00AB1BE0">
        <w:rPr>
          <w:rFonts w:ascii="Book Antiqua" w:hAnsi="Book Antiqua" w:cs="Book Antiqua"/>
          <w:color w:val="000000"/>
        </w:rPr>
        <w:t xml:space="preserve"> Mean pancreatic graft cold ischemia time; </w:t>
      </w:r>
      <w:r w:rsidRPr="00AB1BE0">
        <w:rPr>
          <w:rFonts w:ascii="Book Antiqua" w:hAnsi="Book Antiqua" w:cs="Book Antiqua"/>
          <w:color w:val="000000"/>
          <w:lang w:eastAsia="zh-CN"/>
        </w:rPr>
        <w:t>C</w:t>
      </w:r>
      <w:r w:rsidRPr="00AB1BE0">
        <w:rPr>
          <w:rFonts w:ascii="Book Antiqua" w:hAnsi="Book Antiqua" w:cs="Book Antiqua"/>
          <w:color w:val="000000"/>
        </w:rPr>
        <w:t xml:space="preserve">: Platelet count; </w:t>
      </w:r>
      <w:r w:rsidRPr="00AB1BE0">
        <w:rPr>
          <w:rFonts w:ascii="Book Antiqua" w:hAnsi="Book Antiqua" w:cs="Book Antiqua"/>
          <w:color w:val="000000"/>
          <w:lang w:eastAsia="zh-CN"/>
        </w:rPr>
        <w:t>D</w:t>
      </w:r>
      <w:r w:rsidRPr="00AB1BE0">
        <w:rPr>
          <w:rFonts w:ascii="Book Antiqua" w:hAnsi="Book Antiqua" w:cs="Book Antiqua"/>
          <w:color w:val="000000"/>
        </w:rPr>
        <w:t xml:space="preserve">: Prothrombin time international normalized rate; </w:t>
      </w:r>
      <w:r w:rsidRPr="00AB1BE0">
        <w:rPr>
          <w:rFonts w:ascii="Book Antiqua" w:hAnsi="Book Antiqua" w:cs="Book Antiqua"/>
          <w:color w:val="000000"/>
          <w:lang w:eastAsia="zh-CN"/>
        </w:rPr>
        <w:t>E</w:t>
      </w:r>
      <w:r w:rsidRPr="00AB1BE0">
        <w:rPr>
          <w:rFonts w:ascii="Book Antiqua" w:hAnsi="Book Antiqua" w:cs="Book Antiqua"/>
          <w:color w:val="000000"/>
        </w:rPr>
        <w:t xml:space="preserve">: Activated partial thromboplastin time; </w:t>
      </w:r>
      <w:r w:rsidRPr="00AB1BE0">
        <w:rPr>
          <w:rFonts w:ascii="Book Antiqua" w:hAnsi="Book Antiqua" w:cs="Book Antiqua"/>
          <w:color w:val="000000"/>
          <w:lang w:eastAsia="zh-CN"/>
        </w:rPr>
        <w:t>F</w:t>
      </w:r>
      <w:r w:rsidRPr="00AB1BE0">
        <w:rPr>
          <w:rFonts w:ascii="Book Antiqua" w:hAnsi="Book Antiqua" w:cs="Book Antiqua"/>
          <w:color w:val="000000"/>
        </w:rPr>
        <w:t>: Thrombin time</w:t>
      </w:r>
      <w:r w:rsidRPr="00AB1BE0">
        <w:rPr>
          <w:rFonts w:ascii="Book Antiqua" w:hAnsi="Book Antiqua" w:cs="Book Antiqua"/>
          <w:color w:val="000000"/>
          <w:lang w:eastAsia="zh-CN"/>
        </w:rPr>
        <w:t xml:space="preserve">. </w:t>
      </w:r>
      <w:r w:rsidRPr="00AB1BE0">
        <w:rPr>
          <w:rFonts w:ascii="Book Antiqua" w:hAnsi="Book Antiqua" w:cs="Book Antiqua"/>
          <w:color w:val="000000"/>
        </w:rPr>
        <w:t>GI: Gastrointestinal; INR: International normalized rate.</w:t>
      </w:r>
    </w:p>
    <w:p w14:paraId="38A3028C" w14:textId="77777777" w:rsidR="003E62DD" w:rsidRPr="00AB1BE0" w:rsidRDefault="003E62DD" w:rsidP="000A34AB">
      <w:pPr>
        <w:adjustRightInd w:val="0"/>
        <w:snapToGrid w:val="0"/>
        <w:spacing w:line="360" w:lineRule="auto"/>
        <w:jc w:val="both"/>
        <w:rPr>
          <w:rFonts w:ascii="Book Antiqua" w:hAnsi="Book Antiqua"/>
        </w:rPr>
      </w:pPr>
      <w:r w:rsidRPr="00AB1BE0">
        <w:rPr>
          <w:rFonts w:ascii="Book Antiqua" w:hAnsi="Book Antiqua" w:cs="Book Antiqua"/>
          <w:b/>
          <w:bCs/>
          <w:color w:val="000000"/>
        </w:rPr>
        <w:br w:type="page"/>
      </w:r>
      <w:r w:rsidR="00B73559">
        <w:rPr>
          <w:rFonts w:ascii="Book Antiqua" w:hAnsi="Book Antiqua" w:cs="Book Antiqua"/>
          <w:b/>
          <w:noProof/>
          <w:color w:val="000000"/>
          <w:lang w:eastAsia="zh-CN"/>
        </w:rPr>
        <w:lastRenderedPageBreak/>
        <w:pict w14:anchorId="5D9F721F">
          <v:shape id="图片 6" o:spid="_x0000_i1028" type="#_x0000_t75" style="width:307.5pt;height:274.5pt;visibility:visible">
            <v:imagedata r:id="rId11" o:title=""/>
          </v:shape>
        </w:pict>
      </w:r>
    </w:p>
    <w:p w14:paraId="60A58B1A" w14:textId="4D7C5E37" w:rsidR="00AB1BE0" w:rsidRPr="00AB1BE0" w:rsidRDefault="003E62DD" w:rsidP="000A34AB">
      <w:pPr>
        <w:adjustRightInd w:val="0"/>
        <w:snapToGrid w:val="0"/>
        <w:spacing w:line="360" w:lineRule="auto"/>
        <w:jc w:val="both"/>
        <w:rPr>
          <w:rFonts w:ascii="Book Antiqua" w:hAnsi="Book Antiqua" w:cs="Book Antiqua"/>
          <w:color w:val="000000"/>
        </w:rPr>
      </w:pPr>
      <w:r w:rsidRPr="00AB1BE0">
        <w:rPr>
          <w:rFonts w:ascii="Book Antiqua" w:hAnsi="Book Antiqua" w:cs="Book Antiqua"/>
          <w:b/>
          <w:bCs/>
          <w:color w:val="000000"/>
        </w:rPr>
        <w:t>Figure 4</w:t>
      </w:r>
      <w:r w:rsidR="00AB1BE0" w:rsidRPr="00AB1BE0">
        <w:rPr>
          <w:rFonts w:ascii="Book Antiqua" w:hAnsi="Book Antiqua" w:cs="Book Antiqua"/>
          <w:b/>
          <w:bCs/>
          <w:color w:val="000000"/>
        </w:rPr>
        <w:t xml:space="preserve"> </w:t>
      </w:r>
      <w:r w:rsidRPr="00AB1BE0">
        <w:rPr>
          <w:rFonts w:ascii="Book Antiqua" w:hAnsi="Book Antiqua" w:cs="Book Antiqua"/>
          <w:b/>
          <w:color w:val="000000"/>
        </w:rPr>
        <w:t>The Kaplan–Meier curves</w:t>
      </w:r>
      <w:r w:rsidRPr="00AB1BE0">
        <w:rPr>
          <w:rFonts w:ascii="Book Antiqua" w:hAnsi="Book Antiqua"/>
          <w:b/>
        </w:rPr>
        <w:t xml:space="preserve"> for patient, kidney graft</w:t>
      </w:r>
      <w:r w:rsidRPr="00AB1BE0">
        <w:rPr>
          <w:rFonts w:ascii="Book Antiqua" w:hAnsi="Book Antiqua"/>
          <w:b/>
          <w:lang w:eastAsia="zh-CN"/>
        </w:rPr>
        <w:t>,</w:t>
      </w:r>
      <w:r w:rsidRPr="00AB1BE0">
        <w:rPr>
          <w:rFonts w:ascii="Book Antiqua" w:hAnsi="Book Antiqua"/>
          <w:b/>
        </w:rPr>
        <w:t xml:space="preserve"> and pancreas graft in </w:t>
      </w:r>
      <w:r w:rsidRPr="00AB1BE0">
        <w:rPr>
          <w:rFonts w:ascii="Book Antiqua" w:hAnsi="Book Antiqua" w:cs="Book Antiqua"/>
          <w:b/>
          <w:color w:val="000000"/>
        </w:rPr>
        <w:t>suture ligation and no suture ligation group</w:t>
      </w:r>
      <w:r w:rsidRPr="00AB1BE0">
        <w:rPr>
          <w:rFonts w:ascii="Book Antiqua" w:hAnsi="Book Antiqua"/>
          <w:b/>
        </w:rPr>
        <w:t>.</w:t>
      </w:r>
      <w:r w:rsidRPr="00AB1BE0">
        <w:rPr>
          <w:rFonts w:ascii="Book Antiqua" w:hAnsi="Book Antiqua" w:cs="Book Antiqua"/>
          <w:color w:val="000000"/>
        </w:rPr>
        <w:t xml:space="preserve"> A:</w:t>
      </w:r>
      <w:r w:rsidRPr="00AB1BE0">
        <w:rPr>
          <w:rFonts w:ascii="Book Antiqua" w:hAnsi="Book Antiqua"/>
        </w:rPr>
        <w:t xml:space="preserve"> </w:t>
      </w:r>
      <w:r w:rsidRPr="00AB1BE0">
        <w:rPr>
          <w:rFonts w:ascii="Book Antiqua" w:hAnsi="Book Antiqua"/>
          <w:lang w:eastAsia="zh-CN"/>
        </w:rPr>
        <w:t>P</w:t>
      </w:r>
      <w:r w:rsidRPr="00AB1BE0">
        <w:rPr>
          <w:rFonts w:ascii="Book Antiqua" w:hAnsi="Book Antiqua"/>
        </w:rPr>
        <w:t>atient survival</w:t>
      </w:r>
      <w:r w:rsidRPr="00AB1BE0">
        <w:rPr>
          <w:rFonts w:ascii="Book Antiqua" w:hAnsi="Book Antiqua"/>
          <w:lang w:eastAsia="zh-CN"/>
        </w:rPr>
        <w:t xml:space="preserve"> curves; B:</w:t>
      </w:r>
      <w:r w:rsidRPr="00AB1BE0">
        <w:rPr>
          <w:rFonts w:ascii="Book Antiqua" w:hAnsi="Book Antiqua" w:cs="Book Antiqua"/>
          <w:color w:val="000000"/>
        </w:rPr>
        <w:t xml:space="preserve"> Kidney graft survival</w:t>
      </w:r>
      <w:r w:rsidRPr="00AB1BE0">
        <w:rPr>
          <w:rFonts w:ascii="Book Antiqua" w:hAnsi="Book Antiqua" w:cs="Book Antiqua"/>
          <w:color w:val="000000"/>
          <w:lang w:eastAsia="zh-CN"/>
        </w:rPr>
        <w:t xml:space="preserve"> curves</w:t>
      </w:r>
      <w:r w:rsidRPr="00AB1BE0">
        <w:rPr>
          <w:rFonts w:ascii="Book Antiqua" w:hAnsi="Book Antiqua" w:cs="Book Antiqua"/>
          <w:color w:val="000000"/>
        </w:rPr>
        <w:t>;</w:t>
      </w:r>
      <w:r w:rsidRPr="00AB1BE0">
        <w:rPr>
          <w:rFonts w:ascii="Book Antiqua" w:hAnsi="Book Antiqua" w:cs="Book Antiqua"/>
          <w:color w:val="000000"/>
          <w:lang w:eastAsia="zh-CN"/>
        </w:rPr>
        <w:t xml:space="preserve"> C</w:t>
      </w:r>
      <w:r w:rsidRPr="00AB1BE0">
        <w:rPr>
          <w:rFonts w:ascii="Book Antiqua" w:hAnsi="Book Antiqua" w:cs="Book Antiqua"/>
          <w:color w:val="000000"/>
        </w:rPr>
        <w:t>: Pancreas graft survival</w:t>
      </w:r>
      <w:r w:rsidRPr="00AB1BE0">
        <w:rPr>
          <w:rFonts w:ascii="Book Antiqua" w:hAnsi="Book Antiqua" w:cs="Book Antiqua"/>
          <w:color w:val="000000"/>
          <w:lang w:eastAsia="zh-CN"/>
        </w:rPr>
        <w:t xml:space="preserve"> curves. </w:t>
      </w:r>
      <w:r w:rsidRPr="00AB1BE0">
        <w:rPr>
          <w:rFonts w:ascii="Book Antiqua" w:hAnsi="Book Antiqua" w:cs="Book Antiqua"/>
          <w:color w:val="000000"/>
        </w:rPr>
        <w:t>SL: Suture ligation; NSL: No suture ligation.</w:t>
      </w:r>
    </w:p>
    <w:p w14:paraId="4F998A06" w14:textId="0FDDE5A9" w:rsidR="00AB1BE0" w:rsidRPr="00AB1BE0" w:rsidRDefault="00AB1BE0" w:rsidP="000A34AB">
      <w:pPr>
        <w:adjustRightInd w:val="0"/>
        <w:snapToGrid w:val="0"/>
        <w:spacing w:line="360" w:lineRule="auto"/>
        <w:jc w:val="both"/>
        <w:rPr>
          <w:rFonts w:ascii="Book Antiqua" w:hAnsi="Book Antiqua"/>
          <w:b/>
          <w:lang w:eastAsia="zh-CN"/>
        </w:rPr>
      </w:pPr>
      <w:r w:rsidRPr="00AB1BE0">
        <w:rPr>
          <w:rFonts w:ascii="Book Antiqua" w:hAnsi="Book Antiqua" w:cs="Book Antiqua"/>
          <w:color w:val="000000"/>
        </w:rPr>
        <w:br w:type="page"/>
      </w:r>
      <w:r w:rsidRPr="00AB1BE0">
        <w:rPr>
          <w:rFonts w:ascii="Book Antiqua" w:hAnsi="Book Antiqua" w:cs="Calibri"/>
          <w:b/>
        </w:rPr>
        <w:lastRenderedPageBreak/>
        <w:t xml:space="preserve">Table 1 Donor and simultaneous pancreas and kidney transplantation recipient clinical characteristics, </w:t>
      </w:r>
      <w:r w:rsidRPr="00AB1BE0">
        <w:rPr>
          <w:rFonts w:ascii="Book Antiqua" w:hAnsi="Book Antiqua" w:cs="Calibri"/>
          <w:b/>
          <w:i/>
          <w:iCs/>
        </w:rPr>
        <w:t>n</w:t>
      </w:r>
      <w:r w:rsidRPr="00AB1BE0">
        <w:rPr>
          <w:rFonts w:ascii="Book Antiqua" w:hAnsi="Book Antiqua" w:cs="Calibri"/>
          <w:b/>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4412"/>
        <w:gridCol w:w="1987"/>
        <w:gridCol w:w="2175"/>
        <w:gridCol w:w="1002"/>
      </w:tblGrid>
      <w:tr w:rsidR="00AB1BE0" w:rsidRPr="00AB1BE0" w14:paraId="095DC319" w14:textId="77777777" w:rsidTr="00AB1BE0">
        <w:trPr>
          <w:jc w:val="center"/>
        </w:trPr>
        <w:tc>
          <w:tcPr>
            <w:tcW w:w="0" w:type="auto"/>
            <w:tcBorders>
              <w:top w:val="single" w:sz="4" w:space="0" w:color="auto"/>
              <w:left w:val="nil"/>
              <w:bottom w:val="single" w:sz="4" w:space="0" w:color="auto"/>
              <w:right w:val="nil"/>
            </w:tcBorders>
            <w:hideMark/>
          </w:tcPr>
          <w:p w14:paraId="5050DAFA"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b/>
              </w:rPr>
              <w:t>Characteristics</w:t>
            </w:r>
          </w:p>
        </w:tc>
        <w:tc>
          <w:tcPr>
            <w:tcW w:w="0" w:type="auto"/>
            <w:tcBorders>
              <w:top w:val="single" w:sz="4" w:space="0" w:color="auto"/>
              <w:left w:val="nil"/>
              <w:bottom w:val="single" w:sz="4" w:space="0" w:color="auto"/>
              <w:right w:val="nil"/>
            </w:tcBorders>
            <w:hideMark/>
          </w:tcPr>
          <w:p w14:paraId="48ED77A5" w14:textId="0B6971B5"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SL group</w:t>
            </w:r>
            <w:r>
              <w:rPr>
                <w:rFonts w:ascii="Book Antiqua" w:hAnsi="Book Antiqua" w:cs="Calibri"/>
                <w:b/>
              </w:rPr>
              <w:t xml:space="preserve"> </w:t>
            </w:r>
            <w:r w:rsidRPr="00AB1BE0">
              <w:rPr>
                <w:rFonts w:ascii="Book Antiqua" w:hAnsi="Book Antiqua" w:cs="Calibri"/>
                <w:b/>
              </w:rPr>
              <w:t>(</w:t>
            </w:r>
            <w:r w:rsidRPr="00AB1BE0">
              <w:rPr>
                <w:rFonts w:ascii="Book Antiqua" w:hAnsi="Book Antiqua" w:cs="Calibri"/>
                <w:b/>
                <w:i/>
                <w:iCs/>
              </w:rPr>
              <w:t>n</w:t>
            </w:r>
            <w:r>
              <w:rPr>
                <w:rFonts w:ascii="Book Antiqua" w:hAnsi="Book Antiqua" w:cs="Calibri"/>
                <w:b/>
              </w:rPr>
              <w:t xml:space="preserve"> </w:t>
            </w:r>
            <w:r w:rsidRPr="00AB1BE0">
              <w:rPr>
                <w:rFonts w:ascii="Book Antiqua" w:hAnsi="Book Antiqua" w:cs="Calibri"/>
                <w:b/>
              </w:rPr>
              <w:t>=</w:t>
            </w:r>
            <w:r>
              <w:rPr>
                <w:rFonts w:ascii="Book Antiqua" w:hAnsi="Book Antiqua" w:cs="Calibri"/>
                <w:b/>
              </w:rPr>
              <w:t xml:space="preserve"> </w:t>
            </w:r>
            <w:r w:rsidRPr="00AB1BE0">
              <w:rPr>
                <w:rFonts w:ascii="Book Antiqua" w:hAnsi="Book Antiqua" w:cs="Calibri"/>
                <w:b/>
              </w:rPr>
              <w:t xml:space="preserve">44)   </w:t>
            </w:r>
          </w:p>
        </w:tc>
        <w:tc>
          <w:tcPr>
            <w:tcW w:w="0" w:type="auto"/>
            <w:tcBorders>
              <w:top w:val="single" w:sz="4" w:space="0" w:color="auto"/>
              <w:left w:val="nil"/>
              <w:bottom w:val="single" w:sz="4" w:space="0" w:color="auto"/>
              <w:right w:val="nil"/>
            </w:tcBorders>
            <w:hideMark/>
          </w:tcPr>
          <w:p w14:paraId="5913D213" w14:textId="433C035B"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NSL group</w:t>
            </w:r>
            <w:r>
              <w:rPr>
                <w:rFonts w:ascii="Book Antiqua" w:hAnsi="Book Antiqua" w:cs="Calibri"/>
                <w:b/>
              </w:rPr>
              <w:t xml:space="preserve"> </w:t>
            </w:r>
            <w:r w:rsidRPr="00AB1BE0">
              <w:rPr>
                <w:rFonts w:ascii="Book Antiqua" w:hAnsi="Book Antiqua" w:cs="Calibri"/>
                <w:b/>
              </w:rPr>
              <w:t>(</w:t>
            </w:r>
            <w:r w:rsidRPr="00AB1BE0">
              <w:rPr>
                <w:rFonts w:ascii="Book Antiqua" w:hAnsi="Book Antiqua" w:cs="Calibri"/>
                <w:b/>
                <w:i/>
                <w:iCs/>
              </w:rPr>
              <w:t>n</w:t>
            </w:r>
            <w:r>
              <w:rPr>
                <w:rFonts w:ascii="Book Antiqua" w:hAnsi="Book Antiqua" w:cs="Calibri"/>
                <w:b/>
              </w:rPr>
              <w:t xml:space="preserve"> </w:t>
            </w:r>
            <w:r w:rsidRPr="00AB1BE0">
              <w:rPr>
                <w:rFonts w:ascii="Book Antiqua" w:hAnsi="Book Antiqua" w:cs="Calibri"/>
                <w:b/>
              </w:rPr>
              <w:t>=</w:t>
            </w:r>
            <w:r>
              <w:rPr>
                <w:rFonts w:ascii="Book Antiqua" w:hAnsi="Book Antiqua" w:cs="Calibri"/>
                <w:b/>
              </w:rPr>
              <w:t xml:space="preserve"> </w:t>
            </w:r>
            <w:r w:rsidRPr="00AB1BE0">
              <w:rPr>
                <w:rFonts w:ascii="Book Antiqua" w:hAnsi="Book Antiqua" w:cs="Calibri"/>
                <w:b/>
              </w:rPr>
              <w:t xml:space="preserve">90) </w:t>
            </w:r>
          </w:p>
        </w:tc>
        <w:tc>
          <w:tcPr>
            <w:tcW w:w="0" w:type="auto"/>
            <w:tcBorders>
              <w:top w:val="single" w:sz="4" w:space="0" w:color="auto"/>
              <w:left w:val="nil"/>
              <w:bottom w:val="single" w:sz="4" w:space="0" w:color="auto"/>
              <w:right w:val="nil"/>
            </w:tcBorders>
            <w:hideMark/>
          </w:tcPr>
          <w:p w14:paraId="686F1AA3" w14:textId="267DCF2D"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i/>
              </w:rPr>
              <w:t>P</w:t>
            </w:r>
            <w:r w:rsidRPr="00AB1BE0">
              <w:rPr>
                <w:rFonts w:ascii="Book Antiqua" w:hAnsi="Book Antiqua" w:cs="Calibri"/>
                <w:b/>
              </w:rPr>
              <w:t xml:space="preserve"> </w:t>
            </w:r>
            <w:r>
              <w:rPr>
                <w:rFonts w:ascii="Book Antiqua" w:hAnsi="Book Antiqua" w:cs="Calibri"/>
                <w:b/>
              </w:rPr>
              <w:t>v</w:t>
            </w:r>
            <w:r w:rsidRPr="00AB1BE0">
              <w:rPr>
                <w:rFonts w:ascii="Book Antiqua" w:hAnsi="Book Antiqua" w:cs="Calibri"/>
                <w:b/>
              </w:rPr>
              <w:t>alue</w:t>
            </w:r>
          </w:p>
        </w:tc>
      </w:tr>
      <w:tr w:rsidR="00AB1BE0" w:rsidRPr="00AB1BE0" w14:paraId="065ADE32" w14:textId="77777777" w:rsidTr="00AB1BE0">
        <w:trPr>
          <w:jc w:val="center"/>
        </w:trPr>
        <w:tc>
          <w:tcPr>
            <w:tcW w:w="0" w:type="auto"/>
            <w:tcBorders>
              <w:top w:val="single" w:sz="4" w:space="0" w:color="auto"/>
              <w:left w:val="nil"/>
              <w:bottom w:val="nil"/>
              <w:right w:val="nil"/>
            </w:tcBorders>
            <w:hideMark/>
          </w:tcPr>
          <w:p w14:paraId="6D124E6D" w14:textId="2069C874"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Dono</w:t>
            </w:r>
            <w:r w:rsidRPr="00AB1BE0">
              <w:rPr>
                <w:rFonts w:ascii="Book Antiqua" w:hAnsi="Book Antiqua"/>
              </w:rPr>
              <w:t xml:space="preserve">r age, </w:t>
            </w:r>
            <w:proofErr w:type="spellStart"/>
            <w:r w:rsidRPr="00AB1BE0">
              <w:rPr>
                <w:rFonts w:ascii="Book Antiqua" w:hAnsi="Book Antiqua"/>
              </w:rPr>
              <w:t>yr</w:t>
            </w:r>
            <w:proofErr w:type="spellEnd"/>
          </w:p>
        </w:tc>
        <w:tc>
          <w:tcPr>
            <w:tcW w:w="0" w:type="auto"/>
            <w:tcBorders>
              <w:top w:val="single" w:sz="4" w:space="0" w:color="auto"/>
              <w:left w:val="nil"/>
              <w:bottom w:val="nil"/>
              <w:right w:val="nil"/>
            </w:tcBorders>
            <w:hideMark/>
          </w:tcPr>
          <w:p w14:paraId="72579C36" w14:textId="36ED975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34.00</w:t>
            </w:r>
            <w:r>
              <w:rPr>
                <w:rFonts w:ascii="Book Antiqua" w:hAnsi="Book Antiqua"/>
              </w:rPr>
              <w:t xml:space="preserve"> </w:t>
            </w:r>
            <w:r w:rsidRPr="00AB1BE0">
              <w:rPr>
                <w:rFonts w:ascii="Book Antiqua" w:hAnsi="Book Antiqua"/>
              </w:rPr>
              <w:t>±</w:t>
            </w:r>
            <w:r>
              <w:rPr>
                <w:rFonts w:ascii="Book Antiqua" w:hAnsi="Book Antiqua"/>
              </w:rPr>
              <w:t xml:space="preserve"> </w:t>
            </w:r>
            <w:r w:rsidRPr="00AB1BE0">
              <w:rPr>
                <w:rFonts w:ascii="Book Antiqua" w:hAnsi="Book Antiqua"/>
              </w:rPr>
              <w:t>8.82</w:t>
            </w:r>
          </w:p>
        </w:tc>
        <w:tc>
          <w:tcPr>
            <w:tcW w:w="0" w:type="auto"/>
            <w:tcBorders>
              <w:top w:val="single" w:sz="4" w:space="0" w:color="auto"/>
              <w:left w:val="nil"/>
              <w:bottom w:val="nil"/>
              <w:right w:val="nil"/>
            </w:tcBorders>
            <w:hideMark/>
          </w:tcPr>
          <w:p w14:paraId="2610C41F" w14:textId="7CA873CF"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32.32</w:t>
            </w:r>
            <w:r>
              <w:rPr>
                <w:rFonts w:ascii="Book Antiqua" w:hAnsi="Book Antiqua"/>
              </w:rPr>
              <w:t xml:space="preserve"> </w:t>
            </w:r>
            <w:r w:rsidRPr="00AB1BE0">
              <w:rPr>
                <w:rFonts w:ascii="Book Antiqua" w:hAnsi="Book Antiqua"/>
              </w:rPr>
              <w:t>±</w:t>
            </w:r>
            <w:r>
              <w:rPr>
                <w:rFonts w:ascii="Book Antiqua" w:hAnsi="Book Antiqua"/>
              </w:rPr>
              <w:t xml:space="preserve"> </w:t>
            </w:r>
            <w:r w:rsidRPr="00AB1BE0">
              <w:rPr>
                <w:rFonts w:ascii="Book Antiqua" w:hAnsi="Book Antiqua"/>
              </w:rPr>
              <w:t>10.65</w:t>
            </w:r>
          </w:p>
        </w:tc>
        <w:tc>
          <w:tcPr>
            <w:tcW w:w="0" w:type="auto"/>
            <w:tcBorders>
              <w:top w:val="single" w:sz="4" w:space="0" w:color="auto"/>
              <w:left w:val="nil"/>
              <w:bottom w:val="nil"/>
              <w:right w:val="nil"/>
            </w:tcBorders>
            <w:hideMark/>
          </w:tcPr>
          <w:p w14:paraId="6C40A084"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0.367</w:t>
            </w:r>
          </w:p>
        </w:tc>
      </w:tr>
      <w:tr w:rsidR="00AB1BE0" w:rsidRPr="00AB1BE0" w14:paraId="65532E37" w14:textId="77777777" w:rsidTr="00AB1BE0">
        <w:trPr>
          <w:jc w:val="center"/>
        </w:trPr>
        <w:tc>
          <w:tcPr>
            <w:tcW w:w="0" w:type="auto"/>
            <w:tcBorders>
              <w:top w:val="nil"/>
              <w:left w:val="nil"/>
              <w:bottom w:val="nil"/>
              <w:right w:val="nil"/>
            </w:tcBorders>
            <w:hideMark/>
          </w:tcPr>
          <w:p w14:paraId="670AC98D"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 xml:space="preserve">Donor gender (male/female, </w:t>
            </w:r>
            <w:r w:rsidRPr="00AB1BE0">
              <w:rPr>
                <w:rFonts w:ascii="Book Antiqua" w:hAnsi="Book Antiqua"/>
                <w:i/>
                <w:iCs/>
              </w:rPr>
              <w:t>n</w:t>
            </w:r>
            <w:r w:rsidRPr="00AB1BE0">
              <w:rPr>
                <w:rFonts w:ascii="Book Antiqua" w:hAnsi="Book Antiqua"/>
              </w:rPr>
              <w:t>)</w:t>
            </w:r>
          </w:p>
        </w:tc>
        <w:tc>
          <w:tcPr>
            <w:tcW w:w="0" w:type="auto"/>
            <w:tcBorders>
              <w:top w:val="nil"/>
              <w:left w:val="nil"/>
              <w:bottom w:val="nil"/>
              <w:right w:val="nil"/>
            </w:tcBorders>
            <w:hideMark/>
          </w:tcPr>
          <w:p w14:paraId="23E31891"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36/8</w:t>
            </w:r>
          </w:p>
        </w:tc>
        <w:tc>
          <w:tcPr>
            <w:tcW w:w="0" w:type="auto"/>
            <w:tcBorders>
              <w:top w:val="nil"/>
              <w:left w:val="nil"/>
              <w:bottom w:val="nil"/>
              <w:right w:val="nil"/>
            </w:tcBorders>
            <w:hideMark/>
          </w:tcPr>
          <w:p w14:paraId="5A322D32"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75/15</w:t>
            </w:r>
          </w:p>
        </w:tc>
        <w:tc>
          <w:tcPr>
            <w:tcW w:w="0" w:type="auto"/>
            <w:tcBorders>
              <w:top w:val="nil"/>
              <w:left w:val="nil"/>
              <w:bottom w:val="nil"/>
              <w:right w:val="nil"/>
            </w:tcBorders>
            <w:hideMark/>
          </w:tcPr>
          <w:p w14:paraId="51FCABAF"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0.827</w:t>
            </w:r>
          </w:p>
        </w:tc>
      </w:tr>
      <w:tr w:rsidR="00AB1BE0" w:rsidRPr="00AB1BE0" w14:paraId="1C14D661" w14:textId="77777777" w:rsidTr="00AB1BE0">
        <w:trPr>
          <w:jc w:val="center"/>
        </w:trPr>
        <w:tc>
          <w:tcPr>
            <w:tcW w:w="0" w:type="auto"/>
            <w:tcBorders>
              <w:top w:val="nil"/>
              <w:left w:val="nil"/>
              <w:bottom w:val="nil"/>
              <w:right w:val="nil"/>
            </w:tcBorders>
            <w:hideMark/>
          </w:tcPr>
          <w:p w14:paraId="4320E56C" w14:textId="5485B220"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Recipient age, </w:t>
            </w:r>
            <w:proofErr w:type="spellStart"/>
            <w:r w:rsidRPr="00AB1BE0">
              <w:rPr>
                <w:rFonts w:ascii="Book Antiqua" w:hAnsi="Book Antiqua" w:cs="Calibri"/>
              </w:rPr>
              <w:t>yr</w:t>
            </w:r>
            <w:proofErr w:type="spellEnd"/>
          </w:p>
        </w:tc>
        <w:tc>
          <w:tcPr>
            <w:tcW w:w="0" w:type="auto"/>
            <w:tcBorders>
              <w:top w:val="nil"/>
              <w:left w:val="nil"/>
              <w:bottom w:val="nil"/>
              <w:right w:val="nil"/>
            </w:tcBorders>
            <w:hideMark/>
          </w:tcPr>
          <w:p w14:paraId="600E3A39" w14:textId="280F4F8A"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46.52</w:t>
            </w:r>
            <w:r>
              <w:rPr>
                <w:rFonts w:ascii="Book Antiqua" w:hAnsi="Book Antiqua" w:cs="Calibri"/>
              </w:rPr>
              <w:t xml:space="preserve"> </w:t>
            </w:r>
            <w:r w:rsidRPr="00AB1BE0">
              <w:rPr>
                <w:rFonts w:ascii="Book Antiqua" w:hAnsi="Book Antiqua" w:cs="Calibri"/>
              </w:rPr>
              <w:t>± 9.50</w:t>
            </w:r>
          </w:p>
        </w:tc>
        <w:tc>
          <w:tcPr>
            <w:tcW w:w="0" w:type="auto"/>
            <w:tcBorders>
              <w:top w:val="nil"/>
              <w:left w:val="nil"/>
              <w:bottom w:val="nil"/>
              <w:right w:val="nil"/>
            </w:tcBorders>
            <w:hideMark/>
          </w:tcPr>
          <w:p w14:paraId="1CDC7C51" w14:textId="22943633"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47.41</w:t>
            </w:r>
            <w:r>
              <w:rPr>
                <w:rFonts w:ascii="Book Antiqua" w:hAnsi="Book Antiqua" w:cs="Calibri"/>
              </w:rPr>
              <w:t xml:space="preserve"> </w:t>
            </w:r>
            <w:r w:rsidRPr="00AB1BE0">
              <w:rPr>
                <w:rFonts w:ascii="Book Antiqua" w:hAnsi="Book Antiqua" w:cs="Calibri"/>
              </w:rPr>
              <w:t>±</w:t>
            </w:r>
            <w:r>
              <w:rPr>
                <w:rFonts w:ascii="Book Antiqua" w:hAnsi="Book Antiqua" w:cs="Calibri"/>
              </w:rPr>
              <w:t xml:space="preserve"> </w:t>
            </w:r>
            <w:r w:rsidRPr="00AB1BE0">
              <w:rPr>
                <w:rFonts w:ascii="Book Antiqua" w:hAnsi="Book Antiqua" w:cs="Calibri"/>
              </w:rPr>
              <w:t>10.79</w:t>
            </w:r>
          </w:p>
        </w:tc>
        <w:tc>
          <w:tcPr>
            <w:tcW w:w="0" w:type="auto"/>
            <w:tcBorders>
              <w:top w:val="nil"/>
              <w:left w:val="nil"/>
              <w:bottom w:val="nil"/>
              <w:right w:val="nil"/>
            </w:tcBorders>
            <w:hideMark/>
          </w:tcPr>
          <w:p w14:paraId="519A0093"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0.643</w:t>
            </w:r>
          </w:p>
        </w:tc>
      </w:tr>
      <w:tr w:rsidR="00AB1BE0" w:rsidRPr="00AB1BE0" w14:paraId="06521DF9" w14:textId="77777777" w:rsidTr="00AB1BE0">
        <w:trPr>
          <w:jc w:val="center"/>
        </w:trPr>
        <w:tc>
          <w:tcPr>
            <w:tcW w:w="0" w:type="auto"/>
            <w:tcBorders>
              <w:top w:val="nil"/>
              <w:left w:val="nil"/>
              <w:bottom w:val="nil"/>
              <w:right w:val="nil"/>
            </w:tcBorders>
            <w:hideMark/>
          </w:tcPr>
          <w:p w14:paraId="66710BF2"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Recipient gender (male/female, </w:t>
            </w:r>
            <w:r w:rsidRPr="00AB1BE0">
              <w:rPr>
                <w:rFonts w:ascii="Book Antiqua" w:hAnsi="Book Antiqua" w:cs="Calibri"/>
                <w:i/>
                <w:iCs/>
              </w:rPr>
              <w:t>n</w:t>
            </w:r>
            <w:r w:rsidRPr="00AB1BE0">
              <w:rPr>
                <w:rFonts w:ascii="Book Antiqua" w:hAnsi="Book Antiqua" w:cs="Calibri"/>
              </w:rPr>
              <w:t>)</w:t>
            </w:r>
          </w:p>
        </w:tc>
        <w:tc>
          <w:tcPr>
            <w:tcW w:w="0" w:type="auto"/>
            <w:tcBorders>
              <w:top w:val="nil"/>
              <w:left w:val="nil"/>
              <w:bottom w:val="nil"/>
              <w:right w:val="nil"/>
            </w:tcBorders>
            <w:hideMark/>
          </w:tcPr>
          <w:p w14:paraId="19E43269" w14:textId="2AF0114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37/7</w:t>
            </w:r>
          </w:p>
        </w:tc>
        <w:tc>
          <w:tcPr>
            <w:tcW w:w="0" w:type="auto"/>
            <w:tcBorders>
              <w:top w:val="nil"/>
              <w:left w:val="nil"/>
              <w:bottom w:val="nil"/>
              <w:right w:val="nil"/>
            </w:tcBorders>
            <w:hideMark/>
          </w:tcPr>
          <w:p w14:paraId="626EA468"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75/15</w:t>
            </w:r>
          </w:p>
        </w:tc>
        <w:tc>
          <w:tcPr>
            <w:tcW w:w="0" w:type="auto"/>
            <w:tcBorders>
              <w:top w:val="nil"/>
              <w:left w:val="nil"/>
              <w:bottom w:val="nil"/>
              <w:right w:val="nil"/>
            </w:tcBorders>
            <w:hideMark/>
          </w:tcPr>
          <w:p w14:paraId="49A627CF"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0.911</w:t>
            </w:r>
          </w:p>
        </w:tc>
      </w:tr>
      <w:tr w:rsidR="00AB1BE0" w:rsidRPr="00AB1BE0" w14:paraId="0DBC1D61" w14:textId="77777777" w:rsidTr="00AB1BE0">
        <w:trPr>
          <w:jc w:val="center"/>
        </w:trPr>
        <w:tc>
          <w:tcPr>
            <w:tcW w:w="0" w:type="auto"/>
            <w:tcBorders>
              <w:top w:val="nil"/>
              <w:left w:val="nil"/>
              <w:bottom w:val="nil"/>
              <w:right w:val="nil"/>
            </w:tcBorders>
            <w:hideMark/>
          </w:tcPr>
          <w:p w14:paraId="175490E8" w14:textId="2462DB6E"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Duration of diabetes, </w:t>
            </w:r>
            <w:proofErr w:type="spellStart"/>
            <w:r w:rsidRPr="00AB1BE0">
              <w:rPr>
                <w:rFonts w:ascii="Book Antiqua" w:hAnsi="Book Antiqua" w:cs="Calibri"/>
              </w:rPr>
              <w:t>yr</w:t>
            </w:r>
            <w:proofErr w:type="spellEnd"/>
          </w:p>
        </w:tc>
        <w:tc>
          <w:tcPr>
            <w:tcW w:w="0" w:type="auto"/>
            <w:tcBorders>
              <w:top w:val="nil"/>
              <w:left w:val="nil"/>
              <w:bottom w:val="nil"/>
              <w:right w:val="nil"/>
            </w:tcBorders>
            <w:hideMark/>
          </w:tcPr>
          <w:p w14:paraId="2247D7A5" w14:textId="7F88C6D3"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16.73</w:t>
            </w:r>
            <w:r>
              <w:rPr>
                <w:rFonts w:ascii="Book Antiqua" w:hAnsi="Book Antiqua" w:cs="Calibri"/>
              </w:rPr>
              <w:t xml:space="preserve"> </w:t>
            </w:r>
            <w:r w:rsidRPr="00AB1BE0">
              <w:rPr>
                <w:rFonts w:ascii="Book Antiqua" w:hAnsi="Book Antiqua" w:cs="Calibri"/>
              </w:rPr>
              <w:t>± 6.2</w:t>
            </w:r>
          </w:p>
        </w:tc>
        <w:tc>
          <w:tcPr>
            <w:tcW w:w="0" w:type="auto"/>
            <w:tcBorders>
              <w:top w:val="nil"/>
              <w:left w:val="nil"/>
              <w:bottom w:val="nil"/>
              <w:right w:val="nil"/>
            </w:tcBorders>
            <w:hideMark/>
          </w:tcPr>
          <w:p w14:paraId="392893BB" w14:textId="50594A3D"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15.88</w:t>
            </w:r>
            <w:r>
              <w:rPr>
                <w:rFonts w:ascii="Book Antiqua" w:hAnsi="Book Antiqua" w:cs="Calibri"/>
              </w:rPr>
              <w:t xml:space="preserve"> </w:t>
            </w:r>
            <w:r w:rsidRPr="00AB1BE0">
              <w:rPr>
                <w:rFonts w:ascii="Book Antiqua" w:hAnsi="Book Antiqua" w:cs="Calibri"/>
              </w:rPr>
              <w:t>±</w:t>
            </w:r>
            <w:r>
              <w:rPr>
                <w:rFonts w:ascii="Book Antiqua" w:hAnsi="Book Antiqua" w:cs="Calibri"/>
              </w:rPr>
              <w:t xml:space="preserve"> </w:t>
            </w:r>
            <w:r w:rsidRPr="00AB1BE0">
              <w:rPr>
                <w:rFonts w:ascii="Book Antiqua" w:hAnsi="Book Antiqua" w:cs="Calibri"/>
              </w:rPr>
              <w:t>5.9</w:t>
            </w:r>
          </w:p>
        </w:tc>
        <w:tc>
          <w:tcPr>
            <w:tcW w:w="0" w:type="auto"/>
            <w:tcBorders>
              <w:top w:val="nil"/>
              <w:left w:val="nil"/>
              <w:bottom w:val="nil"/>
              <w:right w:val="nil"/>
            </w:tcBorders>
            <w:hideMark/>
          </w:tcPr>
          <w:p w14:paraId="64B84F03"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0.449</w:t>
            </w:r>
          </w:p>
        </w:tc>
      </w:tr>
      <w:tr w:rsidR="00AB1BE0" w:rsidRPr="00AB1BE0" w14:paraId="2B1B6293" w14:textId="77777777" w:rsidTr="00AB1BE0">
        <w:trPr>
          <w:jc w:val="center"/>
        </w:trPr>
        <w:tc>
          <w:tcPr>
            <w:tcW w:w="0" w:type="auto"/>
            <w:tcBorders>
              <w:top w:val="nil"/>
              <w:left w:val="nil"/>
              <w:bottom w:val="nil"/>
              <w:right w:val="nil"/>
            </w:tcBorders>
            <w:hideMark/>
          </w:tcPr>
          <w:p w14:paraId="04BFCC5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Diabetes type (1/2)</w:t>
            </w:r>
          </w:p>
        </w:tc>
        <w:tc>
          <w:tcPr>
            <w:tcW w:w="0" w:type="auto"/>
            <w:tcBorders>
              <w:top w:val="nil"/>
              <w:left w:val="nil"/>
              <w:bottom w:val="nil"/>
              <w:right w:val="nil"/>
            </w:tcBorders>
            <w:hideMark/>
          </w:tcPr>
          <w:p w14:paraId="4D0DC3C5"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7/37</w:t>
            </w:r>
          </w:p>
        </w:tc>
        <w:tc>
          <w:tcPr>
            <w:tcW w:w="0" w:type="auto"/>
            <w:tcBorders>
              <w:top w:val="nil"/>
              <w:left w:val="nil"/>
              <w:bottom w:val="nil"/>
              <w:right w:val="nil"/>
            </w:tcBorders>
            <w:hideMark/>
          </w:tcPr>
          <w:p w14:paraId="241C4AF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18/72</w:t>
            </w:r>
          </w:p>
        </w:tc>
        <w:tc>
          <w:tcPr>
            <w:tcW w:w="0" w:type="auto"/>
            <w:tcBorders>
              <w:top w:val="nil"/>
              <w:left w:val="nil"/>
              <w:bottom w:val="nil"/>
              <w:right w:val="nil"/>
            </w:tcBorders>
            <w:hideMark/>
          </w:tcPr>
          <w:p w14:paraId="6C73A204"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0.568</w:t>
            </w:r>
          </w:p>
        </w:tc>
      </w:tr>
      <w:tr w:rsidR="00AB1BE0" w:rsidRPr="00AB1BE0" w14:paraId="3E72A83D" w14:textId="77777777" w:rsidTr="00AB1BE0">
        <w:trPr>
          <w:jc w:val="center"/>
        </w:trPr>
        <w:tc>
          <w:tcPr>
            <w:tcW w:w="0" w:type="auto"/>
            <w:tcBorders>
              <w:top w:val="nil"/>
              <w:left w:val="nil"/>
              <w:bottom w:val="nil"/>
              <w:right w:val="nil"/>
            </w:tcBorders>
            <w:hideMark/>
          </w:tcPr>
          <w:p w14:paraId="54A16343"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BMI</w:t>
            </w:r>
          </w:p>
        </w:tc>
        <w:tc>
          <w:tcPr>
            <w:tcW w:w="0" w:type="auto"/>
            <w:tcBorders>
              <w:top w:val="nil"/>
              <w:left w:val="nil"/>
              <w:bottom w:val="nil"/>
              <w:right w:val="nil"/>
            </w:tcBorders>
            <w:hideMark/>
          </w:tcPr>
          <w:p w14:paraId="4E69F494" w14:textId="0C81E566"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24.66</w:t>
            </w:r>
            <w:r>
              <w:rPr>
                <w:rFonts w:ascii="Book Antiqua" w:hAnsi="Book Antiqua" w:cs="Calibri"/>
              </w:rPr>
              <w:t xml:space="preserve"> </w:t>
            </w:r>
            <w:r w:rsidRPr="00AB1BE0">
              <w:rPr>
                <w:rFonts w:ascii="Book Antiqua" w:hAnsi="Book Antiqua" w:cs="Calibri"/>
              </w:rPr>
              <w:t>± 3.68</w:t>
            </w:r>
          </w:p>
        </w:tc>
        <w:tc>
          <w:tcPr>
            <w:tcW w:w="0" w:type="auto"/>
            <w:tcBorders>
              <w:top w:val="nil"/>
              <w:left w:val="nil"/>
              <w:bottom w:val="nil"/>
              <w:right w:val="nil"/>
            </w:tcBorders>
            <w:hideMark/>
          </w:tcPr>
          <w:p w14:paraId="51D8B98A" w14:textId="6E4A285C"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23.60</w:t>
            </w:r>
            <w:r>
              <w:rPr>
                <w:rFonts w:ascii="Book Antiqua" w:hAnsi="Book Antiqua" w:cs="Calibri"/>
              </w:rPr>
              <w:t xml:space="preserve"> </w:t>
            </w:r>
            <w:r w:rsidRPr="00AB1BE0">
              <w:rPr>
                <w:rFonts w:ascii="Book Antiqua" w:hAnsi="Book Antiqua" w:cs="Calibri"/>
              </w:rPr>
              <w:t>± 3.18</w:t>
            </w:r>
          </w:p>
        </w:tc>
        <w:tc>
          <w:tcPr>
            <w:tcW w:w="0" w:type="auto"/>
            <w:tcBorders>
              <w:top w:val="nil"/>
              <w:left w:val="nil"/>
              <w:bottom w:val="nil"/>
              <w:right w:val="nil"/>
            </w:tcBorders>
            <w:hideMark/>
          </w:tcPr>
          <w:p w14:paraId="0252D2EE"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0.089</w:t>
            </w:r>
          </w:p>
        </w:tc>
      </w:tr>
      <w:tr w:rsidR="00AB1BE0" w:rsidRPr="00AB1BE0" w14:paraId="0C12E812" w14:textId="77777777" w:rsidTr="00AB1BE0">
        <w:trPr>
          <w:jc w:val="center"/>
        </w:trPr>
        <w:tc>
          <w:tcPr>
            <w:tcW w:w="0" w:type="auto"/>
            <w:tcBorders>
              <w:top w:val="nil"/>
              <w:left w:val="nil"/>
              <w:bottom w:val="nil"/>
              <w:right w:val="nil"/>
            </w:tcBorders>
            <w:hideMark/>
          </w:tcPr>
          <w:p w14:paraId="4FACF358"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Blood type, </w:t>
            </w:r>
            <w:r w:rsidRPr="00AB1BE0">
              <w:rPr>
                <w:rFonts w:ascii="Book Antiqua" w:hAnsi="Book Antiqua" w:cs="Calibri"/>
                <w:i/>
                <w:iCs/>
              </w:rPr>
              <w:t>n</w:t>
            </w:r>
          </w:p>
        </w:tc>
        <w:tc>
          <w:tcPr>
            <w:tcW w:w="0" w:type="auto"/>
            <w:tcBorders>
              <w:top w:val="nil"/>
              <w:left w:val="nil"/>
              <w:bottom w:val="nil"/>
              <w:right w:val="nil"/>
            </w:tcBorders>
          </w:tcPr>
          <w:p w14:paraId="390056E1"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5D11BC65"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0C75538C" w14:textId="77777777" w:rsidR="00AB1BE0" w:rsidRPr="00AB1BE0" w:rsidRDefault="00AB1BE0" w:rsidP="000A34AB">
            <w:pPr>
              <w:adjustRightInd w:val="0"/>
              <w:snapToGrid w:val="0"/>
              <w:spacing w:line="360" w:lineRule="auto"/>
              <w:jc w:val="both"/>
              <w:rPr>
                <w:rFonts w:ascii="Book Antiqua" w:hAnsi="Book Antiqua"/>
              </w:rPr>
            </w:pPr>
          </w:p>
        </w:tc>
      </w:tr>
      <w:tr w:rsidR="00AB1BE0" w:rsidRPr="00AB1BE0" w14:paraId="69C7F43B" w14:textId="77777777" w:rsidTr="00AB1BE0">
        <w:trPr>
          <w:jc w:val="center"/>
        </w:trPr>
        <w:tc>
          <w:tcPr>
            <w:tcW w:w="0" w:type="auto"/>
            <w:tcBorders>
              <w:top w:val="nil"/>
              <w:left w:val="nil"/>
              <w:bottom w:val="nil"/>
              <w:right w:val="nil"/>
            </w:tcBorders>
            <w:hideMark/>
          </w:tcPr>
          <w:p w14:paraId="4C5DB595" w14:textId="192D2A4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A+/B+/AB+/O+</w:t>
            </w:r>
          </w:p>
        </w:tc>
        <w:tc>
          <w:tcPr>
            <w:tcW w:w="0" w:type="auto"/>
            <w:tcBorders>
              <w:top w:val="nil"/>
              <w:left w:val="nil"/>
              <w:bottom w:val="nil"/>
              <w:right w:val="nil"/>
            </w:tcBorders>
            <w:hideMark/>
          </w:tcPr>
          <w:p w14:paraId="420BF41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10/10/4/20</w:t>
            </w:r>
          </w:p>
        </w:tc>
        <w:tc>
          <w:tcPr>
            <w:tcW w:w="0" w:type="auto"/>
            <w:tcBorders>
              <w:top w:val="nil"/>
              <w:left w:val="nil"/>
              <w:bottom w:val="nil"/>
              <w:right w:val="nil"/>
            </w:tcBorders>
            <w:hideMark/>
          </w:tcPr>
          <w:p w14:paraId="5F9EE8F8"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17/35/10/28</w:t>
            </w:r>
          </w:p>
        </w:tc>
        <w:tc>
          <w:tcPr>
            <w:tcW w:w="0" w:type="auto"/>
            <w:tcBorders>
              <w:top w:val="nil"/>
              <w:left w:val="nil"/>
              <w:bottom w:val="nil"/>
              <w:right w:val="nil"/>
            </w:tcBorders>
            <w:hideMark/>
          </w:tcPr>
          <w:p w14:paraId="6E5C6628"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0.169</w:t>
            </w:r>
          </w:p>
        </w:tc>
      </w:tr>
      <w:tr w:rsidR="00AB1BE0" w:rsidRPr="00AB1BE0" w14:paraId="1E1258A6" w14:textId="77777777" w:rsidTr="00AB1BE0">
        <w:trPr>
          <w:jc w:val="center"/>
        </w:trPr>
        <w:tc>
          <w:tcPr>
            <w:tcW w:w="0" w:type="auto"/>
            <w:tcBorders>
              <w:top w:val="nil"/>
              <w:left w:val="nil"/>
              <w:bottom w:val="nil"/>
              <w:right w:val="nil"/>
            </w:tcBorders>
            <w:hideMark/>
          </w:tcPr>
          <w:p w14:paraId="36F16442" w14:textId="1AC10702"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Duration of dialysis, months, median </w:t>
            </w:r>
            <w:r>
              <w:rPr>
                <w:rFonts w:ascii="Book Antiqua" w:hAnsi="Book Antiqua" w:cs="Calibri"/>
              </w:rPr>
              <w:t>(</w:t>
            </w:r>
            <w:r w:rsidRPr="00AB1BE0">
              <w:rPr>
                <w:rFonts w:ascii="Book Antiqua" w:hAnsi="Book Antiqua" w:cs="Calibri"/>
              </w:rPr>
              <w:t>IQR</w:t>
            </w:r>
            <w:r>
              <w:rPr>
                <w:rFonts w:ascii="Book Antiqua" w:hAnsi="Book Antiqua" w:cs="Calibri"/>
              </w:rPr>
              <w:t>)</w:t>
            </w:r>
          </w:p>
        </w:tc>
        <w:tc>
          <w:tcPr>
            <w:tcW w:w="0" w:type="auto"/>
            <w:tcBorders>
              <w:top w:val="nil"/>
              <w:left w:val="nil"/>
              <w:bottom w:val="nil"/>
              <w:right w:val="nil"/>
            </w:tcBorders>
            <w:hideMark/>
          </w:tcPr>
          <w:p w14:paraId="65A0163C" w14:textId="397DFE98"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12.00 </w:t>
            </w:r>
            <w:r>
              <w:rPr>
                <w:rFonts w:ascii="Book Antiqua" w:hAnsi="Book Antiqua" w:cs="Calibri"/>
              </w:rPr>
              <w:t>(</w:t>
            </w:r>
            <w:r w:rsidRPr="00AB1BE0">
              <w:rPr>
                <w:rFonts w:ascii="Book Antiqua" w:hAnsi="Book Antiqua" w:cs="Calibri"/>
              </w:rPr>
              <w:t>6.25, 36.00</w:t>
            </w:r>
            <w:r>
              <w:rPr>
                <w:rFonts w:ascii="Book Antiqua" w:hAnsi="Book Antiqua" w:cs="Calibri"/>
              </w:rPr>
              <w:t>)</w:t>
            </w:r>
          </w:p>
        </w:tc>
        <w:tc>
          <w:tcPr>
            <w:tcW w:w="0" w:type="auto"/>
            <w:tcBorders>
              <w:top w:val="nil"/>
              <w:left w:val="nil"/>
              <w:bottom w:val="nil"/>
              <w:right w:val="nil"/>
            </w:tcBorders>
            <w:hideMark/>
          </w:tcPr>
          <w:p w14:paraId="4981E8F8" w14:textId="0F8287E0"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10.00 </w:t>
            </w:r>
            <w:r>
              <w:rPr>
                <w:rFonts w:ascii="Book Antiqua" w:hAnsi="Book Antiqua" w:cs="Calibri"/>
              </w:rPr>
              <w:t>(</w:t>
            </w:r>
            <w:r w:rsidRPr="00AB1BE0">
              <w:rPr>
                <w:rFonts w:ascii="Book Antiqua" w:hAnsi="Book Antiqua" w:cs="Calibri"/>
              </w:rPr>
              <w:t>5.00, 20.75</w:t>
            </w:r>
            <w:r>
              <w:rPr>
                <w:rFonts w:ascii="Book Antiqua" w:hAnsi="Book Antiqua" w:cs="Calibri"/>
              </w:rPr>
              <w:t>)</w:t>
            </w:r>
          </w:p>
        </w:tc>
        <w:tc>
          <w:tcPr>
            <w:tcW w:w="0" w:type="auto"/>
            <w:tcBorders>
              <w:top w:val="nil"/>
              <w:left w:val="nil"/>
              <w:bottom w:val="nil"/>
              <w:right w:val="nil"/>
            </w:tcBorders>
            <w:hideMark/>
          </w:tcPr>
          <w:p w14:paraId="17D33E86"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0.037</w:t>
            </w:r>
          </w:p>
        </w:tc>
      </w:tr>
      <w:tr w:rsidR="00AB1BE0" w:rsidRPr="00AB1BE0" w14:paraId="04D046F1" w14:textId="77777777" w:rsidTr="00AB1BE0">
        <w:trPr>
          <w:jc w:val="center"/>
        </w:trPr>
        <w:tc>
          <w:tcPr>
            <w:tcW w:w="0" w:type="auto"/>
            <w:tcBorders>
              <w:top w:val="nil"/>
              <w:left w:val="nil"/>
              <w:bottom w:val="nil"/>
              <w:right w:val="nil"/>
            </w:tcBorders>
            <w:hideMark/>
          </w:tcPr>
          <w:p w14:paraId="40DF9419"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Pancreas ischemia time, minutes</w:t>
            </w:r>
          </w:p>
        </w:tc>
        <w:tc>
          <w:tcPr>
            <w:tcW w:w="0" w:type="auto"/>
            <w:tcBorders>
              <w:top w:val="nil"/>
              <w:left w:val="nil"/>
              <w:bottom w:val="nil"/>
              <w:right w:val="nil"/>
            </w:tcBorders>
            <w:hideMark/>
          </w:tcPr>
          <w:p w14:paraId="5C415AF9" w14:textId="1B60E535"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446.71</w:t>
            </w:r>
            <w:r>
              <w:rPr>
                <w:rFonts w:ascii="Book Antiqua" w:hAnsi="Book Antiqua" w:cs="Calibri"/>
              </w:rPr>
              <w:t xml:space="preserve"> </w:t>
            </w:r>
            <w:r w:rsidRPr="00AB1BE0">
              <w:rPr>
                <w:rFonts w:ascii="Book Antiqua" w:hAnsi="Book Antiqua" w:cs="Calibri"/>
              </w:rPr>
              <w:t>±</w:t>
            </w:r>
            <w:r>
              <w:rPr>
                <w:rFonts w:ascii="Book Antiqua" w:hAnsi="Book Antiqua" w:cs="Calibri"/>
              </w:rPr>
              <w:t xml:space="preserve"> </w:t>
            </w:r>
            <w:r w:rsidRPr="00AB1BE0">
              <w:rPr>
                <w:rFonts w:ascii="Book Antiqua" w:hAnsi="Book Antiqua" w:cs="Calibri"/>
              </w:rPr>
              <w:t>104.11</w:t>
            </w:r>
          </w:p>
        </w:tc>
        <w:tc>
          <w:tcPr>
            <w:tcW w:w="0" w:type="auto"/>
            <w:tcBorders>
              <w:top w:val="nil"/>
              <w:left w:val="nil"/>
              <w:bottom w:val="nil"/>
              <w:right w:val="nil"/>
            </w:tcBorders>
            <w:hideMark/>
          </w:tcPr>
          <w:p w14:paraId="524BDEC5" w14:textId="693E6966"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400.94</w:t>
            </w:r>
            <w:r>
              <w:rPr>
                <w:rFonts w:ascii="Book Antiqua" w:hAnsi="Book Antiqua" w:cs="Calibri"/>
              </w:rPr>
              <w:t xml:space="preserve"> </w:t>
            </w:r>
            <w:r w:rsidRPr="00AB1BE0">
              <w:rPr>
                <w:rFonts w:ascii="Book Antiqua" w:hAnsi="Book Antiqua" w:cs="Calibri"/>
              </w:rPr>
              <w:t>±</w:t>
            </w:r>
            <w:r>
              <w:rPr>
                <w:rFonts w:ascii="Book Antiqua" w:hAnsi="Book Antiqua" w:cs="Calibri"/>
              </w:rPr>
              <w:t xml:space="preserve"> </w:t>
            </w:r>
            <w:r w:rsidRPr="00AB1BE0">
              <w:rPr>
                <w:rFonts w:ascii="Book Antiqua" w:hAnsi="Book Antiqua" w:cs="Calibri"/>
              </w:rPr>
              <w:t>89.79</w:t>
            </w:r>
          </w:p>
        </w:tc>
        <w:tc>
          <w:tcPr>
            <w:tcW w:w="0" w:type="auto"/>
            <w:tcBorders>
              <w:top w:val="nil"/>
              <w:left w:val="nil"/>
              <w:bottom w:val="nil"/>
              <w:right w:val="nil"/>
            </w:tcBorders>
            <w:hideMark/>
          </w:tcPr>
          <w:p w14:paraId="43ADFD03"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0.010</w:t>
            </w:r>
          </w:p>
        </w:tc>
      </w:tr>
      <w:tr w:rsidR="00AB1BE0" w:rsidRPr="00AB1BE0" w14:paraId="022A0C7E" w14:textId="77777777" w:rsidTr="00AB1BE0">
        <w:trPr>
          <w:jc w:val="center"/>
        </w:trPr>
        <w:tc>
          <w:tcPr>
            <w:tcW w:w="0" w:type="auto"/>
            <w:tcBorders>
              <w:top w:val="nil"/>
              <w:left w:val="nil"/>
              <w:bottom w:val="nil"/>
              <w:right w:val="nil"/>
            </w:tcBorders>
            <w:hideMark/>
          </w:tcPr>
          <w:p w14:paraId="453E3FC7" w14:textId="3D7A9E54"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HLA-A,</w:t>
            </w:r>
            <w:r>
              <w:rPr>
                <w:rFonts w:ascii="Book Antiqua" w:hAnsi="Book Antiqua" w:cs="Calibri"/>
              </w:rPr>
              <w:t xml:space="preserve"> </w:t>
            </w:r>
            <w:r w:rsidRPr="00AB1BE0">
              <w:rPr>
                <w:rFonts w:ascii="Book Antiqua" w:hAnsi="Book Antiqua" w:cs="Calibri"/>
              </w:rPr>
              <w:t>-B,</w:t>
            </w:r>
            <w:r>
              <w:rPr>
                <w:rFonts w:ascii="Book Antiqua" w:hAnsi="Book Antiqua" w:cs="Calibri"/>
              </w:rPr>
              <w:t xml:space="preserve"> </w:t>
            </w:r>
            <w:r w:rsidRPr="00AB1BE0">
              <w:rPr>
                <w:rFonts w:ascii="Book Antiqua" w:hAnsi="Book Antiqua" w:cs="Calibri"/>
              </w:rPr>
              <w:t>-DR mismatch</w:t>
            </w:r>
          </w:p>
        </w:tc>
        <w:tc>
          <w:tcPr>
            <w:tcW w:w="0" w:type="auto"/>
            <w:tcBorders>
              <w:top w:val="nil"/>
              <w:left w:val="nil"/>
              <w:bottom w:val="nil"/>
              <w:right w:val="nil"/>
            </w:tcBorders>
          </w:tcPr>
          <w:p w14:paraId="00217FED"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20355747"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396210C4" w14:textId="77777777" w:rsidR="00AB1BE0" w:rsidRPr="00AB1BE0" w:rsidRDefault="00AB1BE0" w:rsidP="000A34AB">
            <w:pPr>
              <w:adjustRightInd w:val="0"/>
              <w:snapToGrid w:val="0"/>
              <w:spacing w:line="360" w:lineRule="auto"/>
              <w:jc w:val="both"/>
              <w:rPr>
                <w:rFonts w:ascii="Book Antiqua" w:hAnsi="Book Antiqua"/>
              </w:rPr>
            </w:pPr>
          </w:p>
        </w:tc>
      </w:tr>
      <w:tr w:rsidR="00AB1BE0" w:rsidRPr="00AB1BE0" w14:paraId="6E356A51" w14:textId="77777777" w:rsidTr="00AB1BE0">
        <w:trPr>
          <w:jc w:val="center"/>
        </w:trPr>
        <w:tc>
          <w:tcPr>
            <w:tcW w:w="0" w:type="auto"/>
            <w:tcBorders>
              <w:top w:val="nil"/>
              <w:left w:val="nil"/>
              <w:bottom w:val="nil"/>
              <w:right w:val="nil"/>
            </w:tcBorders>
            <w:hideMark/>
          </w:tcPr>
          <w:p w14:paraId="222DF6B9" w14:textId="77777777"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0-3</w:t>
            </w:r>
          </w:p>
        </w:tc>
        <w:tc>
          <w:tcPr>
            <w:tcW w:w="0" w:type="auto"/>
            <w:tcBorders>
              <w:top w:val="nil"/>
              <w:left w:val="nil"/>
              <w:bottom w:val="nil"/>
              <w:right w:val="nil"/>
            </w:tcBorders>
            <w:hideMark/>
          </w:tcPr>
          <w:p w14:paraId="585ECC7B" w14:textId="4EC03938"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8</w:t>
            </w:r>
            <w:r>
              <w:rPr>
                <w:rFonts w:ascii="Book Antiqua" w:hAnsi="Book Antiqua" w:cs="Calibri"/>
              </w:rPr>
              <w:t xml:space="preserve"> </w:t>
            </w:r>
            <w:r w:rsidRPr="00AB1BE0">
              <w:rPr>
                <w:rFonts w:ascii="Book Antiqua" w:hAnsi="Book Antiqua" w:cs="Calibri"/>
              </w:rPr>
              <w:t>(18.18)</w:t>
            </w:r>
          </w:p>
        </w:tc>
        <w:tc>
          <w:tcPr>
            <w:tcW w:w="0" w:type="auto"/>
            <w:tcBorders>
              <w:top w:val="nil"/>
              <w:left w:val="nil"/>
              <w:bottom w:val="nil"/>
              <w:right w:val="nil"/>
            </w:tcBorders>
            <w:hideMark/>
          </w:tcPr>
          <w:p w14:paraId="47D78125" w14:textId="6C4E2FCD"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19</w:t>
            </w:r>
            <w:r>
              <w:rPr>
                <w:rFonts w:ascii="Book Antiqua" w:hAnsi="Book Antiqua" w:cs="Calibri"/>
              </w:rPr>
              <w:t xml:space="preserve"> </w:t>
            </w:r>
            <w:r w:rsidRPr="00AB1BE0">
              <w:rPr>
                <w:rFonts w:ascii="Book Antiqua" w:hAnsi="Book Antiqua" w:cs="Calibri"/>
              </w:rPr>
              <w:t>(21.11)</w:t>
            </w:r>
          </w:p>
        </w:tc>
        <w:tc>
          <w:tcPr>
            <w:tcW w:w="0" w:type="auto"/>
            <w:tcBorders>
              <w:top w:val="nil"/>
              <w:left w:val="nil"/>
              <w:bottom w:val="nil"/>
              <w:right w:val="nil"/>
            </w:tcBorders>
            <w:hideMark/>
          </w:tcPr>
          <w:p w14:paraId="318248F3"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0.691</w:t>
            </w:r>
          </w:p>
        </w:tc>
      </w:tr>
      <w:tr w:rsidR="00AB1BE0" w:rsidRPr="00AB1BE0" w14:paraId="779D6F80" w14:textId="77777777" w:rsidTr="00AB1BE0">
        <w:trPr>
          <w:jc w:val="center"/>
        </w:trPr>
        <w:tc>
          <w:tcPr>
            <w:tcW w:w="0" w:type="auto"/>
            <w:tcBorders>
              <w:top w:val="nil"/>
              <w:left w:val="nil"/>
              <w:bottom w:val="nil"/>
              <w:right w:val="nil"/>
            </w:tcBorders>
            <w:hideMark/>
          </w:tcPr>
          <w:p w14:paraId="123C8FAD" w14:textId="66070832"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4-6</w:t>
            </w:r>
          </w:p>
        </w:tc>
        <w:tc>
          <w:tcPr>
            <w:tcW w:w="0" w:type="auto"/>
            <w:tcBorders>
              <w:top w:val="nil"/>
              <w:left w:val="nil"/>
              <w:bottom w:val="nil"/>
              <w:right w:val="nil"/>
            </w:tcBorders>
            <w:hideMark/>
          </w:tcPr>
          <w:p w14:paraId="3860A934" w14:textId="1E1A26C6"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36</w:t>
            </w:r>
            <w:r>
              <w:rPr>
                <w:rFonts w:ascii="Book Antiqua" w:hAnsi="Book Antiqua" w:cs="Calibri"/>
              </w:rPr>
              <w:t xml:space="preserve"> </w:t>
            </w:r>
            <w:r w:rsidRPr="00AB1BE0">
              <w:rPr>
                <w:rFonts w:ascii="Book Antiqua" w:hAnsi="Book Antiqua" w:cs="Calibri"/>
              </w:rPr>
              <w:t>(81.82)</w:t>
            </w:r>
          </w:p>
        </w:tc>
        <w:tc>
          <w:tcPr>
            <w:tcW w:w="0" w:type="auto"/>
            <w:tcBorders>
              <w:top w:val="nil"/>
              <w:left w:val="nil"/>
              <w:bottom w:val="nil"/>
              <w:right w:val="nil"/>
            </w:tcBorders>
            <w:hideMark/>
          </w:tcPr>
          <w:p w14:paraId="6F48030F" w14:textId="0E8CBC51"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71</w:t>
            </w:r>
            <w:r>
              <w:rPr>
                <w:rFonts w:ascii="Book Antiqua" w:hAnsi="Book Antiqua" w:cs="Calibri"/>
              </w:rPr>
              <w:t xml:space="preserve"> </w:t>
            </w:r>
            <w:r w:rsidRPr="00AB1BE0">
              <w:rPr>
                <w:rFonts w:ascii="Book Antiqua" w:hAnsi="Book Antiqua" w:cs="Calibri"/>
              </w:rPr>
              <w:t>(78.89)</w:t>
            </w:r>
          </w:p>
        </w:tc>
        <w:tc>
          <w:tcPr>
            <w:tcW w:w="0" w:type="auto"/>
            <w:tcBorders>
              <w:top w:val="nil"/>
              <w:left w:val="nil"/>
              <w:bottom w:val="nil"/>
              <w:right w:val="nil"/>
            </w:tcBorders>
            <w:hideMark/>
          </w:tcPr>
          <w:p w14:paraId="38AA481E"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0.691</w:t>
            </w:r>
          </w:p>
        </w:tc>
      </w:tr>
      <w:tr w:rsidR="00AB1BE0" w:rsidRPr="00AB1BE0" w14:paraId="24933D63" w14:textId="77777777" w:rsidTr="00AB1BE0">
        <w:trPr>
          <w:jc w:val="center"/>
        </w:trPr>
        <w:tc>
          <w:tcPr>
            <w:tcW w:w="0" w:type="auto"/>
            <w:tcBorders>
              <w:top w:val="nil"/>
              <w:left w:val="nil"/>
              <w:bottom w:val="nil"/>
              <w:right w:val="nil"/>
            </w:tcBorders>
            <w:hideMark/>
          </w:tcPr>
          <w:p w14:paraId="6DCB8213" w14:textId="63255BB2"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 xml:space="preserve">Maintenance </w:t>
            </w:r>
            <w:proofErr w:type="spellStart"/>
            <w:r w:rsidRPr="00AB1BE0">
              <w:rPr>
                <w:rFonts w:ascii="Book Antiqua" w:hAnsi="Book Antiqua" w:cs="Calibri"/>
              </w:rPr>
              <w:t>Immunosupression</w:t>
            </w:r>
            <w:proofErr w:type="spellEnd"/>
          </w:p>
        </w:tc>
        <w:tc>
          <w:tcPr>
            <w:tcW w:w="0" w:type="auto"/>
            <w:tcBorders>
              <w:top w:val="nil"/>
              <w:left w:val="nil"/>
              <w:bottom w:val="nil"/>
              <w:right w:val="nil"/>
            </w:tcBorders>
          </w:tcPr>
          <w:p w14:paraId="334A076B"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3A0B58BB"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6057D500" w14:textId="77777777" w:rsidR="00AB1BE0" w:rsidRPr="00AB1BE0" w:rsidRDefault="00AB1BE0" w:rsidP="000A34AB">
            <w:pPr>
              <w:adjustRightInd w:val="0"/>
              <w:snapToGrid w:val="0"/>
              <w:spacing w:line="360" w:lineRule="auto"/>
              <w:jc w:val="both"/>
              <w:rPr>
                <w:rFonts w:ascii="Book Antiqua" w:hAnsi="Book Antiqua"/>
              </w:rPr>
            </w:pPr>
          </w:p>
        </w:tc>
      </w:tr>
      <w:tr w:rsidR="00AB1BE0" w:rsidRPr="00AB1BE0" w14:paraId="0B9BF49D" w14:textId="77777777" w:rsidTr="00AB1BE0">
        <w:trPr>
          <w:jc w:val="center"/>
        </w:trPr>
        <w:tc>
          <w:tcPr>
            <w:tcW w:w="0" w:type="auto"/>
            <w:tcBorders>
              <w:top w:val="nil"/>
              <w:left w:val="nil"/>
              <w:bottom w:val="nil"/>
              <w:right w:val="nil"/>
            </w:tcBorders>
            <w:hideMark/>
          </w:tcPr>
          <w:p w14:paraId="3FA6D761" w14:textId="29EEB146"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TAC</w:t>
            </w:r>
          </w:p>
        </w:tc>
        <w:tc>
          <w:tcPr>
            <w:tcW w:w="0" w:type="auto"/>
            <w:tcBorders>
              <w:top w:val="nil"/>
              <w:left w:val="nil"/>
              <w:bottom w:val="nil"/>
              <w:right w:val="nil"/>
            </w:tcBorders>
            <w:hideMark/>
          </w:tcPr>
          <w:p w14:paraId="7EA18AF6" w14:textId="16121062"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40</w:t>
            </w:r>
            <w:r>
              <w:rPr>
                <w:rFonts w:ascii="Book Antiqua" w:hAnsi="Book Antiqua" w:cs="Calibri"/>
              </w:rPr>
              <w:t xml:space="preserve"> </w:t>
            </w:r>
            <w:r w:rsidRPr="00AB1BE0">
              <w:rPr>
                <w:rFonts w:ascii="Book Antiqua" w:hAnsi="Book Antiqua" w:cs="Calibri"/>
              </w:rPr>
              <w:t>(90.91)</w:t>
            </w:r>
          </w:p>
        </w:tc>
        <w:tc>
          <w:tcPr>
            <w:tcW w:w="0" w:type="auto"/>
            <w:tcBorders>
              <w:top w:val="nil"/>
              <w:left w:val="nil"/>
              <w:bottom w:val="nil"/>
              <w:right w:val="nil"/>
            </w:tcBorders>
            <w:hideMark/>
          </w:tcPr>
          <w:p w14:paraId="165D00B2" w14:textId="1937D21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72</w:t>
            </w:r>
            <w:r>
              <w:rPr>
                <w:rFonts w:ascii="Book Antiqua" w:hAnsi="Book Antiqua" w:cs="Calibri"/>
              </w:rPr>
              <w:t xml:space="preserve"> </w:t>
            </w:r>
            <w:r w:rsidRPr="00AB1BE0">
              <w:rPr>
                <w:rFonts w:ascii="Book Antiqua" w:hAnsi="Book Antiqua" w:cs="Calibri"/>
              </w:rPr>
              <w:t>(80.00)</w:t>
            </w:r>
          </w:p>
        </w:tc>
        <w:tc>
          <w:tcPr>
            <w:tcW w:w="0" w:type="auto"/>
            <w:tcBorders>
              <w:top w:val="nil"/>
              <w:left w:val="nil"/>
              <w:bottom w:val="nil"/>
              <w:right w:val="nil"/>
            </w:tcBorders>
            <w:hideMark/>
          </w:tcPr>
          <w:p w14:paraId="08F073ED"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0.109</w:t>
            </w:r>
          </w:p>
        </w:tc>
      </w:tr>
      <w:tr w:rsidR="00AB1BE0" w:rsidRPr="00AB1BE0" w14:paraId="6983D4AF" w14:textId="77777777" w:rsidTr="00AB1BE0">
        <w:trPr>
          <w:jc w:val="center"/>
        </w:trPr>
        <w:tc>
          <w:tcPr>
            <w:tcW w:w="0" w:type="auto"/>
            <w:tcBorders>
              <w:top w:val="nil"/>
              <w:left w:val="nil"/>
              <w:bottom w:val="nil"/>
              <w:right w:val="nil"/>
            </w:tcBorders>
            <w:hideMark/>
          </w:tcPr>
          <w:p w14:paraId="7903D045" w14:textId="1A1C6493" w:rsidR="00AB1BE0" w:rsidRPr="00AB1BE0" w:rsidRDefault="00AB1BE0" w:rsidP="000A34AB">
            <w:pPr>
              <w:adjustRightInd w:val="0"/>
              <w:snapToGrid w:val="0"/>
              <w:spacing w:line="360" w:lineRule="auto"/>
              <w:ind w:firstLineChars="100" w:firstLine="240"/>
              <w:jc w:val="both"/>
              <w:rPr>
                <w:rFonts w:ascii="Book Antiqua" w:hAnsi="Book Antiqua"/>
              </w:rPr>
            </w:pPr>
            <w:proofErr w:type="spellStart"/>
            <w:r w:rsidRPr="00AB1BE0">
              <w:rPr>
                <w:rFonts w:ascii="Book Antiqua" w:hAnsi="Book Antiqua" w:cs="Calibri"/>
              </w:rPr>
              <w:t>CsA</w:t>
            </w:r>
            <w:proofErr w:type="spellEnd"/>
          </w:p>
        </w:tc>
        <w:tc>
          <w:tcPr>
            <w:tcW w:w="0" w:type="auto"/>
            <w:tcBorders>
              <w:top w:val="nil"/>
              <w:left w:val="nil"/>
              <w:bottom w:val="nil"/>
              <w:right w:val="nil"/>
            </w:tcBorders>
            <w:hideMark/>
          </w:tcPr>
          <w:p w14:paraId="2259F1D6" w14:textId="1F17F36A"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4</w:t>
            </w:r>
            <w:r>
              <w:rPr>
                <w:rFonts w:ascii="Book Antiqua" w:hAnsi="Book Antiqua" w:cs="Calibri"/>
              </w:rPr>
              <w:t xml:space="preserve"> </w:t>
            </w:r>
            <w:r w:rsidRPr="00AB1BE0">
              <w:rPr>
                <w:rFonts w:ascii="Book Antiqua" w:hAnsi="Book Antiqua" w:cs="Calibri"/>
              </w:rPr>
              <w:t>(9.09)</w:t>
            </w:r>
          </w:p>
        </w:tc>
        <w:tc>
          <w:tcPr>
            <w:tcW w:w="0" w:type="auto"/>
            <w:tcBorders>
              <w:top w:val="nil"/>
              <w:left w:val="nil"/>
              <w:bottom w:val="nil"/>
              <w:right w:val="nil"/>
            </w:tcBorders>
            <w:hideMark/>
          </w:tcPr>
          <w:p w14:paraId="6F9F6180" w14:textId="08D2F41F"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18</w:t>
            </w:r>
            <w:r>
              <w:rPr>
                <w:rFonts w:ascii="Book Antiqua" w:hAnsi="Book Antiqua" w:cs="Calibri"/>
              </w:rPr>
              <w:t xml:space="preserve"> </w:t>
            </w:r>
            <w:r w:rsidRPr="00AB1BE0">
              <w:rPr>
                <w:rFonts w:ascii="Book Antiqua" w:hAnsi="Book Antiqua" w:cs="Calibri"/>
              </w:rPr>
              <w:t>(20.00)</w:t>
            </w:r>
          </w:p>
        </w:tc>
        <w:tc>
          <w:tcPr>
            <w:tcW w:w="0" w:type="auto"/>
            <w:tcBorders>
              <w:top w:val="nil"/>
              <w:left w:val="nil"/>
              <w:bottom w:val="nil"/>
              <w:right w:val="nil"/>
            </w:tcBorders>
            <w:hideMark/>
          </w:tcPr>
          <w:p w14:paraId="506C65A2"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0.109</w:t>
            </w:r>
          </w:p>
        </w:tc>
      </w:tr>
      <w:tr w:rsidR="00AB1BE0" w:rsidRPr="00AB1BE0" w14:paraId="2364C247" w14:textId="77777777" w:rsidTr="00AB1BE0">
        <w:trPr>
          <w:jc w:val="center"/>
        </w:trPr>
        <w:tc>
          <w:tcPr>
            <w:tcW w:w="0" w:type="auto"/>
            <w:tcBorders>
              <w:top w:val="nil"/>
              <w:left w:val="nil"/>
              <w:bottom w:val="nil"/>
              <w:right w:val="nil"/>
            </w:tcBorders>
            <w:hideMark/>
          </w:tcPr>
          <w:p w14:paraId="01833FCE"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DIC indicators</w:t>
            </w:r>
          </w:p>
        </w:tc>
        <w:tc>
          <w:tcPr>
            <w:tcW w:w="0" w:type="auto"/>
            <w:tcBorders>
              <w:top w:val="nil"/>
              <w:left w:val="nil"/>
              <w:bottom w:val="nil"/>
              <w:right w:val="nil"/>
            </w:tcBorders>
          </w:tcPr>
          <w:p w14:paraId="2333697A"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0662242C" w14:textId="77777777" w:rsidR="00AB1BE0" w:rsidRPr="00AB1BE0" w:rsidRDefault="00AB1BE0" w:rsidP="000A34AB">
            <w:pPr>
              <w:adjustRightInd w:val="0"/>
              <w:snapToGrid w:val="0"/>
              <w:spacing w:line="360" w:lineRule="auto"/>
              <w:jc w:val="both"/>
              <w:rPr>
                <w:rFonts w:ascii="Book Antiqua" w:hAnsi="Book Antiqua"/>
              </w:rPr>
            </w:pPr>
          </w:p>
        </w:tc>
        <w:tc>
          <w:tcPr>
            <w:tcW w:w="0" w:type="auto"/>
            <w:tcBorders>
              <w:top w:val="nil"/>
              <w:left w:val="nil"/>
              <w:bottom w:val="nil"/>
              <w:right w:val="nil"/>
            </w:tcBorders>
          </w:tcPr>
          <w:p w14:paraId="7E126976" w14:textId="77777777" w:rsidR="00AB1BE0" w:rsidRPr="00AB1BE0" w:rsidRDefault="00AB1BE0" w:rsidP="000A34AB">
            <w:pPr>
              <w:adjustRightInd w:val="0"/>
              <w:snapToGrid w:val="0"/>
              <w:spacing w:line="360" w:lineRule="auto"/>
              <w:jc w:val="both"/>
              <w:rPr>
                <w:rFonts w:ascii="Book Antiqua" w:hAnsi="Book Antiqua"/>
              </w:rPr>
            </w:pPr>
          </w:p>
        </w:tc>
      </w:tr>
      <w:tr w:rsidR="00AB1BE0" w:rsidRPr="00AB1BE0" w14:paraId="18ABAEDC" w14:textId="77777777" w:rsidTr="00AB1BE0">
        <w:trPr>
          <w:jc w:val="center"/>
        </w:trPr>
        <w:tc>
          <w:tcPr>
            <w:tcW w:w="0" w:type="auto"/>
            <w:tcBorders>
              <w:top w:val="nil"/>
              <w:left w:val="nil"/>
              <w:bottom w:val="nil"/>
              <w:right w:val="nil"/>
            </w:tcBorders>
            <w:hideMark/>
          </w:tcPr>
          <w:p w14:paraId="6B7DD6F6" w14:textId="3A0F7E8F"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PT-INR</w:t>
            </w:r>
          </w:p>
        </w:tc>
        <w:tc>
          <w:tcPr>
            <w:tcW w:w="0" w:type="auto"/>
            <w:tcBorders>
              <w:top w:val="nil"/>
              <w:left w:val="nil"/>
              <w:bottom w:val="nil"/>
              <w:right w:val="nil"/>
            </w:tcBorders>
            <w:hideMark/>
          </w:tcPr>
          <w:p w14:paraId="55AC8BE9" w14:textId="1040FEA1"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1.50</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0.37</w:t>
            </w:r>
          </w:p>
        </w:tc>
        <w:tc>
          <w:tcPr>
            <w:tcW w:w="0" w:type="auto"/>
            <w:tcBorders>
              <w:top w:val="nil"/>
              <w:left w:val="nil"/>
              <w:bottom w:val="nil"/>
              <w:right w:val="nil"/>
            </w:tcBorders>
            <w:hideMark/>
          </w:tcPr>
          <w:p w14:paraId="57803CE4" w14:textId="2094E6B8"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1.55</w:t>
            </w:r>
            <w:r w:rsidR="000A34AB">
              <w:rPr>
                <w:rFonts w:ascii="Book Antiqua" w:hAnsi="Book Antiqua" w:cs="Calibri"/>
              </w:rPr>
              <w:t xml:space="preserve"> </w:t>
            </w:r>
            <w:r w:rsidRPr="00AB1BE0">
              <w:rPr>
                <w:rFonts w:ascii="Book Antiqua" w:hAnsi="Book Antiqua" w:cs="Calibri"/>
              </w:rPr>
              <w:t>± 0.35</w:t>
            </w:r>
          </w:p>
        </w:tc>
        <w:tc>
          <w:tcPr>
            <w:tcW w:w="0" w:type="auto"/>
            <w:tcBorders>
              <w:top w:val="nil"/>
              <w:left w:val="nil"/>
              <w:bottom w:val="nil"/>
              <w:right w:val="nil"/>
            </w:tcBorders>
            <w:hideMark/>
          </w:tcPr>
          <w:p w14:paraId="6DACC919"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0.463</w:t>
            </w:r>
          </w:p>
        </w:tc>
      </w:tr>
      <w:tr w:rsidR="00AB1BE0" w:rsidRPr="00AB1BE0" w14:paraId="6F8660DC" w14:textId="77777777" w:rsidTr="00AB1BE0">
        <w:trPr>
          <w:jc w:val="center"/>
        </w:trPr>
        <w:tc>
          <w:tcPr>
            <w:tcW w:w="0" w:type="auto"/>
            <w:tcBorders>
              <w:top w:val="nil"/>
              <w:left w:val="nil"/>
              <w:bottom w:val="nil"/>
              <w:right w:val="nil"/>
            </w:tcBorders>
            <w:hideMark/>
          </w:tcPr>
          <w:p w14:paraId="0D5FDB42" w14:textId="14395CFE" w:rsidR="00AB1BE0" w:rsidRPr="00AB1BE0" w:rsidRDefault="00AB1BE0" w:rsidP="000A34AB">
            <w:pPr>
              <w:adjustRightInd w:val="0"/>
              <w:snapToGrid w:val="0"/>
              <w:spacing w:line="360" w:lineRule="auto"/>
              <w:ind w:firstLineChars="100" w:firstLine="240"/>
              <w:jc w:val="both"/>
              <w:rPr>
                <w:rFonts w:ascii="Book Antiqua" w:hAnsi="Book Antiqua"/>
              </w:rPr>
            </w:pPr>
            <w:r w:rsidRPr="00AB1BE0">
              <w:rPr>
                <w:rFonts w:ascii="Book Antiqua" w:hAnsi="Book Antiqua" w:cs="Calibri"/>
              </w:rPr>
              <w:t>APTT, (s)</w:t>
            </w:r>
          </w:p>
        </w:tc>
        <w:tc>
          <w:tcPr>
            <w:tcW w:w="0" w:type="auto"/>
            <w:tcBorders>
              <w:top w:val="nil"/>
              <w:left w:val="nil"/>
              <w:bottom w:val="nil"/>
              <w:right w:val="nil"/>
            </w:tcBorders>
            <w:hideMark/>
          </w:tcPr>
          <w:p w14:paraId="316B2255" w14:textId="123F23A9"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60.15</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35.18</w:t>
            </w:r>
          </w:p>
        </w:tc>
        <w:tc>
          <w:tcPr>
            <w:tcW w:w="0" w:type="auto"/>
            <w:tcBorders>
              <w:top w:val="nil"/>
              <w:left w:val="nil"/>
              <w:bottom w:val="nil"/>
              <w:right w:val="nil"/>
            </w:tcBorders>
            <w:hideMark/>
          </w:tcPr>
          <w:p w14:paraId="7610E8EC" w14:textId="29ADCCCC"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56.35</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38.39</w:t>
            </w:r>
          </w:p>
        </w:tc>
        <w:tc>
          <w:tcPr>
            <w:tcW w:w="0" w:type="auto"/>
            <w:tcBorders>
              <w:top w:val="nil"/>
              <w:left w:val="nil"/>
              <w:bottom w:val="nil"/>
              <w:right w:val="nil"/>
            </w:tcBorders>
            <w:hideMark/>
          </w:tcPr>
          <w:p w14:paraId="01C4A1F8"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0.582</w:t>
            </w:r>
          </w:p>
        </w:tc>
      </w:tr>
      <w:tr w:rsidR="00AB1BE0" w:rsidRPr="00AB1BE0" w14:paraId="21DB78C4" w14:textId="77777777" w:rsidTr="00AB1BE0">
        <w:trPr>
          <w:jc w:val="center"/>
        </w:trPr>
        <w:tc>
          <w:tcPr>
            <w:tcW w:w="0" w:type="auto"/>
            <w:tcBorders>
              <w:top w:val="nil"/>
              <w:left w:val="nil"/>
              <w:bottom w:val="nil"/>
              <w:right w:val="nil"/>
            </w:tcBorders>
            <w:hideMark/>
          </w:tcPr>
          <w:p w14:paraId="113ED9DA" w14:textId="5DF7EB33"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 xml:space="preserve">  </w:t>
            </w:r>
            <w:r w:rsidR="00BF3910">
              <w:rPr>
                <w:rFonts w:ascii="Book Antiqua" w:hAnsi="Book Antiqua"/>
              </w:rPr>
              <w:t xml:space="preserve">  </w:t>
            </w:r>
            <w:r w:rsidRPr="00AB1BE0">
              <w:rPr>
                <w:rFonts w:ascii="Book Antiqua" w:hAnsi="Book Antiqua" w:cs="Calibri"/>
              </w:rPr>
              <w:t>TT, (s)</w:t>
            </w:r>
          </w:p>
        </w:tc>
        <w:tc>
          <w:tcPr>
            <w:tcW w:w="0" w:type="auto"/>
            <w:tcBorders>
              <w:top w:val="nil"/>
              <w:left w:val="nil"/>
              <w:bottom w:val="nil"/>
              <w:right w:val="nil"/>
            </w:tcBorders>
            <w:hideMark/>
          </w:tcPr>
          <w:p w14:paraId="33384967" w14:textId="780B5831"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60.07</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37.90</w:t>
            </w:r>
          </w:p>
        </w:tc>
        <w:tc>
          <w:tcPr>
            <w:tcW w:w="0" w:type="auto"/>
            <w:tcBorders>
              <w:top w:val="nil"/>
              <w:left w:val="nil"/>
              <w:bottom w:val="nil"/>
              <w:right w:val="nil"/>
            </w:tcBorders>
            <w:hideMark/>
          </w:tcPr>
          <w:p w14:paraId="1164B9A8" w14:textId="2851EDCE" w:rsidR="00AB1BE0" w:rsidRPr="00AB1BE0" w:rsidRDefault="00AB1BE0" w:rsidP="000A34AB">
            <w:pPr>
              <w:adjustRightInd w:val="0"/>
              <w:snapToGrid w:val="0"/>
              <w:spacing w:line="360" w:lineRule="auto"/>
              <w:ind w:firstLineChars="50" w:firstLine="120"/>
              <w:jc w:val="both"/>
              <w:rPr>
                <w:rFonts w:ascii="Book Antiqua" w:hAnsi="Book Antiqua"/>
              </w:rPr>
            </w:pPr>
            <w:r w:rsidRPr="00AB1BE0">
              <w:rPr>
                <w:rFonts w:ascii="Book Antiqua" w:hAnsi="Book Antiqua" w:cs="Calibri"/>
              </w:rPr>
              <w:t>66.34</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37.03</w:t>
            </w:r>
          </w:p>
        </w:tc>
        <w:tc>
          <w:tcPr>
            <w:tcW w:w="0" w:type="auto"/>
            <w:tcBorders>
              <w:top w:val="nil"/>
              <w:left w:val="nil"/>
              <w:bottom w:val="nil"/>
              <w:right w:val="nil"/>
            </w:tcBorders>
            <w:hideMark/>
          </w:tcPr>
          <w:p w14:paraId="60330F36"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0.362</w:t>
            </w:r>
          </w:p>
        </w:tc>
      </w:tr>
      <w:tr w:rsidR="00AB1BE0" w:rsidRPr="00AB1BE0" w14:paraId="7404B4F7" w14:textId="77777777" w:rsidTr="00AB1BE0">
        <w:trPr>
          <w:jc w:val="center"/>
        </w:trPr>
        <w:tc>
          <w:tcPr>
            <w:tcW w:w="0" w:type="auto"/>
            <w:tcBorders>
              <w:top w:val="nil"/>
              <w:left w:val="nil"/>
              <w:bottom w:val="single" w:sz="4" w:space="0" w:color="auto"/>
              <w:right w:val="nil"/>
            </w:tcBorders>
            <w:hideMark/>
          </w:tcPr>
          <w:p w14:paraId="7BB4AB2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PLT, (10</w:t>
            </w:r>
            <w:r w:rsidRPr="00AB1BE0">
              <w:rPr>
                <w:rFonts w:ascii="Book Antiqua" w:hAnsi="Book Antiqua" w:cs="Calibri"/>
                <w:vertAlign w:val="superscript"/>
              </w:rPr>
              <w:t>9</w:t>
            </w:r>
            <w:r w:rsidRPr="00AB1BE0">
              <w:rPr>
                <w:rFonts w:ascii="Book Antiqua" w:hAnsi="Book Antiqua" w:cs="Calibri"/>
              </w:rPr>
              <w:t>/L)</w:t>
            </w:r>
          </w:p>
        </w:tc>
        <w:tc>
          <w:tcPr>
            <w:tcW w:w="0" w:type="auto"/>
            <w:tcBorders>
              <w:top w:val="nil"/>
              <w:left w:val="nil"/>
              <w:bottom w:val="single" w:sz="4" w:space="0" w:color="auto"/>
              <w:right w:val="nil"/>
            </w:tcBorders>
            <w:hideMark/>
          </w:tcPr>
          <w:p w14:paraId="5D15E61B" w14:textId="40C857DF"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106.41</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45.35</w:t>
            </w:r>
          </w:p>
        </w:tc>
        <w:tc>
          <w:tcPr>
            <w:tcW w:w="0" w:type="auto"/>
            <w:tcBorders>
              <w:top w:val="nil"/>
              <w:left w:val="nil"/>
              <w:bottom w:val="single" w:sz="4" w:space="0" w:color="auto"/>
              <w:right w:val="nil"/>
            </w:tcBorders>
            <w:hideMark/>
          </w:tcPr>
          <w:p w14:paraId="2C2980D6" w14:textId="6CD02099"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108.94</w:t>
            </w:r>
            <w:r w:rsidR="000A34AB">
              <w:rPr>
                <w:rFonts w:ascii="Book Antiqua" w:hAnsi="Book Antiqua" w:cs="Calibri"/>
              </w:rPr>
              <w:t xml:space="preserve"> </w:t>
            </w:r>
            <w:r w:rsidRPr="00AB1BE0">
              <w:rPr>
                <w:rFonts w:ascii="Book Antiqua" w:hAnsi="Book Antiqua" w:cs="Calibri"/>
              </w:rPr>
              <w:t>±</w:t>
            </w:r>
            <w:r w:rsidR="000A34AB">
              <w:rPr>
                <w:rFonts w:ascii="Book Antiqua" w:hAnsi="Book Antiqua" w:cs="Calibri"/>
              </w:rPr>
              <w:t xml:space="preserve"> </w:t>
            </w:r>
            <w:r w:rsidRPr="00AB1BE0">
              <w:rPr>
                <w:rFonts w:ascii="Book Antiqua" w:hAnsi="Book Antiqua" w:cs="Calibri"/>
              </w:rPr>
              <w:t>50.87</w:t>
            </w:r>
          </w:p>
        </w:tc>
        <w:tc>
          <w:tcPr>
            <w:tcW w:w="0" w:type="auto"/>
            <w:tcBorders>
              <w:top w:val="nil"/>
              <w:left w:val="nil"/>
              <w:bottom w:val="single" w:sz="4" w:space="0" w:color="auto"/>
              <w:right w:val="nil"/>
            </w:tcBorders>
            <w:hideMark/>
          </w:tcPr>
          <w:p w14:paraId="4F406237"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0.780</w:t>
            </w:r>
          </w:p>
        </w:tc>
      </w:tr>
    </w:tbl>
    <w:p w14:paraId="4207942A" w14:textId="24864CDF" w:rsidR="000A34AB" w:rsidRPr="000A34AB" w:rsidRDefault="00AB1BE0" w:rsidP="000A34AB">
      <w:pPr>
        <w:adjustRightInd w:val="0"/>
        <w:snapToGrid w:val="0"/>
        <w:spacing w:line="360" w:lineRule="auto"/>
        <w:jc w:val="both"/>
        <w:rPr>
          <w:rFonts w:ascii="Book Antiqua" w:hAnsi="Book Antiqua" w:cs="Calibri"/>
          <w:kern w:val="2"/>
        </w:rPr>
      </w:pPr>
      <w:r w:rsidRPr="00AB1BE0">
        <w:rPr>
          <w:rFonts w:ascii="Book Antiqua" w:hAnsi="Book Antiqua" w:cs="Calibri"/>
        </w:rPr>
        <w:t xml:space="preserve">SPKT: </w:t>
      </w:r>
      <w:r w:rsidR="000A34AB">
        <w:rPr>
          <w:rFonts w:ascii="Book Antiqua" w:hAnsi="Book Antiqua" w:cs="Calibri"/>
        </w:rPr>
        <w:t>S</w:t>
      </w:r>
      <w:r w:rsidRPr="00AB1BE0">
        <w:rPr>
          <w:rFonts w:ascii="Book Antiqua" w:hAnsi="Book Antiqua" w:cs="Calibri"/>
        </w:rPr>
        <w:t>imultaneous pancreas and kidney transplantation</w:t>
      </w:r>
      <w:r w:rsidR="000A34AB">
        <w:rPr>
          <w:rFonts w:ascii="Book Antiqua" w:hAnsi="Book Antiqua" w:cs="Calibri"/>
        </w:rPr>
        <w:t xml:space="preserve">; </w:t>
      </w:r>
      <w:r w:rsidRPr="00AB1BE0">
        <w:rPr>
          <w:rFonts w:ascii="Book Antiqua" w:hAnsi="Book Antiqua" w:cs="Calibri"/>
        </w:rPr>
        <w:t xml:space="preserve">SL: </w:t>
      </w:r>
      <w:r w:rsidR="000A34AB">
        <w:rPr>
          <w:rFonts w:ascii="Book Antiqua" w:hAnsi="Book Antiqua" w:cs="Calibri"/>
        </w:rPr>
        <w:t>S</w:t>
      </w:r>
      <w:r w:rsidRPr="00AB1BE0">
        <w:rPr>
          <w:rFonts w:ascii="Book Antiqua" w:hAnsi="Book Antiqua" w:cs="Calibri"/>
        </w:rPr>
        <w:t>uture ligation</w:t>
      </w:r>
      <w:r w:rsidR="000A34AB">
        <w:rPr>
          <w:rFonts w:ascii="Book Antiqua" w:hAnsi="Book Antiqua" w:cs="Calibri"/>
        </w:rPr>
        <w:t>;</w:t>
      </w:r>
      <w:r w:rsidRPr="00AB1BE0">
        <w:rPr>
          <w:rFonts w:ascii="Book Antiqua" w:hAnsi="Book Antiqua" w:cs="Calibri"/>
        </w:rPr>
        <w:t xml:space="preserve"> NSL: </w:t>
      </w:r>
      <w:r w:rsidR="000A34AB">
        <w:rPr>
          <w:rFonts w:ascii="Book Antiqua" w:hAnsi="Book Antiqua" w:cs="Calibri"/>
        </w:rPr>
        <w:t>N</w:t>
      </w:r>
      <w:r w:rsidRPr="00AB1BE0">
        <w:rPr>
          <w:rFonts w:ascii="Book Antiqua" w:hAnsi="Book Antiqua" w:cs="Calibri"/>
        </w:rPr>
        <w:t>o suture ligation</w:t>
      </w:r>
      <w:r w:rsidR="000A34AB">
        <w:rPr>
          <w:rFonts w:ascii="Book Antiqua" w:hAnsi="Book Antiqua" w:cs="Calibri"/>
        </w:rPr>
        <w:t>;</w:t>
      </w:r>
      <w:r w:rsidRPr="00AB1BE0">
        <w:rPr>
          <w:rFonts w:ascii="Book Antiqua" w:hAnsi="Book Antiqua" w:cs="Calibri"/>
        </w:rPr>
        <w:t xml:space="preserve"> TAC: </w:t>
      </w:r>
      <w:r w:rsidR="000A34AB">
        <w:rPr>
          <w:rFonts w:ascii="Book Antiqua" w:hAnsi="Book Antiqua" w:cs="Calibri"/>
        </w:rPr>
        <w:t>T</w:t>
      </w:r>
      <w:r w:rsidRPr="00AB1BE0">
        <w:rPr>
          <w:rFonts w:ascii="Book Antiqua" w:hAnsi="Book Antiqua" w:cs="Calibri"/>
        </w:rPr>
        <w:t>acrolimus</w:t>
      </w:r>
      <w:r w:rsidR="000A34AB">
        <w:rPr>
          <w:rFonts w:ascii="Book Antiqua" w:hAnsi="Book Antiqua" w:cs="Calibri"/>
        </w:rPr>
        <w:t>;</w:t>
      </w:r>
      <w:r w:rsidRPr="00AB1BE0">
        <w:rPr>
          <w:rFonts w:ascii="Book Antiqua" w:hAnsi="Book Antiqua" w:cs="Calibri"/>
        </w:rPr>
        <w:t xml:space="preserve"> </w:t>
      </w:r>
      <w:proofErr w:type="spellStart"/>
      <w:r w:rsidRPr="00AB1BE0">
        <w:rPr>
          <w:rFonts w:ascii="Book Antiqua" w:hAnsi="Book Antiqua" w:cs="Calibri"/>
        </w:rPr>
        <w:t>CsA</w:t>
      </w:r>
      <w:proofErr w:type="spellEnd"/>
      <w:r w:rsidRPr="00AB1BE0">
        <w:rPr>
          <w:rFonts w:ascii="Book Antiqua" w:hAnsi="Book Antiqua" w:cs="Calibri"/>
        </w:rPr>
        <w:t xml:space="preserve">: </w:t>
      </w:r>
      <w:r w:rsidR="000A34AB">
        <w:rPr>
          <w:rFonts w:ascii="Book Antiqua" w:hAnsi="Book Antiqua" w:cs="Calibri"/>
        </w:rPr>
        <w:t>C</w:t>
      </w:r>
      <w:r w:rsidRPr="00AB1BE0">
        <w:rPr>
          <w:rFonts w:ascii="Book Antiqua" w:hAnsi="Book Antiqua" w:cs="Calibri"/>
        </w:rPr>
        <w:t>yclosporine A</w:t>
      </w:r>
      <w:r w:rsidR="000A34AB">
        <w:rPr>
          <w:rFonts w:ascii="Book Antiqua" w:hAnsi="Book Antiqua" w:cs="Calibri"/>
        </w:rPr>
        <w:t>;</w:t>
      </w:r>
      <w:r w:rsidRPr="00AB1BE0">
        <w:rPr>
          <w:rFonts w:ascii="Book Antiqua" w:hAnsi="Book Antiqua" w:cs="Calibri"/>
        </w:rPr>
        <w:t xml:space="preserve"> MMF: </w:t>
      </w:r>
      <w:r w:rsidR="000A34AB">
        <w:rPr>
          <w:rFonts w:ascii="Book Antiqua" w:hAnsi="Book Antiqua" w:cs="Calibri"/>
        </w:rPr>
        <w:t>M</w:t>
      </w:r>
      <w:r w:rsidRPr="00AB1BE0">
        <w:rPr>
          <w:rFonts w:ascii="Book Antiqua" w:hAnsi="Book Antiqua" w:cs="Calibri"/>
        </w:rPr>
        <w:t>ycophenolate mofetil</w:t>
      </w:r>
      <w:r w:rsidR="000A34AB">
        <w:rPr>
          <w:rFonts w:ascii="Book Antiqua" w:hAnsi="Book Antiqua" w:cs="Calibri"/>
        </w:rPr>
        <w:t>;</w:t>
      </w:r>
      <w:r w:rsidRPr="00AB1BE0">
        <w:rPr>
          <w:rFonts w:ascii="Book Antiqua" w:hAnsi="Book Antiqua" w:cs="Calibri"/>
        </w:rPr>
        <w:t xml:space="preserve"> </w:t>
      </w:r>
      <w:r w:rsidRPr="00AB1BE0">
        <w:rPr>
          <w:rFonts w:ascii="Book Antiqua" w:hAnsi="Book Antiqua" w:cs="Calibri"/>
        </w:rPr>
        <w:lastRenderedPageBreak/>
        <w:t xml:space="preserve">SIR: </w:t>
      </w:r>
      <w:r w:rsidR="000A34AB">
        <w:rPr>
          <w:rFonts w:ascii="Book Antiqua" w:hAnsi="Book Antiqua" w:cs="Calibri"/>
        </w:rPr>
        <w:t>S</w:t>
      </w:r>
      <w:r w:rsidRPr="00AB1BE0">
        <w:rPr>
          <w:rFonts w:ascii="Book Antiqua" w:hAnsi="Book Antiqua" w:cs="Calibri"/>
        </w:rPr>
        <w:t>irolimus</w:t>
      </w:r>
      <w:r w:rsidR="000A34AB">
        <w:rPr>
          <w:rFonts w:ascii="Book Antiqua" w:hAnsi="Book Antiqua" w:cs="Calibri"/>
        </w:rPr>
        <w:t>;</w:t>
      </w:r>
      <w:r w:rsidRPr="00AB1BE0">
        <w:rPr>
          <w:rFonts w:ascii="Book Antiqua" w:hAnsi="Book Antiqua" w:cs="Calibri"/>
        </w:rPr>
        <w:t xml:space="preserve"> PT-INR: </w:t>
      </w:r>
      <w:r w:rsidR="000A34AB">
        <w:rPr>
          <w:rFonts w:ascii="Book Antiqua" w:hAnsi="Book Antiqua" w:cs="Calibri"/>
        </w:rPr>
        <w:t>P</w:t>
      </w:r>
      <w:r w:rsidRPr="00AB1BE0">
        <w:rPr>
          <w:rFonts w:ascii="Book Antiqua" w:hAnsi="Book Antiqua" w:cs="Calibri"/>
        </w:rPr>
        <w:t>rothrombin time-</w:t>
      </w:r>
      <w:r w:rsidR="000A34AB">
        <w:rPr>
          <w:rFonts w:ascii="Book Antiqua" w:hAnsi="Book Antiqua" w:cs="Calibri" w:hint="eastAsia"/>
          <w:lang w:eastAsia="zh-CN"/>
        </w:rPr>
        <w:t>i</w:t>
      </w:r>
      <w:r w:rsidR="000A34AB" w:rsidRPr="000A34AB">
        <w:rPr>
          <w:rFonts w:ascii="Book Antiqua" w:hAnsi="Book Antiqua" w:cs="Calibri"/>
        </w:rPr>
        <w:t>nternational normalized rate</w:t>
      </w:r>
      <w:r w:rsidR="000A34AB">
        <w:rPr>
          <w:rFonts w:ascii="Book Antiqua" w:hAnsi="Book Antiqua" w:cs="Calibri"/>
        </w:rPr>
        <w:t>;</w:t>
      </w:r>
      <w:r w:rsidRPr="00AB1BE0">
        <w:rPr>
          <w:rFonts w:ascii="Book Antiqua" w:hAnsi="Book Antiqua" w:cs="Calibri"/>
        </w:rPr>
        <w:t xml:space="preserve"> APTT: </w:t>
      </w:r>
      <w:r w:rsidR="000A34AB">
        <w:rPr>
          <w:rFonts w:ascii="Book Antiqua" w:hAnsi="Book Antiqua" w:cs="Calibri"/>
        </w:rPr>
        <w:t>A</w:t>
      </w:r>
      <w:r w:rsidRPr="00AB1BE0">
        <w:rPr>
          <w:rFonts w:ascii="Book Antiqua" w:hAnsi="Book Antiqua" w:cs="Calibri"/>
        </w:rPr>
        <w:t>ctivated partial thromboplastin time</w:t>
      </w:r>
      <w:r w:rsidR="000A34AB">
        <w:rPr>
          <w:rFonts w:ascii="Book Antiqua" w:hAnsi="Book Antiqua" w:cs="Calibri"/>
        </w:rPr>
        <w:t>;</w:t>
      </w:r>
      <w:r w:rsidRPr="00AB1BE0">
        <w:rPr>
          <w:rFonts w:ascii="Book Antiqua" w:hAnsi="Book Antiqua" w:cs="Calibri"/>
        </w:rPr>
        <w:t xml:space="preserve"> TT: </w:t>
      </w:r>
      <w:r w:rsidR="000A34AB">
        <w:rPr>
          <w:rFonts w:ascii="Book Antiqua" w:hAnsi="Book Antiqua" w:cs="Calibri"/>
        </w:rPr>
        <w:t>T</w:t>
      </w:r>
      <w:r w:rsidRPr="00AB1BE0">
        <w:rPr>
          <w:rFonts w:ascii="Book Antiqua" w:hAnsi="Book Antiqua" w:cs="Calibri"/>
        </w:rPr>
        <w:t xml:space="preserve">hrombin time, PLT: </w:t>
      </w:r>
      <w:r w:rsidR="00BF3910">
        <w:rPr>
          <w:rFonts w:ascii="Book Antiqua" w:hAnsi="Book Antiqua" w:cs="Calibri"/>
        </w:rPr>
        <w:t>P</w:t>
      </w:r>
      <w:r w:rsidRPr="00AB1BE0">
        <w:rPr>
          <w:rFonts w:ascii="Book Antiqua" w:hAnsi="Book Antiqua" w:cs="Calibri"/>
        </w:rPr>
        <w:t>latelets.</w:t>
      </w:r>
    </w:p>
    <w:p w14:paraId="269C1996" w14:textId="5BA60C47" w:rsidR="00AB1BE0" w:rsidRPr="00AB1BE0" w:rsidRDefault="000A34AB" w:rsidP="000A34AB">
      <w:pPr>
        <w:adjustRightInd w:val="0"/>
        <w:snapToGrid w:val="0"/>
        <w:spacing w:line="360" w:lineRule="auto"/>
        <w:jc w:val="both"/>
        <w:rPr>
          <w:rFonts w:ascii="Book Antiqua" w:hAnsi="Book Antiqua" w:cs="Calibri"/>
          <w:b/>
        </w:rPr>
      </w:pPr>
      <w:r>
        <w:rPr>
          <w:rFonts w:ascii="Book Antiqua" w:hAnsi="Book Antiqua" w:cs="Calibri"/>
        </w:rPr>
        <w:br w:type="page"/>
      </w:r>
      <w:r w:rsidR="00AB1BE0" w:rsidRPr="00AB1BE0">
        <w:rPr>
          <w:rFonts w:ascii="Book Antiqua" w:hAnsi="Book Antiqua" w:cs="Calibri"/>
          <w:b/>
        </w:rPr>
        <w:lastRenderedPageBreak/>
        <w:t xml:space="preserve">Table 2 </w:t>
      </w:r>
      <w:r w:rsidRPr="000A34AB">
        <w:rPr>
          <w:rFonts w:ascii="Book Antiqua" w:hAnsi="Book Antiqua" w:cs="Calibri"/>
          <w:b/>
        </w:rPr>
        <w:t>Enteric anastomotic</w:t>
      </w:r>
      <w:r w:rsidR="00AB1BE0" w:rsidRPr="00AB1BE0">
        <w:rPr>
          <w:rFonts w:ascii="Book Antiqua" w:hAnsi="Book Antiqua" w:cs="Calibri"/>
          <w:b/>
        </w:rPr>
        <w:t xml:space="preserve"> bleeding within 1 </w:t>
      </w:r>
      <w:proofErr w:type="spellStart"/>
      <w:r w:rsidR="00AB1BE0" w:rsidRPr="00AB1BE0">
        <w:rPr>
          <w:rFonts w:ascii="Book Antiqua" w:hAnsi="Book Antiqua" w:cs="Calibri"/>
          <w:b/>
        </w:rPr>
        <w:t>wk</w:t>
      </w:r>
      <w:proofErr w:type="spellEnd"/>
      <w:r w:rsidR="00AB1BE0" w:rsidRPr="00AB1BE0">
        <w:rPr>
          <w:rFonts w:ascii="Book Antiqua" w:hAnsi="Book Antiqua" w:cs="Calibri"/>
          <w:b/>
        </w:rPr>
        <w:t xml:space="preserve"> </w:t>
      </w:r>
      <w:proofErr w:type="spellStart"/>
      <w:r w:rsidR="00AB1BE0" w:rsidRPr="00AB1BE0">
        <w:rPr>
          <w:rFonts w:ascii="Book Antiqua" w:hAnsi="Book Antiqua" w:cs="Calibri"/>
          <w:b/>
        </w:rPr>
        <w:t>posttransplantation</w:t>
      </w:r>
      <w:proofErr w:type="spellEnd"/>
      <w:r w:rsidR="00AB1BE0" w:rsidRPr="00AB1BE0">
        <w:rPr>
          <w:rFonts w:ascii="Book Antiqua" w:hAnsi="Book Antiqua" w:cs="Calibri"/>
          <w:b/>
        </w:rPr>
        <w:t xml:space="preserve"> and anasto</w:t>
      </w:r>
      <w:r w:rsidR="00AB1BE0" w:rsidRPr="000A34AB">
        <w:rPr>
          <w:rFonts w:ascii="Book Antiqua" w:hAnsi="Book Antiqua" w:cs="Calibri"/>
          <w:b/>
        </w:rPr>
        <w:t>motic leakage</w:t>
      </w:r>
      <w:r w:rsidRPr="000A34AB">
        <w:rPr>
          <w:rFonts w:ascii="Book Antiqua" w:hAnsi="Book Antiqua" w:cs="Calibri"/>
          <w:b/>
        </w:rPr>
        <w:t xml:space="preserve">, </w:t>
      </w:r>
      <w:r w:rsidRPr="000A34AB">
        <w:rPr>
          <w:rFonts w:ascii="Book Antiqua" w:hAnsi="Book Antiqua" w:cs="Calibri"/>
          <w:b/>
          <w:i/>
          <w:iCs/>
        </w:rPr>
        <w:t>n</w:t>
      </w:r>
      <w:r w:rsidRPr="000A34AB">
        <w:rPr>
          <w:rFonts w:ascii="Book Antiqua" w:hAnsi="Book Antiqua" w:cs="Calibri"/>
          <w:b/>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708"/>
        <w:gridCol w:w="1800"/>
        <w:gridCol w:w="1800"/>
        <w:gridCol w:w="900"/>
      </w:tblGrid>
      <w:tr w:rsidR="00AB1BE0" w:rsidRPr="00AB1BE0" w14:paraId="37BC3612" w14:textId="77777777" w:rsidTr="00AB1BE0">
        <w:tc>
          <w:tcPr>
            <w:tcW w:w="3708" w:type="dxa"/>
            <w:tcBorders>
              <w:top w:val="single" w:sz="4" w:space="0" w:color="auto"/>
              <w:left w:val="nil"/>
              <w:bottom w:val="single" w:sz="4" w:space="0" w:color="auto"/>
              <w:right w:val="nil"/>
            </w:tcBorders>
            <w:hideMark/>
          </w:tcPr>
          <w:p w14:paraId="4D8E5879"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b/>
              </w:rPr>
              <w:t>Characteristics</w:t>
            </w:r>
          </w:p>
        </w:tc>
        <w:tc>
          <w:tcPr>
            <w:tcW w:w="1800" w:type="dxa"/>
            <w:tcBorders>
              <w:top w:val="single" w:sz="4" w:space="0" w:color="auto"/>
              <w:left w:val="nil"/>
              <w:bottom w:val="single" w:sz="4" w:space="0" w:color="auto"/>
              <w:right w:val="nil"/>
            </w:tcBorders>
            <w:hideMark/>
          </w:tcPr>
          <w:p w14:paraId="68E4F0A6" w14:textId="3EF35A9E"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SL group</w:t>
            </w:r>
            <w:r w:rsidR="000A34AB">
              <w:rPr>
                <w:rFonts w:ascii="Book Antiqua" w:hAnsi="Book Antiqua" w:cs="Calibri"/>
                <w:b/>
              </w:rPr>
              <w:t xml:space="preserve"> </w:t>
            </w:r>
            <w:r w:rsidRPr="00AB1BE0">
              <w:rPr>
                <w:rFonts w:ascii="Book Antiqua" w:hAnsi="Book Antiqua" w:cs="Calibri"/>
                <w:b/>
              </w:rPr>
              <w:t>(</w:t>
            </w:r>
            <w:r w:rsidRPr="000A34AB">
              <w:rPr>
                <w:rFonts w:ascii="Book Antiqua" w:hAnsi="Book Antiqua" w:cs="Calibri"/>
                <w:b/>
                <w:i/>
                <w:iCs/>
              </w:rPr>
              <w:t>n</w:t>
            </w:r>
            <w:r w:rsidR="000A34AB">
              <w:rPr>
                <w:rFonts w:ascii="Book Antiqua" w:hAnsi="Book Antiqua" w:cs="Calibri"/>
                <w:b/>
              </w:rPr>
              <w:t xml:space="preserve"> </w:t>
            </w:r>
            <w:r w:rsidRPr="00AB1BE0">
              <w:rPr>
                <w:rFonts w:ascii="Book Antiqua" w:hAnsi="Book Antiqua" w:cs="Calibri"/>
                <w:b/>
              </w:rPr>
              <w:t>=</w:t>
            </w:r>
            <w:r w:rsidR="000A34AB">
              <w:rPr>
                <w:rFonts w:ascii="Book Antiqua" w:hAnsi="Book Antiqua" w:cs="Calibri"/>
                <w:b/>
              </w:rPr>
              <w:t xml:space="preserve"> </w:t>
            </w:r>
            <w:r w:rsidRPr="00AB1BE0">
              <w:rPr>
                <w:rFonts w:ascii="Book Antiqua" w:hAnsi="Book Antiqua" w:cs="Calibri"/>
                <w:b/>
              </w:rPr>
              <w:t>44)</w:t>
            </w:r>
          </w:p>
        </w:tc>
        <w:tc>
          <w:tcPr>
            <w:tcW w:w="1800" w:type="dxa"/>
            <w:tcBorders>
              <w:top w:val="single" w:sz="4" w:space="0" w:color="auto"/>
              <w:left w:val="nil"/>
              <w:bottom w:val="single" w:sz="4" w:space="0" w:color="auto"/>
              <w:right w:val="nil"/>
            </w:tcBorders>
            <w:hideMark/>
          </w:tcPr>
          <w:p w14:paraId="31F0F037" w14:textId="79334DC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NSL group</w:t>
            </w:r>
            <w:r w:rsidR="000A34AB">
              <w:rPr>
                <w:rFonts w:ascii="Book Antiqua" w:hAnsi="Book Antiqua" w:cs="Calibri"/>
                <w:b/>
              </w:rPr>
              <w:t xml:space="preserve"> </w:t>
            </w:r>
            <w:r w:rsidRPr="00AB1BE0">
              <w:rPr>
                <w:rFonts w:ascii="Book Antiqua" w:hAnsi="Book Antiqua" w:cs="Calibri"/>
                <w:b/>
              </w:rPr>
              <w:t>(</w:t>
            </w:r>
            <w:r w:rsidRPr="000A34AB">
              <w:rPr>
                <w:rFonts w:ascii="Book Antiqua" w:hAnsi="Book Antiqua" w:cs="Calibri"/>
                <w:b/>
                <w:i/>
                <w:iCs/>
              </w:rPr>
              <w:t>n</w:t>
            </w:r>
            <w:r w:rsidR="000A34AB">
              <w:rPr>
                <w:rFonts w:ascii="Book Antiqua" w:hAnsi="Book Antiqua" w:cs="Calibri"/>
                <w:b/>
              </w:rPr>
              <w:t xml:space="preserve"> </w:t>
            </w:r>
            <w:r w:rsidRPr="00AB1BE0">
              <w:rPr>
                <w:rFonts w:ascii="Book Antiqua" w:hAnsi="Book Antiqua" w:cs="Calibri"/>
                <w:b/>
              </w:rPr>
              <w:t>=</w:t>
            </w:r>
            <w:r w:rsidR="000A34AB">
              <w:rPr>
                <w:rFonts w:ascii="Book Antiqua" w:hAnsi="Book Antiqua" w:cs="Calibri"/>
                <w:b/>
              </w:rPr>
              <w:t xml:space="preserve"> </w:t>
            </w:r>
            <w:r w:rsidRPr="00AB1BE0">
              <w:rPr>
                <w:rFonts w:ascii="Book Antiqua" w:hAnsi="Book Antiqua" w:cs="Calibri"/>
                <w:b/>
              </w:rPr>
              <w:t>90)</w:t>
            </w:r>
          </w:p>
        </w:tc>
        <w:tc>
          <w:tcPr>
            <w:tcW w:w="900" w:type="dxa"/>
            <w:tcBorders>
              <w:top w:val="single" w:sz="4" w:space="0" w:color="auto"/>
              <w:left w:val="nil"/>
              <w:bottom w:val="single" w:sz="4" w:space="0" w:color="auto"/>
              <w:right w:val="nil"/>
            </w:tcBorders>
            <w:hideMark/>
          </w:tcPr>
          <w:p w14:paraId="033C34A4" w14:textId="595446B6"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i/>
              </w:rPr>
              <w:t>P</w:t>
            </w:r>
            <w:r w:rsidRPr="00AB1BE0">
              <w:rPr>
                <w:rFonts w:ascii="Book Antiqua" w:hAnsi="Book Antiqua" w:cs="Calibri"/>
                <w:b/>
              </w:rPr>
              <w:t xml:space="preserve"> </w:t>
            </w:r>
            <w:r w:rsidR="000A34AB">
              <w:rPr>
                <w:rFonts w:ascii="Book Antiqua" w:hAnsi="Book Antiqua" w:cs="Calibri" w:hint="eastAsia"/>
                <w:b/>
                <w:lang w:eastAsia="zh-CN"/>
              </w:rPr>
              <w:t>v</w:t>
            </w:r>
            <w:r w:rsidRPr="00AB1BE0">
              <w:rPr>
                <w:rFonts w:ascii="Book Antiqua" w:hAnsi="Book Antiqua" w:cs="Calibri"/>
                <w:b/>
              </w:rPr>
              <w:t>alue</w:t>
            </w:r>
          </w:p>
        </w:tc>
      </w:tr>
      <w:tr w:rsidR="00AB1BE0" w:rsidRPr="00AB1BE0" w14:paraId="7EEEB288" w14:textId="77777777" w:rsidTr="00AB1BE0">
        <w:tc>
          <w:tcPr>
            <w:tcW w:w="3708" w:type="dxa"/>
            <w:tcBorders>
              <w:top w:val="single" w:sz="4" w:space="0" w:color="auto"/>
              <w:left w:val="nil"/>
              <w:bottom w:val="nil"/>
              <w:right w:val="nil"/>
            </w:tcBorders>
            <w:hideMark/>
          </w:tcPr>
          <w:p w14:paraId="4A7316C0" w14:textId="72DDE656" w:rsidR="00AB1BE0" w:rsidRPr="00AB1BE0" w:rsidRDefault="00AB1BE0" w:rsidP="000A34AB">
            <w:pPr>
              <w:adjustRightInd w:val="0"/>
              <w:snapToGrid w:val="0"/>
              <w:spacing w:line="360" w:lineRule="auto"/>
              <w:jc w:val="both"/>
              <w:rPr>
                <w:rFonts w:ascii="Book Antiqua" w:hAnsi="Book Antiqua"/>
              </w:rPr>
            </w:pPr>
            <w:bookmarkStart w:id="5" w:name="OLE_LINK41"/>
            <w:r w:rsidRPr="00AB1BE0">
              <w:rPr>
                <w:rFonts w:ascii="Book Antiqua" w:hAnsi="Book Antiqua" w:cs="Calibri"/>
              </w:rPr>
              <w:t>EA bleeding</w:t>
            </w:r>
            <w:bookmarkEnd w:id="5"/>
          </w:p>
        </w:tc>
        <w:tc>
          <w:tcPr>
            <w:tcW w:w="1800" w:type="dxa"/>
            <w:tcBorders>
              <w:top w:val="single" w:sz="4" w:space="0" w:color="auto"/>
              <w:left w:val="nil"/>
              <w:bottom w:val="nil"/>
              <w:right w:val="nil"/>
            </w:tcBorders>
            <w:hideMark/>
          </w:tcPr>
          <w:p w14:paraId="3C3C95CC" w14:textId="343E57DE"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w:t>
            </w:r>
            <w:r w:rsidR="000A34AB">
              <w:rPr>
                <w:rFonts w:ascii="Book Antiqua" w:hAnsi="Book Antiqua" w:cs="Calibri"/>
              </w:rPr>
              <w:t xml:space="preserve"> </w:t>
            </w:r>
            <w:r w:rsidRPr="00AB1BE0">
              <w:rPr>
                <w:rFonts w:ascii="Book Antiqua" w:hAnsi="Book Antiqua" w:cs="Calibri"/>
              </w:rPr>
              <w:t>(2.27)</w:t>
            </w:r>
          </w:p>
        </w:tc>
        <w:tc>
          <w:tcPr>
            <w:tcW w:w="1800" w:type="dxa"/>
            <w:tcBorders>
              <w:top w:val="single" w:sz="4" w:space="0" w:color="auto"/>
              <w:left w:val="nil"/>
              <w:bottom w:val="nil"/>
              <w:right w:val="nil"/>
            </w:tcBorders>
            <w:hideMark/>
          </w:tcPr>
          <w:p w14:paraId="7B4B88F9" w14:textId="56BDB166"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14</w:t>
            </w:r>
            <w:r w:rsidR="000A34AB">
              <w:rPr>
                <w:rFonts w:ascii="Book Antiqua" w:hAnsi="Book Antiqua" w:cs="Calibri"/>
              </w:rPr>
              <w:t xml:space="preserve"> </w:t>
            </w:r>
            <w:r w:rsidRPr="00AB1BE0">
              <w:rPr>
                <w:rFonts w:ascii="Book Antiqua" w:hAnsi="Book Antiqua" w:cs="Calibri"/>
              </w:rPr>
              <w:t>(15.56)</w:t>
            </w:r>
          </w:p>
        </w:tc>
        <w:tc>
          <w:tcPr>
            <w:tcW w:w="900" w:type="dxa"/>
            <w:tcBorders>
              <w:top w:val="single" w:sz="4" w:space="0" w:color="auto"/>
              <w:left w:val="nil"/>
              <w:bottom w:val="nil"/>
              <w:right w:val="nil"/>
            </w:tcBorders>
            <w:hideMark/>
          </w:tcPr>
          <w:p w14:paraId="1BD2BECE"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0.021</w:t>
            </w:r>
          </w:p>
        </w:tc>
      </w:tr>
      <w:tr w:rsidR="00AB1BE0" w:rsidRPr="00AB1BE0" w14:paraId="6A493052" w14:textId="77777777" w:rsidTr="00AB1BE0">
        <w:tc>
          <w:tcPr>
            <w:tcW w:w="3708" w:type="dxa"/>
            <w:tcBorders>
              <w:top w:val="nil"/>
              <w:left w:val="nil"/>
              <w:bottom w:val="nil"/>
              <w:right w:val="nil"/>
            </w:tcBorders>
            <w:hideMark/>
          </w:tcPr>
          <w:p w14:paraId="26441979"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Transfusion rates due to EA bleeding</w:t>
            </w:r>
          </w:p>
        </w:tc>
        <w:tc>
          <w:tcPr>
            <w:tcW w:w="1800" w:type="dxa"/>
            <w:tcBorders>
              <w:top w:val="nil"/>
              <w:left w:val="nil"/>
              <w:bottom w:val="nil"/>
              <w:right w:val="nil"/>
            </w:tcBorders>
            <w:hideMark/>
          </w:tcPr>
          <w:p w14:paraId="1D91F96C" w14:textId="55BD451F"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w:t>
            </w:r>
            <w:r w:rsidR="000A34AB">
              <w:rPr>
                <w:rFonts w:ascii="Book Antiqua" w:hAnsi="Book Antiqua" w:cs="Calibri"/>
              </w:rPr>
              <w:t xml:space="preserve"> </w:t>
            </w:r>
            <w:r w:rsidRPr="00AB1BE0">
              <w:rPr>
                <w:rFonts w:ascii="Book Antiqua" w:hAnsi="Book Antiqua" w:cs="Calibri"/>
              </w:rPr>
              <w:t>(2.27)</w:t>
            </w:r>
          </w:p>
        </w:tc>
        <w:tc>
          <w:tcPr>
            <w:tcW w:w="1800" w:type="dxa"/>
            <w:tcBorders>
              <w:top w:val="nil"/>
              <w:left w:val="nil"/>
              <w:bottom w:val="nil"/>
              <w:right w:val="nil"/>
            </w:tcBorders>
            <w:hideMark/>
          </w:tcPr>
          <w:p w14:paraId="041A5C23" w14:textId="464B670D"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13</w:t>
            </w:r>
            <w:r w:rsidR="000A34AB">
              <w:rPr>
                <w:rFonts w:ascii="Book Antiqua" w:hAnsi="Book Antiqua" w:cs="Calibri"/>
              </w:rPr>
              <w:t xml:space="preserve"> </w:t>
            </w:r>
            <w:r w:rsidRPr="00AB1BE0">
              <w:rPr>
                <w:rFonts w:ascii="Book Antiqua" w:hAnsi="Book Antiqua" w:cs="Calibri"/>
              </w:rPr>
              <w:t>(14.44)</w:t>
            </w:r>
          </w:p>
        </w:tc>
        <w:tc>
          <w:tcPr>
            <w:tcW w:w="900" w:type="dxa"/>
            <w:tcBorders>
              <w:top w:val="nil"/>
              <w:left w:val="nil"/>
              <w:bottom w:val="nil"/>
              <w:right w:val="nil"/>
            </w:tcBorders>
            <w:hideMark/>
          </w:tcPr>
          <w:p w14:paraId="024D4B2A"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0.035</w:t>
            </w:r>
          </w:p>
        </w:tc>
      </w:tr>
      <w:tr w:rsidR="00AB1BE0" w:rsidRPr="00AB1BE0" w14:paraId="134B920D" w14:textId="77777777" w:rsidTr="00AB1BE0">
        <w:tc>
          <w:tcPr>
            <w:tcW w:w="3708" w:type="dxa"/>
            <w:tcBorders>
              <w:top w:val="nil"/>
              <w:left w:val="nil"/>
              <w:bottom w:val="nil"/>
              <w:right w:val="nil"/>
            </w:tcBorders>
            <w:hideMark/>
          </w:tcPr>
          <w:p w14:paraId="14CF9E20" w14:textId="5911A993"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Relaparotomy due to EA bleeding</w:t>
            </w:r>
          </w:p>
        </w:tc>
        <w:tc>
          <w:tcPr>
            <w:tcW w:w="1800" w:type="dxa"/>
            <w:tcBorders>
              <w:top w:val="nil"/>
              <w:left w:val="nil"/>
              <w:bottom w:val="nil"/>
              <w:right w:val="nil"/>
            </w:tcBorders>
            <w:hideMark/>
          </w:tcPr>
          <w:p w14:paraId="7BF1DE0E" w14:textId="2AE1E10D"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w:t>
            </w:r>
            <w:r w:rsidR="000A34AB">
              <w:rPr>
                <w:rFonts w:ascii="Book Antiqua" w:hAnsi="Book Antiqua" w:cs="Calibri"/>
              </w:rPr>
              <w:t xml:space="preserve"> </w:t>
            </w:r>
            <w:r w:rsidRPr="00AB1BE0">
              <w:rPr>
                <w:rFonts w:ascii="Book Antiqua" w:hAnsi="Book Antiqua" w:cs="Calibri"/>
              </w:rPr>
              <w:t>(0.00)</w:t>
            </w:r>
          </w:p>
        </w:tc>
        <w:tc>
          <w:tcPr>
            <w:tcW w:w="1800" w:type="dxa"/>
            <w:tcBorders>
              <w:top w:val="nil"/>
              <w:left w:val="nil"/>
              <w:bottom w:val="nil"/>
              <w:right w:val="nil"/>
            </w:tcBorders>
            <w:hideMark/>
          </w:tcPr>
          <w:p w14:paraId="08E0B447" w14:textId="6BEE5143"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3</w:t>
            </w:r>
            <w:r w:rsidR="000A34AB">
              <w:rPr>
                <w:rFonts w:ascii="Book Antiqua" w:hAnsi="Book Antiqua" w:cs="Calibri"/>
              </w:rPr>
              <w:t xml:space="preserve"> </w:t>
            </w:r>
            <w:r w:rsidRPr="00AB1BE0">
              <w:rPr>
                <w:rFonts w:ascii="Book Antiqua" w:hAnsi="Book Antiqua" w:cs="Calibri"/>
              </w:rPr>
              <w:t>(3.33)</w:t>
            </w:r>
          </w:p>
        </w:tc>
        <w:tc>
          <w:tcPr>
            <w:tcW w:w="900" w:type="dxa"/>
            <w:tcBorders>
              <w:top w:val="nil"/>
              <w:left w:val="nil"/>
              <w:bottom w:val="nil"/>
              <w:right w:val="nil"/>
            </w:tcBorders>
            <w:hideMark/>
          </w:tcPr>
          <w:p w14:paraId="2F70BE91"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0.551</w:t>
            </w:r>
          </w:p>
        </w:tc>
      </w:tr>
      <w:tr w:rsidR="00AB1BE0" w:rsidRPr="00AB1BE0" w14:paraId="546A48A6" w14:textId="77777777" w:rsidTr="00AB1BE0">
        <w:tc>
          <w:tcPr>
            <w:tcW w:w="3708" w:type="dxa"/>
            <w:tcBorders>
              <w:top w:val="nil"/>
              <w:left w:val="nil"/>
              <w:bottom w:val="single" w:sz="4" w:space="0" w:color="auto"/>
              <w:right w:val="nil"/>
            </w:tcBorders>
            <w:hideMark/>
          </w:tcPr>
          <w:p w14:paraId="552EBA3D" w14:textId="7EAECC58"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Anastomotic leakage</w:t>
            </w:r>
          </w:p>
        </w:tc>
        <w:tc>
          <w:tcPr>
            <w:tcW w:w="1800" w:type="dxa"/>
            <w:tcBorders>
              <w:top w:val="nil"/>
              <w:left w:val="nil"/>
              <w:bottom w:val="single" w:sz="4" w:space="0" w:color="auto"/>
              <w:right w:val="nil"/>
            </w:tcBorders>
            <w:hideMark/>
          </w:tcPr>
          <w:p w14:paraId="7CAB94DE" w14:textId="498E99CB"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w:t>
            </w:r>
            <w:r w:rsidR="000A34AB">
              <w:rPr>
                <w:rFonts w:ascii="Book Antiqua" w:hAnsi="Book Antiqua" w:cs="Calibri"/>
              </w:rPr>
              <w:t xml:space="preserve"> </w:t>
            </w:r>
            <w:r w:rsidRPr="00AB1BE0">
              <w:rPr>
                <w:rFonts w:ascii="Book Antiqua" w:hAnsi="Book Antiqua" w:cs="Calibri"/>
              </w:rPr>
              <w:t>(2.27)</w:t>
            </w:r>
          </w:p>
        </w:tc>
        <w:tc>
          <w:tcPr>
            <w:tcW w:w="1800" w:type="dxa"/>
            <w:tcBorders>
              <w:top w:val="nil"/>
              <w:left w:val="nil"/>
              <w:bottom w:val="single" w:sz="4" w:space="0" w:color="auto"/>
              <w:right w:val="nil"/>
            </w:tcBorders>
            <w:hideMark/>
          </w:tcPr>
          <w:p w14:paraId="5D7AF944" w14:textId="36111CE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1</w:t>
            </w:r>
            <w:r w:rsidR="000A34AB">
              <w:rPr>
                <w:rFonts w:ascii="Book Antiqua" w:hAnsi="Book Antiqua" w:cs="Calibri"/>
              </w:rPr>
              <w:t xml:space="preserve"> </w:t>
            </w:r>
            <w:r w:rsidRPr="00AB1BE0">
              <w:rPr>
                <w:rFonts w:ascii="Book Antiqua" w:hAnsi="Book Antiqua" w:cs="Calibri"/>
              </w:rPr>
              <w:t>(1.11)</w:t>
            </w:r>
          </w:p>
        </w:tc>
        <w:tc>
          <w:tcPr>
            <w:tcW w:w="900" w:type="dxa"/>
            <w:tcBorders>
              <w:top w:val="nil"/>
              <w:left w:val="nil"/>
              <w:bottom w:val="single" w:sz="4" w:space="0" w:color="auto"/>
              <w:right w:val="nil"/>
            </w:tcBorders>
            <w:hideMark/>
          </w:tcPr>
          <w:p w14:paraId="51B97FD7"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cs="Calibri"/>
              </w:rPr>
              <w:t>0.754</w:t>
            </w:r>
          </w:p>
        </w:tc>
      </w:tr>
    </w:tbl>
    <w:p w14:paraId="0C71F794" w14:textId="35CB2A1F" w:rsidR="00AB1BE0" w:rsidRPr="00AB1BE0" w:rsidRDefault="00AB1BE0" w:rsidP="000A34AB">
      <w:pPr>
        <w:adjustRightInd w:val="0"/>
        <w:snapToGrid w:val="0"/>
        <w:spacing w:line="360" w:lineRule="auto"/>
        <w:jc w:val="both"/>
        <w:rPr>
          <w:rFonts w:ascii="Book Antiqua" w:hAnsi="Book Antiqua" w:cs="Calibri"/>
          <w:kern w:val="2"/>
        </w:rPr>
      </w:pPr>
      <w:r w:rsidRPr="00AB1BE0">
        <w:rPr>
          <w:rFonts w:ascii="Book Antiqua" w:hAnsi="Book Antiqua" w:cs="Calibri"/>
        </w:rPr>
        <w:t xml:space="preserve">EA: </w:t>
      </w:r>
      <w:r w:rsidR="000A34AB">
        <w:rPr>
          <w:rFonts w:ascii="Book Antiqua" w:hAnsi="Book Antiqua"/>
        </w:rPr>
        <w:t>E</w:t>
      </w:r>
      <w:r w:rsidRPr="00AB1BE0">
        <w:rPr>
          <w:rFonts w:ascii="Book Antiqua" w:hAnsi="Book Antiqua"/>
        </w:rPr>
        <w:t>nteric anastomotic</w:t>
      </w:r>
      <w:r w:rsidR="000A34AB">
        <w:rPr>
          <w:rFonts w:ascii="Book Antiqua" w:hAnsi="Book Antiqua" w:cs="Calibri"/>
        </w:rPr>
        <w:t>;</w:t>
      </w:r>
      <w:r w:rsidRPr="00AB1BE0">
        <w:rPr>
          <w:rFonts w:ascii="Book Antiqua" w:hAnsi="Book Antiqua" w:cs="Calibri"/>
        </w:rPr>
        <w:t xml:space="preserve"> SL: </w:t>
      </w:r>
      <w:r w:rsidR="000A34AB">
        <w:rPr>
          <w:rFonts w:ascii="Book Antiqua" w:hAnsi="Book Antiqua" w:cs="Calibri"/>
        </w:rPr>
        <w:t>S</w:t>
      </w:r>
      <w:r w:rsidRPr="00AB1BE0">
        <w:rPr>
          <w:rFonts w:ascii="Book Antiqua" w:hAnsi="Book Antiqua" w:cs="Calibri"/>
        </w:rPr>
        <w:t>uture ligation</w:t>
      </w:r>
      <w:r w:rsidR="000A34AB">
        <w:rPr>
          <w:rFonts w:ascii="Book Antiqua" w:hAnsi="Book Antiqua" w:cs="Calibri"/>
        </w:rPr>
        <w:t>;</w:t>
      </w:r>
      <w:r w:rsidRPr="00AB1BE0">
        <w:rPr>
          <w:rFonts w:ascii="Book Antiqua" w:hAnsi="Book Antiqua" w:cs="Calibri"/>
        </w:rPr>
        <w:t xml:space="preserve"> NSL: </w:t>
      </w:r>
      <w:r w:rsidR="000A34AB">
        <w:rPr>
          <w:rFonts w:ascii="Book Antiqua" w:hAnsi="Book Antiqua" w:cs="Calibri"/>
        </w:rPr>
        <w:t>N</w:t>
      </w:r>
      <w:r w:rsidRPr="00AB1BE0">
        <w:rPr>
          <w:rFonts w:ascii="Book Antiqua" w:hAnsi="Book Antiqua" w:cs="Calibri"/>
        </w:rPr>
        <w:t>o suture ligation.</w:t>
      </w:r>
    </w:p>
    <w:p w14:paraId="0B339221" w14:textId="7363B151" w:rsidR="000A34AB" w:rsidRDefault="00AB1BE0" w:rsidP="000A34AB">
      <w:pPr>
        <w:adjustRightInd w:val="0"/>
        <w:snapToGrid w:val="0"/>
        <w:spacing w:line="360" w:lineRule="auto"/>
        <w:jc w:val="both"/>
        <w:rPr>
          <w:rFonts w:ascii="Book Antiqua" w:hAnsi="Book Antiqua"/>
        </w:rPr>
      </w:pPr>
      <w:r w:rsidRPr="00AB1BE0">
        <w:rPr>
          <w:rFonts w:ascii="Book Antiqua" w:hAnsi="Book Antiqua"/>
        </w:rPr>
        <w:t xml:space="preserve"> </w:t>
      </w:r>
    </w:p>
    <w:p w14:paraId="3FCAB066" w14:textId="1ECE5EF2" w:rsidR="00AB1BE0" w:rsidRPr="00AB1BE0" w:rsidRDefault="000A34AB" w:rsidP="000A34AB">
      <w:pPr>
        <w:adjustRightInd w:val="0"/>
        <w:snapToGrid w:val="0"/>
        <w:spacing w:line="360" w:lineRule="auto"/>
        <w:jc w:val="both"/>
        <w:rPr>
          <w:rFonts w:ascii="Book Antiqua" w:hAnsi="Book Antiqua" w:cs="Calibri"/>
          <w:b/>
        </w:rPr>
      </w:pPr>
      <w:r>
        <w:rPr>
          <w:rFonts w:ascii="Book Antiqua" w:hAnsi="Book Antiqua"/>
        </w:rPr>
        <w:br w:type="page"/>
      </w:r>
      <w:r w:rsidR="00AB1BE0" w:rsidRPr="00AB1BE0">
        <w:rPr>
          <w:rFonts w:ascii="Book Antiqua" w:hAnsi="Book Antiqua" w:cs="Calibri"/>
          <w:b/>
        </w:rPr>
        <w:lastRenderedPageBreak/>
        <w:t xml:space="preserve">Table 3 Cases of relaparotomy due to </w:t>
      </w:r>
      <w:r w:rsidRPr="000A34AB">
        <w:rPr>
          <w:rFonts w:ascii="Book Antiqua" w:hAnsi="Book Antiqua" w:cs="Calibri"/>
          <w:b/>
        </w:rPr>
        <w:t>enteric anastomotic</w:t>
      </w:r>
      <w:r w:rsidR="00AB1BE0" w:rsidRPr="00AB1BE0">
        <w:rPr>
          <w:rFonts w:ascii="Book Antiqua" w:hAnsi="Book Antiqua" w:cs="Calibri"/>
          <w:b/>
        </w:rPr>
        <w:t xml:space="preserve"> bleeding in </w:t>
      </w:r>
      <w:r w:rsidRPr="000A34AB">
        <w:rPr>
          <w:rFonts w:ascii="Book Antiqua" w:hAnsi="Book Antiqua" w:cs="Calibri"/>
          <w:b/>
        </w:rPr>
        <w:t>no suture ligation</w:t>
      </w:r>
      <w:r w:rsidR="00AB1BE0" w:rsidRPr="00AB1BE0">
        <w:rPr>
          <w:rFonts w:ascii="Book Antiqua" w:hAnsi="Book Antiqua" w:cs="Calibri"/>
          <w:b/>
        </w:rPr>
        <w:t xml:space="preserve"> group</w:t>
      </w:r>
    </w:p>
    <w:tbl>
      <w:tblPr>
        <w:tblW w:w="6906" w:type="dxa"/>
        <w:tblBorders>
          <w:top w:val="single" w:sz="4" w:space="0" w:color="auto"/>
          <w:bottom w:val="single" w:sz="4" w:space="0" w:color="auto"/>
        </w:tblBorders>
        <w:tblLook w:val="04A0" w:firstRow="1" w:lastRow="0" w:firstColumn="1" w:lastColumn="0" w:noHBand="0" w:noVBand="1"/>
      </w:tblPr>
      <w:tblGrid>
        <w:gridCol w:w="2062"/>
        <w:gridCol w:w="657"/>
        <w:gridCol w:w="603"/>
        <w:gridCol w:w="1622"/>
        <w:gridCol w:w="1962"/>
      </w:tblGrid>
      <w:tr w:rsidR="00AB1BE0" w:rsidRPr="00AB1BE0" w14:paraId="447D1659" w14:textId="77777777" w:rsidTr="000A34AB">
        <w:tc>
          <w:tcPr>
            <w:tcW w:w="2062" w:type="dxa"/>
            <w:tcBorders>
              <w:top w:val="single" w:sz="4" w:space="0" w:color="auto"/>
              <w:left w:val="nil"/>
              <w:bottom w:val="single" w:sz="4" w:space="0" w:color="auto"/>
              <w:right w:val="nil"/>
            </w:tcBorders>
            <w:hideMark/>
          </w:tcPr>
          <w:p w14:paraId="5DDE1105"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Case</w:t>
            </w:r>
          </w:p>
        </w:tc>
        <w:tc>
          <w:tcPr>
            <w:tcW w:w="0" w:type="auto"/>
            <w:tcBorders>
              <w:top w:val="single" w:sz="4" w:space="0" w:color="auto"/>
              <w:left w:val="nil"/>
              <w:bottom w:val="single" w:sz="4" w:space="0" w:color="auto"/>
              <w:right w:val="nil"/>
            </w:tcBorders>
            <w:hideMark/>
          </w:tcPr>
          <w:p w14:paraId="2B3FD019"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Age</w:t>
            </w:r>
          </w:p>
        </w:tc>
        <w:tc>
          <w:tcPr>
            <w:tcW w:w="0" w:type="auto"/>
            <w:tcBorders>
              <w:top w:val="single" w:sz="4" w:space="0" w:color="auto"/>
              <w:left w:val="nil"/>
              <w:bottom w:val="single" w:sz="4" w:space="0" w:color="auto"/>
              <w:right w:val="nil"/>
            </w:tcBorders>
            <w:hideMark/>
          </w:tcPr>
          <w:p w14:paraId="4A1F1C68"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Sex</w:t>
            </w:r>
          </w:p>
        </w:tc>
        <w:tc>
          <w:tcPr>
            <w:tcW w:w="1622" w:type="dxa"/>
            <w:tcBorders>
              <w:top w:val="single" w:sz="4" w:space="0" w:color="auto"/>
              <w:left w:val="nil"/>
              <w:bottom w:val="single" w:sz="4" w:space="0" w:color="auto"/>
              <w:right w:val="nil"/>
            </w:tcBorders>
            <w:hideMark/>
          </w:tcPr>
          <w:p w14:paraId="2691AD01" w14:textId="77777777"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 xml:space="preserve">Transplant time </w:t>
            </w:r>
          </w:p>
        </w:tc>
        <w:tc>
          <w:tcPr>
            <w:tcW w:w="1962" w:type="dxa"/>
            <w:tcBorders>
              <w:top w:val="single" w:sz="4" w:space="0" w:color="auto"/>
              <w:left w:val="nil"/>
              <w:bottom w:val="single" w:sz="4" w:space="0" w:color="auto"/>
              <w:right w:val="nil"/>
            </w:tcBorders>
            <w:hideMark/>
          </w:tcPr>
          <w:p w14:paraId="3DA6D66E" w14:textId="5724897A" w:rsidR="00AB1BE0" w:rsidRPr="00AB1BE0" w:rsidRDefault="00AB1BE0" w:rsidP="000A34AB">
            <w:pPr>
              <w:adjustRightInd w:val="0"/>
              <w:snapToGrid w:val="0"/>
              <w:spacing w:line="360" w:lineRule="auto"/>
              <w:jc w:val="both"/>
              <w:rPr>
                <w:rFonts w:ascii="Book Antiqua" w:hAnsi="Book Antiqua"/>
                <w:b/>
              </w:rPr>
            </w:pPr>
            <w:r w:rsidRPr="00AB1BE0">
              <w:rPr>
                <w:rFonts w:ascii="Book Antiqua" w:hAnsi="Book Antiqua" w:cs="Calibri"/>
                <w:b/>
              </w:rPr>
              <w:t>Bleeding start time</w:t>
            </w:r>
            <w:r w:rsidR="000A34AB" w:rsidRPr="000A34AB">
              <w:rPr>
                <w:rFonts w:ascii="Book Antiqua" w:hAnsi="Book Antiqua" w:cs="Calibri"/>
                <w:b/>
                <w:vertAlign w:val="superscript"/>
              </w:rPr>
              <w:t>1</w:t>
            </w:r>
          </w:p>
        </w:tc>
      </w:tr>
      <w:tr w:rsidR="00AB1BE0" w:rsidRPr="00AB1BE0" w14:paraId="7A630C83" w14:textId="77777777" w:rsidTr="000A34AB">
        <w:tc>
          <w:tcPr>
            <w:tcW w:w="2062" w:type="dxa"/>
            <w:tcBorders>
              <w:top w:val="single" w:sz="4" w:space="0" w:color="auto"/>
              <w:left w:val="nil"/>
              <w:bottom w:val="nil"/>
              <w:right w:val="nil"/>
            </w:tcBorders>
            <w:hideMark/>
          </w:tcPr>
          <w:p w14:paraId="0DCF2CC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1</w:t>
            </w:r>
          </w:p>
        </w:tc>
        <w:tc>
          <w:tcPr>
            <w:tcW w:w="0" w:type="auto"/>
            <w:tcBorders>
              <w:top w:val="single" w:sz="4" w:space="0" w:color="auto"/>
              <w:left w:val="nil"/>
              <w:bottom w:val="nil"/>
              <w:right w:val="nil"/>
            </w:tcBorders>
            <w:hideMark/>
          </w:tcPr>
          <w:p w14:paraId="5FF4821D"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47</w:t>
            </w:r>
          </w:p>
        </w:tc>
        <w:tc>
          <w:tcPr>
            <w:tcW w:w="0" w:type="auto"/>
            <w:tcBorders>
              <w:top w:val="single" w:sz="4" w:space="0" w:color="auto"/>
              <w:left w:val="nil"/>
              <w:bottom w:val="nil"/>
              <w:right w:val="nil"/>
            </w:tcBorders>
            <w:hideMark/>
          </w:tcPr>
          <w:p w14:paraId="42306D80"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M</w:t>
            </w:r>
          </w:p>
        </w:tc>
        <w:tc>
          <w:tcPr>
            <w:tcW w:w="1622" w:type="dxa"/>
            <w:tcBorders>
              <w:top w:val="single" w:sz="4" w:space="0" w:color="auto"/>
              <w:left w:val="nil"/>
              <w:bottom w:val="nil"/>
              <w:right w:val="nil"/>
            </w:tcBorders>
            <w:hideMark/>
          </w:tcPr>
          <w:p w14:paraId="56E58E9B" w14:textId="1FA465AC" w:rsidR="00AB1BE0" w:rsidRPr="00AB1BE0" w:rsidRDefault="000A34AB" w:rsidP="000A34AB">
            <w:pPr>
              <w:adjustRightInd w:val="0"/>
              <w:snapToGrid w:val="0"/>
              <w:spacing w:line="360" w:lineRule="auto"/>
              <w:jc w:val="both"/>
              <w:rPr>
                <w:rFonts w:ascii="Book Antiqua" w:hAnsi="Book Antiqua"/>
              </w:rPr>
            </w:pPr>
            <w:r>
              <w:rPr>
                <w:rFonts w:ascii="Book Antiqua" w:hAnsi="Book Antiqua" w:cs="Calibri"/>
              </w:rPr>
              <w:t>O</w:t>
            </w:r>
            <w:r>
              <w:rPr>
                <w:rFonts w:ascii="Book Antiqua" w:hAnsi="Book Antiqua" w:cs="Calibri" w:hint="eastAsia"/>
                <w:lang w:eastAsia="zh-CN"/>
              </w:rPr>
              <w:t>c</w:t>
            </w:r>
            <w:r>
              <w:rPr>
                <w:rFonts w:ascii="Book Antiqua" w:hAnsi="Book Antiqua" w:cs="Calibri"/>
              </w:rPr>
              <w:t xml:space="preserve">tober </w:t>
            </w:r>
            <w:r w:rsidR="00AB1BE0" w:rsidRPr="00AB1BE0">
              <w:rPr>
                <w:rFonts w:ascii="Book Antiqua" w:hAnsi="Book Antiqua" w:cs="Calibri"/>
              </w:rPr>
              <w:t>2016</w:t>
            </w:r>
          </w:p>
        </w:tc>
        <w:tc>
          <w:tcPr>
            <w:tcW w:w="1962" w:type="dxa"/>
            <w:tcBorders>
              <w:top w:val="single" w:sz="4" w:space="0" w:color="auto"/>
              <w:left w:val="nil"/>
              <w:bottom w:val="nil"/>
              <w:right w:val="nil"/>
            </w:tcBorders>
            <w:hideMark/>
          </w:tcPr>
          <w:p w14:paraId="3F9CB89C"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5</w:t>
            </w:r>
          </w:p>
        </w:tc>
      </w:tr>
      <w:tr w:rsidR="00AB1BE0" w:rsidRPr="00AB1BE0" w14:paraId="13EE9D13" w14:textId="77777777" w:rsidTr="000A34AB">
        <w:tc>
          <w:tcPr>
            <w:tcW w:w="2062" w:type="dxa"/>
            <w:tcBorders>
              <w:top w:val="nil"/>
              <w:left w:val="nil"/>
              <w:bottom w:val="nil"/>
              <w:right w:val="nil"/>
            </w:tcBorders>
            <w:hideMark/>
          </w:tcPr>
          <w:p w14:paraId="44E4079C"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2</w:t>
            </w:r>
          </w:p>
        </w:tc>
        <w:tc>
          <w:tcPr>
            <w:tcW w:w="0" w:type="auto"/>
            <w:tcBorders>
              <w:top w:val="nil"/>
              <w:left w:val="nil"/>
              <w:bottom w:val="nil"/>
              <w:right w:val="nil"/>
            </w:tcBorders>
            <w:hideMark/>
          </w:tcPr>
          <w:p w14:paraId="7B04B59F"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29</w:t>
            </w:r>
          </w:p>
        </w:tc>
        <w:tc>
          <w:tcPr>
            <w:tcW w:w="0" w:type="auto"/>
            <w:tcBorders>
              <w:top w:val="nil"/>
              <w:left w:val="nil"/>
              <w:bottom w:val="nil"/>
              <w:right w:val="nil"/>
            </w:tcBorders>
            <w:hideMark/>
          </w:tcPr>
          <w:p w14:paraId="7EB89FAD"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M</w:t>
            </w:r>
          </w:p>
        </w:tc>
        <w:tc>
          <w:tcPr>
            <w:tcW w:w="1622" w:type="dxa"/>
            <w:tcBorders>
              <w:top w:val="nil"/>
              <w:left w:val="nil"/>
              <w:bottom w:val="nil"/>
              <w:right w:val="nil"/>
            </w:tcBorders>
            <w:hideMark/>
          </w:tcPr>
          <w:p w14:paraId="0BD2A710" w14:textId="5DA69835" w:rsidR="00AB1BE0" w:rsidRPr="00AB1BE0" w:rsidRDefault="000A34AB" w:rsidP="000A34AB">
            <w:pPr>
              <w:adjustRightInd w:val="0"/>
              <w:snapToGrid w:val="0"/>
              <w:spacing w:line="360" w:lineRule="auto"/>
              <w:jc w:val="both"/>
              <w:rPr>
                <w:rFonts w:ascii="Book Antiqua" w:hAnsi="Book Antiqua"/>
              </w:rPr>
            </w:pPr>
            <w:r>
              <w:rPr>
                <w:rFonts w:ascii="Book Antiqua" w:hAnsi="Book Antiqua" w:cs="Calibri"/>
              </w:rPr>
              <w:t>O</w:t>
            </w:r>
            <w:r>
              <w:rPr>
                <w:rFonts w:ascii="Book Antiqua" w:hAnsi="Book Antiqua" w:cs="Calibri" w:hint="eastAsia"/>
                <w:lang w:eastAsia="zh-CN"/>
              </w:rPr>
              <w:t>c</w:t>
            </w:r>
            <w:r>
              <w:rPr>
                <w:rFonts w:ascii="Book Antiqua" w:hAnsi="Book Antiqua" w:cs="Calibri"/>
              </w:rPr>
              <w:t>tober</w:t>
            </w:r>
            <w:r w:rsidRPr="00AB1BE0">
              <w:rPr>
                <w:rFonts w:ascii="Book Antiqua" w:hAnsi="Book Antiqua" w:cs="Calibri"/>
              </w:rPr>
              <w:t xml:space="preserve"> </w:t>
            </w:r>
            <w:r w:rsidR="00AB1BE0" w:rsidRPr="00AB1BE0">
              <w:rPr>
                <w:rFonts w:ascii="Book Antiqua" w:hAnsi="Book Antiqua" w:cs="Calibri"/>
              </w:rPr>
              <w:t>2016</w:t>
            </w:r>
          </w:p>
        </w:tc>
        <w:tc>
          <w:tcPr>
            <w:tcW w:w="1962" w:type="dxa"/>
            <w:tcBorders>
              <w:top w:val="nil"/>
              <w:left w:val="nil"/>
              <w:bottom w:val="nil"/>
              <w:right w:val="nil"/>
            </w:tcBorders>
            <w:hideMark/>
          </w:tcPr>
          <w:p w14:paraId="2B5FC3FD"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7</w:t>
            </w:r>
          </w:p>
        </w:tc>
      </w:tr>
      <w:tr w:rsidR="00AB1BE0" w:rsidRPr="00AB1BE0" w14:paraId="491F69DC" w14:textId="77777777" w:rsidTr="000A34AB">
        <w:tc>
          <w:tcPr>
            <w:tcW w:w="2062" w:type="dxa"/>
            <w:tcBorders>
              <w:top w:val="nil"/>
              <w:left w:val="nil"/>
              <w:bottom w:val="single" w:sz="4" w:space="0" w:color="auto"/>
              <w:right w:val="nil"/>
            </w:tcBorders>
            <w:hideMark/>
          </w:tcPr>
          <w:p w14:paraId="440CA56A"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3</w:t>
            </w:r>
          </w:p>
        </w:tc>
        <w:tc>
          <w:tcPr>
            <w:tcW w:w="0" w:type="auto"/>
            <w:tcBorders>
              <w:top w:val="nil"/>
              <w:left w:val="nil"/>
              <w:bottom w:val="single" w:sz="4" w:space="0" w:color="auto"/>
              <w:right w:val="nil"/>
            </w:tcBorders>
            <w:hideMark/>
          </w:tcPr>
          <w:p w14:paraId="3432A03C"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40</w:t>
            </w:r>
          </w:p>
        </w:tc>
        <w:tc>
          <w:tcPr>
            <w:tcW w:w="0" w:type="auto"/>
            <w:tcBorders>
              <w:top w:val="nil"/>
              <w:left w:val="nil"/>
              <w:bottom w:val="single" w:sz="4" w:space="0" w:color="auto"/>
              <w:right w:val="nil"/>
            </w:tcBorders>
            <w:hideMark/>
          </w:tcPr>
          <w:p w14:paraId="1539F7A4"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M</w:t>
            </w:r>
          </w:p>
        </w:tc>
        <w:tc>
          <w:tcPr>
            <w:tcW w:w="1622" w:type="dxa"/>
            <w:tcBorders>
              <w:top w:val="nil"/>
              <w:left w:val="nil"/>
              <w:bottom w:val="single" w:sz="4" w:space="0" w:color="auto"/>
              <w:right w:val="nil"/>
            </w:tcBorders>
            <w:hideMark/>
          </w:tcPr>
          <w:p w14:paraId="6BDDF9E2" w14:textId="5994A712" w:rsidR="00AB1BE0" w:rsidRPr="00AB1BE0" w:rsidRDefault="000A34AB" w:rsidP="000A34AB">
            <w:pPr>
              <w:adjustRightInd w:val="0"/>
              <w:snapToGrid w:val="0"/>
              <w:spacing w:line="360" w:lineRule="auto"/>
              <w:jc w:val="both"/>
              <w:rPr>
                <w:rFonts w:ascii="Book Antiqua" w:hAnsi="Book Antiqua"/>
              </w:rPr>
            </w:pPr>
            <w:r>
              <w:rPr>
                <w:rFonts w:ascii="Book Antiqua" w:hAnsi="Book Antiqua" w:cs="Calibri"/>
              </w:rPr>
              <w:t>O</w:t>
            </w:r>
            <w:r>
              <w:rPr>
                <w:rFonts w:ascii="Book Antiqua" w:hAnsi="Book Antiqua" w:cs="Calibri" w:hint="eastAsia"/>
                <w:lang w:eastAsia="zh-CN"/>
              </w:rPr>
              <w:t>c</w:t>
            </w:r>
            <w:r>
              <w:rPr>
                <w:rFonts w:ascii="Book Antiqua" w:hAnsi="Book Antiqua" w:cs="Calibri"/>
              </w:rPr>
              <w:t>tober</w:t>
            </w:r>
            <w:r w:rsidRPr="00AB1BE0">
              <w:rPr>
                <w:rFonts w:ascii="Book Antiqua" w:hAnsi="Book Antiqua" w:cs="Calibri"/>
              </w:rPr>
              <w:t xml:space="preserve"> </w:t>
            </w:r>
            <w:r w:rsidR="00AB1BE0" w:rsidRPr="00AB1BE0">
              <w:rPr>
                <w:rFonts w:ascii="Book Antiqua" w:hAnsi="Book Antiqua" w:cs="Calibri"/>
              </w:rPr>
              <w:t>2017</w:t>
            </w:r>
          </w:p>
        </w:tc>
        <w:tc>
          <w:tcPr>
            <w:tcW w:w="1962" w:type="dxa"/>
            <w:tcBorders>
              <w:top w:val="nil"/>
              <w:left w:val="nil"/>
              <w:bottom w:val="single" w:sz="4" w:space="0" w:color="auto"/>
              <w:right w:val="nil"/>
            </w:tcBorders>
            <w:hideMark/>
          </w:tcPr>
          <w:p w14:paraId="3DC852DB" w14:textId="77777777" w:rsidR="00AB1BE0" w:rsidRPr="00AB1BE0" w:rsidRDefault="00AB1BE0" w:rsidP="000A34AB">
            <w:pPr>
              <w:adjustRightInd w:val="0"/>
              <w:snapToGrid w:val="0"/>
              <w:spacing w:line="360" w:lineRule="auto"/>
              <w:jc w:val="both"/>
              <w:rPr>
                <w:rFonts w:ascii="Book Antiqua" w:hAnsi="Book Antiqua"/>
              </w:rPr>
            </w:pPr>
            <w:r w:rsidRPr="00AB1BE0">
              <w:rPr>
                <w:rFonts w:ascii="Book Antiqua" w:hAnsi="Book Antiqua"/>
              </w:rPr>
              <w:t>6</w:t>
            </w:r>
          </w:p>
        </w:tc>
      </w:tr>
    </w:tbl>
    <w:p w14:paraId="7CA5A558" w14:textId="0CBF9927" w:rsidR="003E62DD" w:rsidRPr="000A34AB" w:rsidRDefault="000A34AB" w:rsidP="000A34AB">
      <w:pPr>
        <w:adjustRightInd w:val="0"/>
        <w:snapToGrid w:val="0"/>
        <w:spacing w:line="360" w:lineRule="auto"/>
        <w:jc w:val="both"/>
        <w:rPr>
          <w:rFonts w:ascii="Book Antiqua" w:hAnsi="Book Antiqua" w:cs="Calibri"/>
          <w:kern w:val="2"/>
        </w:rPr>
      </w:pPr>
      <w:r w:rsidRPr="000A34AB">
        <w:rPr>
          <w:rFonts w:ascii="Book Antiqua" w:hAnsi="Book Antiqua" w:cs="Calibri"/>
          <w:vertAlign w:val="superscript"/>
        </w:rPr>
        <w:t>1</w:t>
      </w:r>
      <w:r>
        <w:rPr>
          <w:rFonts w:ascii="Book Antiqua" w:hAnsi="Book Antiqua" w:cs="Calibri"/>
        </w:rPr>
        <w:t>D</w:t>
      </w:r>
      <w:r w:rsidR="00AB1BE0" w:rsidRPr="00AB1BE0">
        <w:rPr>
          <w:rFonts w:ascii="Book Antiqua" w:hAnsi="Book Antiqua" w:cs="Calibri"/>
        </w:rPr>
        <w:t>ays after operation.</w:t>
      </w:r>
      <w:r w:rsidR="00AB1BE0" w:rsidRPr="00AB1BE0">
        <w:rPr>
          <w:rFonts w:ascii="Book Antiqua" w:hAnsi="Book Antiqua"/>
        </w:rPr>
        <w:t xml:space="preserve"> The reconstruction of the anastomosis was performed</w:t>
      </w:r>
      <w:r w:rsidR="00AB1BE0" w:rsidRPr="00AB1BE0">
        <w:rPr>
          <w:rFonts w:ascii="Book Antiqua" w:hAnsi="Book Antiqua" w:cs="Calibri"/>
        </w:rPr>
        <w:t xml:space="preserve"> for these patients and no recurrence of bleeding occurred.</w:t>
      </w:r>
      <w:r>
        <w:rPr>
          <w:rFonts w:ascii="Book Antiqua" w:hAnsi="Book Antiqua" w:cs="Calibri"/>
        </w:rPr>
        <w:t xml:space="preserve"> </w:t>
      </w:r>
      <w:r w:rsidRPr="00AB1BE0">
        <w:rPr>
          <w:rFonts w:ascii="Book Antiqua" w:hAnsi="Book Antiqua"/>
        </w:rPr>
        <w:t>M</w:t>
      </w:r>
      <w:r w:rsidRPr="00AB1BE0">
        <w:rPr>
          <w:rFonts w:ascii="Book Antiqua" w:hAnsi="Book Antiqua" w:cs="Calibri"/>
        </w:rPr>
        <w:t xml:space="preserve">: </w:t>
      </w:r>
      <w:r>
        <w:rPr>
          <w:rFonts w:ascii="Book Antiqua" w:hAnsi="Book Antiqua" w:cs="Calibri"/>
        </w:rPr>
        <w:t>M</w:t>
      </w:r>
      <w:r w:rsidRPr="00AB1BE0">
        <w:rPr>
          <w:rFonts w:ascii="Book Antiqua" w:hAnsi="Book Antiqua" w:cs="Calibri"/>
        </w:rPr>
        <w:t>ale</w:t>
      </w:r>
      <w:r>
        <w:rPr>
          <w:rFonts w:ascii="Book Antiqua" w:hAnsi="Book Antiqua" w:cs="Calibri"/>
        </w:rPr>
        <w:t>.</w:t>
      </w:r>
    </w:p>
    <w:sectPr w:rsidR="003E62DD" w:rsidRPr="000A34AB" w:rsidSect="008974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300F7" w14:textId="77777777" w:rsidR="00487FC7" w:rsidRDefault="00487FC7" w:rsidP="000A34AB">
      <w:r>
        <w:separator/>
      </w:r>
    </w:p>
  </w:endnote>
  <w:endnote w:type="continuationSeparator" w:id="0">
    <w:p w14:paraId="0B49E83F" w14:textId="77777777" w:rsidR="00487FC7" w:rsidRDefault="00487FC7" w:rsidP="000A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EA3F2" w14:textId="3EB70C3E" w:rsidR="000A34AB" w:rsidRPr="000A34AB" w:rsidRDefault="000A34AB" w:rsidP="000A34AB">
    <w:pPr>
      <w:pStyle w:val="ac"/>
      <w:jc w:val="right"/>
      <w:rPr>
        <w:rFonts w:ascii="Book Antiqua" w:hAnsi="Book Antiqua"/>
        <w:sz w:val="24"/>
        <w:szCs w:val="24"/>
      </w:rPr>
    </w:pPr>
    <w:r w:rsidRPr="000A34AB">
      <w:rPr>
        <w:rFonts w:ascii="Book Antiqua" w:hAnsi="Book Antiqua"/>
        <w:sz w:val="24"/>
        <w:szCs w:val="24"/>
        <w:lang w:val="zh-CN" w:eastAsia="zh-CN"/>
      </w:rPr>
      <w:t xml:space="preserve"> </w:t>
    </w:r>
    <w:r w:rsidRPr="000A34AB">
      <w:rPr>
        <w:rFonts w:ascii="Book Antiqua" w:hAnsi="Book Antiqua"/>
        <w:b/>
        <w:bCs/>
        <w:sz w:val="24"/>
        <w:szCs w:val="24"/>
      </w:rPr>
      <w:fldChar w:fldCharType="begin"/>
    </w:r>
    <w:r w:rsidRPr="000A34AB">
      <w:rPr>
        <w:rFonts w:ascii="Book Antiqua" w:hAnsi="Book Antiqua"/>
        <w:b/>
        <w:bCs/>
        <w:sz w:val="24"/>
        <w:szCs w:val="24"/>
      </w:rPr>
      <w:instrText>PAGE</w:instrText>
    </w:r>
    <w:r w:rsidRPr="000A34AB">
      <w:rPr>
        <w:rFonts w:ascii="Book Antiqua" w:hAnsi="Book Antiqua"/>
        <w:b/>
        <w:bCs/>
        <w:sz w:val="24"/>
        <w:szCs w:val="24"/>
      </w:rPr>
      <w:fldChar w:fldCharType="separate"/>
    </w:r>
    <w:r w:rsidRPr="000A34AB">
      <w:rPr>
        <w:rFonts w:ascii="Book Antiqua" w:hAnsi="Book Antiqua"/>
        <w:b/>
        <w:bCs/>
        <w:sz w:val="24"/>
        <w:szCs w:val="24"/>
        <w:lang w:val="zh-CN" w:eastAsia="zh-CN"/>
      </w:rPr>
      <w:t>2</w:t>
    </w:r>
    <w:r w:rsidRPr="000A34AB">
      <w:rPr>
        <w:rFonts w:ascii="Book Antiqua" w:hAnsi="Book Antiqua"/>
        <w:b/>
        <w:bCs/>
        <w:sz w:val="24"/>
        <w:szCs w:val="24"/>
      </w:rPr>
      <w:fldChar w:fldCharType="end"/>
    </w:r>
    <w:r w:rsidRPr="000A34AB">
      <w:rPr>
        <w:rFonts w:ascii="Book Antiqua" w:hAnsi="Book Antiqua"/>
        <w:sz w:val="24"/>
        <w:szCs w:val="24"/>
        <w:lang w:val="zh-CN" w:eastAsia="zh-CN"/>
      </w:rPr>
      <w:t xml:space="preserve"> / </w:t>
    </w:r>
    <w:r w:rsidRPr="000A34AB">
      <w:rPr>
        <w:rFonts w:ascii="Book Antiqua" w:hAnsi="Book Antiqua"/>
        <w:b/>
        <w:bCs/>
        <w:sz w:val="24"/>
        <w:szCs w:val="24"/>
      </w:rPr>
      <w:fldChar w:fldCharType="begin"/>
    </w:r>
    <w:r w:rsidRPr="000A34AB">
      <w:rPr>
        <w:rFonts w:ascii="Book Antiqua" w:hAnsi="Book Antiqua"/>
        <w:b/>
        <w:bCs/>
        <w:sz w:val="24"/>
        <w:szCs w:val="24"/>
      </w:rPr>
      <w:instrText>NUMPAGES</w:instrText>
    </w:r>
    <w:r w:rsidRPr="000A34AB">
      <w:rPr>
        <w:rFonts w:ascii="Book Antiqua" w:hAnsi="Book Antiqua"/>
        <w:b/>
        <w:bCs/>
        <w:sz w:val="24"/>
        <w:szCs w:val="24"/>
      </w:rPr>
      <w:fldChar w:fldCharType="separate"/>
    </w:r>
    <w:r w:rsidRPr="000A34AB">
      <w:rPr>
        <w:rFonts w:ascii="Book Antiqua" w:hAnsi="Book Antiqua"/>
        <w:b/>
        <w:bCs/>
        <w:sz w:val="24"/>
        <w:szCs w:val="24"/>
        <w:lang w:val="zh-CN" w:eastAsia="zh-CN"/>
      </w:rPr>
      <w:t>2</w:t>
    </w:r>
    <w:r w:rsidRPr="000A34AB">
      <w:rPr>
        <w:rFonts w:ascii="Book Antiqua" w:hAnsi="Book Antiqua"/>
        <w:b/>
        <w:bCs/>
        <w:sz w:val="24"/>
        <w:szCs w:val="24"/>
      </w:rPr>
      <w:fldChar w:fldCharType="end"/>
    </w:r>
  </w:p>
  <w:p w14:paraId="549F409E" w14:textId="77777777" w:rsidR="000A34AB" w:rsidRDefault="000A34A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9E2C0" w14:textId="77777777" w:rsidR="00487FC7" w:rsidRDefault="00487FC7" w:rsidP="000A34AB">
      <w:r>
        <w:separator/>
      </w:r>
    </w:p>
  </w:footnote>
  <w:footnote w:type="continuationSeparator" w:id="0">
    <w:p w14:paraId="77E0336C" w14:textId="77777777" w:rsidR="00487FC7" w:rsidRDefault="00487FC7" w:rsidP="000A34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noLineBreaksAfter w:lang="zh-CN" w:val="$([{£¥·‘“〈《「『【〔〖〝﹙﹛﹝＄（．［｛￡￥"/>
  <w:noLineBreaksBefore w:lang="zh-CN" w:val="!%),.:;&gt;?]}¢¨°·ˇˉ―‖’”…‰′″›℃∶、。〃〉》」』】〕〗〞︶︺︾﹀﹄﹚﹜﹞！＂％＇），．：；？］｀｜｝～￠"/>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77B3E"/>
    <w:rsid w:val="00024CDD"/>
    <w:rsid w:val="000A34AB"/>
    <w:rsid w:val="0015151D"/>
    <w:rsid w:val="00165F4C"/>
    <w:rsid w:val="001A1D43"/>
    <w:rsid w:val="0020041D"/>
    <w:rsid w:val="00250654"/>
    <w:rsid w:val="00253808"/>
    <w:rsid w:val="003D3588"/>
    <w:rsid w:val="003E62DD"/>
    <w:rsid w:val="004879EA"/>
    <w:rsid w:val="00487FC7"/>
    <w:rsid w:val="004E1791"/>
    <w:rsid w:val="005D361E"/>
    <w:rsid w:val="006D0BAD"/>
    <w:rsid w:val="00772822"/>
    <w:rsid w:val="00832F20"/>
    <w:rsid w:val="008974AD"/>
    <w:rsid w:val="00955EB6"/>
    <w:rsid w:val="009574C4"/>
    <w:rsid w:val="009A261E"/>
    <w:rsid w:val="00A77B3E"/>
    <w:rsid w:val="00A96096"/>
    <w:rsid w:val="00AA2067"/>
    <w:rsid w:val="00AB1BE0"/>
    <w:rsid w:val="00B22275"/>
    <w:rsid w:val="00B73559"/>
    <w:rsid w:val="00B81C9F"/>
    <w:rsid w:val="00BF3910"/>
    <w:rsid w:val="00C94F02"/>
    <w:rsid w:val="00CA2A55"/>
    <w:rsid w:val="00D07891"/>
    <w:rsid w:val="00D358D2"/>
    <w:rsid w:val="00D53927"/>
    <w:rsid w:val="00D740B6"/>
    <w:rsid w:val="00E32102"/>
    <w:rsid w:val="00F11782"/>
    <w:rsid w:val="00F249D6"/>
    <w:rsid w:val="00F83A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50C4DDE"/>
  <w15:docId w15:val="{44681440-49DD-4897-984B-2B3552DD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semiHidden="1" w:uiPriority="0"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74AD"/>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vam">
    <w:name w:val="dx-vam"/>
    <w:uiPriority w:val="99"/>
    <w:rsid w:val="008974AD"/>
    <w:rPr>
      <w:rFonts w:cs="Times New Roman"/>
    </w:rPr>
  </w:style>
  <w:style w:type="character" w:styleId="a3">
    <w:name w:val="annotation reference"/>
    <w:uiPriority w:val="99"/>
    <w:semiHidden/>
    <w:rsid w:val="00A96096"/>
    <w:rPr>
      <w:rFonts w:cs="Times New Roman"/>
      <w:sz w:val="21"/>
      <w:szCs w:val="21"/>
    </w:rPr>
  </w:style>
  <w:style w:type="paragraph" w:styleId="a4">
    <w:name w:val="annotation text"/>
    <w:basedOn w:val="a"/>
    <w:link w:val="a5"/>
    <w:uiPriority w:val="99"/>
    <w:semiHidden/>
    <w:rsid w:val="00A96096"/>
  </w:style>
  <w:style w:type="character" w:customStyle="1" w:styleId="a5">
    <w:name w:val="批注文字 字符"/>
    <w:link w:val="a4"/>
    <w:uiPriority w:val="99"/>
    <w:semiHidden/>
    <w:locked/>
    <w:rsid w:val="00A96096"/>
    <w:rPr>
      <w:rFonts w:cs="Times New Roman"/>
      <w:sz w:val="24"/>
      <w:szCs w:val="24"/>
    </w:rPr>
  </w:style>
  <w:style w:type="paragraph" w:styleId="a6">
    <w:name w:val="annotation subject"/>
    <w:basedOn w:val="a4"/>
    <w:next w:val="a4"/>
    <w:link w:val="a7"/>
    <w:uiPriority w:val="99"/>
    <w:semiHidden/>
    <w:rsid w:val="00A96096"/>
    <w:rPr>
      <w:b/>
      <w:bCs/>
    </w:rPr>
  </w:style>
  <w:style w:type="character" w:customStyle="1" w:styleId="a7">
    <w:name w:val="批注主题 字符"/>
    <w:link w:val="a6"/>
    <w:uiPriority w:val="99"/>
    <w:semiHidden/>
    <w:locked/>
    <w:rsid w:val="00A96096"/>
    <w:rPr>
      <w:rFonts w:cs="Times New Roman"/>
      <w:b/>
      <w:bCs/>
      <w:sz w:val="24"/>
      <w:szCs w:val="24"/>
    </w:rPr>
  </w:style>
  <w:style w:type="paragraph" w:styleId="a8">
    <w:name w:val="Balloon Text"/>
    <w:basedOn w:val="a"/>
    <w:link w:val="a9"/>
    <w:uiPriority w:val="99"/>
    <w:semiHidden/>
    <w:locked/>
    <w:rsid w:val="005D361E"/>
    <w:rPr>
      <w:sz w:val="18"/>
      <w:szCs w:val="18"/>
    </w:rPr>
  </w:style>
  <w:style w:type="character" w:customStyle="1" w:styleId="a9">
    <w:name w:val="批注框文本 字符"/>
    <w:link w:val="a8"/>
    <w:uiPriority w:val="99"/>
    <w:semiHidden/>
    <w:locked/>
    <w:rPr>
      <w:rFonts w:cs="Times New Roman"/>
      <w:kern w:val="0"/>
      <w:sz w:val="2"/>
      <w:lang w:eastAsia="en-US"/>
    </w:rPr>
  </w:style>
  <w:style w:type="paragraph" w:styleId="aa">
    <w:name w:val="header"/>
    <w:basedOn w:val="a"/>
    <w:link w:val="ab"/>
    <w:uiPriority w:val="99"/>
    <w:unhideWhenUsed/>
    <w:rsid w:val="000A34AB"/>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uiPriority w:val="99"/>
    <w:rsid w:val="000A34AB"/>
    <w:rPr>
      <w:kern w:val="0"/>
      <w:sz w:val="18"/>
      <w:szCs w:val="18"/>
      <w:lang w:eastAsia="en-US"/>
    </w:rPr>
  </w:style>
  <w:style w:type="paragraph" w:styleId="ac">
    <w:name w:val="footer"/>
    <w:basedOn w:val="a"/>
    <w:link w:val="ad"/>
    <w:uiPriority w:val="99"/>
    <w:unhideWhenUsed/>
    <w:rsid w:val="000A34AB"/>
    <w:pPr>
      <w:tabs>
        <w:tab w:val="center" w:pos="4153"/>
        <w:tab w:val="right" w:pos="8306"/>
      </w:tabs>
      <w:snapToGrid w:val="0"/>
    </w:pPr>
    <w:rPr>
      <w:sz w:val="18"/>
      <w:szCs w:val="18"/>
    </w:rPr>
  </w:style>
  <w:style w:type="character" w:customStyle="1" w:styleId="ad">
    <w:name w:val="页脚 字符"/>
    <w:link w:val="ac"/>
    <w:uiPriority w:val="99"/>
    <w:rsid w:val="000A34AB"/>
    <w:rPr>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383057">
      <w:bodyDiv w:val="1"/>
      <w:marLeft w:val="0"/>
      <w:marRight w:val="0"/>
      <w:marTop w:val="0"/>
      <w:marBottom w:val="0"/>
      <w:divBdr>
        <w:top w:val="none" w:sz="0" w:space="0" w:color="auto"/>
        <w:left w:val="none" w:sz="0" w:space="0" w:color="auto"/>
        <w:bottom w:val="none" w:sz="0" w:space="0" w:color="auto"/>
        <w:right w:val="none" w:sz="0" w:space="0" w:color="auto"/>
      </w:divBdr>
    </w:div>
    <w:div w:id="679896701">
      <w:bodyDiv w:val="1"/>
      <w:marLeft w:val="0"/>
      <w:marRight w:val="0"/>
      <w:marTop w:val="0"/>
      <w:marBottom w:val="0"/>
      <w:divBdr>
        <w:top w:val="none" w:sz="0" w:space="0" w:color="auto"/>
        <w:left w:val="none" w:sz="0" w:space="0" w:color="auto"/>
        <w:bottom w:val="none" w:sz="0" w:space="0" w:color="auto"/>
        <w:right w:val="none" w:sz="0" w:space="0" w:color="auto"/>
      </w:divBdr>
    </w:div>
    <w:div w:id="1358584949">
      <w:marLeft w:val="0"/>
      <w:marRight w:val="0"/>
      <w:marTop w:val="0"/>
      <w:marBottom w:val="0"/>
      <w:divBdr>
        <w:top w:val="none" w:sz="0" w:space="0" w:color="auto"/>
        <w:left w:val="none" w:sz="0" w:space="0" w:color="auto"/>
        <w:bottom w:val="none" w:sz="0" w:space="0" w:color="auto"/>
        <w:right w:val="none" w:sz="0" w:space="0" w:color="auto"/>
      </w:divBdr>
    </w:div>
    <w:div w:id="135858495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yingxinfu@nankai.edu.c"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147</TotalTime>
  <Pages>28</Pages>
  <Words>5701</Words>
  <Characters>32502</Characters>
  <Application>Microsoft Office Word</Application>
  <DocSecurity>0</DocSecurity>
  <Lines>270</Lines>
  <Paragraphs>76</Paragraphs>
  <ScaleCrop>false</ScaleCrop>
  <Company/>
  <LinksUpToDate>false</LinksUpToDate>
  <CharactersWithSpaces>38127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Surgery</dc:title>
  <dc:subject/>
  <dc:creator/>
  <cp:keywords/>
  <dc:description/>
  <cp:lastModifiedBy>jiaping yan</cp:lastModifiedBy>
  <cp:revision>16</cp:revision>
  <dcterms:created xsi:type="dcterms:W3CDTF">2021-08-06T03:27:00Z</dcterms:created>
  <dcterms:modified xsi:type="dcterms:W3CDTF">2021-08-10T08:40:00Z</dcterms:modified>
</cp:coreProperties>
</file>