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455E"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color w:val="000000" w:themeColor="text1"/>
        </w:rPr>
        <w:t xml:space="preserve">Name of Journal: </w:t>
      </w:r>
      <w:r w:rsidRPr="00872E1D">
        <w:rPr>
          <w:rFonts w:ascii="Book Antiqua" w:eastAsia="Book Antiqua" w:hAnsi="Book Antiqua" w:cs="Book Antiqua"/>
          <w:i/>
          <w:color w:val="000000" w:themeColor="text1"/>
        </w:rPr>
        <w:t>World Journal of Gastroenterology</w:t>
      </w:r>
    </w:p>
    <w:p w14:paraId="6A74FD17"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color w:val="000000" w:themeColor="text1"/>
        </w:rPr>
        <w:t xml:space="preserve">Manuscript NO: </w:t>
      </w:r>
      <w:r w:rsidRPr="00872E1D">
        <w:rPr>
          <w:rFonts w:ascii="Book Antiqua" w:eastAsia="Book Antiqua" w:hAnsi="Book Antiqua" w:cs="Book Antiqua"/>
          <w:color w:val="000000" w:themeColor="text1"/>
        </w:rPr>
        <w:t>66185</w:t>
      </w:r>
    </w:p>
    <w:p w14:paraId="251E424F"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color w:val="000000" w:themeColor="text1"/>
        </w:rPr>
        <w:t xml:space="preserve">Manuscript Type: </w:t>
      </w:r>
      <w:r w:rsidRPr="00872E1D">
        <w:rPr>
          <w:rFonts w:ascii="Book Antiqua" w:eastAsia="Book Antiqua" w:hAnsi="Book Antiqua" w:cs="Book Antiqua"/>
          <w:color w:val="000000" w:themeColor="text1"/>
        </w:rPr>
        <w:t>SYSTEMATIC REVIEWS</w:t>
      </w:r>
    </w:p>
    <w:p w14:paraId="14E29A35" w14:textId="77777777" w:rsidR="00A77B3E" w:rsidRPr="00872E1D" w:rsidRDefault="00A77B3E" w:rsidP="00F10C3B">
      <w:pPr>
        <w:spacing w:line="360" w:lineRule="auto"/>
        <w:jc w:val="both"/>
        <w:rPr>
          <w:color w:val="000000" w:themeColor="text1"/>
          <w:lang w:eastAsia="zh-CN"/>
        </w:rPr>
      </w:pPr>
    </w:p>
    <w:p w14:paraId="54429DFF" w14:textId="77777777" w:rsidR="00A77B3E" w:rsidRPr="00872E1D" w:rsidRDefault="00B34737" w:rsidP="00F10C3B">
      <w:pPr>
        <w:spacing w:line="360" w:lineRule="auto"/>
        <w:jc w:val="both"/>
        <w:rPr>
          <w:color w:val="000000" w:themeColor="text1"/>
          <w:lang w:eastAsia="zh-CN"/>
        </w:rPr>
      </w:pPr>
      <w:r w:rsidRPr="00872E1D">
        <w:rPr>
          <w:rFonts w:ascii="Book Antiqua" w:eastAsia="Book Antiqua" w:hAnsi="Book Antiqua" w:cs="Book Antiqua"/>
          <w:b/>
          <w:bCs/>
          <w:color w:val="000000" w:themeColor="text1"/>
        </w:rPr>
        <w:t>Determination of gluten immunogenic peptides for the management of the treatment adherence of celiac disease: A systematic review</w:t>
      </w:r>
    </w:p>
    <w:p w14:paraId="1AB42910" w14:textId="77777777" w:rsidR="00A77B3E" w:rsidRPr="00872E1D" w:rsidRDefault="00A77B3E" w:rsidP="00F10C3B">
      <w:pPr>
        <w:spacing w:line="360" w:lineRule="auto"/>
        <w:jc w:val="both"/>
        <w:rPr>
          <w:color w:val="000000" w:themeColor="text1"/>
        </w:rPr>
      </w:pPr>
    </w:p>
    <w:p w14:paraId="0C981419" w14:textId="77777777" w:rsidR="00A77B3E" w:rsidRPr="007E3A3B" w:rsidRDefault="00B34737" w:rsidP="00F10C3B">
      <w:pPr>
        <w:spacing w:line="360" w:lineRule="auto"/>
        <w:jc w:val="both"/>
        <w:rPr>
          <w:color w:val="000000" w:themeColor="text1"/>
          <w:lang w:eastAsia="zh-CN"/>
        </w:rPr>
      </w:pPr>
      <w:r w:rsidRPr="00872E1D">
        <w:rPr>
          <w:rFonts w:ascii="Book Antiqua" w:eastAsia="Book Antiqua" w:hAnsi="Book Antiqua" w:cs="Book Antiqua"/>
          <w:color w:val="000000" w:themeColor="text1"/>
        </w:rPr>
        <w:t xml:space="preserve">Coto </w:t>
      </w:r>
      <w:r w:rsidR="00B13432" w:rsidRPr="00872E1D">
        <w:rPr>
          <w:rFonts w:ascii="Book Antiqua" w:hAnsi="Book Antiqua" w:cs="Book Antiqua" w:hint="eastAsia"/>
          <w:color w:val="000000" w:themeColor="text1"/>
          <w:lang w:eastAsia="zh-CN"/>
        </w:rPr>
        <w:t xml:space="preserve">L </w:t>
      </w:r>
      <w:r w:rsidR="006E5332" w:rsidRPr="006E5332">
        <w:rPr>
          <w:rFonts w:ascii="Book Antiqua" w:eastAsia="Book Antiqua" w:hAnsi="Book Antiqua" w:cs="Book Antiqua"/>
          <w:i/>
          <w:iCs/>
          <w:color w:val="000000" w:themeColor="text1"/>
        </w:rPr>
        <w:t>et al</w:t>
      </w:r>
      <w:r w:rsidRPr="00872E1D">
        <w:rPr>
          <w:rFonts w:ascii="Book Antiqua" w:eastAsia="Book Antiqua" w:hAnsi="Book Antiqua" w:cs="Book Antiqua"/>
          <w:color w:val="000000" w:themeColor="text1"/>
        </w:rPr>
        <w:t>. Gluten immunogenic peptides for CeD monitoring</w:t>
      </w:r>
    </w:p>
    <w:p w14:paraId="4147A8EC" w14:textId="77777777" w:rsidR="00A77B3E" w:rsidRPr="00872E1D" w:rsidRDefault="00A77B3E" w:rsidP="00F10C3B">
      <w:pPr>
        <w:spacing w:line="360" w:lineRule="auto"/>
        <w:jc w:val="both"/>
        <w:rPr>
          <w:color w:val="000000" w:themeColor="text1"/>
        </w:rPr>
      </w:pPr>
    </w:p>
    <w:p w14:paraId="75283528" w14:textId="77777777" w:rsidR="00A77B3E" w:rsidRPr="00872E1D" w:rsidRDefault="00B34737" w:rsidP="00F10C3B">
      <w:pPr>
        <w:spacing w:line="360" w:lineRule="auto"/>
        <w:jc w:val="both"/>
        <w:rPr>
          <w:color w:val="000000" w:themeColor="text1"/>
          <w:lang w:val="es-ES"/>
        </w:rPr>
      </w:pPr>
      <w:r w:rsidRPr="00872E1D">
        <w:rPr>
          <w:rFonts w:ascii="Book Antiqua" w:eastAsia="Book Antiqua" w:hAnsi="Book Antiqua" w:cs="Book Antiqua"/>
          <w:color w:val="000000" w:themeColor="text1"/>
          <w:lang w:val="es-ES"/>
        </w:rPr>
        <w:t>Laura Coto, Irati Mendia, Carolina Sousa, Julio César Bai, Angel Cebolla</w:t>
      </w:r>
    </w:p>
    <w:p w14:paraId="228C2E0D" w14:textId="77777777" w:rsidR="00A77B3E" w:rsidRPr="00872E1D" w:rsidRDefault="00A77B3E" w:rsidP="00F10C3B">
      <w:pPr>
        <w:spacing w:line="360" w:lineRule="auto"/>
        <w:jc w:val="both"/>
        <w:rPr>
          <w:color w:val="000000" w:themeColor="text1"/>
          <w:lang w:val="es-ES"/>
        </w:rPr>
      </w:pPr>
    </w:p>
    <w:p w14:paraId="76CF7F90" w14:textId="77777777" w:rsidR="00A77B3E" w:rsidRPr="00872E1D" w:rsidRDefault="00B34737" w:rsidP="00F10C3B">
      <w:pPr>
        <w:spacing w:line="360" w:lineRule="auto"/>
        <w:jc w:val="both"/>
        <w:rPr>
          <w:color w:val="000000" w:themeColor="text1"/>
        </w:rPr>
      </w:pPr>
      <w:bookmarkStart w:id="0" w:name="OLE_LINK321"/>
      <w:bookmarkStart w:id="1" w:name="OLE_LINK322"/>
      <w:r w:rsidRPr="00872E1D">
        <w:rPr>
          <w:rFonts w:ascii="Book Antiqua" w:eastAsia="Book Antiqua" w:hAnsi="Book Antiqua" w:cs="Book Antiqua"/>
          <w:b/>
          <w:bCs/>
          <w:color w:val="000000" w:themeColor="text1"/>
        </w:rPr>
        <w:t xml:space="preserve">Laura Coto, Irati Mendia, Angel Cebolla, </w:t>
      </w:r>
      <w:bookmarkStart w:id="2" w:name="OLE_LINK309"/>
      <w:bookmarkStart w:id="3" w:name="OLE_LINK310"/>
      <w:bookmarkStart w:id="4" w:name="OLE_LINK313"/>
      <w:bookmarkStart w:id="5" w:name="OLE_LINK320"/>
      <w:r w:rsidRPr="00872E1D">
        <w:rPr>
          <w:rFonts w:ascii="Book Antiqua" w:eastAsia="Book Antiqua" w:hAnsi="Book Antiqua" w:cs="Book Antiqua"/>
          <w:color w:val="000000" w:themeColor="text1"/>
        </w:rPr>
        <w:t xml:space="preserve">Research and </w:t>
      </w:r>
      <w:r w:rsidRPr="00872E1D">
        <w:rPr>
          <w:rFonts w:ascii="Book Antiqua" w:eastAsia="Book Antiqua" w:hAnsi="Book Antiqua" w:cs="Book Antiqua"/>
          <w:caps/>
          <w:color w:val="000000" w:themeColor="text1"/>
        </w:rPr>
        <w:t>d</w:t>
      </w:r>
      <w:r w:rsidRPr="00872E1D">
        <w:rPr>
          <w:rFonts w:ascii="Book Antiqua" w:eastAsia="Book Antiqua" w:hAnsi="Book Antiqua" w:cs="Book Antiqua"/>
          <w:color w:val="000000" w:themeColor="text1"/>
        </w:rPr>
        <w:t>evelopment</w:t>
      </w:r>
      <w:bookmarkEnd w:id="2"/>
      <w:bookmarkEnd w:id="3"/>
      <w:bookmarkEnd w:id="4"/>
      <w:bookmarkEnd w:id="5"/>
      <w:r w:rsidRPr="00872E1D">
        <w:rPr>
          <w:rFonts w:ascii="Book Antiqua" w:eastAsia="Book Antiqua" w:hAnsi="Book Antiqua" w:cs="Book Antiqua"/>
          <w:color w:val="000000" w:themeColor="text1"/>
        </w:rPr>
        <w:t xml:space="preserve">, </w:t>
      </w:r>
      <w:bookmarkStart w:id="6" w:name="OLE_LINK311"/>
      <w:bookmarkStart w:id="7" w:name="OLE_LINK312"/>
      <w:r w:rsidRPr="00872E1D">
        <w:rPr>
          <w:rFonts w:ascii="Book Antiqua" w:eastAsia="Book Antiqua" w:hAnsi="Book Antiqua" w:cs="Book Antiqua"/>
          <w:color w:val="000000" w:themeColor="text1"/>
        </w:rPr>
        <w:t>Biomedal</w:t>
      </w:r>
      <w:bookmarkEnd w:id="6"/>
      <w:bookmarkEnd w:id="7"/>
      <w:r w:rsidRPr="00872E1D">
        <w:rPr>
          <w:rFonts w:ascii="Book Antiqua" w:eastAsia="Book Antiqua" w:hAnsi="Book Antiqua" w:cs="Book Antiqua"/>
          <w:color w:val="000000" w:themeColor="text1"/>
        </w:rPr>
        <w:t>, Camas 41900, Seville, Spain</w:t>
      </w:r>
    </w:p>
    <w:bookmarkEnd w:id="0"/>
    <w:bookmarkEnd w:id="1"/>
    <w:p w14:paraId="115DA529" w14:textId="77777777" w:rsidR="00A77B3E" w:rsidRPr="00872E1D" w:rsidRDefault="00A77B3E" w:rsidP="00F10C3B">
      <w:pPr>
        <w:spacing w:line="360" w:lineRule="auto"/>
        <w:jc w:val="both"/>
        <w:rPr>
          <w:color w:val="000000" w:themeColor="text1"/>
        </w:rPr>
      </w:pPr>
    </w:p>
    <w:p w14:paraId="5095D475"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bCs/>
          <w:color w:val="000000" w:themeColor="text1"/>
        </w:rPr>
        <w:t xml:space="preserve">Laura Coto, </w:t>
      </w:r>
      <w:r w:rsidRPr="00872E1D">
        <w:rPr>
          <w:rFonts w:ascii="Book Antiqua" w:eastAsia="Book Antiqua" w:hAnsi="Book Antiqua" w:cs="Book Antiqua"/>
          <w:color w:val="000000" w:themeColor="text1"/>
        </w:rPr>
        <w:t>Human Nutrition and Food Science Doctoral Program, University of Granada, Granada 18011, Spain</w:t>
      </w:r>
    </w:p>
    <w:p w14:paraId="1F04800C" w14:textId="77777777" w:rsidR="00A77B3E" w:rsidRPr="00872E1D" w:rsidRDefault="00A77B3E" w:rsidP="00F10C3B">
      <w:pPr>
        <w:spacing w:line="360" w:lineRule="auto"/>
        <w:jc w:val="both"/>
        <w:rPr>
          <w:color w:val="000000" w:themeColor="text1"/>
        </w:rPr>
      </w:pPr>
    </w:p>
    <w:p w14:paraId="0AB10349"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bCs/>
          <w:color w:val="000000" w:themeColor="text1"/>
        </w:rPr>
        <w:t xml:space="preserve">Irati Mendia, </w:t>
      </w:r>
      <w:r w:rsidRPr="00872E1D">
        <w:rPr>
          <w:rFonts w:ascii="Book Antiqua" w:eastAsia="Book Antiqua" w:hAnsi="Book Antiqua" w:cs="Book Antiqua"/>
          <w:color w:val="000000" w:themeColor="text1"/>
        </w:rPr>
        <w:t>Molecular Biology, Biomedicine and Clinical Research Doctoral Program, University of Seville, Seville 41012, Spain</w:t>
      </w:r>
    </w:p>
    <w:p w14:paraId="43D7C077" w14:textId="77777777" w:rsidR="00A77B3E" w:rsidRPr="00872E1D" w:rsidRDefault="00A77B3E" w:rsidP="00F10C3B">
      <w:pPr>
        <w:spacing w:line="360" w:lineRule="auto"/>
        <w:jc w:val="both"/>
        <w:rPr>
          <w:color w:val="000000" w:themeColor="text1"/>
        </w:rPr>
      </w:pPr>
    </w:p>
    <w:p w14:paraId="46FF70DE"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bCs/>
          <w:color w:val="000000" w:themeColor="text1"/>
        </w:rPr>
        <w:t xml:space="preserve">Carolina Sousa, </w:t>
      </w:r>
      <w:r w:rsidRPr="00872E1D">
        <w:rPr>
          <w:rFonts w:ascii="Book Antiqua" w:eastAsia="Book Antiqua" w:hAnsi="Book Antiqua" w:cs="Book Antiqua"/>
          <w:color w:val="000000" w:themeColor="text1"/>
        </w:rPr>
        <w:t>Department of Microbiology and Parasitology, University of Seville, Seville 41013, Spain</w:t>
      </w:r>
    </w:p>
    <w:p w14:paraId="5099D41B" w14:textId="77777777" w:rsidR="00A77B3E" w:rsidRPr="00872E1D" w:rsidRDefault="00A77B3E" w:rsidP="00F10C3B">
      <w:pPr>
        <w:spacing w:line="360" w:lineRule="auto"/>
        <w:jc w:val="both"/>
        <w:rPr>
          <w:color w:val="000000" w:themeColor="text1"/>
        </w:rPr>
      </w:pPr>
    </w:p>
    <w:p w14:paraId="386AF962" w14:textId="77777777" w:rsidR="00A77B3E" w:rsidRPr="00872E1D" w:rsidRDefault="00B34737" w:rsidP="00F10C3B">
      <w:pPr>
        <w:spacing w:line="360" w:lineRule="auto"/>
        <w:jc w:val="both"/>
        <w:rPr>
          <w:color w:val="000000" w:themeColor="text1"/>
          <w:lang w:val="es-ES"/>
        </w:rPr>
      </w:pPr>
      <w:r w:rsidRPr="00872E1D">
        <w:rPr>
          <w:rFonts w:ascii="Book Antiqua" w:eastAsia="Book Antiqua" w:hAnsi="Book Antiqua" w:cs="Book Antiqua"/>
          <w:b/>
          <w:bCs/>
          <w:color w:val="000000" w:themeColor="text1"/>
          <w:lang w:val="es-ES"/>
        </w:rPr>
        <w:t xml:space="preserve">Julio César Bai, </w:t>
      </w:r>
      <w:bookmarkStart w:id="8" w:name="OLE_LINK314"/>
      <w:bookmarkStart w:id="9" w:name="OLE_LINK315"/>
      <w:r w:rsidR="001F0C34" w:rsidRPr="001F0C34">
        <w:rPr>
          <w:rFonts w:ascii="Book Antiqua" w:hAnsi="Book Antiqua" w:cs="Book Antiqua" w:hint="eastAsia"/>
          <w:bCs/>
          <w:color w:val="000000" w:themeColor="text1"/>
          <w:lang w:val="es-ES" w:eastAsia="zh-CN"/>
        </w:rPr>
        <w:t>Department of</w:t>
      </w:r>
      <w:r w:rsidR="001F0C34">
        <w:rPr>
          <w:rFonts w:ascii="Book Antiqua" w:hAnsi="Book Antiqua" w:cs="Book Antiqua" w:hint="eastAsia"/>
          <w:b/>
          <w:bCs/>
          <w:color w:val="000000" w:themeColor="text1"/>
          <w:lang w:val="es-ES" w:eastAsia="zh-CN"/>
        </w:rPr>
        <w:t xml:space="preserve"> </w:t>
      </w:r>
      <w:r w:rsidRPr="00872E1D">
        <w:rPr>
          <w:rFonts w:ascii="Book Antiqua" w:eastAsia="Book Antiqua" w:hAnsi="Book Antiqua" w:cs="Book Antiqua"/>
          <w:color w:val="000000" w:themeColor="text1"/>
          <w:lang w:val="es-ES"/>
        </w:rPr>
        <w:t>Gastroenterology</w:t>
      </w:r>
      <w:bookmarkEnd w:id="8"/>
      <w:bookmarkEnd w:id="9"/>
      <w:r w:rsidRPr="00872E1D">
        <w:rPr>
          <w:rFonts w:ascii="Book Antiqua" w:eastAsia="Book Antiqua" w:hAnsi="Book Antiqua" w:cs="Book Antiqua"/>
          <w:color w:val="000000" w:themeColor="text1"/>
          <w:lang w:val="es-ES"/>
        </w:rPr>
        <w:t xml:space="preserve">, </w:t>
      </w:r>
      <w:bookmarkStart w:id="10" w:name="OLE_LINK316"/>
      <w:bookmarkStart w:id="11" w:name="OLE_LINK317"/>
      <w:r w:rsidRPr="00872E1D">
        <w:rPr>
          <w:rFonts w:ascii="Book Antiqua" w:eastAsia="Book Antiqua" w:hAnsi="Book Antiqua" w:cs="Book Antiqua"/>
          <w:color w:val="000000" w:themeColor="text1"/>
          <w:lang w:val="es-ES"/>
        </w:rPr>
        <w:t>Dr. Carlos Bonorino Udaondo Gastroenterology Hospital</w:t>
      </w:r>
      <w:bookmarkEnd w:id="10"/>
      <w:bookmarkEnd w:id="11"/>
      <w:r w:rsidRPr="00872E1D">
        <w:rPr>
          <w:rFonts w:ascii="Book Antiqua" w:eastAsia="Book Antiqua" w:hAnsi="Book Antiqua" w:cs="Book Antiqua"/>
          <w:color w:val="000000" w:themeColor="text1"/>
          <w:lang w:val="es-ES"/>
        </w:rPr>
        <w:t xml:space="preserve">, </w:t>
      </w:r>
      <w:bookmarkStart w:id="12" w:name="OLE_LINK318"/>
      <w:bookmarkStart w:id="13" w:name="OLE_LINK319"/>
      <w:r w:rsidRPr="00872E1D">
        <w:rPr>
          <w:rFonts w:ascii="Book Antiqua" w:eastAsia="Book Antiqua" w:hAnsi="Book Antiqua" w:cs="Book Antiqua"/>
          <w:color w:val="000000" w:themeColor="text1"/>
          <w:lang w:val="es-ES"/>
        </w:rPr>
        <w:t>Buenos Aires</w:t>
      </w:r>
      <w:bookmarkEnd w:id="12"/>
      <w:bookmarkEnd w:id="13"/>
      <w:r w:rsidRPr="00872E1D">
        <w:rPr>
          <w:rFonts w:ascii="Book Antiqua" w:eastAsia="Book Antiqua" w:hAnsi="Book Antiqua" w:cs="Book Antiqua"/>
          <w:color w:val="000000" w:themeColor="text1"/>
          <w:lang w:val="es-ES"/>
        </w:rPr>
        <w:t xml:space="preserve"> 1264, Argentina</w:t>
      </w:r>
    </w:p>
    <w:p w14:paraId="7AEDFBD1" w14:textId="77777777" w:rsidR="00A77B3E" w:rsidRPr="00872E1D" w:rsidRDefault="00A77B3E" w:rsidP="00F10C3B">
      <w:pPr>
        <w:spacing w:line="360" w:lineRule="auto"/>
        <w:jc w:val="both"/>
        <w:rPr>
          <w:color w:val="000000" w:themeColor="text1"/>
          <w:lang w:val="es-ES"/>
        </w:rPr>
      </w:pPr>
    </w:p>
    <w:p w14:paraId="16E26B40" w14:textId="77777777" w:rsidR="00A77B3E" w:rsidRPr="00872E1D" w:rsidRDefault="00B34737" w:rsidP="00F10C3B">
      <w:pPr>
        <w:spacing w:line="360" w:lineRule="auto"/>
        <w:jc w:val="both"/>
        <w:rPr>
          <w:color w:val="000000" w:themeColor="text1"/>
          <w:lang w:val="es-ES"/>
        </w:rPr>
      </w:pPr>
      <w:r w:rsidRPr="00872E1D">
        <w:rPr>
          <w:rFonts w:ascii="Book Antiqua" w:eastAsia="Book Antiqua" w:hAnsi="Book Antiqua" w:cs="Book Antiqua"/>
          <w:b/>
          <w:bCs/>
          <w:color w:val="000000" w:themeColor="text1"/>
          <w:lang w:val="es-ES"/>
        </w:rPr>
        <w:t xml:space="preserve">Julio César Bai, </w:t>
      </w:r>
      <w:r w:rsidRPr="00872E1D">
        <w:rPr>
          <w:rFonts w:ascii="Book Antiqua" w:eastAsia="Book Antiqua" w:hAnsi="Book Antiqua" w:cs="Book Antiqua"/>
          <w:color w:val="000000" w:themeColor="text1"/>
          <w:lang w:val="es-ES"/>
        </w:rPr>
        <w:t>Research Institutes, Universidad del Salvador, Buenos Aires 1050, Argentina</w:t>
      </w:r>
    </w:p>
    <w:p w14:paraId="07394681" w14:textId="77777777" w:rsidR="002B01C1" w:rsidRPr="00881FE0" w:rsidRDefault="002B01C1" w:rsidP="00F10C3B">
      <w:pPr>
        <w:spacing w:line="360" w:lineRule="auto"/>
        <w:jc w:val="both"/>
        <w:rPr>
          <w:rFonts w:ascii="Book Antiqua" w:hAnsi="Book Antiqua" w:cs="Book Antiqua"/>
          <w:b/>
          <w:bCs/>
          <w:color w:val="000000" w:themeColor="text1"/>
          <w:szCs w:val="22"/>
          <w:lang w:val="es-ES" w:eastAsia="zh-CN"/>
        </w:rPr>
      </w:pPr>
    </w:p>
    <w:p w14:paraId="3B526495"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bCs/>
          <w:color w:val="000000" w:themeColor="text1"/>
          <w:szCs w:val="22"/>
        </w:rPr>
        <w:lastRenderedPageBreak/>
        <w:t xml:space="preserve">Author contributions: </w:t>
      </w:r>
      <w:r w:rsidR="002B01C1" w:rsidRPr="00872E1D">
        <w:rPr>
          <w:rFonts w:ascii="Book Antiqua" w:eastAsia="Book Antiqua" w:hAnsi="Book Antiqua" w:cs="Book Antiqua"/>
          <w:color w:val="000000" w:themeColor="text1"/>
          <w:lang w:val="es-ES"/>
        </w:rPr>
        <w:t>Coto</w:t>
      </w:r>
      <w:r w:rsidR="002B01C1" w:rsidRPr="00872E1D">
        <w:rPr>
          <w:rFonts w:ascii="Book Antiqua" w:eastAsia="Book Antiqua" w:hAnsi="Book Antiqua" w:cs="Book Antiqua"/>
          <w:color w:val="000000" w:themeColor="text1"/>
          <w:szCs w:val="22"/>
        </w:rPr>
        <w:t xml:space="preserve"> </w:t>
      </w:r>
      <w:r w:rsidRPr="00872E1D">
        <w:rPr>
          <w:rFonts w:ascii="Book Antiqua" w:eastAsia="Book Antiqua" w:hAnsi="Book Antiqua" w:cs="Book Antiqua"/>
          <w:color w:val="000000" w:themeColor="text1"/>
          <w:szCs w:val="22"/>
        </w:rPr>
        <w:t xml:space="preserve">L, </w:t>
      </w:r>
      <w:r w:rsidR="002B01C1" w:rsidRPr="00872E1D">
        <w:rPr>
          <w:rFonts w:ascii="Book Antiqua" w:eastAsia="Book Antiqua" w:hAnsi="Book Antiqua" w:cs="Book Antiqua"/>
          <w:color w:val="000000" w:themeColor="text1"/>
          <w:lang w:val="es-ES"/>
        </w:rPr>
        <w:t>Mendia</w:t>
      </w:r>
      <w:r w:rsidR="002B01C1" w:rsidRPr="00872E1D">
        <w:rPr>
          <w:rFonts w:ascii="Book Antiqua" w:eastAsia="Book Antiqua" w:hAnsi="Book Antiqua" w:cs="Book Antiqua"/>
          <w:color w:val="000000" w:themeColor="text1"/>
          <w:szCs w:val="22"/>
        </w:rPr>
        <w:t xml:space="preserve"> </w:t>
      </w:r>
      <w:r w:rsidRPr="00872E1D">
        <w:rPr>
          <w:rFonts w:ascii="Book Antiqua" w:eastAsia="Book Antiqua" w:hAnsi="Book Antiqua" w:cs="Book Antiqua"/>
          <w:color w:val="000000" w:themeColor="text1"/>
          <w:szCs w:val="22"/>
        </w:rPr>
        <w:t xml:space="preserve">I, </w:t>
      </w:r>
      <w:r w:rsidR="002B01C1" w:rsidRPr="00872E1D">
        <w:rPr>
          <w:rFonts w:ascii="Book Antiqua" w:eastAsia="Book Antiqua" w:hAnsi="Book Antiqua" w:cs="Book Antiqua"/>
          <w:color w:val="000000" w:themeColor="text1"/>
          <w:lang w:val="es-ES"/>
        </w:rPr>
        <w:t>Sousa</w:t>
      </w:r>
      <w:r w:rsidR="002B01C1" w:rsidRPr="00872E1D">
        <w:rPr>
          <w:rFonts w:ascii="Book Antiqua" w:eastAsia="Book Antiqua" w:hAnsi="Book Antiqua" w:cs="Book Antiqua"/>
          <w:color w:val="000000" w:themeColor="text1"/>
          <w:szCs w:val="22"/>
        </w:rPr>
        <w:t xml:space="preserve"> </w:t>
      </w:r>
      <w:r w:rsidRPr="00872E1D">
        <w:rPr>
          <w:rFonts w:ascii="Book Antiqua" w:eastAsia="Book Antiqua" w:hAnsi="Book Antiqua" w:cs="Book Antiqua"/>
          <w:color w:val="000000" w:themeColor="text1"/>
          <w:szCs w:val="22"/>
        </w:rPr>
        <w:t xml:space="preserve">C, </w:t>
      </w:r>
      <w:r w:rsidR="002B01C1" w:rsidRPr="00872E1D">
        <w:rPr>
          <w:rFonts w:ascii="Book Antiqua" w:eastAsia="Book Antiqua" w:hAnsi="Book Antiqua" w:cs="Book Antiqua"/>
          <w:color w:val="000000" w:themeColor="text1"/>
          <w:lang w:val="es-ES"/>
        </w:rPr>
        <w:t>Bai</w:t>
      </w:r>
      <w:r w:rsidR="002B01C1" w:rsidRPr="00872E1D">
        <w:rPr>
          <w:rFonts w:ascii="Book Antiqua" w:eastAsia="Book Antiqua" w:hAnsi="Book Antiqua" w:cs="Book Antiqua"/>
          <w:color w:val="000000" w:themeColor="text1"/>
          <w:szCs w:val="22"/>
        </w:rPr>
        <w:t xml:space="preserve"> </w:t>
      </w:r>
      <w:r w:rsidR="002B01C1">
        <w:rPr>
          <w:rFonts w:ascii="Book Antiqua" w:eastAsia="Book Antiqua" w:hAnsi="Book Antiqua" w:cs="Book Antiqua"/>
          <w:color w:val="000000" w:themeColor="text1"/>
          <w:szCs w:val="22"/>
        </w:rPr>
        <w:t>J</w:t>
      </w:r>
      <w:r w:rsidRPr="00872E1D">
        <w:rPr>
          <w:rFonts w:ascii="Book Antiqua" w:eastAsia="Book Antiqua" w:hAnsi="Book Antiqua" w:cs="Book Antiqua"/>
          <w:color w:val="000000" w:themeColor="text1"/>
          <w:szCs w:val="22"/>
        </w:rPr>
        <w:t xml:space="preserve">C and </w:t>
      </w:r>
      <w:r w:rsidR="002B01C1" w:rsidRPr="00872E1D">
        <w:rPr>
          <w:rFonts w:ascii="Book Antiqua" w:eastAsia="Book Antiqua" w:hAnsi="Book Antiqua" w:cs="Book Antiqua"/>
          <w:color w:val="000000" w:themeColor="text1"/>
          <w:lang w:val="es-ES"/>
        </w:rPr>
        <w:t>Cebolla</w:t>
      </w:r>
      <w:r w:rsidR="002B01C1" w:rsidRPr="00872E1D">
        <w:rPr>
          <w:rFonts w:ascii="Book Antiqua" w:eastAsia="Book Antiqua" w:hAnsi="Book Antiqua" w:cs="Book Antiqua"/>
          <w:color w:val="000000" w:themeColor="text1"/>
          <w:szCs w:val="22"/>
        </w:rPr>
        <w:t xml:space="preserve"> </w:t>
      </w:r>
      <w:r w:rsidRPr="00872E1D">
        <w:rPr>
          <w:rFonts w:ascii="Book Antiqua" w:eastAsia="Book Antiqua" w:hAnsi="Book Antiqua" w:cs="Book Antiqua"/>
          <w:color w:val="000000" w:themeColor="text1"/>
          <w:szCs w:val="22"/>
        </w:rPr>
        <w:t>A</w:t>
      </w:r>
      <w:r w:rsidR="002B01C1">
        <w:rPr>
          <w:rFonts w:ascii="Book Antiqua" w:hAnsi="Book Antiqua" w:cs="Book Antiqua" w:hint="eastAsia"/>
          <w:color w:val="000000" w:themeColor="text1"/>
          <w:szCs w:val="22"/>
          <w:lang w:eastAsia="zh-CN"/>
        </w:rPr>
        <w:t xml:space="preserve"> </w:t>
      </w:r>
      <w:r w:rsidRPr="00872E1D">
        <w:rPr>
          <w:rFonts w:ascii="Book Antiqua" w:eastAsia="Book Antiqua" w:hAnsi="Book Antiqua" w:cs="Book Antiqua"/>
          <w:color w:val="000000" w:themeColor="text1"/>
          <w:szCs w:val="22"/>
        </w:rPr>
        <w:t>contributed equally to the revision of the literature, wrote the draft</w:t>
      </w:r>
      <w:r w:rsidR="00580D95" w:rsidRPr="00872E1D">
        <w:rPr>
          <w:rFonts w:ascii="Book Antiqua" w:eastAsia="Book Antiqua" w:hAnsi="Book Antiqua" w:cs="Book Antiqua"/>
          <w:color w:val="000000" w:themeColor="text1"/>
          <w:szCs w:val="22"/>
        </w:rPr>
        <w:t>,</w:t>
      </w:r>
      <w:r w:rsidRPr="00872E1D">
        <w:rPr>
          <w:rFonts w:ascii="Book Antiqua" w:eastAsia="Book Antiqua" w:hAnsi="Book Antiqua" w:cs="Book Antiqua"/>
          <w:color w:val="000000" w:themeColor="text1"/>
          <w:szCs w:val="22"/>
        </w:rPr>
        <w:t xml:space="preserve"> and/or revised the final manuscript for intellectual content. </w:t>
      </w:r>
    </w:p>
    <w:p w14:paraId="62E977ED" w14:textId="77777777" w:rsidR="00A77B3E" w:rsidRPr="00872E1D" w:rsidRDefault="00A77B3E" w:rsidP="00F10C3B">
      <w:pPr>
        <w:spacing w:line="360" w:lineRule="auto"/>
        <w:jc w:val="both"/>
        <w:rPr>
          <w:color w:val="000000" w:themeColor="text1"/>
        </w:rPr>
      </w:pPr>
    </w:p>
    <w:p w14:paraId="31AAAA19" w14:textId="77777777" w:rsidR="00A77B3E" w:rsidRPr="006336DF" w:rsidRDefault="00B34737" w:rsidP="00F10C3B">
      <w:pPr>
        <w:spacing w:line="360" w:lineRule="auto"/>
        <w:jc w:val="both"/>
        <w:rPr>
          <w:color w:val="000000" w:themeColor="text1"/>
          <w:lang w:val="es-ES"/>
        </w:rPr>
      </w:pPr>
      <w:r w:rsidRPr="006336DF">
        <w:rPr>
          <w:rFonts w:ascii="Book Antiqua" w:eastAsia="Book Antiqua" w:hAnsi="Book Antiqua" w:cs="Book Antiqua"/>
          <w:b/>
          <w:bCs/>
          <w:color w:val="000000" w:themeColor="text1"/>
          <w:szCs w:val="22"/>
          <w:lang w:val="es-ES"/>
        </w:rPr>
        <w:t>Supported by</w:t>
      </w:r>
      <w:r w:rsidR="00C3458C" w:rsidRPr="00C3458C">
        <w:rPr>
          <w:lang w:val="es-ES"/>
        </w:rPr>
        <w:t xml:space="preserve"> </w:t>
      </w:r>
      <w:r w:rsidR="00F557FB" w:rsidRPr="00675F83">
        <w:rPr>
          <w:rFonts w:ascii="Book Antiqua" w:eastAsia="Book Antiqua" w:hAnsi="Book Antiqua" w:cs="Book Antiqua"/>
          <w:bCs/>
          <w:color w:val="000000" w:themeColor="text1"/>
          <w:szCs w:val="22"/>
          <w:lang w:val="es-ES"/>
        </w:rPr>
        <w:t>Ministerio de Ciencia e Innovación</w:t>
      </w:r>
      <w:r w:rsidR="00B13432" w:rsidRPr="006336DF">
        <w:rPr>
          <w:rFonts w:ascii="Book Antiqua" w:hAnsi="Book Antiqua" w:cs="Book Antiqua" w:hint="eastAsia"/>
          <w:color w:val="000000" w:themeColor="text1"/>
          <w:szCs w:val="22"/>
          <w:lang w:val="es-ES" w:eastAsia="zh-CN"/>
        </w:rPr>
        <w:t xml:space="preserve">, </w:t>
      </w:r>
      <w:bookmarkStart w:id="14" w:name="OLE_LINK20"/>
      <w:bookmarkStart w:id="15" w:name="OLE_LINK21"/>
      <w:r w:rsidR="00B13432" w:rsidRPr="006336DF">
        <w:rPr>
          <w:rFonts w:ascii="Book Antiqua" w:hAnsi="Book Antiqua" w:cs="Book Antiqua" w:hint="eastAsia"/>
          <w:color w:val="000000" w:themeColor="text1"/>
          <w:szCs w:val="22"/>
          <w:lang w:val="es-ES" w:eastAsia="zh-CN"/>
        </w:rPr>
        <w:t xml:space="preserve">No. </w:t>
      </w:r>
      <w:bookmarkEnd w:id="14"/>
      <w:bookmarkEnd w:id="15"/>
      <w:r w:rsidR="00C3458C" w:rsidRPr="00C3458C">
        <w:rPr>
          <w:rFonts w:ascii="Book Antiqua" w:eastAsia="Book Antiqua" w:hAnsi="Book Antiqua" w:cs="Book Antiqua"/>
          <w:color w:val="000000" w:themeColor="text1"/>
          <w:szCs w:val="22"/>
          <w:lang w:val="es-ES"/>
        </w:rPr>
        <w:t xml:space="preserve">DI-16-08943 and </w:t>
      </w:r>
      <w:r w:rsidR="00C3458C" w:rsidRPr="00C3458C">
        <w:rPr>
          <w:rFonts w:ascii="Book Antiqua" w:hAnsi="Book Antiqua" w:cs="Book Antiqua"/>
          <w:color w:val="000000" w:themeColor="text1"/>
          <w:szCs w:val="22"/>
          <w:lang w:val="es-ES" w:eastAsia="zh-CN"/>
        </w:rPr>
        <w:t xml:space="preserve">No. </w:t>
      </w:r>
      <w:r w:rsidR="00C3458C" w:rsidRPr="00C3458C">
        <w:rPr>
          <w:rFonts w:ascii="Book Antiqua" w:eastAsia="Book Antiqua" w:hAnsi="Book Antiqua" w:cs="Book Antiqua"/>
          <w:color w:val="000000" w:themeColor="text1"/>
          <w:szCs w:val="22"/>
          <w:lang w:val="es-ES"/>
        </w:rPr>
        <w:t>DI-17-09627.</w:t>
      </w:r>
    </w:p>
    <w:p w14:paraId="7B4C433E" w14:textId="77777777" w:rsidR="00A77B3E" w:rsidRPr="006336DF" w:rsidRDefault="00A77B3E" w:rsidP="00F10C3B">
      <w:pPr>
        <w:spacing w:line="360" w:lineRule="auto"/>
        <w:jc w:val="both"/>
        <w:rPr>
          <w:color w:val="000000" w:themeColor="text1"/>
          <w:lang w:val="es-ES"/>
        </w:rPr>
      </w:pPr>
    </w:p>
    <w:p w14:paraId="37BC8A46" w14:textId="77777777" w:rsidR="00A77B3E" w:rsidRPr="00872E1D" w:rsidRDefault="00B34737" w:rsidP="00F10C3B">
      <w:pPr>
        <w:spacing w:line="360" w:lineRule="auto"/>
        <w:jc w:val="both"/>
        <w:rPr>
          <w:color w:val="000000" w:themeColor="text1"/>
          <w:lang w:val="es-ES"/>
        </w:rPr>
      </w:pPr>
      <w:r w:rsidRPr="00872E1D">
        <w:rPr>
          <w:rFonts w:ascii="Book Antiqua" w:eastAsia="Book Antiqua" w:hAnsi="Book Antiqua" w:cs="Book Antiqua"/>
          <w:b/>
          <w:bCs/>
          <w:color w:val="000000" w:themeColor="text1"/>
          <w:lang w:val="es-ES"/>
        </w:rPr>
        <w:t xml:space="preserve">Corresponding author: Julio César Bai, MD, Professor, </w:t>
      </w:r>
      <w:r w:rsidR="000C25C5" w:rsidRPr="00872E1D">
        <w:rPr>
          <w:rFonts w:ascii="Book Antiqua" w:eastAsia="Book Antiqua" w:hAnsi="Book Antiqua" w:cs="Book Antiqua"/>
          <w:color w:val="000000" w:themeColor="text1"/>
        </w:rPr>
        <w:t>Department of</w:t>
      </w:r>
      <w:r w:rsidR="000C25C5" w:rsidRPr="00872E1D">
        <w:rPr>
          <w:rFonts w:ascii="Book Antiqua" w:eastAsia="Book Antiqua" w:hAnsi="Book Antiqua" w:cs="Book Antiqua"/>
          <w:color w:val="000000" w:themeColor="text1"/>
          <w:lang w:val="es-ES"/>
        </w:rPr>
        <w:t xml:space="preserve"> </w:t>
      </w:r>
      <w:r w:rsidRPr="00872E1D">
        <w:rPr>
          <w:rFonts w:ascii="Book Antiqua" w:eastAsia="Book Antiqua" w:hAnsi="Book Antiqua" w:cs="Book Antiqua"/>
          <w:color w:val="000000" w:themeColor="text1"/>
          <w:lang w:val="es-ES"/>
        </w:rPr>
        <w:t>Gastroenterology, Dr. Carlos Bonorino Udaondo Gastroenterology Hospital, Av. Caseros 2061, Buenos Aires 1264, Argentina. jbai@intramed.net</w:t>
      </w:r>
    </w:p>
    <w:p w14:paraId="571176DF" w14:textId="77777777" w:rsidR="00A77B3E" w:rsidRPr="00872E1D" w:rsidRDefault="00A77B3E" w:rsidP="00F10C3B">
      <w:pPr>
        <w:spacing w:line="360" w:lineRule="auto"/>
        <w:jc w:val="both"/>
        <w:rPr>
          <w:color w:val="000000" w:themeColor="text1"/>
          <w:lang w:val="es-ES"/>
        </w:rPr>
      </w:pPr>
    </w:p>
    <w:p w14:paraId="540A21E0"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bCs/>
          <w:color w:val="000000" w:themeColor="text1"/>
        </w:rPr>
        <w:t xml:space="preserve">Received: </w:t>
      </w:r>
      <w:r w:rsidRPr="00872E1D">
        <w:rPr>
          <w:rFonts w:ascii="Book Antiqua" w:eastAsia="Book Antiqua" w:hAnsi="Book Antiqua" w:cs="Book Antiqua"/>
          <w:color w:val="000000" w:themeColor="text1"/>
        </w:rPr>
        <w:t>March 22, 2021</w:t>
      </w:r>
    </w:p>
    <w:p w14:paraId="23C2788D" w14:textId="77777777" w:rsidR="00A77B3E" w:rsidRPr="00872E1D" w:rsidRDefault="00B34737" w:rsidP="00F10C3B">
      <w:pPr>
        <w:spacing w:line="360" w:lineRule="auto"/>
        <w:jc w:val="both"/>
        <w:rPr>
          <w:color w:val="000000" w:themeColor="text1"/>
          <w:lang w:eastAsia="zh-CN"/>
        </w:rPr>
      </w:pPr>
      <w:r w:rsidRPr="00872E1D">
        <w:rPr>
          <w:rFonts w:ascii="Book Antiqua" w:eastAsia="Book Antiqua" w:hAnsi="Book Antiqua" w:cs="Book Antiqua"/>
          <w:b/>
          <w:bCs/>
          <w:color w:val="000000" w:themeColor="text1"/>
        </w:rPr>
        <w:t xml:space="preserve">Revised: </w:t>
      </w:r>
      <w:r w:rsidR="00872E1D" w:rsidRPr="00872E1D">
        <w:rPr>
          <w:rFonts w:ascii="Book Antiqua" w:hAnsi="Book Antiqua" w:cs="Book Antiqua" w:hint="eastAsia"/>
          <w:bCs/>
          <w:color w:val="000000" w:themeColor="text1"/>
          <w:lang w:eastAsia="zh-CN"/>
        </w:rPr>
        <w:t>June 28, 2021</w:t>
      </w:r>
    </w:p>
    <w:p w14:paraId="76977B75" w14:textId="6575B169"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bCs/>
          <w:color w:val="000000" w:themeColor="text1"/>
        </w:rPr>
        <w:t xml:space="preserve">Accepted: </w:t>
      </w:r>
      <w:bookmarkStart w:id="16" w:name="OLE_LINK15"/>
      <w:bookmarkStart w:id="17" w:name="OLE_LINK33"/>
      <w:bookmarkStart w:id="18" w:name="OLE_LINK48"/>
      <w:r w:rsidR="001C563A">
        <w:rPr>
          <w:rFonts w:ascii="Book Antiqua" w:eastAsia="宋体" w:hAnsi="Book Antiqua" w:hint="eastAsia"/>
          <w:color w:val="000000" w:themeColor="text1"/>
        </w:rPr>
        <w:t>S</w:t>
      </w:r>
      <w:r w:rsidR="001C563A">
        <w:rPr>
          <w:rFonts w:ascii="Book Antiqua" w:eastAsia="宋体" w:hAnsi="Book Antiqua" w:hint="eastAsia"/>
          <w:color w:val="000000" w:themeColor="text1"/>
          <w:lang w:eastAsia="zh-CN"/>
        </w:rPr>
        <w:t>e</w:t>
      </w:r>
      <w:r w:rsidR="001C563A">
        <w:rPr>
          <w:rFonts w:ascii="Book Antiqua" w:eastAsia="宋体" w:hAnsi="Book Antiqua"/>
          <w:color w:val="000000" w:themeColor="text1"/>
        </w:rPr>
        <w:t>ptember</w:t>
      </w:r>
      <w:r w:rsidR="001C563A" w:rsidRPr="00F06907">
        <w:rPr>
          <w:rFonts w:ascii="Book Antiqua" w:eastAsia="宋体" w:hAnsi="Book Antiqua"/>
          <w:color w:val="000000" w:themeColor="text1"/>
        </w:rPr>
        <w:t xml:space="preserve"> </w:t>
      </w:r>
      <w:r w:rsidR="001C563A">
        <w:rPr>
          <w:rFonts w:ascii="Book Antiqua" w:eastAsia="宋体" w:hAnsi="Book Antiqua"/>
          <w:color w:val="000000" w:themeColor="text1"/>
        </w:rPr>
        <w:t>2</w:t>
      </w:r>
      <w:r w:rsidR="001C563A" w:rsidRPr="00F06907">
        <w:rPr>
          <w:rFonts w:ascii="Book Antiqua" w:eastAsia="宋体" w:hAnsi="Book Antiqua"/>
          <w:color w:val="000000" w:themeColor="text1"/>
        </w:rPr>
        <w:t>, 2021</w:t>
      </w:r>
      <w:bookmarkEnd w:id="16"/>
      <w:bookmarkEnd w:id="17"/>
      <w:bookmarkEnd w:id="18"/>
    </w:p>
    <w:p w14:paraId="2C682739"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bCs/>
          <w:color w:val="000000" w:themeColor="text1"/>
        </w:rPr>
        <w:t xml:space="preserve">Published online: </w:t>
      </w:r>
    </w:p>
    <w:p w14:paraId="32B588F4" w14:textId="77777777" w:rsidR="00A77B3E" w:rsidRPr="00872E1D" w:rsidRDefault="00A77B3E" w:rsidP="00F10C3B">
      <w:pPr>
        <w:spacing w:line="360" w:lineRule="auto"/>
        <w:jc w:val="both"/>
        <w:rPr>
          <w:color w:val="000000" w:themeColor="text1"/>
        </w:rPr>
        <w:sectPr w:rsidR="00A77B3E" w:rsidRPr="00872E1D" w:rsidSect="00FE6601">
          <w:footerReference w:type="default" r:id="rId11"/>
          <w:pgSz w:w="12240" w:h="15840" w:code="119"/>
          <w:pgMar w:top="1440" w:right="1797" w:bottom="1440" w:left="1797" w:header="720" w:footer="720" w:gutter="0"/>
          <w:cols w:space="720"/>
          <w:docGrid w:linePitch="360"/>
        </w:sectPr>
      </w:pPr>
    </w:p>
    <w:p w14:paraId="7953CAE9"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color w:val="000000" w:themeColor="text1"/>
        </w:rPr>
        <w:lastRenderedPageBreak/>
        <w:t>Abstract</w:t>
      </w:r>
    </w:p>
    <w:p w14:paraId="1E9C376B"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color w:val="000000" w:themeColor="text1"/>
        </w:rPr>
        <w:t>BACKGROUND</w:t>
      </w:r>
    </w:p>
    <w:p w14:paraId="6A06D790" w14:textId="77777777" w:rsidR="00A77B3E" w:rsidRPr="00872E1D" w:rsidRDefault="00580D95" w:rsidP="00F10C3B">
      <w:pPr>
        <w:spacing w:line="360" w:lineRule="auto"/>
        <w:jc w:val="both"/>
        <w:rPr>
          <w:color w:val="000000" w:themeColor="text1"/>
        </w:rPr>
      </w:pPr>
      <w:r w:rsidRPr="00872E1D">
        <w:rPr>
          <w:rFonts w:ascii="Book Antiqua" w:eastAsia="Book Antiqua" w:hAnsi="Book Antiqua" w:cs="Book Antiqua"/>
          <w:color w:val="000000" w:themeColor="text1"/>
        </w:rPr>
        <w:t>Gluten is a complex mixture of proteins with immunogenic peptide sequences triggering the autoimmune activity in patients with celiac disease</w:t>
      </w:r>
      <w:r w:rsidR="00B34737" w:rsidRPr="00872E1D">
        <w:rPr>
          <w:rFonts w:ascii="Book Antiqua" w:eastAsia="Book Antiqua" w:hAnsi="Book Antiqua" w:cs="Book Antiqua"/>
          <w:color w:val="000000" w:themeColor="text1"/>
        </w:rPr>
        <w:t xml:space="preserve"> (CeD). Gluten immunogenic peptides (GIP) are resistant to gastrointestinal digestion and are then excreted </w:t>
      </w:r>
      <w:r w:rsidR="00B34737" w:rsidRPr="00872E1D">
        <w:rPr>
          <w:rFonts w:ascii="Book Antiqua" w:eastAsia="Book Antiqua" w:hAnsi="Book Antiqua" w:cs="Book Antiqua"/>
          <w:i/>
          <w:iCs/>
          <w:color w:val="000000" w:themeColor="text1"/>
        </w:rPr>
        <w:t>via</w:t>
      </w:r>
      <w:r w:rsidR="00B34737" w:rsidRPr="00872E1D">
        <w:rPr>
          <w:rFonts w:ascii="Book Antiqua" w:eastAsia="Book Antiqua" w:hAnsi="Book Antiqua" w:cs="Book Antiqua"/>
          <w:color w:val="000000" w:themeColor="text1"/>
        </w:rPr>
        <w:t xml:space="preserve"> the </w:t>
      </w:r>
      <w:r w:rsidR="00A54C4D">
        <w:rPr>
          <w:rFonts w:ascii="Book Antiqua" w:eastAsia="Book Antiqua" w:hAnsi="Book Antiqua" w:cs="Book Antiqua"/>
          <w:color w:val="000000" w:themeColor="text1"/>
        </w:rPr>
        <w:t>stool</w:t>
      </w:r>
      <w:r w:rsidR="00A54C4D" w:rsidRPr="00872E1D">
        <w:rPr>
          <w:rFonts w:ascii="Book Antiqua" w:eastAsia="Book Antiqua" w:hAnsi="Book Antiqua" w:cs="Book Antiqua"/>
          <w:color w:val="000000" w:themeColor="text1"/>
        </w:rPr>
        <w:t xml:space="preserve"> </w:t>
      </w:r>
      <w:r w:rsidR="00B34737" w:rsidRPr="00872E1D">
        <w:rPr>
          <w:rFonts w:ascii="Book Antiqua" w:eastAsia="Book Antiqua" w:hAnsi="Book Antiqua" w:cs="Book Antiqua"/>
          <w:color w:val="000000" w:themeColor="text1"/>
        </w:rPr>
        <w:t xml:space="preserve">and urine. </w:t>
      </w:r>
      <w:r w:rsidR="00A72B44" w:rsidRPr="00872E1D">
        <w:rPr>
          <w:rFonts w:ascii="Book Antiqua" w:eastAsia="Book Antiqua" w:hAnsi="Book Antiqua" w:cs="Book Antiqua"/>
          <w:color w:val="000000" w:themeColor="text1"/>
        </w:rPr>
        <w:t>Most common detection methods applied in the follow-up visits for CeD patients such as serology tests, dietetic interviews, questionnaires, and duodenal biopsy have been proved to be inefficient, invasive, or inaccurate for evaluating gluten-free diet (GFD) compliance</w:t>
      </w:r>
      <w:r w:rsidR="00B34737" w:rsidRPr="00872E1D">
        <w:rPr>
          <w:rFonts w:ascii="Book Antiqua" w:eastAsia="Book Antiqua" w:hAnsi="Book Antiqua" w:cs="Book Antiqua"/>
          <w:color w:val="000000" w:themeColor="text1"/>
        </w:rPr>
        <w:t xml:space="preserve">. </w:t>
      </w:r>
      <w:r w:rsidR="00A148D9" w:rsidRPr="00872E1D">
        <w:rPr>
          <w:rFonts w:ascii="Book Antiqua" w:eastAsia="Book Antiqua" w:hAnsi="Book Antiqua" w:cs="Book Antiqua"/>
          <w:color w:val="000000" w:themeColor="text1"/>
        </w:rPr>
        <w:t xml:space="preserve">Determination of excreted GIP in </w:t>
      </w:r>
      <w:r w:rsidR="00A54C4D">
        <w:rPr>
          <w:rFonts w:ascii="Book Antiqua" w:eastAsia="Book Antiqua" w:hAnsi="Book Antiqua" w:cs="Book Antiqua"/>
          <w:color w:val="000000" w:themeColor="text1"/>
        </w:rPr>
        <w:t>stool</w:t>
      </w:r>
      <w:r w:rsidR="00A54C4D" w:rsidRPr="00872E1D">
        <w:rPr>
          <w:rFonts w:ascii="Book Antiqua" w:eastAsia="Book Antiqua" w:hAnsi="Book Antiqua" w:cs="Book Antiqua"/>
          <w:color w:val="000000" w:themeColor="text1"/>
        </w:rPr>
        <w:t xml:space="preserve"> </w:t>
      </w:r>
      <w:r w:rsidR="00A148D9" w:rsidRPr="00872E1D">
        <w:rPr>
          <w:rFonts w:ascii="Book Antiqua" w:eastAsia="Book Antiqua" w:hAnsi="Book Antiqua" w:cs="Book Antiqua"/>
          <w:color w:val="000000" w:themeColor="text1"/>
        </w:rPr>
        <w:t>and urine has been developed as a non-invasive, direct, and specific test for GFD monitoring</w:t>
      </w:r>
      <w:r w:rsidR="00B34737" w:rsidRPr="00872E1D">
        <w:rPr>
          <w:rFonts w:ascii="Book Antiqua" w:eastAsia="Book Antiqua" w:hAnsi="Book Antiqua" w:cs="Book Antiqua"/>
          <w:color w:val="000000" w:themeColor="text1"/>
        </w:rPr>
        <w:t xml:space="preserve">. </w:t>
      </w:r>
    </w:p>
    <w:p w14:paraId="2388AB65" w14:textId="77777777" w:rsidR="00A77B3E" w:rsidRPr="00872E1D" w:rsidRDefault="00A77B3E" w:rsidP="00F10C3B">
      <w:pPr>
        <w:spacing w:line="360" w:lineRule="auto"/>
        <w:jc w:val="both"/>
        <w:rPr>
          <w:color w:val="000000" w:themeColor="text1"/>
        </w:rPr>
      </w:pPr>
    </w:p>
    <w:p w14:paraId="4D2413BD"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color w:val="000000" w:themeColor="text1"/>
        </w:rPr>
        <w:t>AIM</w:t>
      </w:r>
    </w:p>
    <w:p w14:paraId="7C160F86"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color w:val="000000" w:themeColor="text1"/>
        </w:rPr>
        <w:t>To summarize published literature about the clinical utility of GIP determination in comparison to the tools employed for GFD monitoring.</w:t>
      </w:r>
    </w:p>
    <w:p w14:paraId="755E8E06" w14:textId="77777777" w:rsidR="00A77B3E" w:rsidRPr="00872E1D" w:rsidRDefault="00A77B3E" w:rsidP="00F10C3B">
      <w:pPr>
        <w:spacing w:line="360" w:lineRule="auto"/>
        <w:jc w:val="both"/>
        <w:rPr>
          <w:color w:val="000000" w:themeColor="text1"/>
        </w:rPr>
      </w:pPr>
    </w:p>
    <w:p w14:paraId="477B703E"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color w:val="000000" w:themeColor="text1"/>
        </w:rPr>
        <w:t>METHODS</w:t>
      </w:r>
    </w:p>
    <w:p w14:paraId="658DE24C"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color w:val="000000" w:themeColor="text1"/>
        </w:rPr>
        <w:t>PubMed and Web of Science searches were performed using the keywords “gluten immunogenic peptides” or “gluten immunogenic peptide” and a combination of the previous terms with “feces”, “stools”, “urine”, “celiac disease”, “gluten-free diet”, and “adherence” to identify relevant clinical studies published in English and Spanish between 2012 to January 2021.</w:t>
      </w:r>
      <w:r w:rsidRPr="00872E1D">
        <w:rPr>
          <w:rFonts w:ascii="Book Antiqua" w:eastAsia="Book Antiqua" w:hAnsi="Book Antiqua" w:cs="Book Antiqua"/>
          <w:color w:val="000000" w:themeColor="text1"/>
          <w:szCs w:val="20"/>
        </w:rPr>
        <w:t xml:space="preserve"> </w:t>
      </w:r>
      <w:r w:rsidRPr="00872E1D">
        <w:rPr>
          <w:rFonts w:ascii="Book Antiqua" w:eastAsia="Book Antiqua" w:hAnsi="Book Antiqua" w:cs="Book Antiqua"/>
          <w:color w:val="000000" w:themeColor="text1"/>
        </w:rPr>
        <w:t>Reference lists from the articles were reviewed to identify additional pertinent articles. Published articles and abstracts reporting the clinical use of GIP determination in stool and/or urine for the follow-up of patients with CeD in comparison with other tools in use were included. Case reports, commentaries, reviews, conference papers, letters</w:t>
      </w:r>
      <w:r w:rsidR="00B75750" w:rsidRPr="00872E1D">
        <w:rPr>
          <w:rFonts w:ascii="Book Antiqua" w:eastAsia="Book Antiqua" w:hAnsi="Book Antiqua" w:cs="Book Antiqua"/>
          <w:color w:val="000000" w:themeColor="text1"/>
        </w:rPr>
        <w:t>,</w:t>
      </w:r>
      <w:r w:rsidRPr="00872E1D">
        <w:rPr>
          <w:rFonts w:ascii="Book Antiqua" w:eastAsia="Book Antiqua" w:hAnsi="Book Antiqua" w:cs="Book Antiqua"/>
          <w:color w:val="000000" w:themeColor="text1"/>
        </w:rPr>
        <w:t xml:space="preserve"> and publications that did not focus on the aims of this review were excluded. </w:t>
      </w:r>
    </w:p>
    <w:p w14:paraId="0F2F6D68" w14:textId="77777777" w:rsidR="00A77B3E" w:rsidRPr="00872E1D" w:rsidRDefault="00A77B3E" w:rsidP="00F10C3B">
      <w:pPr>
        <w:spacing w:line="360" w:lineRule="auto"/>
        <w:jc w:val="both"/>
        <w:rPr>
          <w:color w:val="000000" w:themeColor="text1"/>
        </w:rPr>
      </w:pPr>
    </w:p>
    <w:p w14:paraId="2984E28F" w14:textId="77777777" w:rsidR="006909C7" w:rsidRPr="00872E1D" w:rsidRDefault="006909C7" w:rsidP="00F10C3B">
      <w:pPr>
        <w:spacing w:line="360" w:lineRule="auto"/>
        <w:jc w:val="both"/>
        <w:rPr>
          <w:color w:val="000000" w:themeColor="text1"/>
        </w:rPr>
      </w:pPr>
    </w:p>
    <w:p w14:paraId="69F44F21"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color w:val="000000" w:themeColor="text1"/>
        </w:rPr>
        <w:lastRenderedPageBreak/>
        <w:t>RESULTS</w:t>
      </w:r>
    </w:p>
    <w:p w14:paraId="5C8C9441" w14:textId="77777777" w:rsidR="00A77B3E" w:rsidRPr="00872E1D" w:rsidRDefault="00656B49" w:rsidP="00F10C3B">
      <w:pPr>
        <w:spacing w:line="360" w:lineRule="auto"/>
        <w:jc w:val="both"/>
        <w:rPr>
          <w:color w:val="000000" w:themeColor="text1"/>
        </w:rPr>
      </w:pPr>
      <w:r w:rsidRPr="00872E1D">
        <w:rPr>
          <w:rFonts w:ascii="Book Antiqua" w:eastAsia="Book Antiqua" w:hAnsi="Book Antiqua" w:cs="Book Antiqua"/>
          <w:color w:val="000000" w:themeColor="text1"/>
        </w:rPr>
        <w:t xml:space="preserve">Total of 15 publications were found that involved the use of GIP determination in </w:t>
      </w:r>
      <w:r w:rsidR="00A54C4D">
        <w:rPr>
          <w:rFonts w:ascii="Book Antiqua" w:eastAsia="Book Antiqua" w:hAnsi="Book Antiqua" w:cs="Book Antiqua"/>
          <w:color w:val="000000" w:themeColor="text1"/>
        </w:rPr>
        <w:t>stool</w:t>
      </w:r>
      <w:r w:rsidR="00A54C4D" w:rsidRPr="00872E1D">
        <w:rPr>
          <w:rFonts w:ascii="Book Antiqua" w:eastAsia="Book Antiqua" w:hAnsi="Book Antiqua" w:cs="Book Antiqua"/>
          <w:color w:val="000000" w:themeColor="text1"/>
        </w:rPr>
        <w:t xml:space="preserve"> </w:t>
      </w:r>
      <w:r w:rsidRPr="00872E1D">
        <w:rPr>
          <w:rFonts w:ascii="Book Antiqua" w:eastAsia="Book Antiqua" w:hAnsi="Book Antiqua" w:cs="Book Antiqua"/>
          <w:color w:val="000000" w:themeColor="text1"/>
        </w:rPr>
        <w:t>and/or urine to monitor the adherence to the GFD in comparison to other tools</w:t>
      </w:r>
      <w:r w:rsidR="00B34737" w:rsidRPr="00872E1D">
        <w:rPr>
          <w:rFonts w:ascii="Book Antiqua" w:eastAsia="Book Antiqua" w:hAnsi="Book Antiqua" w:cs="Book Antiqua"/>
          <w:color w:val="000000" w:themeColor="text1"/>
        </w:rPr>
        <w:t xml:space="preserve">. </w:t>
      </w:r>
      <w:r w:rsidRPr="00872E1D">
        <w:rPr>
          <w:rFonts w:ascii="Book Antiqua" w:eastAsia="Book Antiqua" w:hAnsi="Book Antiqua" w:cs="Book Antiqua"/>
          <w:color w:val="000000" w:themeColor="text1"/>
        </w:rPr>
        <w:t>Studies included both children and adults diagnosed with CeD and healthy volunteers</w:t>
      </w:r>
      <w:r w:rsidR="00B34737" w:rsidRPr="00872E1D">
        <w:rPr>
          <w:rFonts w:ascii="Book Antiqua" w:eastAsia="Book Antiqua" w:hAnsi="Book Antiqua" w:cs="Book Antiqua"/>
          <w:color w:val="000000" w:themeColor="text1"/>
        </w:rPr>
        <w:t xml:space="preserve">. Overall, these preliminary studies indicated that this novel technique was highly sensitive for the detection of GFD transgressions and therefore could facilitate the follow-up of patients with CeD. </w:t>
      </w:r>
      <w:r w:rsidR="00BA6F2E" w:rsidRPr="00872E1D">
        <w:rPr>
          <w:rFonts w:ascii="Book Antiqua" w:eastAsia="Book Antiqua" w:hAnsi="Book Antiqua" w:cs="Book Antiqua"/>
          <w:color w:val="000000" w:themeColor="text1"/>
        </w:rPr>
        <w:t>Tools identified in this work included the CeD-specific serology, dietetic questionnaires, symptomatology, and the duodenal biopsy</w:t>
      </w:r>
      <w:r w:rsidR="00B34737" w:rsidRPr="00872E1D">
        <w:rPr>
          <w:rFonts w:ascii="Book Antiqua" w:eastAsia="Book Antiqua" w:hAnsi="Book Antiqua" w:cs="Book Antiqua"/>
          <w:color w:val="000000" w:themeColor="text1"/>
        </w:rPr>
        <w:t xml:space="preserve">. </w:t>
      </w:r>
      <w:r w:rsidR="00B71CE3" w:rsidRPr="00872E1D">
        <w:rPr>
          <w:rFonts w:ascii="Book Antiqua" w:eastAsia="Book Antiqua" w:hAnsi="Book Antiqua" w:cs="Book Antiqua"/>
          <w:color w:val="000000" w:themeColor="text1"/>
        </w:rPr>
        <w:t>Review of the literature revealed that the rates of GFD adherence may vary between 30</w:t>
      </w:r>
      <w:r w:rsidR="00872E1D">
        <w:rPr>
          <w:rFonts w:ascii="Book Antiqua" w:hAnsi="Book Antiqua" w:cs="Book Antiqua" w:hint="eastAsia"/>
          <w:color w:val="000000" w:themeColor="text1"/>
          <w:lang w:eastAsia="zh-CN"/>
        </w:rPr>
        <w:t>%</w:t>
      </w:r>
      <w:r w:rsidR="00B71CE3" w:rsidRPr="00872E1D">
        <w:rPr>
          <w:rFonts w:ascii="Book Antiqua" w:eastAsia="Book Antiqua" w:hAnsi="Book Antiqua" w:cs="Book Antiqua"/>
          <w:color w:val="000000" w:themeColor="text1"/>
        </w:rPr>
        <w:t>-93% using either stool or urine GIP determination, 49</w:t>
      </w:r>
      <w:r w:rsidR="00872E1D">
        <w:rPr>
          <w:rFonts w:ascii="Book Antiqua" w:hAnsi="Book Antiqua" w:cs="Book Antiqua" w:hint="eastAsia"/>
          <w:color w:val="000000" w:themeColor="text1"/>
          <w:lang w:eastAsia="zh-CN"/>
        </w:rPr>
        <w:t>%</w:t>
      </w:r>
      <w:r w:rsidR="00B71CE3" w:rsidRPr="00872E1D">
        <w:rPr>
          <w:rFonts w:ascii="Book Antiqua" w:eastAsia="Book Antiqua" w:hAnsi="Book Antiqua" w:cs="Book Antiqua"/>
          <w:color w:val="000000" w:themeColor="text1"/>
        </w:rPr>
        <w:t>-96% by the serology, 59</w:t>
      </w:r>
      <w:r w:rsidR="00872E1D">
        <w:rPr>
          <w:rFonts w:ascii="Book Antiqua" w:hAnsi="Book Antiqua" w:cs="Book Antiqua" w:hint="eastAsia"/>
          <w:color w:val="000000" w:themeColor="text1"/>
          <w:lang w:eastAsia="zh-CN"/>
        </w:rPr>
        <w:t>%</w:t>
      </w:r>
      <w:r w:rsidR="00B71CE3" w:rsidRPr="00872E1D">
        <w:rPr>
          <w:rFonts w:ascii="Book Antiqua" w:eastAsia="Book Antiqua" w:hAnsi="Book Antiqua" w:cs="Book Antiqua"/>
          <w:color w:val="000000" w:themeColor="text1"/>
        </w:rPr>
        <w:t>-94% using the dietetic questionnaires, 56</w:t>
      </w:r>
      <w:r w:rsidR="00872E1D">
        <w:rPr>
          <w:rFonts w:ascii="Book Antiqua" w:hAnsi="Book Antiqua" w:cs="Book Antiqua" w:hint="eastAsia"/>
          <w:color w:val="000000" w:themeColor="text1"/>
          <w:lang w:eastAsia="zh-CN"/>
        </w:rPr>
        <w:t>%</w:t>
      </w:r>
      <w:r w:rsidR="00B71CE3" w:rsidRPr="00872E1D">
        <w:rPr>
          <w:rFonts w:ascii="Book Antiqua" w:eastAsia="Book Antiqua" w:hAnsi="Book Antiqua" w:cs="Book Antiqua"/>
          <w:color w:val="000000" w:themeColor="text1"/>
        </w:rPr>
        <w:t>-95% by the reported symptoms and 44</w:t>
      </w:r>
      <w:r w:rsidR="00872E1D">
        <w:rPr>
          <w:rFonts w:ascii="Book Antiqua" w:hAnsi="Book Antiqua" w:cs="Book Antiqua" w:hint="eastAsia"/>
          <w:color w:val="000000" w:themeColor="text1"/>
          <w:lang w:eastAsia="zh-CN"/>
        </w:rPr>
        <w:t>%</w:t>
      </w:r>
      <w:r w:rsidR="00B71CE3" w:rsidRPr="00872E1D">
        <w:rPr>
          <w:rFonts w:ascii="Book Antiqua" w:eastAsia="Book Antiqua" w:hAnsi="Book Antiqua" w:cs="Book Antiqua"/>
          <w:color w:val="000000" w:themeColor="text1"/>
        </w:rPr>
        <w:t>-76% with the duodenal biopsy</w:t>
      </w:r>
      <w:r w:rsidR="00B34737" w:rsidRPr="00872E1D">
        <w:rPr>
          <w:rFonts w:ascii="Book Antiqua" w:eastAsia="Book Antiqua" w:hAnsi="Book Antiqua" w:cs="Book Antiqua"/>
          <w:color w:val="000000" w:themeColor="text1"/>
        </w:rPr>
        <w:t>. In addition, the association between the different methods and histological abnormalities (Marsh II-III) was found to be 33</w:t>
      </w:r>
      <w:r w:rsidR="00872E1D">
        <w:rPr>
          <w:rFonts w:ascii="Book Antiqua" w:hAnsi="Book Antiqua" w:cs="Book Antiqua" w:hint="eastAsia"/>
          <w:color w:val="000000" w:themeColor="text1"/>
          <w:lang w:eastAsia="zh-CN"/>
        </w:rPr>
        <w:t>%</w:t>
      </w:r>
      <w:r w:rsidR="00B34737" w:rsidRPr="00872E1D">
        <w:rPr>
          <w:rFonts w:ascii="Book Antiqua" w:eastAsia="Book Antiqua" w:hAnsi="Book Antiqua" w:cs="Book Antiqua"/>
          <w:color w:val="000000" w:themeColor="text1"/>
        </w:rPr>
        <w:t>-100% for GIP determination (stool and urine), 25</w:t>
      </w:r>
      <w:r w:rsidR="00872E1D">
        <w:rPr>
          <w:rFonts w:ascii="Book Antiqua" w:hAnsi="Book Antiqua" w:cs="Book Antiqua" w:hint="eastAsia"/>
          <w:color w:val="000000" w:themeColor="text1"/>
          <w:lang w:eastAsia="zh-CN"/>
        </w:rPr>
        <w:t>%</w:t>
      </w:r>
      <w:r w:rsidR="00B34737" w:rsidRPr="00872E1D">
        <w:rPr>
          <w:rFonts w:ascii="Book Antiqua" w:eastAsia="Book Antiqua" w:hAnsi="Book Antiqua" w:cs="Book Antiqua"/>
          <w:color w:val="000000" w:themeColor="text1"/>
        </w:rPr>
        <w:t>-39% for CeD-specific serology, 3</w:t>
      </w:r>
      <w:r w:rsidR="00872E1D">
        <w:rPr>
          <w:rFonts w:ascii="Book Antiqua" w:hAnsi="Book Antiqua" w:cs="Book Antiqua" w:hint="eastAsia"/>
          <w:color w:val="000000" w:themeColor="text1"/>
          <w:lang w:eastAsia="zh-CN"/>
        </w:rPr>
        <w:t>%</w:t>
      </w:r>
      <w:r w:rsidR="00B34737" w:rsidRPr="00872E1D">
        <w:rPr>
          <w:rFonts w:ascii="Book Antiqua" w:eastAsia="Book Antiqua" w:hAnsi="Book Antiqua" w:cs="Book Antiqua"/>
          <w:color w:val="000000" w:themeColor="text1"/>
        </w:rPr>
        <w:t>-50% for dietetic questionnaires, and 22</w:t>
      </w:r>
      <w:r w:rsidR="00872E1D">
        <w:rPr>
          <w:rFonts w:ascii="Book Antiqua" w:hAnsi="Book Antiqua" w:cs="Book Antiqua" w:hint="eastAsia"/>
          <w:color w:val="000000" w:themeColor="text1"/>
          <w:lang w:eastAsia="zh-CN"/>
        </w:rPr>
        <w:t>%</w:t>
      </w:r>
      <w:r w:rsidR="00B34737" w:rsidRPr="00872E1D">
        <w:rPr>
          <w:rFonts w:ascii="Book Antiqua" w:eastAsia="Book Antiqua" w:hAnsi="Book Antiqua" w:cs="Book Antiqua"/>
          <w:color w:val="000000" w:themeColor="text1"/>
        </w:rPr>
        <w:t>-28% for the symptomatology.</w:t>
      </w:r>
    </w:p>
    <w:p w14:paraId="182077B4" w14:textId="77777777" w:rsidR="00A77B3E" w:rsidRPr="00872E1D" w:rsidRDefault="00A77B3E" w:rsidP="00F10C3B">
      <w:pPr>
        <w:spacing w:line="360" w:lineRule="auto"/>
        <w:jc w:val="both"/>
        <w:rPr>
          <w:color w:val="000000" w:themeColor="text1"/>
        </w:rPr>
      </w:pPr>
    </w:p>
    <w:p w14:paraId="309CF20F"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color w:val="000000" w:themeColor="text1"/>
        </w:rPr>
        <w:t>CONCLUSION</w:t>
      </w:r>
    </w:p>
    <w:p w14:paraId="0FFEEFBC" w14:textId="77777777" w:rsidR="00A77B3E" w:rsidRPr="00872E1D" w:rsidRDefault="00E514BF" w:rsidP="00F10C3B">
      <w:pPr>
        <w:spacing w:line="360" w:lineRule="auto"/>
        <w:jc w:val="both"/>
        <w:rPr>
          <w:color w:val="000000" w:themeColor="text1"/>
        </w:rPr>
      </w:pPr>
      <w:r w:rsidRPr="00872E1D">
        <w:rPr>
          <w:rFonts w:ascii="Book Antiqua" w:eastAsia="Book Antiqua" w:hAnsi="Book Antiqua" w:cs="Book Antiqua"/>
          <w:color w:val="000000" w:themeColor="text1"/>
        </w:rPr>
        <w:t>Excreted GIP detection is the precise approach for determining voluntary or involuntary gluten consumption in CeD patients preventing future complications arising from gluten exposure</w:t>
      </w:r>
      <w:r w:rsidR="00B34737" w:rsidRPr="00872E1D">
        <w:rPr>
          <w:rFonts w:ascii="Book Antiqua" w:eastAsia="Book Antiqua" w:hAnsi="Book Antiqua" w:cs="Book Antiqua"/>
          <w:color w:val="000000" w:themeColor="text1"/>
        </w:rPr>
        <w:t>.</w:t>
      </w:r>
    </w:p>
    <w:p w14:paraId="423FC14F" w14:textId="77777777" w:rsidR="00A77B3E" w:rsidRPr="00872E1D" w:rsidRDefault="00A77B3E" w:rsidP="00F10C3B">
      <w:pPr>
        <w:spacing w:line="360" w:lineRule="auto"/>
        <w:jc w:val="both"/>
        <w:rPr>
          <w:color w:val="000000" w:themeColor="text1"/>
        </w:rPr>
      </w:pPr>
    </w:p>
    <w:p w14:paraId="22E7CE84" w14:textId="77777777" w:rsidR="00A77B3E" w:rsidRPr="00872E1D" w:rsidRDefault="00E514BF" w:rsidP="00F10C3B">
      <w:pPr>
        <w:spacing w:line="360" w:lineRule="auto"/>
        <w:jc w:val="both"/>
        <w:rPr>
          <w:color w:val="000000" w:themeColor="text1"/>
        </w:rPr>
      </w:pPr>
      <w:r w:rsidRPr="00872E1D">
        <w:rPr>
          <w:rFonts w:ascii="Book Antiqua" w:eastAsia="Book Antiqua" w:hAnsi="Book Antiqua" w:cs="Book Antiqua"/>
          <w:b/>
          <w:bCs/>
          <w:color w:val="000000" w:themeColor="text1"/>
        </w:rPr>
        <w:t>Key</w:t>
      </w:r>
      <w:r w:rsidR="00872E1D">
        <w:rPr>
          <w:rFonts w:ascii="Book Antiqua" w:hAnsi="Book Antiqua" w:cs="Book Antiqua" w:hint="eastAsia"/>
          <w:b/>
          <w:bCs/>
          <w:color w:val="000000" w:themeColor="text1"/>
          <w:lang w:eastAsia="zh-CN"/>
        </w:rPr>
        <w:t xml:space="preserve"> </w:t>
      </w:r>
      <w:r w:rsidRPr="00872E1D">
        <w:rPr>
          <w:rFonts w:ascii="Book Antiqua" w:eastAsia="Book Antiqua" w:hAnsi="Book Antiqua" w:cs="Book Antiqua"/>
          <w:b/>
          <w:bCs/>
          <w:caps/>
          <w:color w:val="000000" w:themeColor="text1"/>
        </w:rPr>
        <w:t>w</w:t>
      </w:r>
      <w:r w:rsidR="00B34737" w:rsidRPr="00872E1D">
        <w:rPr>
          <w:rFonts w:ascii="Book Antiqua" w:eastAsia="Book Antiqua" w:hAnsi="Book Antiqua" w:cs="Book Antiqua"/>
          <w:b/>
          <w:bCs/>
          <w:color w:val="000000" w:themeColor="text1"/>
        </w:rPr>
        <w:t xml:space="preserve">ords: </w:t>
      </w:r>
      <w:r w:rsidR="00B34737" w:rsidRPr="00872E1D">
        <w:rPr>
          <w:rFonts w:ascii="Book Antiqua" w:eastAsia="Book Antiqua" w:hAnsi="Book Antiqua" w:cs="Book Antiqua"/>
          <w:color w:val="000000" w:themeColor="text1"/>
        </w:rPr>
        <w:t xml:space="preserve">Celiac disease; Gluten-free diet; Gluten immunogenic peptides; Immunoassays; </w:t>
      </w:r>
      <w:r w:rsidR="00A54C4D">
        <w:rPr>
          <w:rFonts w:ascii="Book Antiqua" w:eastAsia="Book Antiqua" w:hAnsi="Book Antiqua" w:cs="Book Antiqua"/>
          <w:color w:val="000000" w:themeColor="text1"/>
        </w:rPr>
        <w:t>Stool</w:t>
      </w:r>
      <w:r w:rsidR="00B34737" w:rsidRPr="00872E1D">
        <w:rPr>
          <w:rFonts w:ascii="Book Antiqua" w:eastAsia="Book Antiqua" w:hAnsi="Book Antiqua" w:cs="Book Antiqua"/>
          <w:color w:val="000000" w:themeColor="text1"/>
        </w:rPr>
        <w:t>; Urine</w:t>
      </w:r>
    </w:p>
    <w:p w14:paraId="31EA5720" w14:textId="77777777" w:rsidR="00A77B3E" w:rsidRPr="00872E1D" w:rsidRDefault="00A77B3E" w:rsidP="00F10C3B">
      <w:pPr>
        <w:spacing w:line="360" w:lineRule="auto"/>
        <w:jc w:val="both"/>
        <w:rPr>
          <w:color w:val="000000" w:themeColor="text1"/>
        </w:rPr>
      </w:pPr>
    </w:p>
    <w:p w14:paraId="061D30CF"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color w:val="000000" w:themeColor="text1"/>
        </w:rPr>
        <w:t xml:space="preserve">Coto L, Mendia I, Sousa C, Bai JC, Cebolla A. Determination of gluten immunogenic peptides for the management of the treatment adherence of celiac disease: A systematic review. </w:t>
      </w:r>
      <w:r w:rsidRPr="00872E1D">
        <w:rPr>
          <w:rFonts w:ascii="Book Antiqua" w:eastAsia="Book Antiqua" w:hAnsi="Book Antiqua" w:cs="Book Antiqua"/>
          <w:i/>
          <w:iCs/>
          <w:color w:val="000000" w:themeColor="text1"/>
        </w:rPr>
        <w:t>World J Gastroenterol</w:t>
      </w:r>
      <w:r w:rsidRPr="00872E1D">
        <w:rPr>
          <w:rFonts w:ascii="Book Antiqua" w:eastAsia="Book Antiqua" w:hAnsi="Book Antiqua" w:cs="Book Antiqua"/>
          <w:color w:val="000000" w:themeColor="text1"/>
        </w:rPr>
        <w:t xml:space="preserve"> 2021; In press</w:t>
      </w:r>
    </w:p>
    <w:p w14:paraId="28E621EF" w14:textId="77777777" w:rsidR="00A77B3E" w:rsidRPr="00872E1D" w:rsidRDefault="00A77B3E" w:rsidP="00F10C3B">
      <w:pPr>
        <w:spacing w:line="360" w:lineRule="auto"/>
        <w:jc w:val="both"/>
        <w:rPr>
          <w:color w:val="000000" w:themeColor="text1"/>
        </w:rPr>
      </w:pPr>
    </w:p>
    <w:p w14:paraId="1FB09229"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bCs/>
          <w:color w:val="000000" w:themeColor="text1"/>
        </w:rPr>
        <w:lastRenderedPageBreak/>
        <w:t xml:space="preserve">Core Tip: </w:t>
      </w:r>
      <w:bookmarkStart w:id="19" w:name="OLE_LINK328"/>
      <w:bookmarkStart w:id="20" w:name="OLE_LINK329"/>
      <w:r w:rsidRPr="00872E1D">
        <w:rPr>
          <w:rFonts w:ascii="Book Antiqua" w:eastAsia="Book Antiqua" w:hAnsi="Book Antiqua" w:cs="Book Antiqua"/>
          <w:color w:val="000000" w:themeColor="text1"/>
        </w:rPr>
        <w:t>A strict gluten</w:t>
      </w:r>
      <w:r w:rsidR="00E514BF" w:rsidRPr="00872E1D">
        <w:rPr>
          <w:rFonts w:ascii="Book Antiqua" w:eastAsia="Book Antiqua" w:hAnsi="Book Antiqua" w:cs="Book Antiqua"/>
          <w:color w:val="000000" w:themeColor="text1"/>
        </w:rPr>
        <w:t>-</w:t>
      </w:r>
      <w:r w:rsidRPr="00872E1D">
        <w:rPr>
          <w:rFonts w:ascii="Book Antiqua" w:eastAsia="Book Antiqua" w:hAnsi="Book Antiqua" w:cs="Book Antiqua"/>
          <w:color w:val="000000" w:themeColor="text1"/>
        </w:rPr>
        <w:t xml:space="preserve">free diet (GFD) is the only available treatment for celiac disease. However, treatment adherence is difficult due to the ubiquitous nature of gluten, </w:t>
      </w:r>
      <w:r w:rsidR="00775E27" w:rsidRPr="00872E1D">
        <w:rPr>
          <w:rFonts w:ascii="Book Antiqua" w:eastAsia="Book Antiqua" w:hAnsi="Book Antiqua" w:cs="Book Antiqua"/>
          <w:color w:val="000000" w:themeColor="text1"/>
        </w:rPr>
        <w:t>hurting patients’ quality of life</w:t>
      </w:r>
      <w:r w:rsidRPr="00872E1D">
        <w:rPr>
          <w:rFonts w:ascii="Book Antiqua" w:eastAsia="Book Antiqua" w:hAnsi="Book Antiqua" w:cs="Book Antiqua"/>
          <w:color w:val="000000" w:themeColor="text1"/>
        </w:rPr>
        <w:t xml:space="preserve">. </w:t>
      </w:r>
      <w:r w:rsidR="00775E27" w:rsidRPr="00872E1D">
        <w:rPr>
          <w:rFonts w:ascii="Book Antiqua" w:eastAsia="Book Antiqua" w:hAnsi="Book Antiqua" w:cs="Book Antiqua"/>
          <w:color w:val="000000" w:themeColor="text1"/>
        </w:rPr>
        <w:t>Despite several tests to evaluate GFD compliance, it has been proven to be invasive or inefficient</w:t>
      </w:r>
      <w:r w:rsidRPr="00872E1D">
        <w:rPr>
          <w:rFonts w:ascii="Book Antiqua" w:eastAsia="Book Antiqua" w:hAnsi="Book Antiqua" w:cs="Book Antiqua"/>
          <w:color w:val="000000" w:themeColor="text1"/>
        </w:rPr>
        <w:t xml:space="preserve">. The determination of gluten immunogenic peptides (GIP) in </w:t>
      </w:r>
      <w:r w:rsidR="00A54C4D">
        <w:rPr>
          <w:rFonts w:ascii="Book Antiqua" w:eastAsia="Book Antiqua" w:hAnsi="Book Antiqua" w:cs="Book Antiqua"/>
          <w:color w:val="000000" w:themeColor="text1"/>
        </w:rPr>
        <w:t>stool</w:t>
      </w:r>
      <w:r w:rsidR="00A54C4D" w:rsidRPr="00872E1D">
        <w:rPr>
          <w:rFonts w:ascii="Book Antiqua" w:eastAsia="Book Antiqua" w:hAnsi="Book Antiqua" w:cs="Book Antiqua"/>
          <w:color w:val="000000" w:themeColor="text1"/>
        </w:rPr>
        <w:t xml:space="preserve"> </w:t>
      </w:r>
      <w:r w:rsidRPr="00872E1D">
        <w:rPr>
          <w:rFonts w:ascii="Book Antiqua" w:eastAsia="Book Antiqua" w:hAnsi="Book Antiqua" w:cs="Book Antiqua"/>
          <w:color w:val="000000" w:themeColor="text1"/>
        </w:rPr>
        <w:t>and urine has been developed as a non-invasive, direct</w:t>
      </w:r>
      <w:r w:rsidR="00014F4F" w:rsidRPr="00872E1D">
        <w:rPr>
          <w:rFonts w:ascii="Book Antiqua" w:eastAsia="Book Antiqua" w:hAnsi="Book Antiqua" w:cs="Book Antiqua"/>
          <w:color w:val="000000" w:themeColor="text1"/>
        </w:rPr>
        <w:t>,</w:t>
      </w:r>
      <w:r w:rsidRPr="00872E1D">
        <w:rPr>
          <w:rFonts w:ascii="Book Antiqua" w:eastAsia="Book Antiqua" w:hAnsi="Book Antiqua" w:cs="Book Antiqua"/>
          <w:color w:val="000000" w:themeColor="text1"/>
        </w:rPr>
        <w:t xml:space="preserve"> and specific test for GFD monitoring. We herein summarized the current available literature meeting the clinical utility of GIP determination compared to the available tools in use.</w:t>
      </w:r>
    </w:p>
    <w:bookmarkEnd w:id="19"/>
    <w:bookmarkEnd w:id="20"/>
    <w:p w14:paraId="53E3FB8C" w14:textId="77777777" w:rsidR="00AC32C1" w:rsidRDefault="00AC32C1" w:rsidP="00F10C3B">
      <w:pPr>
        <w:spacing w:line="360" w:lineRule="auto"/>
        <w:jc w:val="both"/>
        <w:rPr>
          <w:color w:val="000000" w:themeColor="text1"/>
        </w:rPr>
      </w:pPr>
      <w:r>
        <w:rPr>
          <w:color w:val="000000" w:themeColor="text1"/>
        </w:rPr>
        <w:br w:type="page"/>
      </w:r>
    </w:p>
    <w:p w14:paraId="6C35FCBA" w14:textId="77777777" w:rsidR="00A77B3E" w:rsidRPr="00AC32C1" w:rsidRDefault="00B34737" w:rsidP="00F10C3B">
      <w:pPr>
        <w:spacing w:line="360" w:lineRule="auto"/>
        <w:jc w:val="both"/>
        <w:rPr>
          <w:color w:val="000000" w:themeColor="text1"/>
          <w:u w:val="single"/>
        </w:rPr>
      </w:pPr>
      <w:r w:rsidRPr="00AC32C1">
        <w:rPr>
          <w:rFonts w:ascii="Book Antiqua" w:eastAsia="Book Antiqua" w:hAnsi="Book Antiqua" w:cs="Book Antiqua"/>
          <w:b/>
          <w:caps/>
          <w:color w:val="000000" w:themeColor="text1"/>
          <w:u w:val="single"/>
        </w:rPr>
        <w:lastRenderedPageBreak/>
        <w:t>INTRODUCTION</w:t>
      </w:r>
    </w:p>
    <w:p w14:paraId="6E2D67B9"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color w:val="000000" w:themeColor="text1"/>
        </w:rPr>
        <w:t xml:space="preserve">Gluten is a heterologous polymorphic mixture of proteins called prolamins. Wheat prolamins are termed gliadins and glutenins. Prolamins provide food products with special functional properties such as elasticity as well as extensibility and are characterized by high proline and glutamine content, allowing for the more efficiently packing of proteins but also complicating the enzyme-mediated hydrolysis of their tight </w:t>
      </w:r>
      <w:proofErr w:type="gramStart"/>
      <w:r w:rsidR="00052EF4" w:rsidRPr="00872E1D">
        <w:rPr>
          <w:rFonts w:ascii="Book Antiqua" w:eastAsia="Book Antiqua" w:hAnsi="Book Antiqua" w:cs="Book Antiqua"/>
          <w:color w:val="000000" w:themeColor="text1"/>
        </w:rPr>
        <w:t>structures</w:t>
      </w:r>
      <w:r w:rsidR="00052EF4"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1]</w:t>
      </w:r>
      <w:r w:rsidRPr="00872E1D">
        <w:rPr>
          <w:rFonts w:ascii="Book Antiqua" w:eastAsia="Book Antiqua" w:hAnsi="Book Antiqua" w:cs="Book Antiqua"/>
          <w:color w:val="000000" w:themeColor="text1"/>
        </w:rPr>
        <w:t>. Consequently, many of these proteins are insufficient</w:t>
      </w:r>
      <w:r w:rsidR="00014F4F" w:rsidRPr="00872E1D">
        <w:rPr>
          <w:rFonts w:ascii="Book Antiqua" w:eastAsia="Book Antiqua" w:hAnsi="Book Antiqua" w:cs="Book Antiqua"/>
          <w:color w:val="000000" w:themeColor="text1"/>
        </w:rPr>
        <w:t>ly</w:t>
      </w:r>
      <w:r w:rsidRPr="00872E1D">
        <w:rPr>
          <w:rFonts w:ascii="Book Antiqua" w:eastAsia="Book Antiqua" w:hAnsi="Book Antiqua" w:cs="Book Antiqua"/>
          <w:color w:val="000000" w:themeColor="text1"/>
        </w:rPr>
        <w:t xml:space="preserve"> degraded by gastric and pancreatic enzymes in the gastrointestinal tract. Therefore, after the ingestion of gluten-containing foods, some gluten peptides can enter the intestinal epithelium and trigger an immune response in genetically predisposed individuals suffering from celiac disease (CeD</w:t>
      </w:r>
      <w:proofErr w:type="gramStart"/>
      <w:r w:rsidRPr="00872E1D">
        <w:rPr>
          <w:rFonts w:ascii="Book Antiqua" w:eastAsia="Book Antiqua" w:hAnsi="Book Antiqua" w:cs="Book Antiqua"/>
          <w:color w:val="000000" w:themeColor="text1"/>
        </w:rPr>
        <w:t>)</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2–4]</w:t>
      </w:r>
      <w:r w:rsidRPr="00872E1D">
        <w:rPr>
          <w:rFonts w:ascii="Book Antiqua" w:eastAsia="Book Antiqua" w:hAnsi="Book Antiqua" w:cs="Book Antiqua"/>
          <w:color w:val="000000" w:themeColor="text1"/>
        </w:rPr>
        <w:t xml:space="preserve">. </w:t>
      </w:r>
    </w:p>
    <w:p w14:paraId="5EF123A9" w14:textId="77777777" w:rsidR="00A77B3E" w:rsidRPr="00872E1D" w:rsidRDefault="00B34737"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 xml:space="preserve">Evidence suggests that gluten can cross the intestinal barrier </w:t>
      </w:r>
      <w:r w:rsidRPr="00872E1D">
        <w:rPr>
          <w:rFonts w:ascii="Book Antiqua" w:eastAsia="Book Antiqua" w:hAnsi="Book Antiqua" w:cs="Book Antiqua"/>
          <w:i/>
          <w:iCs/>
          <w:color w:val="000000" w:themeColor="text1"/>
        </w:rPr>
        <w:t>via</w:t>
      </w:r>
      <w:r w:rsidRPr="00872E1D">
        <w:rPr>
          <w:rFonts w:ascii="Book Antiqua" w:eastAsia="Book Antiqua" w:hAnsi="Book Antiqua" w:cs="Book Antiqua"/>
          <w:color w:val="000000" w:themeColor="text1"/>
        </w:rPr>
        <w:t xml:space="preserve"> the transcellular pathway perpetuating intestinal inflammation in the context of gluten </w:t>
      </w:r>
      <w:proofErr w:type="gramStart"/>
      <w:r w:rsidRPr="00872E1D">
        <w:rPr>
          <w:rFonts w:ascii="Book Antiqua" w:eastAsia="Book Antiqua" w:hAnsi="Book Antiqua" w:cs="Book Antiqua"/>
          <w:color w:val="000000" w:themeColor="text1"/>
        </w:rPr>
        <w:t>intolerance</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5,6]</w:t>
      </w:r>
      <w:r w:rsidRPr="00872E1D">
        <w:rPr>
          <w:rFonts w:ascii="Book Antiqua" w:eastAsia="Book Antiqua" w:hAnsi="Book Antiqua" w:cs="Book Antiqua"/>
          <w:color w:val="000000" w:themeColor="text1"/>
        </w:rPr>
        <w:t xml:space="preserve">. The α-gliadin 33-mer peptide has been described as one of the most immunodominant gluten peptides, harboring several T cell </w:t>
      </w:r>
      <w:proofErr w:type="gramStart"/>
      <w:r w:rsidRPr="00872E1D">
        <w:rPr>
          <w:rFonts w:ascii="Book Antiqua" w:eastAsia="Book Antiqua" w:hAnsi="Book Antiqua" w:cs="Book Antiqua"/>
          <w:color w:val="000000" w:themeColor="text1"/>
        </w:rPr>
        <w:t>epitopes</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2]</w:t>
      </w:r>
      <w:r w:rsidRPr="00872E1D">
        <w:rPr>
          <w:rFonts w:ascii="Book Antiqua" w:eastAsia="Book Antiqua" w:hAnsi="Book Antiqua" w:cs="Book Antiqua"/>
          <w:color w:val="000000" w:themeColor="text1"/>
        </w:rPr>
        <w:t xml:space="preserve">. Another three gluten peptides have been shown to trigger high immunogenicity observed in most CeD </w:t>
      </w:r>
      <w:proofErr w:type="gramStart"/>
      <w:r w:rsidRPr="00872E1D">
        <w:rPr>
          <w:rFonts w:ascii="Book Antiqua" w:eastAsia="Book Antiqua" w:hAnsi="Book Antiqua" w:cs="Book Antiqua"/>
          <w:color w:val="000000" w:themeColor="text1"/>
        </w:rPr>
        <w:t>patients</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7]</w:t>
      </w:r>
      <w:r w:rsidRPr="00872E1D">
        <w:rPr>
          <w:rFonts w:ascii="Book Antiqua" w:eastAsia="Book Antiqua" w:hAnsi="Book Antiqua" w:cs="Book Antiqua"/>
          <w:color w:val="000000" w:themeColor="text1"/>
        </w:rPr>
        <w:t xml:space="preserve">. Thus, most of the immune response against gluten may be accounted for by a limited group of gluten </w:t>
      </w:r>
      <w:proofErr w:type="gramStart"/>
      <w:r w:rsidRPr="00872E1D">
        <w:rPr>
          <w:rFonts w:ascii="Book Antiqua" w:eastAsia="Book Antiqua" w:hAnsi="Book Antiqua" w:cs="Book Antiqua"/>
          <w:color w:val="000000" w:themeColor="text1"/>
        </w:rPr>
        <w:t>epitopes</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7]</w:t>
      </w:r>
      <w:r w:rsidRPr="00872E1D">
        <w:rPr>
          <w:rFonts w:ascii="Book Antiqua" w:eastAsia="Book Antiqua" w:hAnsi="Book Antiqua" w:cs="Book Antiqua"/>
          <w:color w:val="000000" w:themeColor="text1"/>
        </w:rPr>
        <w:t xml:space="preserve">. The anti- α-gliadin 33-mer antibodies A1 and G12 could specifically and sensitively detect excreted gluten immunogenic peptides (GIP) in stool and </w:t>
      </w:r>
      <w:proofErr w:type="gramStart"/>
      <w:r w:rsidRPr="00872E1D">
        <w:rPr>
          <w:rFonts w:ascii="Book Antiqua" w:eastAsia="Book Antiqua" w:hAnsi="Book Antiqua" w:cs="Book Antiqua"/>
          <w:color w:val="000000" w:themeColor="text1"/>
        </w:rPr>
        <w:t>urine</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8,9]</w:t>
      </w:r>
      <w:r w:rsidRPr="00872E1D">
        <w:rPr>
          <w:rFonts w:ascii="Book Antiqua" w:eastAsia="Book Antiqua" w:hAnsi="Book Antiqua" w:cs="Book Antiqua"/>
          <w:color w:val="000000" w:themeColor="text1"/>
        </w:rPr>
        <w:t xml:space="preserve">, confirming the resistance of GIP to human gastrointestinal digestion as well as their absorption into the bloodstream. </w:t>
      </w:r>
    </w:p>
    <w:p w14:paraId="63F1E32F" w14:textId="77777777" w:rsidR="00A77B3E" w:rsidRPr="00872E1D" w:rsidRDefault="00B34737"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CeD is a systemic disease, involving well-known key immune factors, including the human leukocyte antigen (HLA-DQ2 and HLA-DQ8), the anti-tissue trans-glutaminase (anti-tTG) antibodies</w:t>
      </w:r>
      <w:r w:rsidR="009964D8" w:rsidRPr="00872E1D">
        <w:rPr>
          <w:rFonts w:ascii="Book Antiqua" w:eastAsia="Book Antiqua" w:hAnsi="Book Antiqua" w:cs="Book Antiqua"/>
          <w:color w:val="000000" w:themeColor="text1"/>
        </w:rPr>
        <w:t>,</w:t>
      </w:r>
      <w:r w:rsidRPr="00872E1D">
        <w:rPr>
          <w:rFonts w:ascii="Book Antiqua" w:eastAsia="Book Antiqua" w:hAnsi="Book Antiqua" w:cs="Book Antiqua"/>
          <w:color w:val="000000" w:themeColor="text1"/>
        </w:rPr>
        <w:t xml:space="preserve"> and </w:t>
      </w:r>
      <w:proofErr w:type="gramStart"/>
      <w:r w:rsidRPr="00872E1D">
        <w:rPr>
          <w:rFonts w:ascii="Book Antiqua" w:eastAsia="Book Antiqua" w:hAnsi="Book Antiqua" w:cs="Book Antiqua"/>
          <w:color w:val="000000" w:themeColor="text1"/>
        </w:rPr>
        <w:t>gluten</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10]</w:t>
      </w:r>
      <w:r w:rsidRPr="00872E1D">
        <w:rPr>
          <w:rFonts w:ascii="Book Antiqua" w:eastAsia="Book Antiqua" w:hAnsi="Book Antiqua" w:cs="Book Antiqua"/>
          <w:color w:val="000000" w:themeColor="text1"/>
        </w:rPr>
        <w:t>. As a systemic disease, there are intestinal and extraintestinal symptoms that can be presented individually or in combination. In addition</w:t>
      </w:r>
      <w:r w:rsidR="009964D8" w:rsidRPr="00872E1D">
        <w:rPr>
          <w:rFonts w:ascii="Book Antiqua" w:eastAsia="Book Antiqua" w:hAnsi="Book Antiqua" w:cs="Book Antiqua"/>
          <w:color w:val="000000" w:themeColor="text1"/>
        </w:rPr>
        <w:t>,</w:t>
      </w:r>
      <w:r w:rsidRPr="00872E1D">
        <w:rPr>
          <w:rFonts w:ascii="Book Antiqua" w:eastAsia="Book Antiqua" w:hAnsi="Book Antiqua" w:cs="Book Antiqua"/>
          <w:color w:val="000000" w:themeColor="text1"/>
        </w:rPr>
        <w:t xml:space="preserve"> patients may also be completely </w:t>
      </w:r>
      <w:proofErr w:type="gramStart"/>
      <w:r w:rsidRPr="00872E1D">
        <w:rPr>
          <w:rFonts w:ascii="Book Antiqua" w:eastAsia="Book Antiqua" w:hAnsi="Book Antiqua" w:cs="Book Antiqua"/>
          <w:color w:val="000000" w:themeColor="text1"/>
        </w:rPr>
        <w:t>asymptomatic</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11]</w:t>
      </w:r>
      <w:r w:rsidRPr="00872E1D">
        <w:rPr>
          <w:rFonts w:ascii="Book Antiqua" w:eastAsia="Book Antiqua" w:hAnsi="Book Antiqua" w:cs="Book Antiqua"/>
          <w:color w:val="000000" w:themeColor="text1"/>
        </w:rPr>
        <w:t xml:space="preserve">. Intestinal presentation of CeD is common in both the pediatric and adult patient population and is characterized by diarrhea, loss of appetite, abdominal distention, bloating, pain, constipation, or weight </w:t>
      </w:r>
      <w:proofErr w:type="gramStart"/>
      <w:r w:rsidRPr="00872E1D">
        <w:rPr>
          <w:rFonts w:ascii="Book Antiqua" w:eastAsia="Book Antiqua" w:hAnsi="Book Antiqua" w:cs="Book Antiqua"/>
          <w:color w:val="000000" w:themeColor="text1"/>
        </w:rPr>
        <w:t>loss</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12,13]</w:t>
      </w:r>
      <w:r w:rsidRPr="00872E1D">
        <w:rPr>
          <w:rFonts w:ascii="Book Antiqua" w:eastAsia="Book Antiqua" w:hAnsi="Book Antiqua" w:cs="Book Antiqua"/>
          <w:color w:val="000000" w:themeColor="text1"/>
        </w:rPr>
        <w:t xml:space="preserve">. The most common extraintestinal symptoms are iron deficiency </w:t>
      </w:r>
      <w:r w:rsidRPr="00872E1D">
        <w:rPr>
          <w:rFonts w:ascii="Book Antiqua" w:eastAsia="Book Antiqua" w:hAnsi="Book Antiqua" w:cs="Book Antiqua"/>
          <w:color w:val="000000" w:themeColor="text1"/>
        </w:rPr>
        <w:lastRenderedPageBreak/>
        <w:t xml:space="preserve">anemia, osteopenia or osteoporosis, </w:t>
      </w:r>
      <w:proofErr w:type="spellStart"/>
      <w:r w:rsidR="009964D8" w:rsidRPr="00872E1D">
        <w:rPr>
          <w:rFonts w:ascii="Book Antiqua" w:eastAsia="Book Antiqua" w:hAnsi="Book Antiqua" w:cs="Book Antiqua"/>
          <w:color w:val="000000" w:themeColor="text1"/>
        </w:rPr>
        <w:t>hypertransaminasemia</w:t>
      </w:r>
      <w:proofErr w:type="spellEnd"/>
      <w:r w:rsidRPr="00872E1D">
        <w:rPr>
          <w:rFonts w:ascii="Book Antiqua" w:eastAsia="Book Antiqua" w:hAnsi="Book Antiqua" w:cs="Book Antiqua"/>
          <w:color w:val="000000" w:themeColor="text1"/>
        </w:rPr>
        <w:t xml:space="preserve">, neurological afflictions, or changes in reproductive </w:t>
      </w:r>
      <w:proofErr w:type="gramStart"/>
      <w:r w:rsidRPr="00872E1D">
        <w:rPr>
          <w:rFonts w:ascii="Book Antiqua" w:eastAsia="Book Antiqua" w:hAnsi="Book Antiqua" w:cs="Book Antiqua"/>
          <w:color w:val="000000" w:themeColor="text1"/>
        </w:rPr>
        <w:t>function</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10]</w:t>
      </w:r>
      <w:r w:rsidRPr="00872E1D">
        <w:rPr>
          <w:rFonts w:ascii="Book Antiqua" w:eastAsia="Book Antiqua" w:hAnsi="Book Antiqua" w:cs="Book Antiqua"/>
          <w:color w:val="000000" w:themeColor="text1"/>
        </w:rPr>
        <w:t xml:space="preserve">. Nevertheless, a relevant proportion of patients present atypical symptoms or remain asymptomatic despite damage to the intestinal mucosa and elevated CeD-specific serum antibodies, </w:t>
      </w:r>
      <w:r w:rsidR="009964D8" w:rsidRPr="00872E1D">
        <w:rPr>
          <w:rFonts w:ascii="Book Antiqua" w:eastAsia="Book Antiqua" w:hAnsi="Book Antiqua" w:cs="Book Antiqua"/>
          <w:color w:val="000000" w:themeColor="text1"/>
        </w:rPr>
        <w:t>which may delay diagnosis or even be undiagnosed</w:t>
      </w:r>
      <w:r w:rsidRPr="00872E1D">
        <w:rPr>
          <w:rFonts w:ascii="Book Antiqua" w:eastAsia="Book Antiqua" w:hAnsi="Book Antiqua" w:cs="Book Antiqua"/>
          <w:color w:val="000000" w:themeColor="text1"/>
          <w:szCs w:val="30"/>
          <w:vertAlign w:val="superscript"/>
        </w:rPr>
        <w:t>[14]</w:t>
      </w:r>
      <w:r w:rsidRPr="00872E1D">
        <w:rPr>
          <w:rFonts w:ascii="Book Antiqua" w:eastAsia="Book Antiqua" w:hAnsi="Book Antiqua" w:cs="Book Antiqua"/>
          <w:color w:val="000000" w:themeColor="text1"/>
        </w:rPr>
        <w:t xml:space="preserve">. </w:t>
      </w:r>
    </w:p>
    <w:p w14:paraId="51A56547" w14:textId="77777777" w:rsidR="00A77B3E" w:rsidRPr="00872E1D" w:rsidRDefault="00B34737"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 xml:space="preserve">Following CeD diagnosis, patients must follow a strict, life-long gluten-free diet (GFD), the only treatment currently available, which not only reduces disease symptoms but also allows for the healing of the intestinal epithelia and prevents long-term </w:t>
      </w:r>
      <w:proofErr w:type="gramStart"/>
      <w:r w:rsidRPr="00872E1D">
        <w:rPr>
          <w:rFonts w:ascii="Book Antiqua" w:eastAsia="Book Antiqua" w:hAnsi="Book Antiqua" w:cs="Book Antiqua"/>
          <w:color w:val="000000" w:themeColor="text1"/>
        </w:rPr>
        <w:t>complications</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15–17]</w:t>
      </w:r>
      <w:r w:rsidRPr="00872E1D">
        <w:rPr>
          <w:rFonts w:ascii="Book Antiqua" w:eastAsia="Book Antiqua" w:hAnsi="Book Antiqua" w:cs="Book Antiqua"/>
          <w:color w:val="000000" w:themeColor="text1"/>
        </w:rPr>
        <w:t xml:space="preserve">. However, following a strict GFD is challenging and requires substantial daily effort, </w:t>
      </w:r>
      <w:r w:rsidR="000D5E70" w:rsidRPr="00872E1D">
        <w:rPr>
          <w:rFonts w:ascii="Book Antiqua" w:eastAsia="Book Antiqua" w:hAnsi="Book Antiqua" w:cs="Book Antiqua"/>
          <w:color w:val="000000" w:themeColor="text1"/>
        </w:rPr>
        <w:t xml:space="preserve">hurting </w:t>
      </w:r>
      <w:r w:rsidR="006A3773" w:rsidRPr="00872E1D">
        <w:rPr>
          <w:rFonts w:ascii="Book Antiqua" w:eastAsia="Book Antiqua" w:hAnsi="Book Antiqua" w:cs="Book Antiqua"/>
          <w:color w:val="000000" w:themeColor="text1"/>
        </w:rPr>
        <w:t xml:space="preserve">the </w:t>
      </w:r>
      <w:r w:rsidR="000D5E70" w:rsidRPr="00872E1D">
        <w:rPr>
          <w:rFonts w:ascii="Book Antiqua" w:eastAsia="Book Antiqua" w:hAnsi="Book Antiqua" w:cs="Book Antiqua"/>
          <w:color w:val="000000" w:themeColor="text1"/>
        </w:rPr>
        <w:t>quality of life in addition to psychological problems and fear of involuntary gluten intake</w:t>
      </w:r>
      <w:r w:rsidRPr="00872E1D">
        <w:rPr>
          <w:rFonts w:ascii="Book Antiqua" w:eastAsia="Book Antiqua" w:hAnsi="Book Antiqua" w:cs="Book Antiqua"/>
          <w:color w:val="000000" w:themeColor="text1"/>
        </w:rPr>
        <w:t>, even in patients considering themselves to be strictly adherent</w:t>
      </w:r>
      <w:r w:rsidRPr="00872E1D">
        <w:rPr>
          <w:rFonts w:ascii="Book Antiqua" w:eastAsia="Book Antiqua" w:hAnsi="Book Antiqua" w:cs="Book Antiqua"/>
          <w:color w:val="000000" w:themeColor="text1"/>
          <w:szCs w:val="30"/>
          <w:vertAlign w:val="superscript"/>
        </w:rPr>
        <w:t>[15,18–20]</w:t>
      </w:r>
      <w:r w:rsidRPr="00872E1D">
        <w:rPr>
          <w:rFonts w:ascii="Book Antiqua" w:eastAsia="Book Antiqua" w:hAnsi="Book Antiqua" w:cs="Book Antiqua"/>
          <w:color w:val="000000" w:themeColor="text1"/>
        </w:rPr>
        <w:t>. Gluten-free food availability, inadequate food labeling regulations, cost</w:t>
      </w:r>
      <w:r w:rsidR="006A3773" w:rsidRPr="00872E1D">
        <w:rPr>
          <w:rFonts w:ascii="Book Antiqua" w:eastAsia="Book Antiqua" w:hAnsi="Book Antiqua" w:cs="Book Antiqua"/>
          <w:color w:val="000000" w:themeColor="text1"/>
        </w:rPr>
        <w:t>,</w:t>
      </w:r>
      <w:r w:rsidRPr="00872E1D">
        <w:rPr>
          <w:rFonts w:ascii="Book Antiqua" w:eastAsia="Book Antiqua" w:hAnsi="Book Antiqua" w:cs="Book Antiqua"/>
          <w:color w:val="000000" w:themeColor="text1"/>
        </w:rPr>
        <w:t xml:space="preserve"> and safety are the main barriers related to </w:t>
      </w:r>
      <w:proofErr w:type="gramStart"/>
      <w:r w:rsidRPr="00872E1D">
        <w:rPr>
          <w:rFonts w:ascii="Book Antiqua" w:eastAsia="Book Antiqua" w:hAnsi="Book Antiqua" w:cs="Book Antiqua"/>
          <w:color w:val="000000" w:themeColor="text1"/>
        </w:rPr>
        <w:t>GFD</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18,21,22]</w:t>
      </w:r>
      <w:r w:rsidRPr="00872E1D">
        <w:rPr>
          <w:rFonts w:ascii="Book Antiqua" w:eastAsia="Book Antiqua" w:hAnsi="Book Antiqua" w:cs="Book Antiqua"/>
          <w:color w:val="000000" w:themeColor="text1"/>
        </w:rPr>
        <w:t xml:space="preserve">. Therefore, the frequency of voluntary and involuntary transgressions is high. It was reported that at least 50% of adult patients are not fully adherent to the GFD in </w:t>
      </w:r>
      <w:r w:rsidR="00995310" w:rsidRPr="00872E1D">
        <w:rPr>
          <w:rFonts w:ascii="Book Antiqua" w:eastAsia="Book Antiqua" w:hAnsi="Book Antiqua" w:cs="Book Antiqua"/>
          <w:color w:val="000000" w:themeColor="text1"/>
        </w:rPr>
        <w:t xml:space="preserve">a </w:t>
      </w:r>
      <w:r w:rsidRPr="00872E1D">
        <w:rPr>
          <w:rFonts w:ascii="Book Antiqua" w:eastAsia="Book Antiqua" w:hAnsi="Book Antiqua" w:cs="Book Antiqua"/>
          <w:color w:val="000000" w:themeColor="text1"/>
        </w:rPr>
        <w:t xml:space="preserve">daily or weekly period of </w:t>
      </w:r>
      <w:proofErr w:type="gramStart"/>
      <w:r w:rsidRPr="00872E1D">
        <w:rPr>
          <w:rFonts w:ascii="Book Antiqua" w:eastAsia="Book Antiqua" w:hAnsi="Book Antiqua" w:cs="Book Antiqua"/>
          <w:color w:val="000000" w:themeColor="text1"/>
        </w:rPr>
        <w:t>observation</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8,9,23,24]</w:t>
      </w:r>
      <w:r w:rsidRPr="00872E1D">
        <w:rPr>
          <w:rFonts w:ascii="Book Antiqua" w:eastAsia="Book Antiqua" w:hAnsi="Book Antiqua" w:cs="Book Antiqua"/>
          <w:color w:val="000000" w:themeColor="text1"/>
        </w:rPr>
        <w:t>. In addition, 36</w:t>
      </w:r>
      <w:r w:rsidR="00AC32C1">
        <w:rPr>
          <w:rFonts w:ascii="Book Antiqua" w:hAnsi="Book Antiqua" w:cs="Book Antiqua" w:hint="eastAsia"/>
          <w:color w:val="000000" w:themeColor="text1"/>
          <w:lang w:eastAsia="zh-CN"/>
        </w:rPr>
        <w:t>%</w:t>
      </w:r>
      <w:r w:rsidRPr="00872E1D">
        <w:rPr>
          <w:rFonts w:ascii="Book Antiqua" w:eastAsia="Book Antiqua" w:hAnsi="Book Antiqua" w:cs="Book Antiqua"/>
          <w:color w:val="000000" w:themeColor="text1"/>
        </w:rPr>
        <w:t xml:space="preserve">-55% of patients who expressed their complete adherence to a GFD did not achieve histological remission, potentially from inadvertent lapses in their daily gluten </w:t>
      </w:r>
      <w:proofErr w:type="gramStart"/>
      <w:r w:rsidRPr="00872E1D">
        <w:rPr>
          <w:rFonts w:ascii="Book Antiqua" w:eastAsia="Book Antiqua" w:hAnsi="Book Antiqua" w:cs="Book Antiqua"/>
          <w:color w:val="000000" w:themeColor="text1"/>
        </w:rPr>
        <w:t>intake</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24–27]</w:t>
      </w:r>
      <w:r w:rsidRPr="00872E1D">
        <w:rPr>
          <w:rFonts w:ascii="Book Antiqua" w:eastAsia="Book Antiqua" w:hAnsi="Book Antiqua" w:cs="Book Antiqua"/>
          <w:color w:val="000000" w:themeColor="text1"/>
        </w:rPr>
        <w:t xml:space="preserve">. Inadvertent gluten ingestion was suggested to be more frequent than intentional intake, not only when eating out, but also at </w:t>
      </w:r>
      <w:proofErr w:type="gramStart"/>
      <w:r w:rsidRPr="00872E1D">
        <w:rPr>
          <w:rFonts w:ascii="Book Antiqua" w:eastAsia="Book Antiqua" w:hAnsi="Book Antiqua" w:cs="Book Antiqua"/>
          <w:color w:val="000000" w:themeColor="text1"/>
        </w:rPr>
        <w:t>home</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28–30]</w:t>
      </w:r>
      <w:r w:rsidRPr="00872E1D">
        <w:rPr>
          <w:rFonts w:ascii="Book Antiqua" w:eastAsia="Book Antiqua" w:hAnsi="Book Antiqua" w:cs="Book Antiqua"/>
          <w:color w:val="000000" w:themeColor="text1"/>
        </w:rPr>
        <w:t xml:space="preserve">. A systematic review recently reported adherence rates ranging from 23% to 98% in the pediatric population, determined by using all available methods for evaluating </w:t>
      </w:r>
      <w:proofErr w:type="gramStart"/>
      <w:r w:rsidRPr="00872E1D">
        <w:rPr>
          <w:rFonts w:ascii="Book Antiqua" w:eastAsia="Book Antiqua" w:hAnsi="Book Antiqua" w:cs="Book Antiqua"/>
          <w:color w:val="000000" w:themeColor="text1"/>
        </w:rPr>
        <w:t>adherence</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31]</w:t>
      </w:r>
      <w:r w:rsidRPr="00872E1D">
        <w:rPr>
          <w:rFonts w:ascii="Book Antiqua" w:eastAsia="Book Antiqua" w:hAnsi="Book Antiqua" w:cs="Book Antiqua"/>
          <w:color w:val="000000" w:themeColor="text1"/>
        </w:rPr>
        <w:t xml:space="preserve">. </w:t>
      </w:r>
    </w:p>
    <w:p w14:paraId="512B4183" w14:textId="77777777" w:rsidR="00A77B3E" w:rsidRPr="00872E1D" w:rsidRDefault="00B34737"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Although continuous patient monitoring is expected to improve GFD adherence, there is no consensus on how frequent and which tools to use in the patient follow-</w:t>
      </w:r>
      <w:proofErr w:type="gramStart"/>
      <w:r w:rsidRPr="00872E1D">
        <w:rPr>
          <w:rFonts w:ascii="Book Antiqua" w:eastAsia="Book Antiqua" w:hAnsi="Book Antiqua" w:cs="Book Antiqua"/>
          <w:color w:val="000000" w:themeColor="text1"/>
        </w:rPr>
        <w:t>up</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32–35]</w:t>
      </w:r>
      <w:r w:rsidRPr="00872E1D">
        <w:rPr>
          <w:rFonts w:ascii="Book Antiqua" w:eastAsia="Book Antiqua" w:hAnsi="Book Antiqua" w:cs="Book Antiqua"/>
          <w:color w:val="000000" w:themeColor="text1"/>
        </w:rPr>
        <w:t xml:space="preserve">. All available guidelines recommended clinical and dietary evaluation as well as serology tests at least once a year or every two years to confirm the GFD adherence in addition to detecting possible </w:t>
      </w:r>
      <w:proofErr w:type="gramStart"/>
      <w:r w:rsidRPr="00872E1D">
        <w:rPr>
          <w:rFonts w:ascii="Book Antiqua" w:eastAsia="Book Antiqua" w:hAnsi="Book Antiqua" w:cs="Book Antiqua"/>
          <w:color w:val="000000" w:themeColor="text1"/>
        </w:rPr>
        <w:t>complications</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14]</w:t>
      </w:r>
      <w:r w:rsidRPr="00872E1D">
        <w:rPr>
          <w:rFonts w:ascii="Book Antiqua" w:eastAsia="Book Antiqua" w:hAnsi="Book Antiqua" w:cs="Book Antiqua"/>
          <w:color w:val="000000" w:themeColor="text1"/>
        </w:rPr>
        <w:t xml:space="preserve">. However, monitoring approaches have not been comprehensively assessed with a clear lack of a gold standard for </w:t>
      </w:r>
      <w:proofErr w:type="gramStart"/>
      <w:r w:rsidRPr="00872E1D">
        <w:rPr>
          <w:rFonts w:ascii="Book Antiqua" w:eastAsia="Book Antiqua" w:hAnsi="Book Antiqua" w:cs="Book Antiqua"/>
          <w:color w:val="000000" w:themeColor="text1"/>
        </w:rPr>
        <w:t>comparisons</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36–38]</w:t>
      </w:r>
      <w:r w:rsidRPr="00872E1D">
        <w:rPr>
          <w:rFonts w:ascii="Book Antiqua" w:eastAsia="Book Antiqua" w:hAnsi="Book Antiqua" w:cs="Book Antiqua"/>
          <w:color w:val="000000" w:themeColor="text1"/>
        </w:rPr>
        <w:t xml:space="preserve">. Thus, various questions often arise among caregivers and patients </w:t>
      </w:r>
      <w:r w:rsidRPr="00872E1D">
        <w:rPr>
          <w:rFonts w:ascii="Book Antiqua" w:eastAsia="Book Antiqua" w:hAnsi="Book Antiqua" w:cs="Book Antiqua"/>
          <w:color w:val="000000" w:themeColor="text1"/>
        </w:rPr>
        <w:lastRenderedPageBreak/>
        <w:t xml:space="preserve">regarding the best approach for detecting gluten exposure. GFD follow-up through the detection of excreted GIP has the benefits of being non-invasive, objective, and specific, highlighting its potential as a complementary technique for monitoring CeD </w:t>
      </w:r>
      <w:proofErr w:type="gramStart"/>
      <w:r w:rsidRPr="00872E1D">
        <w:rPr>
          <w:rFonts w:ascii="Book Antiqua" w:eastAsia="Book Antiqua" w:hAnsi="Book Antiqua" w:cs="Book Antiqua"/>
          <w:color w:val="000000" w:themeColor="text1"/>
        </w:rPr>
        <w:t>treatment</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8,9]</w:t>
      </w:r>
      <w:r w:rsidRPr="00872E1D">
        <w:rPr>
          <w:rFonts w:ascii="Book Antiqua" w:eastAsia="Book Antiqua" w:hAnsi="Book Antiqua" w:cs="Book Antiqua"/>
          <w:color w:val="000000" w:themeColor="text1"/>
        </w:rPr>
        <w:t>.</w:t>
      </w:r>
    </w:p>
    <w:p w14:paraId="037D2DF0" w14:textId="77777777" w:rsidR="00A77B3E" w:rsidRPr="00872E1D" w:rsidRDefault="00AE6213"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Despite the increasing number of studies on the use of GIP excretion determination for the assessment of GFD compliance</w:t>
      </w:r>
      <w:r w:rsidR="00B34737" w:rsidRPr="00872E1D">
        <w:rPr>
          <w:rFonts w:ascii="Book Antiqua" w:eastAsia="Book Antiqua" w:hAnsi="Book Antiqua" w:cs="Book Antiqua"/>
          <w:color w:val="000000" w:themeColor="text1"/>
        </w:rPr>
        <w:t xml:space="preserve">, there are limited reference guidelines on the detection of GIP in </w:t>
      </w:r>
      <w:r w:rsidR="00A54C4D">
        <w:rPr>
          <w:rFonts w:ascii="Book Antiqua" w:eastAsia="Book Antiqua" w:hAnsi="Book Antiqua" w:cs="Book Antiqua"/>
          <w:color w:val="000000" w:themeColor="text1"/>
        </w:rPr>
        <w:t>stool</w:t>
      </w:r>
      <w:r w:rsidR="00A54C4D" w:rsidRPr="00872E1D">
        <w:rPr>
          <w:rFonts w:ascii="Book Antiqua" w:eastAsia="Book Antiqua" w:hAnsi="Book Antiqua" w:cs="Book Antiqua"/>
          <w:color w:val="000000" w:themeColor="text1"/>
        </w:rPr>
        <w:t xml:space="preserve"> </w:t>
      </w:r>
      <w:r w:rsidR="00B34737" w:rsidRPr="00872E1D">
        <w:rPr>
          <w:rFonts w:ascii="Book Antiqua" w:eastAsia="Book Antiqua" w:hAnsi="Book Antiqua" w:cs="Book Antiqua"/>
          <w:color w:val="000000" w:themeColor="text1"/>
        </w:rPr>
        <w:t xml:space="preserve">and urine for monitoring the treatment in patients diagnosed with CeD. </w:t>
      </w:r>
      <w:r w:rsidR="00DD7718" w:rsidRPr="00872E1D">
        <w:rPr>
          <w:rFonts w:ascii="Book Antiqua" w:eastAsia="Book Antiqua" w:hAnsi="Book Antiqua" w:cs="Book Antiqua"/>
          <w:color w:val="000000" w:themeColor="text1"/>
        </w:rPr>
        <w:t>The purpose of this systematic review</w:t>
      </w:r>
      <w:r w:rsidR="00DD7718" w:rsidRPr="00872E1D">
        <w:rPr>
          <w:rFonts w:ascii="Book Antiqua" w:eastAsia="Book Antiqua" w:hAnsi="Book Antiqua" w:cs="Book Antiqua"/>
          <w:color w:val="000000" w:themeColor="text1"/>
          <w:szCs w:val="20"/>
        </w:rPr>
        <w:t xml:space="preserve"> </w:t>
      </w:r>
      <w:r w:rsidR="00DD7718" w:rsidRPr="00872E1D">
        <w:rPr>
          <w:rFonts w:ascii="Book Antiqua" w:eastAsia="Book Antiqua" w:hAnsi="Book Antiqua" w:cs="Book Antiqua"/>
          <w:color w:val="000000" w:themeColor="text1"/>
        </w:rPr>
        <w:t>is to compile insights from studies that tackled the practical issues related to the clinical utility of the available methods for GIP determination compared to current GFD adherence monitoring methods</w:t>
      </w:r>
      <w:r w:rsidR="00B34737" w:rsidRPr="00872E1D">
        <w:rPr>
          <w:rFonts w:ascii="Book Antiqua" w:eastAsia="Book Antiqua" w:hAnsi="Book Antiqua" w:cs="Book Antiqua"/>
          <w:color w:val="000000" w:themeColor="text1"/>
        </w:rPr>
        <w:t>.</w:t>
      </w:r>
    </w:p>
    <w:p w14:paraId="74580083" w14:textId="77777777" w:rsidR="00A77B3E" w:rsidRPr="00872E1D" w:rsidRDefault="00A77B3E" w:rsidP="00F10C3B">
      <w:pPr>
        <w:spacing w:line="360" w:lineRule="auto"/>
        <w:jc w:val="both"/>
        <w:rPr>
          <w:color w:val="000000" w:themeColor="text1"/>
        </w:rPr>
      </w:pPr>
    </w:p>
    <w:p w14:paraId="6F18A7DC" w14:textId="77777777" w:rsidR="00A77B3E" w:rsidRPr="00AC32C1" w:rsidRDefault="00B34737" w:rsidP="00F10C3B">
      <w:pPr>
        <w:spacing w:line="360" w:lineRule="auto"/>
        <w:jc w:val="both"/>
        <w:rPr>
          <w:color w:val="000000" w:themeColor="text1"/>
          <w:u w:val="single"/>
        </w:rPr>
      </w:pPr>
      <w:r w:rsidRPr="00AC32C1">
        <w:rPr>
          <w:rFonts w:ascii="Book Antiqua" w:eastAsia="Book Antiqua" w:hAnsi="Book Antiqua" w:cs="Book Antiqua"/>
          <w:b/>
          <w:caps/>
          <w:color w:val="000000" w:themeColor="text1"/>
          <w:u w:val="single"/>
        </w:rPr>
        <w:t>MATERIALS AND METHODS</w:t>
      </w:r>
    </w:p>
    <w:p w14:paraId="1FEC8FF2"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bCs/>
          <w:i/>
          <w:iCs/>
          <w:color w:val="000000" w:themeColor="text1"/>
        </w:rPr>
        <w:t>Literature search strategy</w:t>
      </w:r>
    </w:p>
    <w:p w14:paraId="515AF57A" w14:textId="77777777" w:rsidR="00A77B3E" w:rsidRDefault="00B34737" w:rsidP="00F10C3B">
      <w:pPr>
        <w:spacing w:line="360" w:lineRule="auto"/>
        <w:jc w:val="both"/>
        <w:rPr>
          <w:rFonts w:ascii="Book Antiqua" w:hAnsi="Book Antiqua" w:cs="Book Antiqua"/>
          <w:color w:val="000000" w:themeColor="text1"/>
          <w:lang w:eastAsia="zh-CN"/>
        </w:rPr>
      </w:pPr>
      <w:r w:rsidRPr="00872E1D">
        <w:rPr>
          <w:rFonts w:ascii="Book Antiqua" w:eastAsia="Book Antiqua" w:hAnsi="Book Antiqua" w:cs="Book Antiqua"/>
          <w:color w:val="000000" w:themeColor="text1"/>
        </w:rPr>
        <w:t xml:space="preserve">PubMed and Web of Science searches were performed using the search terms “gluten immunogenic peptides” or “gluten immunogenic peptide” and a combination of the previous terms with “feces”, “stools”, “urine”, “celiac disease”, “gluten-free diet”, and “adherence” using the Boolean AND operator, which allows the establishments of logical relations among concepts. References of included full-text articles were scrutinized for additional studies. </w:t>
      </w:r>
    </w:p>
    <w:p w14:paraId="29883CDD" w14:textId="77777777" w:rsidR="00AC32C1" w:rsidRPr="00AC32C1" w:rsidRDefault="00AC32C1" w:rsidP="00F10C3B">
      <w:pPr>
        <w:spacing w:line="360" w:lineRule="auto"/>
        <w:jc w:val="both"/>
        <w:rPr>
          <w:color w:val="000000" w:themeColor="text1"/>
          <w:lang w:eastAsia="zh-CN"/>
        </w:rPr>
      </w:pPr>
    </w:p>
    <w:p w14:paraId="6A93A135"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bCs/>
          <w:i/>
          <w:iCs/>
          <w:color w:val="000000" w:themeColor="text1"/>
        </w:rPr>
        <w:t>Inclusion and exclusion criteria</w:t>
      </w:r>
    </w:p>
    <w:p w14:paraId="3C9C4D90" w14:textId="77777777" w:rsidR="00A77B3E" w:rsidRPr="00872E1D" w:rsidRDefault="00B34737" w:rsidP="00F10C3B">
      <w:pPr>
        <w:spacing w:line="360" w:lineRule="auto"/>
        <w:jc w:val="both"/>
        <w:rPr>
          <w:color w:val="000000" w:themeColor="text1"/>
          <w:lang w:eastAsia="zh-CN"/>
        </w:rPr>
      </w:pPr>
      <w:r w:rsidRPr="00872E1D">
        <w:rPr>
          <w:rFonts w:ascii="Book Antiqua" w:eastAsia="Book Antiqua" w:hAnsi="Book Antiqua" w:cs="Book Antiqua"/>
          <w:color w:val="000000" w:themeColor="text1"/>
        </w:rPr>
        <w:t>The eligibility criteria were based on the PICOS (Participants, Intervention, Comparison, Outcomes, Study design) acronym. Articles eligible to be included in this review were required to meet the following criteria:</w:t>
      </w:r>
      <w:r w:rsidR="00AC32C1">
        <w:rPr>
          <w:rFonts w:hint="eastAsia"/>
          <w:color w:val="000000" w:themeColor="text1"/>
          <w:lang w:eastAsia="zh-CN"/>
        </w:rPr>
        <w:t xml:space="preserve"> (1) </w:t>
      </w:r>
      <w:r w:rsidRPr="00872E1D">
        <w:rPr>
          <w:rFonts w:ascii="Book Antiqua" w:eastAsia="Book Antiqua" w:hAnsi="Book Antiqua" w:cs="Book Antiqua"/>
          <w:color w:val="000000" w:themeColor="text1"/>
        </w:rPr>
        <w:t>The study reported both children and adult patients diagnosed with CeD since it would be more useful for readers as the evidence available about the use of this tool is limited</w:t>
      </w:r>
      <w:r w:rsidR="00AC32C1">
        <w:rPr>
          <w:rFonts w:ascii="Book Antiqua" w:hAnsi="Book Antiqua" w:cs="Book Antiqua" w:hint="eastAsia"/>
          <w:color w:val="000000" w:themeColor="text1"/>
          <w:lang w:eastAsia="zh-CN"/>
        </w:rPr>
        <w:t xml:space="preserve">; (2) </w:t>
      </w:r>
      <w:r w:rsidRPr="00872E1D">
        <w:rPr>
          <w:rFonts w:ascii="Book Antiqua" w:eastAsia="Book Antiqua" w:hAnsi="Book Antiqua" w:cs="Book Antiqua"/>
          <w:color w:val="000000" w:themeColor="text1"/>
        </w:rPr>
        <w:t>The intervention was the use of GIP determination in stool and/or urine as a tool for monitoring the rate of adherence to the GFD in comparison with the current tools in use, like the serology, dietetic questionnaires, symptomatology, and duodenal biopsy</w:t>
      </w:r>
      <w:r w:rsidR="00AC32C1">
        <w:rPr>
          <w:rFonts w:ascii="Book Antiqua" w:hAnsi="Book Antiqua" w:cs="Book Antiqua" w:hint="eastAsia"/>
          <w:color w:val="000000" w:themeColor="text1"/>
          <w:lang w:eastAsia="zh-CN"/>
        </w:rPr>
        <w:t xml:space="preserve">; (3) </w:t>
      </w:r>
      <w:r w:rsidRPr="00872E1D">
        <w:rPr>
          <w:rFonts w:ascii="Book Antiqua" w:eastAsia="Book Antiqua" w:hAnsi="Book Antiqua" w:cs="Book Antiqua"/>
          <w:color w:val="000000" w:themeColor="text1"/>
        </w:rPr>
        <w:t xml:space="preserve">It was a prospective </w:t>
      </w:r>
      <w:r w:rsidRPr="00872E1D">
        <w:rPr>
          <w:rFonts w:ascii="Book Antiqua" w:eastAsia="Book Antiqua" w:hAnsi="Book Antiqua" w:cs="Book Antiqua"/>
          <w:color w:val="000000" w:themeColor="text1"/>
        </w:rPr>
        <w:lastRenderedPageBreak/>
        <w:t>cohort/cross-sectional/case-control study</w:t>
      </w:r>
      <w:r w:rsidR="00AC32C1">
        <w:rPr>
          <w:rFonts w:ascii="Book Antiqua" w:hAnsi="Book Antiqua" w:cs="Book Antiqua" w:hint="eastAsia"/>
          <w:color w:val="000000" w:themeColor="text1"/>
          <w:lang w:eastAsia="zh-CN"/>
        </w:rPr>
        <w:t xml:space="preserve">; (4) </w:t>
      </w:r>
      <w:r w:rsidRPr="00872E1D">
        <w:rPr>
          <w:rFonts w:ascii="Book Antiqua" w:eastAsia="Book Antiqua" w:hAnsi="Book Antiqua" w:cs="Book Antiqua"/>
          <w:color w:val="000000" w:themeColor="text1"/>
        </w:rPr>
        <w:t>The article was written in English or Spanish language</w:t>
      </w:r>
      <w:r w:rsidR="00AC32C1">
        <w:rPr>
          <w:rFonts w:ascii="Book Antiqua" w:hAnsi="Book Antiqua" w:cs="Book Antiqua" w:hint="eastAsia"/>
          <w:color w:val="000000" w:themeColor="text1"/>
          <w:lang w:eastAsia="zh-CN"/>
        </w:rPr>
        <w:t xml:space="preserve">; and (5) </w:t>
      </w:r>
      <w:r w:rsidRPr="00872E1D">
        <w:rPr>
          <w:rFonts w:ascii="Book Antiqua" w:eastAsia="Book Antiqua" w:hAnsi="Book Antiqua" w:cs="Book Antiqua"/>
          <w:color w:val="000000" w:themeColor="text1"/>
        </w:rPr>
        <w:t>The article was published between 2012 and January 2021.</w:t>
      </w:r>
    </w:p>
    <w:p w14:paraId="535868F3" w14:textId="77777777" w:rsidR="00A77B3E" w:rsidRPr="00872E1D" w:rsidRDefault="00B34737"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We excluded publications that did not focus on the aim of this review. If a full-text paper could not be obtained, but the abstract presented sufficient data, the publication was included. Case reports, commentaries, reviews, conference papers, and letters were excluded.</w:t>
      </w:r>
    </w:p>
    <w:p w14:paraId="01BF11BD" w14:textId="77777777" w:rsidR="00A77B3E" w:rsidRPr="00872E1D" w:rsidRDefault="00B34737"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Retrieved manuscripts were reviewed by the authors, and the data were extracted and described.</w:t>
      </w:r>
    </w:p>
    <w:p w14:paraId="1A1842E0" w14:textId="77777777" w:rsidR="00A77B3E" w:rsidRPr="00872E1D" w:rsidRDefault="00A77B3E" w:rsidP="00F10C3B">
      <w:pPr>
        <w:spacing w:line="360" w:lineRule="auto"/>
        <w:jc w:val="both"/>
        <w:rPr>
          <w:color w:val="000000" w:themeColor="text1"/>
        </w:rPr>
      </w:pPr>
    </w:p>
    <w:p w14:paraId="2FCA3C3B" w14:textId="77777777" w:rsidR="00A77B3E" w:rsidRPr="00AC32C1" w:rsidRDefault="00B34737" w:rsidP="00F10C3B">
      <w:pPr>
        <w:spacing w:line="360" w:lineRule="auto"/>
        <w:jc w:val="both"/>
        <w:rPr>
          <w:color w:val="000000" w:themeColor="text1"/>
          <w:u w:val="single"/>
        </w:rPr>
      </w:pPr>
      <w:r w:rsidRPr="00AC32C1">
        <w:rPr>
          <w:rFonts w:ascii="Book Antiqua" w:eastAsia="Book Antiqua" w:hAnsi="Book Antiqua" w:cs="Book Antiqua"/>
          <w:b/>
          <w:caps/>
          <w:color w:val="000000" w:themeColor="text1"/>
          <w:u w:val="single"/>
        </w:rPr>
        <w:t>RESULTS</w:t>
      </w:r>
    </w:p>
    <w:p w14:paraId="7C757E65"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color w:val="000000" w:themeColor="text1"/>
        </w:rPr>
        <w:t>Through the literature review, our searches yielded 67 results after the removal of duplicates. In total, 52 entries were excluded for different reasons: 23 did not respond to the aim of this publication, 28 were reviews, case reports</w:t>
      </w:r>
      <w:r w:rsidR="00DD7718" w:rsidRPr="00872E1D">
        <w:rPr>
          <w:rFonts w:ascii="Book Antiqua" w:eastAsia="Book Antiqua" w:hAnsi="Book Antiqua" w:cs="Book Antiqua"/>
          <w:color w:val="000000" w:themeColor="text1"/>
        </w:rPr>
        <w:t>,</w:t>
      </w:r>
      <w:r w:rsidRPr="00872E1D">
        <w:rPr>
          <w:rFonts w:ascii="Book Antiqua" w:eastAsia="Book Antiqua" w:hAnsi="Book Antiqua" w:cs="Book Antiqua"/>
          <w:color w:val="000000" w:themeColor="text1"/>
        </w:rPr>
        <w:t xml:space="preserve"> or conference papers, and one had not abstract or full-text available. After screening, 15 publications were eligible for further study. Of these, 14 had a full text in English and one had an English abstract. Two publications reported complementary data about the same study (Figure 1).</w:t>
      </w:r>
    </w:p>
    <w:p w14:paraId="427ED629" w14:textId="77777777" w:rsidR="00A77B3E" w:rsidRPr="00872E1D" w:rsidRDefault="00B34737"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 xml:space="preserve">The 15 publications included both children and adults diagnosed with CeD. Healthy adult and pediatric volunteers were also included in many of the studies. The articles were published between 2016 and 2021. The characteristics of included studies are summarized in </w:t>
      </w:r>
      <w:r w:rsidRPr="002420DA">
        <w:rPr>
          <w:rFonts w:ascii="Book Antiqua" w:eastAsia="Book Antiqua" w:hAnsi="Book Antiqua" w:cs="Book Antiqua"/>
          <w:color w:val="000000" w:themeColor="text1"/>
        </w:rPr>
        <w:t>Table 1</w:t>
      </w:r>
      <w:r w:rsidR="002420DA" w:rsidRPr="002420DA">
        <w:rPr>
          <w:rFonts w:ascii="Book Antiqua" w:hAnsi="Book Antiqua" w:cs="Book Antiqua" w:hint="eastAsia"/>
          <w:color w:val="000000" w:themeColor="text1"/>
          <w:vertAlign w:val="superscript"/>
          <w:lang w:eastAsia="zh-CN"/>
        </w:rPr>
        <w:t>[8,9,22-24,29,30,39-46]</w:t>
      </w:r>
      <w:r w:rsidRPr="002420DA">
        <w:rPr>
          <w:rFonts w:ascii="Book Antiqua" w:eastAsia="Book Antiqua" w:hAnsi="Book Antiqua" w:cs="Book Antiqua"/>
          <w:color w:val="000000" w:themeColor="text1"/>
        </w:rPr>
        <w:t>.</w:t>
      </w:r>
      <w:r w:rsidRPr="00872E1D">
        <w:rPr>
          <w:rFonts w:ascii="Book Antiqua" w:eastAsia="Book Antiqua" w:hAnsi="Book Antiqua" w:cs="Book Antiqua"/>
          <w:color w:val="000000" w:themeColor="text1"/>
        </w:rPr>
        <w:t xml:space="preserve"> </w:t>
      </w:r>
    </w:p>
    <w:p w14:paraId="16EACB46" w14:textId="77777777" w:rsidR="00A77B3E" w:rsidRPr="00872E1D" w:rsidRDefault="00A77B3E" w:rsidP="00F10C3B">
      <w:pPr>
        <w:spacing w:line="360" w:lineRule="auto"/>
        <w:jc w:val="both"/>
        <w:rPr>
          <w:color w:val="000000" w:themeColor="text1"/>
        </w:rPr>
      </w:pPr>
    </w:p>
    <w:p w14:paraId="4884F0E1" w14:textId="77777777" w:rsidR="00A77B3E" w:rsidRPr="00AC32C1" w:rsidRDefault="00B34737" w:rsidP="00F10C3B">
      <w:pPr>
        <w:spacing w:line="360" w:lineRule="auto"/>
        <w:jc w:val="both"/>
        <w:rPr>
          <w:color w:val="000000" w:themeColor="text1"/>
          <w:u w:val="single"/>
        </w:rPr>
      </w:pPr>
      <w:r w:rsidRPr="00AC32C1">
        <w:rPr>
          <w:rFonts w:ascii="Book Antiqua" w:eastAsia="Book Antiqua" w:hAnsi="Book Antiqua" w:cs="Book Antiqua"/>
          <w:b/>
          <w:caps/>
          <w:color w:val="000000" w:themeColor="text1"/>
          <w:u w:val="single"/>
        </w:rPr>
        <w:t>DISCUSSION</w:t>
      </w:r>
    </w:p>
    <w:p w14:paraId="2F19C746"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bCs/>
          <w:i/>
          <w:iCs/>
          <w:color w:val="000000" w:themeColor="text1"/>
        </w:rPr>
        <w:t>Methods for the determination of excreted GIP</w:t>
      </w:r>
    </w:p>
    <w:p w14:paraId="0AFE929D" w14:textId="798E4A5B"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color w:val="000000" w:themeColor="text1"/>
        </w:rPr>
        <w:t xml:space="preserve">Analytical methods require </w:t>
      </w:r>
      <w:r w:rsidR="00802088" w:rsidRPr="00872E1D">
        <w:rPr>
          <w:rFonts w:ascii="Book Antiqua" w:eastAsia="Book Antiqua" w:hAnsi="Book Antiqua" w:cs="Book Antiqua"/>
          <w:color w:val="000000" w:themeColor="text1"/>
        </w:rPr>
        <w:t xml:space="preserve">a </w:t>
      </w:r>
      <w:r w:rsidRPr="00872E1D">
        <w:rPr>
          <w:rFonts w:ascii="Book Antiqua" w:eastAsia="Book Antiqua" w:hAnsi="Book Antiqua" w:cs="Book Antiqua"/>
          <w:color w:val="000000" w:themeColor="text1"/>
        </w:rPr>
        <w:t xml:space="preserve">standard analyte for quantitative determination. The main issue is the selection of a standard gluten peptide in the huge heterogeneity of the gluten proteins and the countless number of gluten hydrolyzed fragments. The a-gliadin 33-mer peptide (LQLQPFPQPQLPYPQPQLPYPQPQLPYPQPQPF) is resistant to hydrolysis </w:t>
      </w:r>
      <w:r w:rsidRPr="00872E1D">
        <w:rPr>
          <w:rFonts w:ascii="Book Antiqua" w:eastAsia="Book Antiqua" w:hAnsi="Book Antiqua" w:cs="Book Antiqua"/>
          <w:i/>
          <w:iCs/>
          <w:color w:val="000000" w:themeColor="text1"/>
        </w:rPr>
        <w:t>via</w:t>
      </w:r>
      <w:r w:rsidRPr="00872E1D">
        <w:rPr>
          <w:rFonts w:ascii="Book Antiqua" w:eastAsia="Book Antiqua" w:hAnsi="Book Antiqua" w:cs="Book Antiqua"/>
          <w:color w:val="000000" w:themeColor="text1"/>
        </w:rPr>
        <w:t xml:space="preserve"> gastric, pancreatic, and intestinal brush-border membrane proteases, which allows for its detection in human excretions. This peptide is considered one of </w:t>
      </w:r>
      <w:r w:rsidRPr="00872E1D">
        <w:rPr>
          <w:rFonts w:ascii="Book Antiqua" w:eastAsia="Book Antiqua" w:hAnsi="Book Antiqua" w:cs="Book Antiqua"/>
          <w:color w:val="000000" w:themeColor="text1"/>
        </w:rPr>
        <w:lastRenderedPageBreak/>
        <w:t>the most immunodominant gluten peptides for CeD patients, as it contains three overlapping T cell epitopes, repetitions of p57-68</w:t>
      </w:r>
      <w:r w:rsidRPr="00872E1D">
        <w:rPr>
          <w:rFonts w:ascii="Book Antiqua" w:eastAsia="Book Antiqua" w:hAnsi="Book Antiqua" w:cs="Book Antiqua"/>
          <w:color w:val="000000" w:themeColor="text1"/>
          <w:szCs w:val="30"/>
          <w:vertAlign w:val="superscript"/>
        </w:rPr>
        <w:t>[2,47,48]</w:t>
      </w:r>
      <w:r w:rsidRPr="00872E1D">
        <w:rPr>
          <w:rFonts w:ascii="Book Antiqua" w:eastAsia="Book Antiqua" w:hAnsi="Book Antiqua" w:cs="Book Antiqua"/>
          <w:color w:val="000000" w:themeColor="text1"/>
        </w:rPr>
        <w:t xml:space="preserve">. Monoclonal antibodies A1 and G12 were generated against the α-2-gliadin 33-mer peptide specifically and sensitively detecting significant amounts of excreted GIP in stool and </w:t>
      </w:r>
      <w:proofErr w:type="gramStart"/>
      <w:r w:rsidRPr="00872E1D">
        <w:rPr>
          <w:rFonts w:ascii="Book Antiqua" w:eastAsia="Book Antiqua" w:hAnsi="Book Antiqua" w:cs="Book Antiqua"/>
          <w:color w:val="000000" w:themeColor="text1"/>
        </w:rPr>
        <w:t>urine</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8,9]</w:t>
      </w:r>
      <w:r w:rsidRPr="00872E1D">
        <w:rPr>
          <w:rFonts w:ascii="Book Antiqua" w:eastAsia="Book Antiqua" w:hAnsi="Book Antiqua" w:cs="Book Antiqua"/>
          <w:color w:val="000000" w:themeColor="text1"/>
        </w:rPr>
        <w:t xml:space="preserve">. </w:t>
      </w:r>
      <w:r w:rsidR="00802088" w:rsidRPr="00872E1D">
        <w:rPr>
          <w:rFonts w:ascii="Book Antiqua" w:eastAsia="Book Antiqua" w:hAnsi="Book Antiqua" w:cs="Book Antiqua"/>
          <w:color w:val="000000" w:themeColor="text1"/>
        </w:rPr>
        <w:t>The reactive epitope profile may thus play an important role in the detection of excreted GIP</w:t>
      </w:r>
      <w:r w:rsidRPr="00872E1D">
        <w:rPr>
          <w:rFonts w:ascii="Book Antiqua" w:eastAsia="Book Antiqua" w:hAnsi="Book Antiqua" w:cs="Book Antiqua"/>
          <w:color w:val="000000" w:themeColor="text1"/>
        </w:rPr>
        <w:t xml:space="preserve">. Even though there are a variety of antibodies on the market that allow for gluten detection in food, </w:t>
      </w:r>
      <w:r w:rsidR="002A1507" w:rsidRPr="00872E1D">
        <w:rPr>
          <w:rFonts w:ascii="Book Antiqua" w:eastAsia="Book Antiqua" w:hAnsi="Book Antiqua" w:cs="Book Antiqua"/>
          <w:color w:val="000000" w:themeColor="text1"/>
        </w:rPr>
        <w:t xml:space="preserve">such as R5, 401.21, α20, 14G11, and 13F6, only G12 and/or A1 is useful for gluten peptide sensitive detection in </w:t>
      </w:r>
      <w:r w:rsidR="00A54C4D">
        <w:rPr>
          <w:rFonts w:ascii="Book Antiqua" w:eastAsia="Book Antiqua" w:hAnsi="Book Antiqua" w:cs="Book Antiqua"/>
          <w:color w:val="000000" w:themeColor="text1"/>
        </w:rPr>
        <w:t>stool</w:t>
      </w:r>
      <w:r w:rsidR="00A54C4D" w:rsidRPr="00872E1D">
        <w:rPr>
          <w:rFonts w:ascii="Book Antiqua" w:eastAsia="Book Antiqua" w:hAnsi="Book Antiqua" w:cs="Book Antiqua"/>
          <w:color w:val="000000" w:themeColor="text1"/>
        </w:rPr>
        <w:t xml:space="preserve"> </w:t>
      </w:r>
      <w:r w:rsidR="002A1507" w:rsidRPr="00872E1D">
        <w:rPr>
          <w:rFonts w:ascii="Book Antiqua" w:eastAsia="Book Antiqua" w:hAnsi="Book Antiqua" w:cs="Book Antiqua"/>
          <w:color w:val="000000" w:themeColor="text1"/>
        </w:rPr>
        <w:t xml:space="preserve">and </w:t>
      </w:r>
      <w:proofErr w:type="gramStart"/>
      <w:r w:rsidR="002A1507" w:rsidRPr="00872E1D">
        <w:rPr>
          <w:rFonts w:ascii="Book Antiqua" w:eastAsia="Book Antiqua" w:hAnsi="Book Antiqua" w:cs="Book Antiqua"/>
          <w:color w:val="000000" w:themeColor="text1"/>
        </w:rPr>
        <w:t>urine</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8,9,49–52]</w:t>
      </w:r>
      <w:r w:rsidRPr="00872E1D">
        <w:rPr>
          <w:rFonts w:ascii="Book Antiqua" w:eastAsia="Book Antiqua" w:hAnsi="Book Antiqua" w:cs="Book Antiqua"/>
          <w:color w:val="000000" w:themeColor="text1"/>
        </w:rPr>
        <w:t xml:space="preserve">. </w:t>
      </w:r>
    </w:p>
    <w:p w14:paraId="634B3DC4" w14:textId="77777777" w:rsidR="00A77B3E" w:rsidRPr="00872E1D" w:rsidRDefault="00B34737"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Urine samples are highly heterogeneous matrices with low protein content, making complicating the development of immunoassays for biomarkers detection. Urine contains organic molecules such as urea, creatinine, and uric acid, inorganic ions such as K</w:t>
      </w:r>
      <w:r w:rsidRPr="00872E1D">
        <w:rPr>
          <w:rFonts w:ascii="Book Antiqua" w:eastAsia="Book Antiqua" w:hAnsi="Book Antiqua" w:cs="Book Antiqua"/>
          <w:color w:val="000000" w:themeColor="text1"/>
          <w:szCs w:val="30"/>
          <w:vertAlign w:val="superscript"/>
        </w:rPr>
        <w:t>+</w:t>
      </w:r>
      <w:r w:rsidRPr="00872E1D">
        <w:rPr>
          <w:rFonts w:ascii="Book Antiqua" w:eastAsia="Book Antiqua" w:hAnsi="Book Antiqua" w:cs="Book Antiqua"/>
          <w:color w:val="000000" w:themeColor="text1"/>
        </w:rPr>
        <w:t>, Na</w:t>
      </w:r>
      <w:r w:rsidRPr="00872E1D">
        <w:rPr>
          <w:rFonts w:ascii="Book Antiqua" w:eastAsia="Book Antiqua" w:hAnsi="Book Antiqua" w:cs="Book Antiqua"/>
          <w:color w:val="000000" w:themeColor="text1"/>
          <w:szCs w:val="30"/>
          <w:vertAlign w:val="superscript"/>
        </w:rPr>
        <w:t>+</w:t>
      </w:r>
      <w:r w:rsidRPr="00872E1D">
        <w:rPr>
          <w:rFonts w:ascii="Book Antiqua" w:eastAsia="Book Antiqua" w:hAnsi="Book Antiqua" w:cs="Book Antiqua"/>
          <w:color w:val="000000" w:themeColor="text1"/>
        </w:rPr>
        <w:t>, Cl</w:t>
      </w:r>
      <w:r w:rsidRPr="00872E1D">
        <w:rPr>
          <w:rFonts w:ascii="Book Antiqua" w:eastAsia="Book Antiqua" w:hAnsi="Book Antiqua" w:cs="Book Antiqua"/>
          <w:color w:val="000000" w:themeColor="text1"/>
          <w:szCs w:val="30"/>
          <w:vertAlign w:val="superscript"/>
        </w:rPr>
        <w:t>-</w:t>
      </w:r>
      <w:r w:rsidRPr="00872E1D">
        <w:rPr>
          <w:rFonts w:ascii="Book Antiqua" w:eastAsia="Book Antiqua" w:hAnsi="Book Antiqua" w:cs="Book Antiqua"/>
          <w:color w:val="000000" w:themeColor="text1"/>
        </w:rPr>
        <w:t>, and Ca</w:t>
      </w:r>
      <w:r w:rsidRPr="00872E1D">
        <w:rPr>
          <w:rFonts w:ascii="Book Antiqua" w:eastAsia="Book Antiqua" w:hAnsi="Book Antiqua" w:cs="Book Antiqua"/>
          <w:color w:val="000000" w:themeColor="text1"/>
          <w:szCs w:val="30"/>
          <w:vertAlign w:val="superscript"/>
        </w:rPr>
        <w:t>2+</w:t>
      </w:r>
      <w:r w:rsidRPr="00872E1D">
        <w:rPr>
          <w:rFonts w:ascii="Book Antiqua" w:eastAsia="Book Antiqua" w:hAnsi="Book Antiqua" w:cs="Book Antiqua"/>
          <w:color w:val="000000" w:themeColor="text1"/>
        </w:rPr>
        <w:t xml:space="preserve">, cells, as </w:t>
      </w:r>
      <w:r w:rsidR="00AC32C1">
        <w:rPr>
          <w:rFonts w:ascii="Book Antiqua" w:eastAsia="Book Antiqua" w:hAnsi="Book Antiqua" w:cs="Book Antiqua"/>
          <w:color w:val="000000" w:themeColor="text1"/>
        </w:rPr>
        <w:t>well as peptides of more than 1</w:t>
      </w:r>
      <w:r w:rsidRPr="00872E1D">
        <w:rPr>
          <w:rFonts w:ascii="Book Antiqua" w:eastAsia="Book Antiqua" w:hAnsi="Book Antiqua" w:cs="Book Antiqua"/>
          <w:color w:val="000000" w:themeColor="text1"/>
        </w:rPr>
        <w:t xml:space="preserve">500 </w:t>
      </w:r>
      <w:proofErr w:type="gramStart"/>
      <w:r w:rsidRPr="00872E1D">
        <w:rPr>
          <w:rFonts w:ascii="Book Antiqua" w:eastAsia="Book Antiqua" w:hAnsi="Book Antiqua" w:cs="Book Antiqua"/>
          <w:color w:val="000000" w:themeColor="text1"/>
        </w:rPr>
        <w:t>proteins</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53]</w:t>
      </w:r>
      <w:r w:rsidRPr="00872E1D">
        <w:rPr>
          <w:rFonts w:ascii="Book Antiqua" w:eastAsia="Book Antiqua" w:hAnsi="Book Antiqua" w:cs="Book Antiqua"/>
          <w:color w:val="000000" w:themeColor="text1"/>
        </w:rPr>
        <w:t xml:space="preserve">. The concentration of these compounds and the pH usually exhibit considerable variability not only among individuals but also between different urine samples taken from the same </w:t>
      </w:r>
      <w:proofErr w:type="gramStart"/>
      <w:r w:rsidRPr="00872E1D">
        <w:rPr>
          <w:rFonts w:ascii="Book Antiqua" w:eastAsia="Book Antiqua" w:hAnsi="Book Antiqua" w:cs="Book Antiqua"/>
          <w:color w:val="000000" w:themeColor="text1"/>
        </w:rPr>
        <w:t>individual</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54]</w:t>
      </w:r>
      <w:r w:rsidRPr="00872E1D">
        <w:rPr>
          <w:rFonts w:ascii="Book Antiqua" w:eastAsia="Book Antiqua" w:hAnsi="Book Antiqua" w:cs="Book Antiqua"/>
          <w:color w:val="000000" w:themeColor="text1"/>
        </w:rPr>
        <w:t xml:space="preserve">. The complex composition of these samples and its variability, in addition to the high frequency of matrix interferences, complicate the reproducibility and robustness of urine immunoassays. Chatziharalambous </w:t>
      </w:r>
      <w:r w:rsidR="006E5332" w:rsidRPr="006E5332">
        <w:rPr>
          <w:rFonts w:ascii="Book Antiqua" w:eastAsia="Book Antiqua" w:hAnsi="Book Antiqua" w:cs="Book Antiqua"/>
          <w:i/>
          <w:iCs/>
          <w:color w:val="000000" w:themeColor="text1"/>
        </w:rPr>
        <w:t xml:space="preserve">et </w:t>
      </w:r>
      <w:proofErr w:type="gramStart"/>
      <w:r w:rsidR="006E5332" w:rsidRPr="006E5332">
        <w:rPr>
          <w:rFonts w:ascii="Book Antiqua" w:eastAsia="Book Antiqua" w:hAnsi="Book Antiqua" w:cs="Book Antiqua"/>
          <w:i/>
          <w:iCs/>
          <w:color w:val="000000" w:themeColor="text1"/>
        </w:rPr>
        <w:t>al</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53]</w:t>
      </w:r>
      <w:r w:rsidRPr="00872E1D">
        <w:rPr>
          <w:rFonts w:ascii="Book Antiqua" w:eastAsia="Book Antiqua" w:hAnsi="Book Antiqua" w:cs="Book Antiqua"/>
          <w:color w:val="000000" w:themeColor="text1"/>
        </w:rPr>
        <w:t xml:space="preserve"> evaluated 11 commercial ELISA assays for the detection of urine biomarkers, reporting that only three of them met the requirements of FDA validation guidelines</w:t>
      </w:r>
      <w:r w:rsidRPr="00872E1D">
        <w:rPr>
          <w:rFonts w:ascii="Book Antiqua" w:eastAsia="Book Antiqua" w:hAnsi="Book Antiqua" w:cs="Book Antiqua"/>
          <w:color w:val="000000" w:themeColor="text1"/>
          <w:szCs w:val="30"/>
          <w:vertAlign w:val="superscript"/>
        </w:rPr>
        <w:t>[55]</w:t>
      </w:r>
      <w:r w:rsidRPr="00872E1D">
        <w:rPr>
          <w:rFonts w:ascii="Book Antiqua" w:eastAsia="Book Antiqua" w:hAnsi="Book Antiqua" w:cs="Book Antiqua"/>
          <w:color w:val="000000" w:themeColor="text1"/>
        </w:rPr>
        <w:t>.</w:t>
      </w:r>
    </w:p>
    <w:p w14:paraId="588D72E6" w14:textId="77777777" w:rsidR="00A77B3E" w:rsidRPr="00872E1D" w:rsidRDefault="00C97BC8"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The currently available tests for GIP detection in stool and/or urine</w:t>
      </w:r>
      <w:r w:rsidR="006379E6">
        <w:rPr>
          <w:rFonts w:ascii="Book Antiqua" w:eastAsia="Book Antiqua" w:hAnsi="Book Antiqua" w:cs="Book Antiqua"/>
          <w:color w:val="000000" w:themeColor="text1"/>
        </w:rPr>
        <w:t xml:space="preserve"> </w:t>
      </w:r>
      <w:r w:rsidR="006379E6" w:rsidRPr="009054D2">
        <w:rPr>
          <w:rFonts w:ascii="Book Antiqua" w:eastAsia="Book Antiqua" w:hAnsi="Book Antiqua" w:cs="Book Antiqua"/>
          <w:color w:val="000000" w:themeColor="text1"/>
        </w:rPr>
        <w:t>(Table 2)</w:t>
      </w:r>
      <w:r w:rsidRPr="00872E1D">
        <w:rPr>
          <w:rFonts w:ascii="Book Antiqua" w:eastAsia="Book Antiqua" w:hAnsi="Book Antiqua" w:cs="Book Antiqua"/>
          <w:color w:val="000000" w:themeColor="text1"/>
        </w:rPr>
        <w:t xml:space="preserve"> are immunoassays adapted from those used for gluten detection in foods to maximize sensitivity</w:t>
      </w:r>
      <w:r w:rsidR="00B34737" w:rsidRPr="00872E1D">
        <w:rPr>
          <w:rFonts w:ascii="Book Antiqua" w:eastAsia="Book Antiqua" w:hAnsi="Book Antiqua" w:cs="Book Antiqua"/>
          <w:color w:val="000000" w:themeColor="text1"/>
        </w:rPr>
        <w:t xml:space="preserve">. Lateral flow immunoassay (LFIA) tests can detect GIP from concentrations of 0.15 µg GIP/g in </w:t>
      </w:r>
      <w:r w:rsidR="00A54C4D">
        <w:rPr>
          <w:rFonts w:ascii="Book Antiqua" w:eastAsia="Book Antiqua" w:hAnsi="Book Antiqua" w:cs="Book Antiqua"/>
          <w:color w:val="000000" w:themeColor="text1"/>
        </w:rPr>
        <w:t>stool</w:t>
      </w:r>
      <w:r w:rsidR="00A54C4D" w:rsidRPr="00872E1D">
        <w:rPr>
          <w:rFonts w:ascii="Book Antiqua" w:eastAsia="Book Antiqua" w:hAnsi="Book Antiqua" w:cs="Book Antiqua"/>
          <w:color w:val="000000" w:themeColor="text1"/>
        </w:rPr>
        <w:t xml:space="preserve"> </w:t>
      </w:r>
      <w:r w:rsidR="00B34737" w:rsidRPr="00872E1D">
        <w:rPr>
          <w:rFonts w:ascii="Book Antiqua" w:eastAsia="Book Antiqua" w:hAnsi="Book Antiqua" w:cs="Book Antiqua"/>
          <w:color w:val="000000" w:themeColor="text1"/>
        </w:rPr>
        <w:t>and 2.2 ng GIP/mL in urine after less than 30 minutes, showing both tests a high sensitivity (98,5% and 97%, respectively) and specificity of 100%</w:t>
      </w:r>
      <w:r w:rsidR="00B34737" w:rsidRPr="00872E1D">
        <w:rPr>
          <w:rFonts w:ascii="Book Antiqua" w:eastAsia="Book Antiqua" w:hAnsi="Book Antiqua" w:cs="Book Antiqua"/>
          <w:color w:val="000000" w:themeColor="text1"/>
          <w:szCs w:val="30"/>
          <w:vertAlign w:val="superscript"/>
        </w:rPr>
        <w:t>[9,56]</w:t>
      </w:r>
      <w:r w:rsidR="00B34737" w:rsidRPr="00872E1D">
        <w:rPr>
          <w:rFonts w:ascii="Book Antiqua" w:eastAsia="Book Antiqua" w:hAnsi="Book Antiqua" w:cs="Book Antiqua"/>
          <w:color w:val="000000" w:themeColor="text1"/>
        </w:rPr>
        <w:t xml:space="preserve">. While these tests provide qualitative data, semiquantitative results could also be obtained in urine samples using the LFIA coupled with a lateral flow </w:t>
      </w:r>
      <w:proofErr w:type="gramStart"/>
      <w:r w:rsidR="00B34737" w:rsidRPr="00872E1D">
        <w:rPr>
          <w:rFonts w:ascii="Book Antiqua" w:eastAsia="Book Antiqua" w:hAnsi="Book Antiqua" w:cs="Book Antiqua"/>
          <w:color w:val="000000" w:themeColor="text1"/>
        </w:rPr>
        <w:t>reader</w:t>
      </w:r>
      <w:r w:rsidR="00B34737" w:rsidRPr="00872E1D">
        <w:rPr>
          <w:rFonts w:ascii="Book Antiqua" w:eastAsia="Book Antiqua" w:hAnsi="Book Antiqua" w:cs="Book Antiqua"/>
          <w:color w:val="000000" w:themeColor="text1"/>
          <w:vertAlign w:val="superscript"/>
        </w:rPr>
        <w:t>[</w:t>
      </w:r>
      <w:proofErr w:type="gramEnd"/>
      <w:r w:rsidR="00B34737" w:rsidRPr="00872E1D">
        <w:rPr>
          <w:rFonts w:ascii="Book Antiqua" w:eastAsia="Book Antiqua" w:hAnsi="Book Antiqua" w:cs="Book Antiqua"/>
          <w:color w:val="000000" w:themeColor="text1"/>
          <w:vertAlign w:val="superscript"/>
        </w:rPr>
        <w:t>9]</w:t>
      </w:r>
      <w:r w:rsidR="00B34737" w:rsidRPr="00872E1D">
        <w:rPr>
          <w:rFonts w:ascii="Book Antiqua" w:eastAsia="Book Antiqua" w:hAnsi="Book Antiqua" w:cs="Book Antiqua"/>
          <w:color w:val="000000" w:themeColor="text1"/>
        </w:rPr>
        <w:t xml:space="preserve">. A quantitative G12-based sandwich ELISA test for stools was developed to increase the sensitivity and quantitative determinations. The analytical sensitivity of the assay was 0.16 µg GIP/g </w:t>
      </w:r>
      <w:r w:rsidR="00A54C4D">
        <w:rPr>
          <w:rFonts w:ascii="Book Antiqua" w:eastAsia="Book Antiqua" w:hAnsi="Book Antiqua" w:cs="Book Antiqua"/>
          <w:color w:val="000000" w:themeColor="text1"/>
        </w:rPr>
        <w:t>stool</w:t>
      </w:r>
      <w:r w:rsidR="00A54C4D" w:rsidRPr="00872E1D">
        <w:rPr>
          <w:rFonts w:ascii="Book Antiqua" w:eastAsia="Book Antiqua" w:hAnsi="Book Antiqua" w:cs="Book Antiqua"/>
          <w:color w:val="000000" w:themeColor="text1"/>
        </w:rPr>
        <w:t xml:space="preserve"> </w:t>
      </w:r>
      <w:r w:rsidR="00B34737" w:rsidRPr="00872E1D">
        <w:rPr>
          <w:rFonts w:ascii="Book Antiqua" w:eastAsia="Book Antiqua" w:hAnsi="Book Antiqua" w:cs="Book Antiqua"/>
          <w:color w:val="000000" w:themeColor="text1"/>
        </w:rPr>
        <w:t xml:space="preserve">(limit of quantification), and it was validated in a multicenter </w:t>
      </w:r>
      <w:r w:rsidR="00B34737" w:rsidRPr="00872E1D">
        <w:rPr>
          <w:rFonts w:ascii="Book Antiqua" w:eastAsia="Book Antiqua" w:hAnsi="Book Antiqua" w:cs="Book Antiqua"/>
          <w:color w:val="000000" w:themeColor="text1"/>
        </w:rPr>
        <w:lastRenderedPageBreak/>
        <w:t xml:space="preserve">clinical study, showing a diagnostic sensitivity and specificity of 98.5% and 100%, </w:t>
      </w:r>
      <w:proofErr w:type="gramStart"/>
      <w:r w:rsidR="00B34737" w:rsidRPr="00872E1D">
        <w:rPr>
          <w:rFonts w:ascii="Book Antiqua" w:eastAsia="Book Antiqua" w:hAnsi="Book Antiqua" w:cs="Book Antiqua"/>
          <w:color w:val="000000" w:themeColor="text1"/>
        </w:rPr>
        <w:t>respectively</w:t>
      </w:r>
      <w:r w:rsidR="00B34737" w:rsidRPr="00872E1D">
        <w:rPr>
          <w:rFonts w:ascii="Book Antiqua" w:eastAsia="Book Antiqua" w:hAnsi="Book Antiqua" w:cs="Book Antiqua"/>
          <w:color w:val="000000" w:themeColor="text1"/>
          <w:szCs w:val="30"/>
          <w:vertAlign w:val="superscript"/>
        </w:rPr>
        <w:t>[</w:t>
      </w:r>
      <w:proofErr w:type="gramEnd"/>
      <w:r w:rsidR="00B34737" w:rsidRPr="00872E1D">
        <w:rPr>
          <w:rFonts w:ascii="Book Antiqua" w:eastAsia="Book Antiqua" w:hAnsi="Book Antiqua" w:cs="Book Antiqua"/>
          <w:color w:val="000000" w:themeColor="text1"/>
          <w:szCs w:val="30"/>
          <w:vertAlign w:val="superscript"/>
        </w:rPr>
        <w:t>8]</w:t>
      </w:r>
      <w:r w:rsidR="00B34737" w:rsidRPr="00872E1D">
        <w:rPr>
          <w:rFonts w:ascii="Book Antiqua" w:eastAsia="Book Antiqua" w:hAnsi="Book Antiqua" w:cs="Book Antiqua"/>
          <w:color w:val="000000" w:themeColor="text1"/>
        </w:rPr>
        <w:t xml:space="preserve">. </w:t>
      </w:r>
    </w:p>
    <w:p w14:paraId="457DD492" w14:textId="77777777" w:rsidR="00AC32C1" w:rsidRDefault="00AC32C1" w:rsidP="00F10C3B">
      <w:pPr>
        <w:spacing w:line="360" w:lineRule="auto"/>
        <w:jc w:val="both"/>
        <w:rPr>
          <w:rFonts w:ascii="Book Antiqua" w:hAnsi="Book Antiqua" w:cs="Book Antiqua"/>
          <w:b/>
          <w:bCs/>
          <w:i/>
          <w:iCs/>
          <w:color w:val="000000" w:themeColor="text1"/>
          <w:lang w:eastAsia="zh-CN"/>
        </w:rPr>
      </w:pPr>
    </w:p>
    <w:p w14:paraId="0750B7EA"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bCs/>
          <w:i/>
          <w:iCs/>
          <w:color w:val="000000" w:themeColor="text1"/>
        </w:rPr>
        <w:t>Estimation of the time and amount of ingested gluten</w:t>
      </w:r>
    </w:p>
    <w:p w14:paraId="3EAC3B70" w14:textId="62C76D82"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color w:val="000000" w:themeColor="text1"/>
        </w:rPr>
        <w:t xml:space="preserve">Although a significant correlation between gluten intake and excreted GIP concentration was reported, </w:t>
      </w:r>
      <w:r w:rsidR="00C97BC8" w:rsidRPr="00872E1D">
        <w:rPr>
          <w:rFonts w:ascii="Book Antiqua" w:eastAsia="Book Antiqua" w:hAnsi="Book Antiqua" w:cs="Book Antiqua"/>
          <w:color w:val="000000" w:themeColor="text1"/>
        </w:rPr>
        <w:t xml:space="preserve">high variability is usually observed among </w:t>
      </w:r>
      <w:proofErr w:type="gramStart"/>
      <w:r w:rsidR="00C97BC8" w:rsidRPr="00872E1D">
        <w:rPr>
          <w:rFonts w:ascii="Book Antiqua" w:eastAsia="Book Antiqua" w:hAnsi="Book Antiqua" w:cs="Book Antiqua"/>
          <w:color w:val="000000" w:themeColor="text1"/>
        </w:rPr>
        <w:t>subjects</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9,29,30,43]</w:t>
      </w:r>
      <w:r w:rsidRPr="00872E1D">
        <w:rPr>
          <w:rFonts w:ascii="Book Antiqua" w:eastAsia="Book Antiqua" w:hAnsi="Book Antiqua" w:cs="Book Antiqua"/>
          <w:color w:val="000000" w:themeColor="text1"/>
        </w:rPr>
        <w:t xml:space="preserve">. Interindividual diversity (weight, sex, age, gut microbiota, </w:t>
      </w:r>
      <w:r w:rsidRPr="00872E1D">
        <w:rPr>
          <w:rFonts w:ascii="Book Antiqua" w:eastAsia="Book Antiqua" w:hAnsi="Book Antiqua" w:cs="Book Antiqua"/>
          <w:i/>
          <w:iCs/>
          <w:color w:val="000000" w:themeColor="text1"/>
        </w:rPr>
        <w:t>etc.</w:t>
      </w:r>
      <w:r w:rsidRPr="00872E1D">
        <w:rPr>
          <w:rFonts w:ascii="Book Antiqua" w:eastAsia="Book Antiqua" w:hAnsi="Book Antiqua" w:cs="Book Antiqua"/>
          <w:color w:val="000000" w:themeColor="text1"/>
        </w:rPr>
        <w:t xml:space="preserve">), the type of gluten-containing food (beer, pasta, bread, cookies, </w:t>
      </w:r>
      <w:r w:rsidRPr="00872E1D">
        <w:rPr>
          <w:rFonts w:ascii="Book Antiqua" w:eastAsia="Book Antiqua" w:hAnsi="Book Antiqua" w:cs="Book Antiqua"/>
          <w:i/>
          <w:iCs/>
          <w:color w:val="000000" w:themeColor="text1"/>
        </w:rPr>
        <w:t>etc.</w:t>
      </w:r>
      <w:r w:rsidRPr="00872E1D">
        <w:rPr>
          <w:rFonts w:ascii="Book Antiqua" w:eastAsia="Book Antiqua" w:hAnsi="Book Antiqua" w:cs="Book Antiqua"/>
          <w:color w:val="000000" w:themeColor="text1"/>
        </w:rPr>
        <w:t xml:space="preserve">), the amount of daily liquid intake, and the accompanying diet may have a considerable impact on the resulting GIP concentration as well as the excretion time in urine and stool </w:t>
      </w:r>
      <w:proofErr w:type="gramStart"/>
      <w:r w:rsidRPr="00872E1D">
        <w:rPr>
          <w:rFonts w:ascii="Book Antiqua" w:eastAsia="Book Antiqua" w:hAnsi="Book Antiqua" w:cs="Book Antiqua"/>
          <w:color w:val="000000" w:themeColor="text1"/>
        </w:rPr>
        <w:t>samples,  especially</w:t>
      </w:r>
      <w:proofErr w:type="gramEnd"/>
      <w:r w:rsidRPr="00872E1D">
        <w:rPr>
          <w:rFonts w:ascii="Book Antiqua" w:eastAsia="Book Antiqua" w:hAnsi="Book Antiqua" w:cs="Book Antiqua"/>
          <w:color w:val="000000" w:themeColor="text1"/>
        </w:rPr>
        <w:t xml:space="preserve"> when the gluten exposure is not regular</w:t>
      </w:r>
      <w:r w:rsidRPr="00872E1D">
        <w:rPr>
          <w:rFonts w:ascii="Book Antiqua" w:eastAsia="Book Antiqua" w:hAnsi="Book Antiqua" w:cs="Book Antiqua"/>
          <w:color w:val="000000" w:themeColor="text1"/>
          <w:szCs w:val="30"/>
          <w:vertAlign w:val="superscript"/>
        </w:rPr>
        <w:t>[9,29,30,43]</w:t>
      </w:r>
      <w:r w:rsidRPr="00872E1D">
        <w:rPr>
          <w:rFonts w:ascii="Book Antiqua" w:eastAsia="Book Antiqua" w:hAnsi="Book Antiqua" w:cs="Book Antiqua"/>
          <w:color w:val="000000" w:themeColor="text1"/>
        </w:rPr>
        <w:t xml:space="preserve">. </w:t>
      </w:r>
    </w:p>
    <w:p w14:paraId="707110B3" w14:textId="77777777" w:rsidR="00A77B3E" w:rsidRPr="00872E1D" w:rsidRDefault="00B34737"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 xml:space="preserve">It appears difficult to predict the specific time and amount of gluten intake with high accuracy based on excreted GIP concentration and even considering the time of sample collection. However, some constraints regarding the expected time for GIP detection and the limits of detection could have been determined in different studies (Table 3). </w:t>
      </w:r>
    </w:p>
    <w:p w14:paraId="3C9A9B23" w14:textId="77777777" w:rsidR="00A77B3E" w:rsidRPr="00872E1D" w:rsidRDefault="008816ED"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It was observed that after consuming normal gluten containing diet, a negative result in both urine and stool samples was rarely observed in the following 6-12 h and 3-5 days</w:t>
      </w:r>
      <w:r w:rsidR="00B34737" w:rsidRPr="00872E1D">
        <w:rPr>
          <w:rFonts w:ascii="Book Antiqua" w:eastAsia="Book Antiqua" w:hAnsi="Book Antiqua" w:cs="Book Antiqua"/>
          <w:color w:val="000000" w:themeColor="text1"/>
        </w:rPr>
        <w:t>, respectively, after the last gluten-containing meal</w:t>
      </w:r>
      <w:r w:rsidR="00B34737" w:rsidRPr="00872E1D">
        <w:rPr>
          <w:rFonts w:ascii="Book Antiqua" w:eastAsia="Book Antiqua" w:hAnsi="Book Antiqua" w:cs="Book Antiqua"/>
          <w:color w:val="000000" w:themeColor="text1"/>
          <w:szCs w:val="30"/>
          <w:vertAlign w:val="superscript"/>
        </w:rPr>
        <w:t>[9,43]</w:t>
      </w:r>
      <w:r w:rsidR="00B34737" w:rsidRPr="00872E1D">
        <w:rPr>
          <w:rFonts w:ascii="Book Antiqua" w:eastAsia="Book Antiqua" w:hAnsi="Book Antiqua" w:cs="Book Antiqua"/>
          <w:color w:val="000000" w:themeColor="text1"/>
        </w:rPr>
        <w:t xml:space="preserve">. Moreover, in individuals with multiple regular transgressions, the interval between gluten ingestion and urine sample collection for maximal sensitivity of detection was generally consistent between 4 and 24 </w:t>
      </w:r>
      <w:proofErr w:type="gramStart"/>
      <w:r w:rsidR="00B34737" w:rsidRPr="00872E1D">
        <w:rPr>
          <w:rFonts w:ascii="Book Antiqua" w:eastAsia="Book Antiqua" w:hAnsi="Book Antiqua" w:cs="Book Antiqua"/>
          <w:color w:val="000000" w:themeColor="text1"/>
        </w:rPr>
        <w:t>h</w:t>
      </w:r>
      <w:r w:rsidR="00B34737" w:rsidRPr="00872E1D">
        <w:rPr>
          <w:rFonts w:ascii="Book Antiqua" w:eastAsia="Book Antiqua" w:hAnsi="Book Antiqua" w:cs="Book Antiqua"/>
          <w:color w:val="000000" w:themeColor="text1"/>
          <w:szCs w:val="30"/>
          <w:vertAlign w:val="superscript"/>
        </w:rPr>
        <w:t>[</w:t>
      </w:r>
      <w:proofErr w:type="gramEnd"/>
      <w:r w:rsidR="00B34737" w:rsidRPr="00872E1D">
        <w:rPr>
          <w:rFonts w:ascii="Book Antiqua" w:eastAsia="Book Antiqua" w:hAnsi="Book Antiqua" w:cs="Book Antiqua"/>
          <w:color w:val="000000" w:themeColor="text1"/>
          <w:szCs w:val="30"/>
          <w:vertAlign w:val="superscript"/>
        </w:rPr>
        <w:t>29,30]</w:t>
      </w:r>
      <w:r w:rsidR="00B34737" w:rsidRPr="00872E1D">
        <w:rPr>
          <w:rFonts w:ascii="Book Antiqua" w:eastAsia="Book Antiqua" w:hAnsi="Book Antiqua" w:cs="Book Antiqua"/>
          <w:color w:val="000000" w:themeColor="text1"/>
        </w:rPr>
        <w:t>.</w:t>
      </w:r>
    </w:p>
    <w:p w14:paraId="123E6E27" w14:textId="77777777" w:rsidR="00A77B3E" w:rsidRDefault="00B34737" w:rsidP="00F10C3B">
      <w:pPr>
        <w:spacing w:line="360" w:lineRule="auto"/>
        <w:ind w:firstLineChars="200" w:firstLine="480"/>
        <w:jc w:val="both"/>
        <w:rPr>
          <w:rFonts w:ascii="Book Antiqua" w:hAnsi="Book Antiqua" w:cs="Book Antiqua"/>
          <w:color w:val="000000" w:themeColor="text1"/>
          <w:lang w:eastAsia="zh-CN"/>
        </w:rPr>
      </w:pPr>
      <w:r w:rsidRPr="00872E1D">
        <w:rPr>
          <w:rFonts w:ascii="Book Antiqua" w:eastAsia="Book Antiqua" w:hAnsi="Book Antiqua" w:cs="Book Antiqua"/>
          <w:color w:val="000000" w:themeColor="text1"/>
        </w:rPr>
        <w:t>Despite the variability of GIP concentrations found among individuals in most studies, a significant</w:t>
      </w:r>
      <w:r w:rsidR="008816ED" w:rsidRPr="00872E1D">
        <w:rPr>
          <w:rFonts w:ascii="Book Antiqua" w:eastAsia="Book Antiqua" w:hAnsi="Book Antiqua" w:cs="Book Antiqua"/>
          <w:color w:val="000000" w:themeColor="text1"/>
        </w:rPr>
        <w:t>ly</w:t>
      </w:r>
      <w:r w:rsidRPr="00872E1D">
        <w:rPr>
          <w:rFonts w:ascii="Book Antiqua" w:eastAsia="Book Antiqua" w:hAnsi="Book Antiqua" w:cs="Book Antiqua"/>
          <w:color w:val="000000" w:themeColor="text1"/>
        </w:rPr>
        <w:t xml:space="preserve"> low GIP content was typically observed in patients with CeD compared to healthy individuals with no diet </w:t>
      </w:r>
      <w:proofErr w:type="gramStart"/>
      <w:r w:rsidRPr="00872E1D">
        <w:rPr>
          <w:rFonts w:ascii="Book Antiqua" w:eastAsia="Book Antiqua" w:hAnsi="Book Antiqua" w:cs="Book Antiqua"/>
          <w:color w:val="000000" w:themeColor="text1"/>
        </w:rPr>
        <w:t>restrictions</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8,9]</w:t>
      </w:r>
      <w:r w:rsidRPr="00872E1D">
        <w:rPr>
          <w:rFonts w:ascii="Book Antiqua" w:eastAsia="Book Antiqua" w:hAnsi="Book Antiqua" w:cs="Book Antiqua"/>
          <w:color w:val="000000" w:themeColor="text1"/>
        </w:rPr>
        <w:t xml:space="preserve">. </w:t>
      </w:r>
    </w:p>
    <w:p w14:paraId="001478E2" w14:textId="77777777" w:rsidR="00AC32C1" w:rsidRPr="00AC32C1" w:rsidRDefault="00AC32C1" w:rsidP="00F10C3B">
      <w:pPr>
        <w:spacing w:line="360" w:lineRule="auto"/>
        <w:ind w:firstLineChars="200" w:firstLine="480"/>
        <w:jc w:val="both"/>
        <w:rPr>
          <w:color w:val="000000" w:themeColor="text1"/>
          <w:lang w:eastAsia="zh-CN"/>
        </w:rPr>
      </w:pPr>
    </w:p>
    <w:p w14:paraId="2C6E17BF"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bCs/>
          <w:i/>
          <w:iCs/>
          <w:color w:val="000000" w:themeColor="text1"/>
        </w:rPr>
        <w:t>Clinical utility of GIP determination in urine or stools</w:t>
      </w:r>
    </w:p>
    <w:p w14:paraId="1691C339" w14:textId="77777777" w:rsidR="00A77B3E" w:rsidRPr="00872E1D" w:rsidRDefault="008816ED" w:rsidP="00F10C3B">
      <w:pPr>
        <w:spacing w:line="360" w:lineRule="auto"/>
        <w:jc w:val="both"/>
        <w:rPr>
          <w:color w:val="000000" w:themeColor="text1"/>
        </w:rPr>
      </w:pPr>
      <w:r w:rsidRPr="00872E1D">
        <w:rPr>
          <w:rFonts w:ascii="Book Antiqua" w:eastAsia="Book Antiqua" w:hAnsi="Book Antiqua" w:cs="Book Antiqua"/>
          <w:color w:val="000000" w:themeColor="text1"/>
        </w:rPr>
        <w:t xml:space="preserve">Fecal immunoassays were first suggested as a novel method for the detection of gluten intake during diagnosis and GFD </w:t>
      </w:r>
      <w:proofErr w:type="gramStart"/>
      <w:r w:rsidRPr="00872E1D">
        <w:rPr>
          <w:rFonts w:ascii="Book Antiqua" w:eastAsia="Book Antiqua" w:hAnsi="Book Antiqua" w:cs="Book Antiqua"/>
          <w:color w:val="000000" w:themeColor="text1"/>
        </w:rPr>
        <w:t>monitoring</w:t>
      </w:r>
      <w:r w:rsidR="00B34737" w:rsidRPr="00872E1D">
        <w:rPr>
          <w:rFonts w:ascii="Book Antiqua" w:eastAsia="Book Antiqua" w:hAnsi="Book Antiqua" w:cs="Book Antiqua"/>
          <w:color w:val="000000" w:themeColor="text1"/>
          <w:vertAlign w:val="superscript"/>
        </w:rPr>
        <w:t>[</w:t>
      </w:r>
      <w:proofErr w:type="gramEnd"/>
      <w:r w:rsidR="00B34737" w:rsidRPr="00872E1D">
        <w:rPr>
          <w:rFonts w:ascii="Book Antiqua" w:eastAsia="Book Antiqua" w:hAnsi="Book Antiqua" w:cs="Book Antiqua"/>
          <w:color w:val="000000" w:themeColor="text1"/>
          <w:vertAlign w:val="superscript"/>
        </w:rPr>
        <w:t>57]</w:t>
      </w:r>
      <w:r w:rsidR="00B34737" w:rsidRPr="00872E1D">
        <w:rPr>
          <w:rFonts w:ascii="Book Antiqua" w:eastAsia="Book Antiqua" w:hAnsi="Book Antiqua" w:cs="Book Antiqua"/>
          <w:color w:val="000000" w:themeColor="text1"/>
        </w:rPr>
        <w:t xml:space="preserve">. Two different methods could be used </w:t>
      </w:r>
      <w:r w:rsidR="00B34737" w:rsidRPr="00872E1D">
        <w:rPr>
          <w:rFonts w:ascii="Book Antiqua" w:eastAsia="Book Antiqua" w:hAnsi="Book Antiqua" w:cs="Book Antiqua"/>
          <w:color w:val="000000" w:themeColor="text1"/>
        </w:rPr>
        <w:lastRenderedPageBreak/>
        <w:t xml:space="preserve">to estimate the amount of ingested gluten depending on the situation: LFIA test for either clinical laboratories or point-of-care settings due to its simplicity, while ELISA would be more suitable when a quantitative analysis and/or high throughput are </w:t>
      </w:r>
      <w:proofErr w:type="gramStart"/>
      <w:r w:rsidR="00B34737" w:rsidRPr="00872E1D">
        <w:rPr>
          <w:rFonts w:ascii="Book Antiqua" w:eastAsia="Book Antiqua" w:hAnsi="Book Antiqua" w:cs="Book Antiqua"/>
          <w:color w:val="000000" w:themeColor="text1"/>
        </w:rPr>
        <w:t>convenient</w:t>
      </w:r>
      <w:r w:rsidR="00B34737" w:rsidRPr="00872E1D">
        <w:rPr>
          <w:rFonts w:ascii="Book Antiqua" w:eastAsia="Book Antiqua" w:hAnsi="Book Antiqua" w:cs="Book Antiqua"/>
          <w:color w:val="000000" w:themeColor="text1"/>
          <w:vertAlign w:val="superscript"/>
        </w:rPr>
        <w:t>[</w:t>
      </w:r>
      <w:proofErr w:type="gramEnd"/>
      <w:r w:rsidR="00B34737" w:rsidRPr="00872E1D">
        <w:rPr>
          <w:rFonts w:ascii="Book Antiqua" w:eastAsia="Book Antiqua" w:hAnsi="Book Antiqua" w:cs="Book Antiqua"/>
          <w:color w:val="000000" w:themeColor="text1"/>
          <w:vertAlign w:val="superscript"/>
        </w:rPr>
        <w:t>58,59]</w:t>
      </w:r>
      <w:r w:rsidR="00B34737" w:rsidRPr="00872E1D">
        <w:rPr>
          <w:rFonts w:ascii="Book Antiqua" w:eastAsia="Book Antiqua" w:hAnsi="Book Antiqua" w:cs="Book Antiqua"/>
          <w:color w:val="000000" w:themeColor="text1"/>
        </w:rPr>
        <w:t>. In a prospective, nonrandomized, partially-blinded, multicenter study GFD compliance of CeD children and adults was examined by measuring fecal GIP (determined by ELISA), a dietary questionnaire, celiac serology, and clinical response, as markers of diet adherence</w:t>
      </w:r>
      <w:r w:rsidR="00B34737" w:rsidRPr="00872E1D">
        <w:rPr>
          <w:rFonts w:ascii="Book Antiqua" w:eastAsia="Book Antiqua" w:hAnsi="Book Antiqua" w:cs="Book Antiqua"/>
          <w:color w:val="000000" w:themeColor="text1"/>
          <w:szCs w:val="30"/>
          <w:vertAlign w:val="superscript"/>
        </w:rPr>
        <w:t>[8]</w:t>
      </w:r>
      <w:r w:rsidR="00B34737" w:rsidRPr="00872E1D">
        <w:rPr>
          <w:rFonts w:ascii="Book Antiqua" w:eastAsia="Book Antiqua" w:hAnsi="Book Antiqua" w:cs="Book Antiqua"/>
          <w:color w:val="000000" w:themeColor="text1"/>
        </w:rPr>
        <w:t>. Their results revealed detectable amounts of GIP in the stools of about 30% of the analyzed patients on a GFD for at least one ye</w:t>
      </w:r>
      <w:r w:rsidR="00AC32C1">
        <w:rPr>
          <w:rFonts w:ascii="Book Antiqua" w:eastAsia="Book Antiqua" w:hAnsi="Book Antiqua" w:cs="Book Antiqua"/>
          <w:color w:val="000000" w:themeColor="text1"/>
        </w:rPr>
        <w:t xml:space="preserve">ar in comparison to the </w:t>
      </w:r>
      <w:r w:rsidR="00B34737" w:rsidRPr="00872E1D">
        <w:rPr>
          <w:rFonts w:ascii="Book Antiqua" w:eastAsia="Book Antiqua" w:hAnsi="Book Antiqua" w:cs="Book Antiqua"/>
          <w:color w:val="000000" w:themeColor="text1"/>
        </w:rPr>
        <w:t xml:space="preserve">18% found when assessing by dietary questionnaire or by determination of anti-tTG antibodies in the serum alone. Indeed, less GIP-positive results were found in those declared non-compliant by the food questionnaire, while 70% of patients who did not declare any gluten intake had positive levels of GIP in </w:t>
      </w:r>
      <w:proofErr w:type="gramStart"/>
      <w:r w:rsidR="00B34737" w:rsidRPr="00872E1D">
        <w:rPr>
          <w:rFonts w:ascii="Book Antiqua" w:eastAsia="Book Antiqua" w:hAnsi="Book Antiqua" w:cs="Book Antiqua"/>
          <w:color w:val="000000" w:themeColor="text1"/>
        </w:rPr>
        <w:t>stools</w:t>
      </w:r>
      <w:r w:rsidR="00B34737" w:rsidRPr="00872E1D">
        <w:rPr>
          <w:rFonts w:ascii="Book Antiqua" w:eastAsia="Book Antiqua" w:hAnsi="Book Antiqua" w:cs="Book Antiqua"/>
          <w:color w:val="000000" w:themeColor="text1"/>
          <w:szCs w:val="30"/>
          <w:vertAlign w:val="superscript"/>
        </w:rPr>
        <w:t>[</w:t>
      </w:r>
      <w:proofErr w:type="gramEnd"/>
      <w:r w:rsidR="00B34737" w:rsidRPr="00872E1D">
        <w:rPr>
          <w:rFonts w:ascii="Book Antiqua" w:eastAsia="Book Antiqua" w:hAnsi="Book Antiqua" w:cs="Book Antiqua"/>
          <w:color w:val="000000" w:themeColor="text1"/>
          <w:szCs w:val="30"/>
          <w:vertAlign w:val="superscript"/>
        </w:rPr>
        <w:t>8]</w:t>
      </w:r>
      <w:r w:rsidR="00B34737" w:rsidRPr="00872E1D">
        <w:rPr>
          <w:rFonts w:ascii="Book Antiqua" w:eastAsia="Book Antiqua" w:hAnsi="Book Antiqua" w:cs="Book Antiqua"/>
          <w:color w:val="000000" w:themeColor="text1"/>
        </w:rPr>
        <w:t xml:space="preserve">. </w:t>
      </w:r>
    </w:p>
    <w:p w14:paraId="70FB11BC" w14:textId="77777777" w:rsidR="00A77B3E" w:rsidRPr="00872E1D" w:rsidRDefault="00B34737"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 xml:space="preserve">Then, Moreno </w:t>
      </w:r>
      <w:r w:rsidR="006E5332" w:rsidRPr="006E5332">
        <w:rPr>
          <w:rFonts w:ascii="Book Antiqua" w:eastAsia="Book Antiqua" w:hAnsi="Book Antiqua" w:cs="Book Antiqua"/>
          <w:i/>
          <w:iCs/>
          <w:color w:val="000000" w:themeColor="text1"/>
        </w:rPr>
        <w:t xml:space="preserve">et </w:t>
      </w:r>
      <w:proofErr w:type="gramStart"/>
      <w:r w:rsidR="006E5332" w:rsidRPr="006E5332">
        <w:rPr>
          <w:rFonts w:ascii="Book Antiqua" w:eastAsia="Book Antiqua" w:hAnsi="Book Antiqua" w:cs="Book Antiqua"/>
          <w:i/>
          <w:iCs/>
          <w:color w:val="000000" w:themeColor="text1"/>
        </w:rPr>
        <w:t>al</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9]</w:t>
      </w:r>
      <w:r w:rsidRPr="00872E1D">
        <w:rPr>
          <w:rFonts w:ascii="Book Antiqua" w:eastAsia="Book Antiqua" w:hAnsi="Book Antiqua" w:cs="Book Antiqua"/>
          <w:color w:val="000000" w:themeColor="text1"/>
        </w:rPr>
        <w:t xml:space="preserve"> demonstrated that urine samples could be used to monitor GFD compliance </w:t>
      </w:r>
      <w:r w:rsidRPr="00872E1D">
        <w:rPr>
          <w:rFonts w:ascii="Book Antiqua" w:eastAsia="Book Antiqua" w:hAnsi="Book Antiqua" w:cs="Book Antiqua"/>
          <w:i/>
          <w:iCs/>
          <w:color w:val="000000" w:themeColor="text1"/>
        </w:rPr>
        <w:t>via</w:t>
      </w:r>
      <w:r w:rsidRPr="00872E1D">
        <w:rPr>
          <w:rFonts w:ascii="Book Antiqua" w:eastAsia="Book Antiqua" w:hAnsi="Book Antiqua" w:cs="Book Antiqua"/>
          <w:color w:val="000000" w:themeColor="text1"/>
        </w:rPr>
        <w:t xml:space="preserve"> an LFIA test. </w:t>
      </w:r>
      <w:r w:rsidR="003C5300" w:rsidRPr="00872E1D">
        <w:rPr>
          <w:rFonts w:ascii="Book Antiqua" w:eastAsia="Book Antiqua" w:hAnsi="Book Antiqua" w:cs="Book Antiqua"/>
          <w:color w:val="000000" w:themeColor="text1"/>
        </w:rPr>
        <w:t>These tests revealed a high level of GFD infringement in patients on long-term treatment</w:t>
      </w:r>
      <w:r w:rsidRPr="00872E1D">
        <w:rPr>
          <w:rFonts w:ascii="Book Antiqua" w:eastAsia="Book Antiqua" w:hAnsi="Book Antiqua" w:cs="Book Antiqua"/>
          <w:color w:val="000000" w:themeColor="text1"/>
        </w:rPr>
        <w:t xml:space="preserve"> (48% and 45% in adults and children, </w:t>
      </w:r>
      <w:proofErr w:type="gramStart"/>
      <w:r w:rsidRPr="00872E1D">
        <w:rPr>
          <w:rFonts w:ascii="Book Antiqua" w:eastAsia="Book Antiqua" w:hAnsi="Book Antiqua" w:cs="Book Antiqua"/>
          <w:color w:val="000000" w:themeColor="text1"/>
        </w:rPr>
        <w:t>respectively)</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9]</w:t>
      </w:r>
      <w:r w:rsidRPr="00872E1D">
        <w:rPr>
          <w:rFonts w:ascii="Book Antiqua" w:eastAsia="Book Antiqua" w:hAnsi="Book Antiqua" w:cs="Book Antiqua"/>
          <w:color w:val="000000" w:themeColor="text1"/>
        </w:rPr>
        <w:t xml:space="preserve">. Thus, several studies have compared GIP detection results in stool and urine for GFD monitoring, with information obtained </w:t>
      </w:r>
      <w:r w:rsidRPr="00872E1D">
        <w:rPr>
          <w:rFonts w:ascii="Book Antiqua" w:eastAsia="Book Antiqua" w:hAnsi="Book Antiqua" w:cs="Book Antiqua"/>
          <w:i/>
          <w:iCs/>
          <w:color w:val="000000" w:themeColor="text1"/>
        </w:rPr>
        <w:t>via</w:t>
      </w:r>
      <w:r w:rsidRPr="00872E1D">
        <w:rPr>
          <w:rFonts w:ascii="Book Antiqua" w:eastAsia="Book Antiqua" w:hAnsi="Book Antiqua" w:cs="Book Antiqua"/>
          <w:color w:val="000000" w:themeColor="text1"/>
        </w:rPr>
        <w:t xml:space="preserve"> CeD-specific serology, dietary questionnaires, symptomatology, and duodenal biopsies, revealing the limitations of all these methods used to evaluate GFD transgressions and the concordance between them (Table 4). </w:t>
      </w:r>
    </w:p>
    <w:p w14:paraId="6AE443B1" w14:textId="77777777" w:rsidR="00A77B3E" w:rsidRPr="00872E1D" w:rsidRDefault="00B34737"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A branch of the first study with newly diagnosed pediatric CeD patients (</w:t>
      </w:r>
      <w:r w:rsidRPr="00872E1D">
        <w:rPr>
          <w:rFonts w:ascii="Book Antiqua" w:eastAsia="Book Antiqua" w:hAnsi="Book Antiqua" w:cs="Book Antiqua"/>
          <w:i/>
          <w:iCs/>
          <w:color w:val="000000" w:themeColor="text1"/>
        </w:rPr>
        <w:t>n</w:t>
      </w:r>
      <w:r w:rsidRPr="00872E1D">
        <w:rPr>
          <w:rFonts w:ascii="Book Antiqua" w:eastAsia="Book Antiqua" w:hAnsi="Book Antiqua" w:cs="Book Antiqua"/>
          <w:color w:val="000000" w:themeColor="text1"/>
        </w:rPr>
        <w:t xml:space="preserve"> = 64) showed that the percentage of diet adherence decreased on follow‐up at 6, 12</w:t>
      </w:r>
      <w:r w:rsidR="003C5300" w:rsidRPr="00872E1D">
        <w:rPr>
          <w:rFonts w:ascii="Book Antiqua" w:eastAsia="Book Antiqua" w:hAnsi="Book Antiqua" w:cs="Book Antiqua"/>
          <w:color w:val="000000" w:themeColor="text1"/>
        </w:rPr>
        <w:t>,</w:t>
      </w:r>
      <w:r w:rsidRPr="00872E1D">
        <w:rPr>
          <w:rFonts w:ascii="Book Antiqua" w:eastAsia="Book Antiqua" w:hAnsi="Book Antiqua" w:cs="Book Antiqua"/>
          <w:color w:val="000000" w:themeColor="text1"/>
        </w:rPr>
        <w:t xml:space="preserve"> and 24 mo, as the rate of GIP-positive stools increased from 13% to 25%</w:t>
      </w:r>
      <w:r w:rsidRPr="00872E1D">
        <w:rPr>
          <w:rFonts w:ascii="Book Antiqua" w:eastAsia="Book Antiqua" w:hAnsi="Book Antiqua" w:cs="Book Antiqua"/>
          <w:color w:val="000000" w:themeColor="text1"/>
          <w:szCs w:val="30"/>
          <w:vertAlign w:val="superscript"/>
        </w:rPr>
        <w:t>[40]</w:t>
      </w:r>
      <w:r w:rsidRPr="00872E1D">
        <w:rPr>
          <w:rFonts w:ascii="Book Antiqua" w:eastAsia="Book Antiqua" w:hAnsi="Book Antiqua" w:cs="Book Antiqua"/>
          <w:color w:val="000000" w:themeColor="text1"/>
        </w:rPr>
        <w:t xml:space="preserve">. Meanwhile, anti-deamidated gliadin peptide (anti-DGP) antibodies normalized by 24 </w:t>
      </w:r>
      <w:proofErr w:type="spellStart"/>
      <w:r w:rsidRPr="00872E1D">
        <w:rPr>
          <w:rFonts w:ascii="Book Antiqua" w:eastAsia="Book Antiqua" w:hAnsi="Book Antiqua" w:cs="Book Antiqua"/>
          <w:color w:val="000000" w:themeColor="text1"/>
        </w:rPr>
        <w:t>mo</w:t>
      </w:r>
      <w:proofErr w:type="spellEnd"/>
      <w:r w:rsidRPr="00872E1D">
        <w:rPr>
          <w:rFonts w:ascii="Book Antiqua" w:eastAsia="Book Antiqua" w:hAnsi="Book Antiqua" w:cs="Book Antiqua"/>
          <w:color w:val="000000" w:themeColor="text1"/>
        </w:rPr>
        <w:t>, and anti-</w:t>
      </w:r>
      <w:proofErr w:type="spellStart"/>
      <w:r w:rsidRPr="00872E1D">
        <w:rPr>
          <w:rFonts w:ascii="Book Antiqua" w:eastAsia="Book Antiqua" w:hAnsi="Book Antiqua" w:cs="Book Antiqua"/>
          <w:color w:val="000000" w:themeColor="text1"/>
        </w:rPr>
        <w:t>tTG</w:t>
      </w:r>
      <w:proofErr w:type="spellEnd"/>
      <w:r w:rsidRPr="00872E1D">
        <w:rPr>
          <w:rFonts w:ascii="Book Antiqua" w:eastAsia="Book Antiqua" w:hAnsi="Book Antiqua" w:cs="Book Antiqua"/>
          <w:color w:val="000000" w:themeColor="text1"/>
        </w:rPr>
        <w:t xml:space="preserve"> antibodies were elevated in 20% of the patients. Some children, particularly the older ones, were reported to have a propensity for GFD non-compliance, and 46% of non‐adherent participants had at least two GIP-positive stools during follow-</w:t>
      </w:r>
      <w:proofErr w:type="gramStart"/>
      <w:r w:rsidRPr="00872E1D">
        <w:rPr>
          <w:rFonts w:ascii="Book Antiqua" w:eastAsia="Book Antiqua" w:hAnsi="Book Antiqua" w:cs="Book Antiqua"/>
          <w:color w:val="000000" w:themeColor="text1"/>
        </w:rPr>
        <w:t>up</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40]</w:t>
      </w:r>
      <w:r w:rsidRPr="00872E1D">
        <w:rPr>
          <w:rFonts w:ascii="Book Antiqua" w:eastAsia="Book Antiqua" w:hAnsi="Book Antiqua" w:cs="Book Antiqua"/>
          <w:color w:val="000000" w:themeColor="text1"/>
        </w:rPr>
        <w:t xml:space="preserve">. Similar data were reported by other </w:t>
      </w:r>
      <w:proofErr w:type="gramStart"/>
      <w:r w:rsidRPr="00872E1D">
        <w:rPr>
          <w:rFonts w:ascii="Book Antiqua" w:eastAsia="Book Antiqua" w:hAnsi="Book Antiqua" w:cs="Book Antiqua"/>
          <w:color w:val="000000" w:themeColor="text1"/>
        </w:rPr>
        <w:t>groups</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22,44]</w:t>
      </w:r>
      <w:r w:rsidRPr="00872E1D">
        <w:rPr>
          <w:rFonts w:ascii="Book Antiqua" w:eastAsia="Book Antiqua" w:hAnsi="Book Antiqua" w:cs="Book Antiqua"/>
          <w:color w:val="000000" w:themeColor="text1"/>
        </w:rPr>
        <w:t>. Patients with higher levels of gluten exposure exhibited prolonged ascension of anti-tTG antibodies (</w:t>
      </w:r>
      <w:r w:rsidRPr="00872E1D">
        <w:rPr>
          <w:rFonts w:ascii="Book Antiqua" w:eastAsia="Book Antiqua" w:hAnsi="Book Antiqua" w:cs="Book Antiqua"/>
          <w:i/>
          <w:iCs/>
          <w:color w:val="000000" w:themeColor="text1"/>
        </w:rPr>
        <w:t>P</w:t>
      </w:r>
      <w:r w:rsidR="00AC32C1">
        <w:rPr>
          <w:rFonts w:ascii="Book Antiqua" w:hAnsi="Book Antiqua" w:cs="Book Antiqua" w:hint="eastAsia"/>
          <w:i/>
          <w:iCs/>
          <w:color w:val="000000" w:themeColor="text1"/>
          <w:lang w:eastAsia="zh-CN"/>
        </w:rPr>
        <w:t xml:space="preserve"> </w:t>
      </w:r>
      <w:r w:rsidRPr="00872E1D">
        <w:rPr>
          <w:rFonts w:ascii="Book Antiqua" w:eastAsia="Book Antiqua" w:hAnsi="Book Antiqua" w:cs="Book Antiqua"/>
          <w:color w:val="000000" w:themeColor="text1"/>
        </w:rPr>
        <w:t>&lt;</w:t>
      </w:r>
      <w:r w:rsidR="00AC32C1">
        <w:rPr>
          <w:rFonts w:ascii="Book Antiqua" w:hAnsi="Book Antiqua" w:cs="Book Antiqua" w:hint="eastAsia"/>
          <w:color w:val="000000" w:themeColor="text1"/>
          <w:lang w:eastAsia="zh-CN"/>
        </w:rPr>
        <w:t xml:space="preserve"> </w:t>
      </w:r>
      <w:r w:rsidRPr="00872E1D">
        <w:rPr>
          <w:rFonts w:ascii="Book Antiqua" w:eastAsia="Book Antiqua" w:hAnsi="Book Antiqua" w:cs="Book Antiqua"/>
          <w:color w:val="000000" w:themeColor="text1"/>
        </w:rPr>
        <w:t xml:space="preserve">0.05) than those with GIP-negative results. </w:t>
      </w:r>
    </w:p>
    <w:p w14:paraId="5205DACE" w14:textId="77777777" w:rsidR="00A77B3E" w:rsidRPr="00872E1D" w:rsidRDefault="00B34737"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lastRenderedPageBreak/>
        <w:t xml:space="preserve">In agreement with these data, Gerasimidis </w:t>
      </w:r>
      <w:r w:rsidR="006E5332" w:rsidRPr="006E5332">
        <w:rPr>
          <w:rFonts w:ascii="Book Antiqua" w:eastAsia="Book Antiqua" w:hAnsi="Book Antiqua" w:cs="Book Antiqua"/>
          <w:i/>
          <w:iCs/>
          <w:color w:val="000000" w:themeColor="text1"/>
        </w:rPr>
        <w:t xml:space="preserve">et </w:t>
      </w:r>
      <w:proofErr w:type="gramStart"/>
      <w:r w:rsidR="006E5332" w:rsidRPr="006E5332">
        <w:rPr>
          <w:rFonts w:ascii="Book Antiqua" w:eastAsia="Book Antiqua" w:hAnsi="Book Antiqua" w:cs="Book Antiqua"/>
          <w:i/>
          <w:iCs/>
          <w:color w:val="000000" w:themeColor="text1"/>
        </w:rPr>
        <w:t>al</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39]</w:t>
      </w:r>
      <w:r w:rsidRPr="00872E1D">
        <w:rPr>
          <w:rFonts w:ascii="Book Antiqua" w:eastAsia="Book Antiqua" w:hAnsi="Book Antiqua" w:cs="Book Antiqua"/>
          <w:color w:val="000000" w:themeColor="text1"/>
        </w:rPr>
        <w:t xml:space="preserve"> found that most patients following a GFD had GIP-negative results, while 18% exhibited recent gluten exposure, which was not detected by using anti-tTG antibodies and the Biagi score. These findings confirmed the limitations of dietary evaluation and serology in adult patients with CeD on a GFD. A quarter of patients considered adherent by those methods had detectable GIP, using both LFIA and ELISA tests, in at least one of two independent tests during the 2 wk of the study. A 65,9% of concordance was observed between dietary reports and GIP results. Only four patients had high serum antibody values and two of them confirmed dietary non-compliance, in agreement with GIP </w:t>
      </w:r>
      <w:proofErr w:type="gramStart"/>
      <w:r w:rsidRPr="00872E1D">
        <w:rPr>
          <w:rFonts w:ascii="Book Antiqua" w:eastAsia="Book Antiqua" w:hAnsi="Book Antiqua" w:cs="Book Antiqua"/>
          <w:color w:val="000000" w:themeColor="text1"/>
        </w:rPr>
        <w:t>results</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41]</w:t>
      </w:r>
      <w:r w:rsidRPr="00872E1D">
        <w:rPr>
          <w:rFonts w:ascii="Book Antiqua" w:eastAsia="Book Antiqua" w:hAnsi="Book Antiqua" w:cs="Book Antiqua"/>
          <w:color w:val="000000" w:themeColor="text1"/>
        </w:rPr>
        <w:t>.</w:t>
      </w:r>
    </w:p>
    <w:p w14:paraId="45A7F444" w14:textId="77777777" w:rsidR="00A77B3E" w:rsidRPr="00872E1D" w:rsidRDefault="00540369"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Recent research demonstrated that both ELISA and LFIA methods confirmed suspected and unsuspected dietary exposure in stool samples of CeD children and adolescent patients on a long-term GFD</w:t>
      </w:r>
      <w:r w:rsidR="00B34737" w:rsidRPr="00872E1D">
        <w:rPr>
          <w:rFonts w:ascii="Book Antiqua" w:eastAsia="Book Antiqua" w:hAnsi="Book Antiqua" w:cs="Book Antiqua"/>
          <w:color w:val="000000" w:themeColor="text1"/>
        </w:rPr>
        <w:t xml:space="preserve">. However, no significant association was found between longer GFD duration, and the amount of GIP recovered in </w:t>
      </w:r>
      <w:proofErr w:type="gramStart"/>
      <w:r w:rsidR="00A54C4D">
        <w:rPr>
          <w:rFonts w:ascii="Book Antiqua" w:eastAsia="Book Antiqua" w:hAnsi="Book Antiqua" w:cs="Book Antiqua"/>
          <w:color w:val="000000" w:themeColor="text1"/>
        </w:rPr>
        <w:t>stool</w:t>
      </w:r>
      <w:r w:rsidR="00B34737" w:rsidRPr="00872E1D">
        <w:rPr>
          <w:rFonts w:ascii="Book Antiqua" w:eastAsia="Book Antiqua" w:hAnsi="Book Antiqua" w:cs="Book Antiqua"/>
          <w:color w:val="000000" w:themeColor="text1"/>
          <w:szCs w:val="30"/>
          <w:vertAlign w:val="superscript"/>
        </w:rPr>
        <w:t>[</w:t>
      </w:r>
      <w:proofErr w:type="gramEnd"/>
      <w:r w:rsidR="00B34737" w:rsidRPr="00872E1D">
        <w:rPr>
          <w:rFonts w:ascii="Book Antiqua" w:eastAsia="Book Antiqua" w:hAnsi="Book Antiqua" w:cs="Book Antiqua"/>
          <w:color w:val="000000" w:themeColor="text1"/>
          <w:szCs w:val="30"/>
          <w:vertAlign w:val="superscript"/>
        </w:rPr>
        <w:t>43]</w:t>
      </w:r>
      <w:r w:rsidR="00B34737" w:rsidRPr="00872E1D">
        <w:rPr>
          <w:rFonts w:ascii="Book Antiqua" w:eastAsia="Book Antiqua" w:hAnsi="Book Antiqua" w:cs="Book Antiqua"/>
          <w:color w:val="000000" w:themeColor="text1"/>
        </w:rPr>
        <w:t>. GIP-positive results were obtained from 35% of patients by ELISA (</w:t>
      </w:r>
      <w:r w:rsidRPr="00872E1D">
        <w:rPr>
          <w:rFonts w:ascii="Book Antiqua" w:eastAsia="Book Antiqua" w:hAnsi="Book Antiqua" w:cs="Book Antiqua"/>
          <w:color w:val="000000" w:themeColor="text1"/>
        </w:rPr>
        <w:t>47% of these were also confirmed by LFIA</w:t>
      </w:r>
      <w:r w:rsidR="00B34737" w:rsidRPr="00872E1D">
        <w:rPr>
          <w:rFonts w:ascii="Book Antiqua" w:eastAsia="Book Antiqua" w:hAnsi="Book Antiqua" w:cs="Book Antiqua"/>
          <w:color w:val="000000" w:themeColor="text1"/>
        </w:rPr>
        <w:t>). However, based on the dietary questionnaire, 90.7% of patients were compliant with the treatment. All the patients revealed as non-adherent by the questionnaire had GIP-positive stools. Furthermore, anti-tTG antibodies were detected in five patients, three of whom were also GIP-positive. However, the authors suggested that these elevated levels may be related to the short length of treatment (&lt;</w:t>
      </w:r>
      <w:r w:rsidR="00AC32C1">
        <w:rPr>
          <w:rFonts w:ascii="Book Antiqua" w:hAnsi="Book Antiqua" w:cs="Book Antiqua" w:hint="eastAsia"/>
          <w:color w:val="000000" w:themeColor="text1"/>
          <w:lang w:eastAsia="zh-CN"/>
        </w:rPr>
        <w:t xml:space="preserve"> </w:t>
      </w:r>
      <w:r w:rsidR="00B34737" w:rsidRPr="00872E1D">
        <w:rPr>
          <w:rFonts w:ascii="Book Antiqua" w:eastAsia="Book Antiqua" w:hAnsi="Book Antiqua" w:cs="Book Antiqua"/>
          <w:color w:val="000000" w:themeColor="text1"/>
        </w:rPr>
        <w:t xml:space="preserve">12 mo) and a lack of GFD adherence, as a patient with negative serology and GIP-negative stools was identified. </w:t>
      </w:r>
    </w:p>
    <w:p w14:paraId="5752AFF7" w14:textId="77777777" w:rsidR="00A77B3E" w:rsidRPr="00872E1D" w:rsidRDefault="00B34737"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Differences in diet compliance rates based on a GIP LIFA test in stools and a validated adherence</w:t>
      </w:r>
      <w:r w:rsidR="00AC32C1">
        <w:rPr>
          <w:rFonts w:ascii="Book Antiqua" w:eastAsia="Book Antiqua" w:hAnsi="Book Antiqua" w:cs="Book Antiqua"/>
          <w:color w:val="000000" w:themeColor="text1"/>
        </w:rPr>
        <w:t xml:space="preserve"> questionnaire (CDAT) (92.5% </w:t>
      </w:r>
      <w:r w:rsidR="00AC32C1" w:rsidRPr="00AC32C1">
        <w:rPr>
          <w:rFonts w:ascii="Book Antiqua" w:eastAsia="Book Antiqua" w:hAnsi="Book Antiqua" w:cs="Book Antiqua"/>
          <w:i/>
          <w:color w:val="000000" w:themeColor="text1"/>
        </w:rPr>
        <w:t>vs</w:t>
      </w:r>
      <w:r w:rsidRPr="00872E1D">
        <w:rPr>
          <w:rFonts w:ascii="Book Antiqua" w:eastAsia="Book Antiqua" w:hAnsi="Book Antiqua" w:cs="Book Antiqua"/>
          <w:color w:val="000000" w:themeColor="text1"/>
        </w:rPr>
        <w:t xml:space="preserve"> 86.3%, respectively) were observed among 80 CeD children and adolescent </w:t>
      </w:r>
      <w:proofErr w:type="gramStart"/>
      <w:r w:rsidRPr="00872E1D">
        <w:rPr>
          <w:rFonts w:ascii="Book Antiqua" w:eastAsia="Book Antiqua" w:hAnsi="Book Antiqua" w:cs="Book Antiqua"/>
          <w:color w:val="000000" w:themeColor="text1"/>
        </w:rPr>
        <w:t>patients</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22]</w:t>
      </w:r>
      <w:r w:rsidRPr="00872E1D">
        <w:rPr>
          <w:rFonts w:ascii="Book Antiqua" w:eastAsia="Book Antiqua" w:hAnsi="Book Antiqua" w:cs="Book Antiqua"/>
          <w:color w:val="000000" w:themeColor="text1"/>
        </w:rPr>
        <w:t xml:space="preserve">. Nevertheless, the methods exhibited acceptable concordance (Kappa: 0.31, </w:t>
      </w:r>
      <w:r w:rsidRPr="00872E1D">
        <w:rPr>
          <w:rFonts w:ascii="Book Antiqua" w:eastAsia="Book Antiqua" w:hAnsi="Book Antiqua" w:cs="Book Antiqua"/>
          <w:i/>
          <w:iCs/>
          <w:color w:val="000000" w:themeColor="text1"/>
        </w:rPr>
        <w:t>P</w:t>
      </w:r>
      <w:r w:rsidRPr="00872E1D">
        <w:rPr>
          <w:rFonts w:ascii="Book Antiqua" w:eastAsia="Book Antiqua" w:hAnsi="Book Antiqua" w:cs="Book Antiqua"/>
          <w:color w:val="000000" w:themeColor="text1"/>
        </w:rPr>
        <w:t xml:space="preserve">=.004). </w:t>
      </w:r>
      <w:r w:rsidR="00630BB5" w:rsidRPr="00872E1D">
        <w:rPr>
          <w:rFonts w:ascii="Book Antiqua" w:eastAsia="Book Antiqua" w:hAnsi="Book Antiqua" w:cs="Book Antiqua"/>
          <w:color w:val="000000" w:themeColor="text1"/>
        </w:rPr>
        <w:t>Of those patients with good adherence using CDAT (</w:t>
      </w:r>
      <w:r w:rsidR="00630BB5" w:rsidRPr="00872E1D">
        <w:rPr>
          <w:rFonts w:ascii="Book Antiqua" w:eastAsia="Book Antiqua" w:hAnsi="Book Antiqua" w:cs="Book Antiqua"/>
          <w:i/>
          <w:iCs/>
          <w:color w:val="000000" w:themeColor="text1"/>
        </w:rPr>
        <w:t>n</w:t>
      </w:r>
      <w:r w:rsidR="00630BB5" w:rsidRPr="00872E1D">
        <w:rPr>
          <w:rFonts w:ascii="Book Antiqua" w:eastAsia="Book Antiqua" w:hAnsi="Book Antiqua" w:cs="Book Antiqua"/>
          <w:color w:val="000000" w:themeColor="text1"/>
        </w:rPr>
        <w:t xml:space="preserve"> = 66), three had GIP-positive results</w:t>
      </w:r>
      <w:r w:rsidRPr="00872E1D">
        <w:rPr>
          <w:rFonts w:ascii="Book Antiqua" w:eastAsia="Book Antiqua" w:hAnsi="Book Antiqua" w:cs="Book Antiqua"/>
          <w:color w:val="000000" w:themeColor="text1"/>
        </w:rPr>
        <w:t xml:space="preserve">. </w:t>
      </w:r>
      <w:proofErr w:type="spellStart"/>
      <w:r w:rsidRPr="00872E1D">
        <w:rPr>
          <w:rFonts w:ascii="Book Antiqua" w:eastAsia="Book Antiqua" w:hAnsi="Book Antiqua" w:cs="Book Antiqua"/>
          <w:color w:val="000000" w:themeColor="text1"/>
        </w:rPr>
        <w:t>Porcelli</w:t>
      </w:r>
      <w:proofErr w:type="spellEnd"/>
      <w:r w:rsidRPr="00872E1D">
        <w:rPr>
          <w:rFonts w:ascii="Book Antiqua" w:eastAsia="Book Antiqua" w:hAnsi="Book Antiqua" w:cs="Book Antiqua"/>
          <w:color w:val="000000" w:themeColor="text1"/>
        </w:rPr>
        <w:t xml:space="preserve"> </w:t>
      </w:r>
      <w:r w:rsidR="006E5332" w:rsidRPr="006E5332">
        <w:rPr>
          <w:rFonts w:ascii="Book Antiqua" w:eastAsia="Book Antiqua" w:hAnsi="Book Antiqua" w:cs="Book Antiqua"/>
          <w:i/>
          <w:iCs/>
          <w:color w:val="000000" w:themeColor="text1"/>
        </w:rPr>
        <w:t xml:space="preserve">et </w:t>
      </w:r>
      <w:proofErr w:type="gramStart"/>
      <w:r w:rsidR="006E5332" w:rsidRPr="006E5332">
        <w:rPr>
          <w:rFonts w:ascii="Book Antiqua" w:eastAsia="Book Antiqua" w:hAnsi="Book Antiqua" w:cs="Book Antiqua"/>
          <w:i/>
          <w:iCs/>
          <w:color w:val="000000" w:themeColor="text1"/>
        </w:rPr>
        <w:t>al</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44]</w:t>
      </w:r>
      <w:r w:rsidRPr="00872E1D">
        <w:rPr>
          <w:rFonts w:ascii="Book Antiqua" w:eastAsia="Book Antiqua" w:hAnsi="Book Antiqua" w:cs="Book Antiqua"/>
          <w:color w:val="000000" w:themeColor="text1"/>
        </w:rPr>
        <w:t xml:space="preserve"> also found a significant association between strict diet adherence estimated by the Biagi score and fecal GIP detection. According to the Biagi score, 94.6% of GIP-negative patients exhibited good adherence. However, the questionnaire failed in the </w:t>
      </w:r>
      <w:r w:rsidRPr="00872E1D">
        <w:rPr>
          <w:rFonts w:ascii="Book Antiqua" w:eastAsia="Book Antiqua" w:hAnsi="Book Antiqua" w:cs="Book Antiqua"/>
          <w:color w:val="000000" w:themeColor="text1"/>
        </w:rPr>
        <w:lastRenderedPageBreak/>
        <w:t xml:space="preserve">identification of 57.1% of GIP-positive patients, </w:t>
      </w:r>
      <w:r w:rsidR="002631EA" w:rsidRPr="00872E1D">
        <w:rPr>
          <w:rFonts w:ascii="Book Antiqua" w:eastAsia="Book Antiqua" w:hAnsi="Book Antiqua" w:cs="Book Antiqua"/>
          <w:color w:val="000000" w:themeColor="text1"/>
        </w:rPr>
        <w:t xml:space="preserve">while GIP detection did not recognize 5.4% of gluten exposures declared </w:t>
      </w:r>
      <w:r w:rsidR="002631EA" w:rsidRPr="00872E1D">
        <w:rPr>
          <w:rFonts w:ascii="Book Antiqua" w:eastAsia="Book Antiqua" w:hAnsi="Book Antiqua" w:cs="Book Antiqua"/>
          <w:i/>
          <w:iCs/>
          <w:color w:val="000000" w:themeColor="text1"/>
        </w:rPr>
        <w:t>via</w:t>
      </w:r>
      <w:r w:rsidR="002631EA" w:rsidRPr="00872E1D">
        <w:rPr>
          <w:rFonts w:ascii="Book Antiqua" w:eastAsia="Book Antiqua" w:hAnsi="Book Antiqua" w:cs="Book Antiqua"/>
          <w:color w:val="000000" w:themeColor="text1"/>
        </w:rPr>
        <w:t xml:space="preserve"> the questionnaire</w:t>
      </w:r>
      <w:r w:rsidRPr="00872E1D">
        <w:rPr>
          <w:rFonts w:ascii="Book Antiqua" w:eastAsia="Book Antiqua" w:hAnsi="Book Antiqua" w:cs="Book Antiqua"/>
          <w:color w:val="000000" w:themeColor="text1"/>
        </w:rPr>
        <w:t xml:space="preserve">. In this study, 62.5% of GIP-positive patients exhibited negative anti-tTG antibodies levels. </w:t>
      </w:r>
    </w:p>
    <w:p w14:paraId="1A3579B7" w14:textId="0F7F6CA2" w:rsidR="00A77B3E" w:rsidRPr="00872E1D" w:rsidRDefault="002631EA"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 xml:space="preserve">The results from the DOGGIE BAG </w:t>
      </w:r>
      <w:proofErr w:type="gramStart"/>
      <w:r w:rsidRPr="00872E1D">
        <w:rPr>
          <w:rFonts w:ascii="Book Antiqua" w:eastAsia="Book Antiqua" w:hAnsi="Book Antiqua" w:cs="Book Antiqua"/>
          <w:color w:val="000000" w:themeColor="text1"/>
        </w:rPr>
        <w:t>study</w:t>
      </w:r>
      <w:r w:rsidR="00B34737" w:rsidRPr="00872E1D">
        <w:rPr>
          <w:rFonts w:ascii="Book Antiqua" w:eastAsia="Book Antiqua" w:hAnsi="Book Antiqua" w:cs="Book Antiqua"/>
          <w:color w:val="000000" w:themeColor="text1"/>
          <w:szCs w:val="30"/>
          <w:vertAlign w:val="superscript"/>
        </w:rPr>
        <w:t>[</w:t>
      </w:r>
      <w:proofErr w:type="gramEnd"/>
      <w:r w:rsidR="00B34737" w:rsidRPr="00872E1D">
        <w:rPr>
          <w:rFonts w:ascii="Book Antiqua" w:eastAsia="Book Antiqua" w:hAnsi="Book Antiqua" w:cs="Book Antiqua"/>
          <w:color w:val="000000" w:themeColor="text1"/>
          <w:szCs w:val="30"/>
          <w:vertAlign w:val="superscript"/>
        </w:rPr>
        <w:t>29,30]</w:t>
      </w:r>
      <w:r w:rsidR="00B34737" w:rsidRPr="00872E1D">
        <w:rPr>
          <w:rFonts w:ascii="Book Antiqua" w:eastAsia="Book Antiqua" w:hAnsi="Book Antiqua" w:cs="Book Antiqua"/>
          <w:color w:val="000000" w:themeColor="text1"/>
        </w:rPr>
        <w:t xml:space="preserve"> also confirmed that diet transgressions in patients with CeD were frequent despite efforts made to strictly follow the GFD. In this prospective longitudinal study, the food consumed by patients, in addition to their urine and stool samples, were analyzed for gluten intake and GIP excretion, respectively, </w:t>
      </w:r>
      <w:r w:rsidRPr="00872E1D">
        <w:rPr>
          <w:rFonts w:ascii="Book Antiqua" w:eastAsia="Book Antiqua" w:hAnsi="Book Antiqua" w:cs="Book Antiqua"/>
          <w:color w:val="000000" w:themeColor="text1"/>
        </w:rPr>
        <w:t>throughout 10 days before a biopsy at 24 mo after the diagnosis</w:t>
      </w:r>
      <w:r w:rsidR="00B34737" w:rsidRPr="00872E1D">
        <w:rPr>
          <w:rFonts w:ascii="Book Antiqua" w:eastAsia="Book Antiqua" w:hAnsi="Book Antiqua" w:cs="Book Antiqua"/>
          <w:color w:val="000000" w:themeColor="text1"/>
        </w:rPr>
        <w:t xml:space="preserve">. Gluten was found in the food of 9/18 participants at concentrations as </w:t>
      </w:r>
      <w:r w:rsidRPr="00872E1D">
        <w:rPr>
          <w:rFonts w:ascii="Book Antiqua" w:eastAsia="Book Antiqua" w:hAnsi="Book Antiqua" w:cs="Book Antiqua"/>
          <w:color w:val="000000" w:themeColor="text1"/>
        </w:rPr>
        <w:t>high</w:t>
      </w:r>
      <w:r w:rsidR="00B34737" w:rsidRPr="00872E1D">
        <w:rPr>
          <w:rFonts w:ascii="Book Antiqua" w:eastAsia="Book Antiqua" w:hAnsi="Book Antiqua" w:cs="Book Antiqua"/>
          <w:color w:val="000000" w:themeColor="text1"/>
        </w:rPr>
        <w:t xml:space="preserve"> as 200 ppm, and GIP-positive results were obtained in 12/18 participants reporting good adherence to the GFD (8 of these had positive urine samples, and five had positive stool samples). No correlation was observed between gluten exposure and commonly used non-invasive measures of GFD adherence. Most of the participants (73%) who suspected a gluten exposure had at least one positive food, stool, or urine sample. Among the remaining participants who did not suspect any gluten intake, four of them resulted positive for </w:t>
      </w:r>
      <w:proofErr w:type="gramStart"/>
      <w:r w:rsidR="00B34737" w:rsidRPr="00872E1D">
        <w:rPr>
          <w:rFonts w:ascii="Book Antiqua" w:eastAsia="Book Antiqua" w:hAnsi="Book Antiqua" w:cs="Book Antiqua"/>
          <w:color w:val="000000" w:themeColor="text1"/>
        </w:rPr>
        <w:t>GIP</w:t>
      </w:r>
      <w:r w:rsidR="00B34737" w:rsidRPr="00872E1D">
        <w:rPr>
          <w:rFonts w:ascii="Book Antiqua" w:eastAsia="Book Antiqua" w:hAnsi="Book Antiqua" w:cs="Book Antiqua"/>
          <w:color w:val="000000" w:themeColor="text1"/>
          <w:szCs w:val="30"/>
          <w:vertAlign w:val="superscript"/>
        </w:rPr>
        <w:t>[</w:t>
      </w:r>
      <w:proofErr w:type="gramEnd"/>
      <w:r w:rsidR="00B34737" w:rsidRPr="00872E1D">
        <w:rPr>
          <w:rFonts w:ascii="Book Antiqua" w:eastAsia="Book Antiqua" w:hAnsi="Book Antiqua" w:cs="Book Antiqua"/>
          <w:color w:val="000000" w:themeColor="text1"/>
          <w:szCs w:val="30"/>
          <w:vertAlign w:val="superscript"/>
        </w:rPr>
        <w:t>29,30]</w:t>
      </w:r>
      <w:r w:rsidR="00B34737" w:rsidRPr="00872E1D">
        <w:rPr>
          <w:rFonts w:ascii="Book Antiqua" w:eastAsia="Book Antiqua" w:hAnsi="Book Antiqua" w:cs="Book Antiqua"/>
          <w:color w:val="000000" w:themeColor="text1"/>
        </w:rPr>
        <w:t xml:space="preserve">. Other authors also found </w:t>
      </w:r>
      <w:r w:rsidR="00BD3CFB" w:rsidRPr="00872E1D">
        <w:rPr>
          <w:rFonts w:ascii="Book Antiqua" w:eastAsia="Book Antiqua" w:hAnsi="Book Antiqua" w:cs="Book Antiqua"/>
          <w:color w:val="000000" w:themeColor="text1"/>
        </w:rPr>
        <w:t xml:space="preserve">a </w:t>
      </w:r>
      <w:r w:rsidR="00B34737" w:rsidRPr="00872E1D">
        <w:rPr>
          <w:rFonts w:ascii="Book Antiqua" w:eastAsia="Book Antiqua" w:hAnsi="Book Antiqua" w:cs="Book Antiqua"/>
          <w:color w:val="000000" w:themeColor="text1"/>
        </w:rPr>
        <w:t>significant association between patient self-reported gluten consumption and GIP detection. GIP w</w:t>
      </w:r>
      <w:r w:rsidR="00BD3CFB" w:rsidRPr="00872E1D">
        <w:rPr>
          <w:rFonts w:ascii="Book Antiqua" w:eastAsia="Book Antiqua" w:hAnsi="Book Antiqua" w:cs="Book Antiqua"/>
          <w:color w:val="000000" w:themeColor="text1"/>
        </w:rPr>
        <w:t>as</w:t>
      </w:r>
      <w:r w:rsidR="00B34737" w:rsidRPr="00872E1D">
        <w:rPr>
          <w:rFonts w:ascii="Book Antiqua" w:eastAsia="Book Antiqua" w:hAnsi="Book Antiqua" w:cs="Book Antiqua"/>
          <w:color w:val="000000" w:themeColor="text1"/>
        </w:rPr>
        <w:t xml:space="preserve"> detected in 52.9% of patients who suspected gluten intake in the last month in comparison to 16.3% for those who were not aware of any gluten </w:t>
      </w:r>
      <w:proofErr w:type="gramStart"/>
      <w:r w:rsidR="00B34737" w:rsidRPr="00872E1D">
        <w:rPr>
          <w:rFonts w:ascii="Book Antiqua" w:eastAsia="Book Antiqua" w:hAnsi="Book Antiqua" w:cs="Book Antiqua"/>
          <w:color w:val="000000" w:themeColor="text1"/>
        </w:rPr>
        <w:t>exposure</w:t>
      </w:r>
      <w:r w:rsidR="00B34737" w:rsidRPr="00872E1D">
        <w:rPr>
          <w:rFonts w:ascii="Book Antiqua" w:eastAsia="Book Antiqua" w:hAnsi="Book Antiqua" w:cs="Book Antiqua"/>
          <w:color w:val="000000" w:themeColor="text1"/>
          <w:szCs w:val="30"/>
          <w:vertAlign w:val="superscript"/>
        </w:rPr>
        <w:t>[</w:t>
      </w:r>
      <w:proofErr w:type="gramEnd"/>
      <w:r w:rsidR="00B34737" w:rsidRPr="00872E1D">
        <w:rPr>
          <w:rFonts w:ascii="Book Antiqua" w:eastAsia="Book Antiqua" w:hAnsi="Book Antiqua" w:cs="Book Antiqua"/>
          <w:color w:val="000000" w:themeColor="text1"/>
          <w:szCs w:val="30"/>
          <w:vertAlign w:val="superscript"/>
        </w:rPr>
        <w:t>45]</w:t>
      </w:r>
      <w:r w:rsidR="00B34737" w:rsidRPr="00872E1D">
        <w:rPr>
          <w:rFonts w:ascii="Book Antiqua" w:eastAsia="Book Antiqua" w:hAnsi="Book Antiqua" w:cs="Book Antiqua"/>
          <w:color w:val="000000" w:themeColor="text1"/>
        </w:rPr>
        <w:t xml:space="preserve">. </w:t>
      </w:r>
    </w:p>
    <w:p w14:paraId="108B12F0" w14:textId="77777777" w:rsidR="00A77B3E" w:rsidRPr="00872E1D" w:rsidRDefault="00B34737"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 xml:space="preserve">On the other hand, several studies examined the association between the available tools for GFD monitoring and the duodenal biopsy, currently considered the gold standard (Table 5). Moreno </w:t>
      </w:r>
      <w:r w:rsidR="006E5332" w:rsidRPr="006E5332">
        <w:rPr>
          <w:rFonts w:ascii="Book Antiqua" w:eastAsia="Book Antiqua" w:hAnsi="Book Antiqua" w:cs="Book Antiqua"/>
          <w:i/>
          <w:iCs/>
          <w:color w:val="000000" w:themeColor="text1"/>
        </w:rPr>
        <w:t xml:space="preserve">et </w:t>
      </w:r>
      <w:proofErr w:type="gramStart"/>
      <w:r w:rsidR="006E5332" w:rsidRPr="006E5332">
        <w:rPr>
          <w:rFonts w:ascii="Book Antiqua" w:eastAsia="Book Antiqua" w:hAnsi="Book Antiqua" w:cs="Book Antiqua"/>
          <w:i/>
          <w:iCs/>
          <w:color w:val="000000" w:themeColor="text1"/>
        </w:rPr>
        <w:t>al</w:t>
      </w:r>
      <w:r w:rsidRPr="00872E1D">
        <w:rPr>
          <w:rFonts w:ascii="Book Antiqua" w:eastAsia="Book Antiqua" w:hAnsi="Book Antiqua" w:cs="Book Antiqua"/>
          <w:color w:val="000000" w:themeColor="text1"/>
          <w:vertAlign w:val="superscript"/>
        </w:rPr>
        <w:t>[</w:t>
      </w:r>
      <w:proofErr w:type="gramEnd"/>
      <w:r w:rsidRPr="00872E1D">
        <w:rPr>
          <w:rFonts w:ascii="Book Antiqua" w:eastAsia="Book Antiqua" w:hAnsi="Book Antiqua" w:cs="Book Antiqua"/>
          <w:color w:val="000000" w:themeColor="text1"/>
          <w:vertAlign w:val="superscript"/>
        </w:rPr>
        <w:t>9]</w:t>
      </w:r>
      <w:r w:rsidRPr="00872E1D">
        <w:rPr>
          <w:rFonts w:ascii="Book Antiqua" w:eastAsia="Book Antiqua" w:hAnsi="Book Antiqua" w:cs="Book Antiqua"/>
          <w:color w:val="000000" w:themeColor="text1"/>
        </w:rPr>
        <w:t xml:space="preserve"> assessed the correlation between duodenal biopsies and GIP concentration in urine samples. Analysis of duodenal biopsies revealed that all the adult patients with small intestine damage (Marsh II/III) had GIP-positive urine samples (</w:t>
      </w:r>
      <w:r w:rsidRPr="00872E1D">
        <w:rPr>
          <w:rFonts w:ascii="Book Antiqua" w:eastAsia="Book Antiqua" w:hAnsi="Book Antiqua" w:cs="Book Antiqua"/>
          <w:i/>
          <w:iCs/>
          <w:color w:val="000000" w:themeColor="text1"/>
        </w:rPr>
        <w:t>n</w:t>
      </w:r>
      <w:r w:rsidRPr="00872E1D">
        <w:rPr>
          <w:rFonts w:ascii="Book Antiqua" w:eastAsia="Book Antiqua" w:hAnsi="Book Antiqua" w:cs="Book Antiqua"/>
          <w:color w:val="000000" w:themeColor="text1"/>
        </w:rPr>
        <w:t xml:space="preserve"> = 7). In addition, there was a significant correlation between the absence of GIP in urine and the absence of villus atrophy in the gut intestinal epithelium. In agreement with other </w:t>
      </w:r>
      <w:proofErr w:type="gramStart"/>
      <w:r w:rsidRPr="00872E1D">
        <w:rPr>
          <w:rFonts w:ascii="Book Antiqua" w:eastAsia="Book Antiqua" w:hAnsi="Book Antiqua" w:cs="Book Antiqua"/>
          <w:color w:val="000000" w:themeColor="text1"/>
        </w:rPr>
        <w:t>publications</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60–62]</w:t>
      </w:r>
      <w:r w:rsidRPr="00872E1D">
        <w:rPr>
          <w:rFonts w:ascii="Book Antiqua" w:eastAsia="Book Antiqua" w:hAnsi="Book Antiqua" w:cs="Book Antiqua"/>
          <w:color w:val="000000" w:themeColor="text1"/>
        </w:rPr>
        <w:t xml:space="preserve">, this study confirmed the poor correlation of serological tests with mucosal healing as well as the limitations of dietary history questionnaires in the assessment of GFD adherence. </w:t>
      </w:r>
    </w:p>
    <w:p w14:paraId="4262302B" w14:textId="77777777" w:rsidR="00A77B3E" w:rsidRPr="00872E1D" w:rsidRDefault="00B34737"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lastRenderedPageBreak/>
        <w:t>In addition, a comprehensive study with a cohort of 77 participants under treatment with a GFD for ≥</w:t>
      </w:r>
      <w:r w:rsidR="00AC32C1">
        <w:rPr>
          <w:rFonts w:ascii="Book Antiqua" w:hAnsi="Book Antiqua" w:cs="Book Antiqua" w:hint="eastAsia"/>
          <w:color w:val="000000" w:themeColor="text1"/>
          <w:lang w:eastAsia="zh-CN"/>
        </w:rPr>
        <w:t xml:space="preserve"> </w:t>
      </w:r>
      <w:r w:rsidRPr="00872E1D">
        <w:rPr>
          <w:rFonts w:ascii="Book Antiqua" w:eastAsia="Book Antiqua" w:hAnsi="Book Antiqua" w:cs="Book Antiqua"/>
          <w:color w:val="000000" w:themeColor="text1"/>
        </w:rPr>
        <w:t xml:space="preserve">24 mo revealed that 58% had detectable GIP in their urine in at least one sample of three collected during the </w:t>
      </w:r>
      <w:proofErr w:type="gramStart"/>
      <w:r w:rsidRPr="00872E1D">
        <w:rPr>
          <w:rFonts w:ascii="Book Antiqua" w:eastAsia="Book Antiqua" w:hAnsi="Book Antiqua" w:cs="Book Antiqua"/>
          <w:color w:val="000000" w:themeColor="text1"/>
        </w:rPr>
        <w:t>week</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23]</w:t>
      </w:r>
      <w:r w:rsidRPr="00872E1D">
        <w:rPr>
          <w:rFonts w:ascii="Book Antiqua" w:eastAsia="Book Antiqua" w:hAnsi="Book Antiqua" w:cs="Book Antiqua"/>
          <w:color w:val="000000" w:themeColor="text1"/>
        </w:rPr>
        <w:t>. Among the patients with GIP-negative results, 97% of them did not present histological abnormalities (Marsh 0–I), while among patients with GIP-positive results, 17 of 44 (39%) had histological damage in the intestinal epithelia</w:t>
      </w:r>
      <w:r w:rsidR="00694F3D" w:rsidRPr="00872E1D">
        <w:rPr>
          <w:rFonts w:ascii="Book Antiqua" w:eastAsia="Book Antiqua" w:hAnsi="Book Antiqua" w:cs="Book Antiqua"/>
          <w:color w:val="000000" w:themeColor="text1"/>
        </w:rPr>
        <w:t>l</w:t>
      </w:r>
      <w:r w:rsidRPr="00872E1D">
        <w:rPr>
          <w:rFonts w:ascii="Book Antiqua" w:eastAsia="Book Antiqua" w:hAnsi="Book Antiqua" w:cs="Book Antiqua"/>
          <w:color w:val="000000" w:themeColor="text1"/>
        </w:rPr>
        <w:t xml:space="preserve"> (Marsh II-III), with only 16% presenting positive serological results. Significant differences were found in GIP concentrations between participants with Marsh II–III and Marsh 0–I. The highest sensitivity was observed when at least one of three urine samples tested GIP-positive (94.4%). However, this combination exhibited low specificity (53.4%). In contrast, the optimal specificity was obtained when a single urine sample was collected on the visit day (84.2%). Then, it was expected that one GIP-positive urine sample on the day of </w:t>
      </w:r>
      <w:r w:rsidR="00694F3D" w:rsidRPr="00872E1D">
        <w:rPr>
          <w:rFonts w:ascii="Book Antiqua" w:eastAsia="Book Antiqua" w:hAnsi="Book Antiqua" w:cs="Book Antiqua"/>
          <w:color w:val="000000" w:themeColor="text1"/>
        </w:rPr>
        <w:t xml:space="preserve">the </w:t>
      </w:r>
      <w:r w:rsidRPr="00872E1D">
        <w:rPr>
          <w:rFonts w:ascii="Book Antiqua" w:eastAsia="Book Antiqua" w:hAnsi="Book Antiqua" w:cs="Book Antiqua"/>
          <w:color w:val="000000" w:themeColor="text1"/>
        </w:rPr>
        <w:t>visit would reveal a regular habit of GFD non-compliance not-restrained by the medical supervision. The authors did not observe concordance between gluten exposure measured by GIP and serology, or through a CDAT questionnaire and symptomatology, all of which exhibited low sensitivity for mucosal damage (38.9%, 22.2%, and 42.9%, respectively).</w:t>
      </w:r>
    </w:p>
    <w:p w14:paraId="4BDEB730" w14:textId="77777777" w:rsidR="00A77B3E" w:rsidRPr="00872E1D" w:rsidRDefault="00B34737"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About the association of duodenal biopsy and GIP in fecal samples, Fernández-</w:t>
      </w:r>
      <w:proofErr w:type="spellStart"/>
      <w:r w:rsidRPr="00872E1D">
        <w:rPr>
          <w:rFonts w:ascii="Book Antiqua" w:eastAsia="Book Antiqua" w:hAnsi="Book Antiqua" w:cs="Book Antiqua"/>
          <w:color w:val="000000" w:themeColor="text1"/>
        </w:rPr>
        <w:t>Bañares</w:t>
      </w:r>
      <w:proofErr w:type="spellEnd"/>
      <w:r w:rsidRPr="00872E1D">
        <w:rPr>
          <w:rFonts w:ascii="Book Antiqua" w:eastAsia="Book Antiqua" w:hAnsi="Book Antiqua" w:cs="Book Antiqua"/>
          <w:color w:val="000000" w:themeColor="text1"/>
        </w:rPr>
        <w:t xml:space="preserve"> </w:t>
      </w:r>
      <w:r w:rsidR="006E5332" w:rsidRPr="006E5332">
        <w:rPr>
          <w:rFonts w:ascii="Book Antiqua" w:eastAsia="Book Antiqua" w:hAnsi="Book Antiqua" w:cs="Book Antiqua"/>
          <w:i/>
          <w:iCs/>
          <w:color w:val="000000" w:themeColor="text1"/>
        </w:rPr>
        <w:t xml:space="preserve">et </w:t>
      </w:r>
      <w:proofErr w:type="gramStart"/>
      <w:r w:rsidR="006E5332" w:rsidRPr="006E5332">
        <w:rPr>
          <w:rFonts w:ascii="Book Antiqua" w:eastAsia="Book Antiqua" w:hAnsi="Book Antiqua" w:cs="Book Antiqua"/>
          <w:i/>
          <w:iCs/>
          <w:color w:val="000000" w:themeColor="text1"/>
        </w:rPr>
        <w:t>al</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46]</w:t>
      </w:r>
      <w:r w:rsidRPr="00872E1D">
        <w:rPr>
          <w:rFonts w:ascii="Book Antiqua" w:eastAsia="Book Antiqua" w:hAnsi="Book Antiqua" w:cs="Book Antiqua"/>
          <w:color w:val="000000" w:themeColor="text1"/>
        </w:rPr>
        <w:t xml:space="preserve"> found that most of CeD patients (77%) with persistent villous atrophy obtained a GIP-positive result in at least 1 stool sample after 2 years under GFD. In contrast, dietary evaluation failed to detect most of these gluten exposures, considering these cases as excellent or good adherent to the diet. In addition, 72.5% of those patients were asymptomatic, and 75% of them obtained negative anti-tTG antibodies. Despite GIP-positive results were also found in 60% of patients with mucosal recovery, no significant differences were found in the amount of GIP between patients with persistent villous atrophy and recovered </w:t>
      </w:r>
      <w:proofErr w:type="gramStart"/>
      <w:r w:rsidRPr="00872E1D">
        <w:rPr>
          <w:rFonts w:ascii="Book Antiqua" w:eastAsia="Book Antiqua" w:hAnsi="Book Antiqua" w:cs="Book Antiqua"/>
          <w:color w:val="000000" w:themeColor="text1"/>
        </w:rPr>
        <w:t>patients</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46]</w:t>
      </w:r>
      <w:r w:rsidRPr="00872E1D">
        <w:rPr>
          <w:rFonts w:ascii="Book Antiqua" w:eastAsia="Book Antiqua" w:hAnsi="Book Antiqua" w:cs="Book Antiqua"/>
          <w:color w:val="000000" w:themeColor="text1"/>
        </w:rPr>
        <w:t>.</w:t>
      </w:r>
    </w:p>
    <w:p w14:paraId="3A2696E9" w14:textId="17C0F629" w:rsidR="00A77B3E" w:rsidRPr="00872E1D" w:rsidRDefault="00B34737"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 xml:space="preserve">Other authors reported a weaker association between evident gluten exposure, as measured by GIP detection in urine and </w:t>
      </w:r>
      <w:r w:rsidR="00A54C4D">
        <w:rPr>
          <w:rFonts w:ascii="Book Antiqua" w:eastAsia="Book Antiqua" w:hAnsi="Book Antiqua" w:cs="Book Antiqua"/>
          <w:color w:val="000000" w:themeColor="text1"/>
        </w:rPr>
        <w:t>stool</w:t>
      </w:r>
      <w:r w:rsidRPr="00872E1D">
        <w:rPr>
          <w:rFonts w:ascii="Book Antiqua" w:eastAsia="Book Antiqua" w:hAnsi="Book Antiqua" w:cs="Book Antiqua"/>
          <w:color w:val="000000" w:themeColor="text1"/>
        </w:rPr>
        <w:t xml:space="preserve">, and persistent villous </w:t>
      </w:r>
      <w:proofErr w:type="gramStart"/>
      <w:r w:rsidRPr="00872E1D">
        <w:rPr>
          <w:rFonts w:ascii="Book Antiqua" w:eastAsia="Book Antiqua" w:hAnsi="Book Antiqua" w:cs="Book Antiqua"/>
          <w:color w:val="000000" w:themeColor="text1"/>
        </w:rPr>
        <w:t>atrophy</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29,30,45]</w:t>
      </w:r>
      <w:r w:rsidRPr="00872E1D">
        <w:rPr>
          <w:rFonts w:ascii="Book Antiqua" w:eastAsia="Book Antiqua" w:hAnsi="Book Antiqua" w:cs="Book Antiqua"/>
          <w:color w:val="000000" w:themeColor="text1"/>
        </w:rPr>
        <w:t xml:space="preserve">. In the DOGGIE BAG study referred to above, at least one GIP-positive sample was found in 7 of 11 patients with normal serology, and 2/3 of them had persistent villous atrophy </w:t>
      </w:r>
      <w:r w:rsidRPr="00872E1D">
        <w:rPr>
          <w:rFonts w:ascii="Book Antiqua" w:eastAsia="Book Antiqua" w:hAnsi="Book Antiqua" w:cs="Book Antiqua"/>
          <w:color w:val="000000" w:themeColor="text1"/>
        </w:rPr>
        <w:lastRenderedPageBreak/>
        <w:t xml:space="preserve">(Marsh IIIa) after 24 </w:t>
      </w:r>
      <w:proofErr w:type="spellStart"/>
      <w:r w:rsidRPr="00872E1D">
        <w:rPr>
          <w:rFonts w:ascii="Book Antiqua" w:eastAsia="Book Antiqua" w:hAnsi="Book Antiqua" w:cs="Book Antiqua"/>
          <w:color w:val="000000" w:themeColor="text1"/>
        </w:rPr>
        <w:t>mo</w:t>
      </w:r>
      <w:proofErr w:type="spellEnd"/>
      <w:r w:rsidRPr="00872E1D">
        <w:rPr>
          <w:rFonts w:ascii="Book Antiqua" w:eastAsia="Book Antiqua" w:hAnsi="Book Antiqua" w:cs="Book Antiqua"/>
          <w:color w:val="000000" w:themeColor="text1"/>
        </w:rPr>
        <w:t xml:space="preserve"> of follow-up. Further, 2/3 of patients with GIP-negative results for all samples were Marsh 0-I, showing significant mucosal </w:t>
      </w:r>
      <w:proofErr w:type="gramStart"/>
      <w:r w:rsidRPr="00872E1D">
        <w:rPr>
          <w:rFonts w:ascii="Book Antiqua" w:eastAsia="Book Antiqua" w:hAnsi="Book Antiqua" w:cs="Book Antiqua"/>
          <w:color w:val="000000" w:themeColor="text1"/>
        </w:rPr>
        <w:t>recovery</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29,30]</w:t>
      </w:r>
      <w:r w:rsidRPr="00872E1D">
        <w:rPr>
          <w:rFonts w:ascii="Book Antiqua" w:eastAsia="Book Antiqua" w:hAnsi="Book Antiqua" w:cs="Book Antiqua"/>
          <w:color w:val="000000" w:themeColor="text1"/>
        </w:rPr>
        <w:t xml:space="preserve">. A possible explanation for the discordance described before is that occasional or low gluten exposure may be sufficient for GIP detection but not enough to induce mucosal damage in some patients with </w:t>
      </w:r>
      <w:proofErr w:type="gramStart"/>
      <w:r w:rsidRPr="00872E1D">
        <w:rPr>
          <w:rFonts w:ascii="Book Antiqua" w:eastAsia="Book Antiqua" w:hAnsi="Book Antiqua" w:cs="Book Antiqua"/>
          <w:color w:val="000000" w:themeColor="text1"/>
        </w:rPr>
        <w:t>CeD</w:t>
      </w:r>
      <w:r w:rsidRPr="00872E1D">
        <w:rPr>
          <w:rFonts w:ascii="Book Antiqua" w:eastAsia="Book Antiqua" w:hAnsi="Book Antiqua" w:cs="Book Antiqua"/>
          <w:color w:val="000000" w:themeColor="text1"/>
          <w:vertAlign w:val="superscript"/>
        </w:rPr>
        <w:t>[</w:t>
      </w:r>
      <w:proofErr w:type="gramEnd"/>
      <w:r w:rsidRPr="00872E1D">
        <w:rPr>
          <w:rFonts w:ascii="Book Antiqua" w:eastAsia="Book Antiqua" w:hAnsi="Book Antiqua" w:cs="Book Antiqua"/>
          <w:color w:val="000000" w:themeColor="text1"/>
          <w:vertAlign w:val="superscript"/>
        </w:rPr>
        <w:t>23,29,30,45]</w:t>
      </w:r>
      <w:r w:rsidRPr="00872E1D">
        <w:rPr>
          <w:rFonts w:ascii="Book Antiqua" w:eastAsia="Book Antiqua" w:hAnsi="Book Antiqua" w:cs="Book Antiqua"/>
          <w:color w:val="000000" w:themeColor="text1"/>
        </w:rPr>
        <w:t xml:space="preserve">. A delay of intestinal mucosal </w:t>
      </w:r>
      <w:proofErr w:type="gramStart"/>
      <w:r w:rsidRPr="00872E1D">
        <w:rPr>
          <w:rFonts w:ascii="Book Antiqua" w:eastAsia="Book Antiqua" w:hAnsi="Book Antiqua" w:cs="Book Antiqua"/>
          <w:color w:val="000000" w:themeColor="text1"/>
        </w:rPr>
        <w:t>recovery</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29,30,45]</w:t>
      </w:r>
      <w:r w:rsidRPr="00872E1D">
        <w:rPr>
          <w:rFonts w:ascii="Book Antiqua" w:eastAsia="Book Antiqua" w:hAnsi="Book Antiqua" w:cs="Book Antiqua"/>
          <w:color w:val="000000" w:themeColor="text1"/>
        </w:rPr>
        <w:t xml:space="preserve"> </w:t>
      </w:r>
      <w:r w:rsidR="00894615" w:rsidRPr="00872E1D">
        <w:rPr>
          <w:rFonts w:ascii="Book Antiqua" w:eastAsia="Book Antiqua" w:hAnsi="Book Antiqua" w:cs="Book Antiqua"/>
          <w:color w:val="000000" w:themeColor="text1"/>
        </w:rPr>
        <w:t>and improved compliance of participants during the study was also considered</w:t>
      </w:r>
      <w:r w:rsidRPr="00872E1D">
        <w:rPr>
          <w:rFonts w:ascii="Book Antiqua" w:eastAsia="Book Antiqua" w:hAnsi="Book Antiqua" w:cs="Book Antiqua"/>
          <w:color w:val="000000" w:themeColor="text1"/>
          <w:szCs w:val="30"/>
          <w:vertAlign w:val="superscript"/>
        </w:rPr>
        <w:t>[29,30]</w:t>
      </w:r>
      <w:r w:rsidRPr="00872E1D">
        <w:rPr>
          <w:rFonts w:ascii="Book Antiqua" w:eastAsia="Book Antiqua" w:hAnsi="Book Antiqua" w:cs="Book Antiqua"/>
          <w:color w:val="000000" w:themeColor="text1"/>
        </w:rPr>
        <w:t xml:space="preserve">. Besides, </w:t>
      </w:r>
      <w:proofErr w:type="spellStart"/>
      <w:r w:rsidRPr="00872E1D">
        <w:rPr>
          <w:rFonts w:ascii="Book Antiqua" w:eastAsia="Book Antiqua" w:hAnsi="Book Antiqua" w:cs="Book Antiqua"/>
          <w:color w:val="000000" w:themeColor="text1"/>
        </w:rPr>
        <w:t>Laserna</w:t>
      </w:r>
      <w:proofErr w:type="spellEnd"/>
      <w:r w:rsidRPr="00872E1D">
        <w:rPr>
          <w:rFonts w:ascii="Book Antiqua" w:eastAsia="Book Antiqua" w:hAnsi="Book Antiqua" w:cs="Book Antiqua"/>
          <w:color w:val="000000" w:themeColor="text1"/>
        </w:rPr>
        <w:t xml:space="preserve">-Mendieta </w:t>
      </w:r>
      <w:r w:rsidR="006E5332" w:rsidRPr="006E5332">
        <w:rPr>
          <w:rFonts w:ascii="Book Antiqua" w:eastAsia="Book Antiqua" w:hAnsi="Book Antiqua" w:cs="Book Antiqua"/>
          <w:i/>
          <w:iCs/>
          <w:color w:val="000000" w:themeColor="text1"/>
        </w:rPr>
        <w:t>et al</w:t>
      </w:r>
      <w:r w:rsidRPr="00872E1D">
        <w:rPr>
          <w:rFonts w:ascii="Book Antiqua" w:eastAsia="Book Antiqua" w:hAnsi="Book Antiqua" w:cs="Book Antiqua"/>
          <w:color w:val="000000" w:themeColor="text1"/>
          <w:szCs w:val="30"/>
          <w:vertAlign w:val="superscript"/>
        </w:rPr>
        <w:t>[45]</w:t>
      </w:r>
      <w:r w:rsidRPr="00872E1D">
        <w:rPr>
          <w:rFonts w:ascii="Book Antiqua" w:eastAsia="Book Antiqua" w:hAnsi="Book Antiqua" w:cs="Book Antiqua"/>
          <w:color w:val="000000" w:themeColor="text1"/>
        </w:rPr>
        <w:t xml:space="preserve"> reported a low sensitivity but acceptable specificity of GIP for the detection of mucosal damage, however for the calculation they included in the same group Marsh 1 patients (</w:t>
      </w:r>
      <w:r w:rsidRPr="00872E1D">
        <w:rPr>
          <w:rFonts w:ascii="Book Antiqua" w:eastAsia="Book Antiqua" w:hAnsi="Book Antiqua" w:cs="Book Antiqua"/>
          <w:i/>
          <w:iCs/>
          <w:color w:val="000000" w:themeColor="text1"/>
        </w:rPr>
        <w:t>n</w:t>
      </w:r>
      <w:r w:rsidRPr="00872E1D">
        <w:rPr>
          <w:rFonts w:ascii="Book Antiqua" w:eastAsia="Book Antiqua" w:hAnsi="Book Antiqua" w:cs="Book Antiqua"/>
          <w:color w:val="000000" w:themeColor="text1"/>
        </w:rPr>
        <w:t xml:space="preserve"> = 21), who do not present mucosal damage but lymphocytic infiltration, and Marsh 2 and 3 patients (</w:t>
      </w:r>
      <w:r w:rsidRPr="00872E1D">
        <w:rPr>
          <w:rFonts w:ascii="Book Antiqua" w:eastAsia="Book Antiqua" w:hAnsi="Book Antiqua" w:cs="Book Antiqua"/>
          <w:i/>
          <w:iCs/>
          <w:color w:val="000000" w:themeColor="text1"/>
        </w:rPr>
        <w:t>n</w:t>
      </w:r>
      <w:r w:rsidRPr="00872E1D">
        <w:rPr>
          <w:rFonts w:ascii="Book Antiqua" w:eastAsia="Book Antiqua" w:hAnsi="Book Antiqua" w:cs="Book Antiqua"/>
          <w:color w:val="000000" w:themeColor="text1"/>
        </w:rPr>
        <w:t xml:space="preserve"> = 6). Moreover, in this study</w:t>
      </w:r>
      <w:r w:rsidR="00894615" w:rsidRPr="00872E1D">
        <w:rPr>
          <w:rFonts w:ascii="Book Antiqua" w:eastAsia="Book Antiqua" w:hAnsi="Book Antiqua" w:cs="Book Antiqua"/>
          <w:color w:val="000000" w:themeColor="text1"/>
        </w:rPr>
        <w:t>,</w:t>
      </w:r>
      <w:r w:rsidRPr="00872E1D">
        <w:rPr>
          <w:rFonts w:ascii="Book Antiqua" w:eastAsia="Book Antiqua" w:hAnsi="Book Antiqua" w:cs="Book Antiqua"/>
          <w:color w:val="000000" w:themeColor="text1"/>
        </w:rPr>
        <w:t xml:space="preserve"> weak GIP-positive results were discarded for analysis and duodenal biopsies were performed in two hospitals with different pathologists,</w:t>
      </w:r>
      <w:r w:rsidR="00AF3829" w:rsidRPr="00872E1D">
        <w:rPr>
          <w:color w:val="000000" w:themeColor="text1"/>
        </w:rPr>
        <w:t xml:space="preserve"> </w:t>
      </w:r>
      <w:r w:rsidR="007E6538" w:rsidRPr="00872E1D">
        <w:rPr>
          <w:rFonts w:ascii="Book Antiqua" w:eastAsia="Book Antiqua" w:hAnsi="Book Antiqua" w:cs="Book Antiqua"/>
          <w:color w:val="000000" w:themeColor="text1"/>
        </w:rPr>
        <w:t>entailing</w:t>
      </w:r>
      <w:r w:rsidR="00AF3829" w:rsidRPr="00872E1D">
        <w:rPr>
          <w:rFonts w:ascii="Book Antiqua" w:eastAsia="Book Antiqua" w:hAnsi="Book Antiqua" w:cs="Book Antiqua"/>
          <w:color w:val="000000" w:themeColor="text1"/>
        </w:rPr>
        <w:t xml:space="preserve"> a risk of interobserver </w:t>
      </w:r>
      <w:proofErr w:type="gramStart"/>
      <w:r w:rsidR="00AF3829" w:rsidRPr="00872E1D">
        <w:rPr>
          <w:rFonts w:ascii="Book Antiqua" w:eastAsia="Book Antiqua" w:hAnsi="Book Antiqua" w:cs="Book Antiqua"/>
          <w:color w:val="000000" w:themeColor="text1"/>
        </w:rPr>
        <w:t>variability</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63,64]</w:t>
      </w:r>
      <w:r w:rsidRPr="00872E1D">
        <w:rPr>
          <w:rFonts w:ascii="Book Antiqua" w:eastAsia="Book Antiqua" w:hAnsi="Book Antiqua" w:cs="Book Antiqua"/>
          <w:color w:val="000000" w:themeColor="text1"/>
        </w:rPr>
        <w:t xml:space="preserve">. Hence, with these results, the introduction of GIP detection as a non-invasive and sensitive assessment approach for GFD adherence may reduce the need for endoscopy and could identify potential intestinal mucosal damage not detectable </w:t>
      </w:r>
      <w:r w:rsidRPr="00872E1D">
        <w:rPr>
          <w:rFonts w:ascii="Book Antiqua" w:eastAsia="Book Antiqua" w:hAnsi="Book Antiqua" w:cs="Book Antiqua"/>
          <w:i/>
          <w:iCs/>
          <w:color w:val="000000" w:themeColor="text1"/>
        </w:rPr>
        <w:t>via</w:t>
      </w:r>
      <w:r w:rsidRPr="00872E1D">
        <w:rPr>
          <w:rFonts w:ascii="Book Antiqua" w:eastAsia="Book Antiqua" w:hAnsi="Book Antiqua" w:cs="Book Antiqua"/>
          <w:color w:val="000000" w:themeColor="text1"/>
        </w:rPr>
        <w:t xml:space="preserve"> serological tests or dietary questionnaires. In addition, intestinal mucosal recovery could be predicted based on recurring negative GIP tests.</w:t>
      </w:r>
    </w:p>
    <w:p w14:paraId="757846C0" w14:textId="77777777" w:rsidR="00A77B3E" w:rsidRPr="00872E1D" w:rsidRDefault="00CB073C"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Regarding the relationship between symptoms and GIP excretion</w:t>
      </w:r>
      <w:r w:rsidR="00B34737" w:rsidRPr="00872E1D">
        <w:rPr>
          <w:rFonts w:ascii="Book Antiqua" w:eastAsia="Book Antiqua" w:hAnsi="Book Antiqua" w:cs="Book Antiqua"/>
          <w:color w:val="000000" w:themeColor="text1"/>
        </w:rPr>
        <w:t xml:space="preserve">, only a small percentage of CeD patients reported symptoms in the studies with the highest number of celiac volunteers, although a score system for symptomatology was not </w:t>
      </w:r>
      <w:proofErr w:type="gramStart"/>
      <w:r w:rsidR="00B34737" w:rsidRPr="00872E1D">
        <w:rPr>
          <w:rFonts w:ascii="Book Antiqua" w:eastAsia="Book Antiqua" w:hAnsi="Book Antiqua" w:cs="Book Antiqua"/>
          <w:color w:val="000000" w:themeColor="text1"/>
        </w:rPr>
        <w:t>used</w:t>
      </w:r>
      <w:r w:rsidR="00B34737" w:rsidRPr="00872E1D">
        <w:rPr>
          <w:rFonts w:ascii="Book Antiqua" w:eastAsia="Book Antiqua" w:hAnsi="Book Antiqua" w:cs="Book Antiqua"/>
          <w:color w:val="000000" w:themeColor="text1"/>
          <w:vertAlign w:val="superscript"/>
        </w:rPr>
        <w:t>[</w:t>
      </w:r>
      <w:proofErr w:type="gramEnd"/>
      <w:r w:rsidR="00B34737" w:rsidRPr="00872E1D">
        <w:rPr>
          <w:rFonts w:ascii="Book Antiqua" w:eastAsia="Book Antiqua" w:hAnsi="Book Antiqua" w:cs="Book Antiqua"/>
          <w:color w:val="000000" w:themeColor="text1"/>
          <w:vertAlign w:val="superscript"/>
        </w:rPr>
        <w:t>8]</w:t>
      </w:r>
      <w:r w:rsidR="00B34737" w:rsidRPr="00872E1D">
        <w:rPr>
          <w:rFonts w:ascii="Book Antiqua" w:eastAsia="Book Antiqua" w:hAnsi="Book Antiqua" w:cs="Book Antiqua"/>
          <w:color w:val="000000" w:themeColor="text1"/>
        </w:rPr>
        <w:t xml:space="preserve">. Roca </w:t>
      </w:r>
      <w:r w:rsidR="006E5332" w:rsidRPr="006E5332">
        <w:rPr>
          <w:rFonts w:ascii="Book Antiqua" w:eastAsia="Book Antiqua" w:hAnsi="Book Antiqua" w:cs="Book Antiqua"/>
          <w:i/>
          <w:iCs/>
          <w:color w:val="000000" w:themeColor="text1"/>
        </w:rPr>
        <w:t xml:space="preserve">et </w:t>
      </w:r>
      <w:proofErr w:type="gramStart"/>
      <w:r w:rsidR="006E5332" w:rsidRPr="006E5332">
        <w:rPr>
          <w:rFonts w:ascii="Book Antiqua" w:eastAsia="Book Antiqua" w:hAnsi="Book Antiqua" w:cs="Book Antiqua"/>
          <w:i/>
          <w:iCs/>
          <w:color w:val="000000" w:themeColor="text1"/>
        </w:rPr>
        <w:t>al</w:t>
      </w:r>
      <w:r w:rsidR="00B34737" w:rsidRPr="00872E1D">
        <w:rPr>
          <w:rFonts w:ascii="Book Antiqua" w:eastAsia="Book Antiqua" w:hAnsi="Book Antiqua" w:cs="Book Antiqua"/>
          <w:color w:val="000000" w:themeColor="text1"/>
          <w:szCs w:val="30"/>
          <w:vertAlign w:val="superscript"/>
        </w:rPr>
        <w:t>[</w:t>
      </w:r>
      <w:proofErr w:type="gramEnd"/>
      <w:r w:rsidR="00B34737" w:rsidRPr="00872E1D">
        <w:rPr>
          <w:rFonts w:ascii="Book Antiqua" w:eastAsia="Book Antiqua" w:hAnsi="Book Antiqua" w:cs="Book Antiqua"/>
          <w:color w:val="000000" w:themeColor="text1"/>
          <w:szCs w:val="30"/>
          <w:vertAlign w:val="superscript"/>
        </w:rPr>
        <w:t>43]</w:t>
      </w:r>
      <w:r w:rsidR="00B34737" w:rsidRPr="00872E1D">
        <w:rPr>
          <w:rFonts w:ascii="Book Antiqua" w:eastAsia="Book Antiqua" w:hAnsi="Book Antiqua" w:cs="Book Antiqua"/>
          <w:color w:val="000000" w:themeColor="text1"/>
        </w:rPr>
        <w:t xml:space="preserve"> detected GIP in samples from 22.7% of asymptomatic pediatric patients negative for anti-tTG antibodies. In contrast, Costa </w:t>
      </w:r>
      <w:r w:rsidR="006E5332" w:rsidRPr="006E5332">
        <w:rPr>
          <w:rFonts w:ascii="Book Antiqua" w:eastAsia="Book Antiqua" w:hAnsi="Book Antiqua" w:cs="Book Antiqua"/>
          <w:i/>
          <w:iCs/>
          <w:color w:val="000000" w:themeColor="text1"/>
        </w:rPr>
        <w:t xml:space="preserve">et </w:t>
      </w:r>
      <w:proofErr w:type="gramStart"/>
      <w:r w:rsidR="006E5332" w:rsidRPr="006E5332">
        <w:rPr>
          <w:rFonts w:ascii="Book Antiqua" w:eastAsia="Book Antiqua" w:hAnsi="Book Antiqua" w:cs="Book Antiqua"/>
          <w:i/>
          <w:iCs/>
          <w:color w:val="000000" w:themeColor="text1"/>
        </w:rPr>
        <w:t>al</w:t>
      </w:r>
      <w:r w:rsidR="00B34737" w:rsidRPr="00872E1D">
        <w:rPr>
          <w:rFonts w:ascii="Book Antiqua" w:eastAsia="Book Antiqua" w:hAnsi="Book Antiqua" w:cs="Book Antiqua"/>
          <w:color w:val="000000" w:themeColor="text1"/>
          <w:vertAlign w:val="superscript"/>
        </w:rPr>
        <w:t>[</w:t>
      </w:r>
      <w:proofErr w:type="gramEnd"/>
      <w:r w:rsidR="00B34737" w:rsidRPr="00872E1D">
        <w:rPr>
          <w:rFonts w:ascii="Book Antiqua" w:eastAsia="Book Antiqua" w:hAnsi="Book Antiqua" w:cs="Book Antiqua"/>
          <w:color w:val="000000" w:themeColor="text1"/>
          <w:vertAlign w:val="superscript"/>
        </w:rPr>
        <w:t>41]</w:t>
      </w:r>
      <w:r w:rsidR="00B34737" w:rsidRPr="00872E1D">
        <w:rPr>
          <w:rFonts w:ascii="Book Antiqua" w:eastAsia="Book Antiqua" w:hAnsi="Book Antiqua" w:cs="Book Antiqua"/>
          <w:color w:val="000000" w:themeColor="text1"/>
        </w:rPr>
        <w:t xml:space="preserve"> reported that most adult patients with gluten transgressions determined </w:t>
      </w:r>
      <w:r w:rsidR="00B34737" w:rsidRPr="00872E1D">
        <w:rPr>
          <w:rFonts w:ascii="Book Antiqua" w:eastAsia="Book Antiqua" w:hAnsi="Book Antiqua" w:cs="Book Antiqua"/>
          <w:i/>
          <w:iCs/>
          <w:color w:val="000000" w:themeColor="text1"/>
        </w:rPr>
        <w:t>via</w:t>
      </w:r>
      <w:r w:rsidR="00B34737" w:rsidRPr="00872E1D">
        <w:rPr>
          <w:rFonts w:ascii="Book Antiqua" w:eastAsia="Book Antiqua" w:hAnsi="Book Antiqua" w:cs="Book Antiqua"/>
          <w:color w:val="000000" w:themeColor="text1"/>
        </w:rPr>
        <w:t xml:space="preserve"> GIP detection were asymptomatic, although the difference was not statistically significant due to the low number of cases enrolled. Similar data were published by </w:t>
      </w:r>
      <w:proofErr w:type="spellStart"/>
      <w:r w:rsidR="00B34737" w:rsidRPr="00872E1D">
        <w:rPr>
          <w:rFonts w:ascii="Book Antiqua" w:eastAsia="Book Antiqua" w:hAnsi="Book Antiqua" w:cs="Book Antiqua"/>
          <w:color w:val="000000" w:themeColor="text1"/>
        </w:rPr>
        <w:t>Porcelli</w:t>
      </w:r>
      <w:proofErr w:type="spellEnd"/>
      <w:r w:rsidR="00B34737" w:rsidRPr="00872E1D">
        <w:rPr>
          <w:rFonts w:ascii="Book Antiqua" w:eastAsia="Book Antiqua" w:hAnsi="Book Antiqua" w:cs="Book Antiqua"/>
          <w:color w:val="000000" w:themeColor="text1"/>
        </w:rPr>
        <w:t xml:space="preserve"> </w:t>
      </w:r>
      <w:r w:rsidR="006E5332" w:rsidRPr="006E5332">
        <w:rPr>
          <w:rFonts w:ascii="Book Antiqua" w:eastAsia="Book Antiqua" w:hAnsi="Book Antiqua" w:cs="Book Antiqua"/>
          <w:i/>
          <w:iCs/>
          <w:color w:val="000000" w:themeColor="text1"/>
        </w:rPr>
        <w:t xml:space="preserve">et </w:t>
      </w:r>
      <w:proofErr w:type="gramStart"/>
      <w:r w:rsidR="006E5332" w:rsidRPr="006E5332">
        <w:rPr>
          <w:rFonts w:ascii="Book Antiqua" w:eastAsia="Book Antiqua" w:hAnsi="Book Antiqua" w:cs="Book Antiqua"/>
          <w:i/>
          <w:iCs/>
          <w:color w:val="000000" w:themeColor="text1"/>
        </w:rPr>
        <w:t>al</w:t>
      </w:r>
      <w:r w:rsidR="00B34737" w:rsidRPr="00872E1D">
        <w:rPr>
          <w:rFonts w:ascii="Book Antiqua" w:eastAsia="Book Antiqua" w:hAnsi="Book Antiqua" w:cs="Book Antiqua"/>
          <w:color w:val="000000" w:themeColor="text1"/>
          <w:szCs w:val="30"/>
          <w:vertAlign w:val="superscript"/>
        </w:rPr>
        <w:t>[</w:t>
      </w:r>
      <w:proofErr w:type="gramEnd"/>
      <w:r w:rsidR="00B34737" w:rsidRPr="00872E1D">
        <w:rPr>
          <w:rFonts w:ascii="Book Antiqua" w:eastAsia="Book Antiqua" w:hAnsi="Book Antiqua" w:cs="Book Antiqua"/>
          <w:color w:val="000000" w:themeColor="text1"/>
          <w:szCs w:val="30"/>
          <w:vertAlign w:val="superscript"/>
        </w:rPr>
        <w:t>44]</w:t>
      </w:r>
      <w:r w:rsidR="00B34737" w:rsidRPr="00872E1D">
        <w:rPr>
          <w:rFonts w:ascii="Book Antiqua" w:eastAsia="Book Antiqua" w:hAnsi="Book Antiqua" w:cs="Book Antiqua"/>
          <w:color w:val="000000" w:themeColor="text1"/>
        </w:rPr>
        <w:t xml:space="preserve"> wherein the rate of asymptomatic patients with GIP-positive results was 71.4%.</w:t>
      </w:r>
    </w:p>
    <w:p w14:paraId="223F3959" w14:textId="77777777" w:rsidR="00A77B3E" w:rsidRPr="00872E1D" w:rsidRDefault="0071340D"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 xml:space="preserve">A recent </w:t>
      </w:r>
      <w:proofErr w:type="gramStart"/>
      <w:r w:rsidRPr="00872E1D">
        <w:rPr>
          <w:rFonts w:ascii="Book Antiqua" w:eastAsia="Book Antiqua" w:hAnsi="Book Antiqua" w:cs="Book Antiqua"/>
          <w:color w:val="000000" w:themeColor="text1"/>
        </w:rPr>
        <w:t>publication</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24]</w:t>
      </w:r>
      <w:r w:rsidRPr="00872E1D">
        <w:rPr>
          <w:rFonts w:ascii="Book Antiqua" w:eastAsia="Book Antiqua" w:hAnsi="Book Antiqua" w:cs="Book Antiqua"/>
          <w:color w:val="000000" w:themeColor="text1"/>
        </w:rPr>
        <w:t xml:space="preserve"> studied the relationship of stool and urine GIP results with gastrointestinal symptoms in CeD adult patients for 4 wk to represent a real-life scenario</w:t>
      </w:r>
      <w:r w:rsidR="00B34737" w:rsidRPr="00872E1D">
        <w:rPr>
          <w:rFonts w:ascii="Book Antiqua" w:eastAsia="Book Antiqua" w:hAnsi="Book Antiqua" w:cs="Book Antiqua"/>
          <w:color w:val="000000" w:themeColor="text1"/>
        </w:rPr>
        <w:t xml:space="preserve">. 62% of the patients were found to have at least one GIP-positive stool test, and </w:t>
      </w:r>
      <w:r w:rsidR="00B34737" w:rsidRPr="00872E1D">
        <w:rPr>
          <w:rFonts w:ascii="Book Antiqua" w:eastAsia="Book Antiqua" w:hAnsi="Book Antiqua" w:cs="Book Antiqua"/>
          <w:color w:val="000000" w:themeColor="text1"/>
        </w:rPr>
        <w:lastRenderedPageBreak/>
        <w:t xml:space="preserve">69.9% had positive urine samples. The results suggested that symptoms in CeD patients under a GFD are the consequence of gluten exposure. A significantly higher rate of GIP-positive stool samples was observed in symptomatic compared to </w:t>
      </w:r>
      <w:r w:rsidR="00AC32C1">
        <w:rPr>
          <w:rFonts w:ascii="Book Antiqua" w:eastAsia="Book Antiqua" w:hAnsi="Book Antiqua" w:cs="Book Antiqua"/>
          <w:color w:val="000000" w:themeColor="text1"/>
        </w:rPr>
        <w:t xml:space="preserve">asymptomatic patients (77.8% </w:t>
      </w:r>
      <w:r w:rsidR="00AC32C1" w:rsidRPr="00AC32C1">
        <w:rPr>
          <w:rFonts w:ascii="Book Antiqua" w:eastAsia="Book Antiqua" w:hAnsi="Book Antiqua" w:cs="Book Antiqua"/>
          <w:i/>
          <w:color w:val="000000" w:themeColor="text1"/>
        </w:rPr>
        <w:t>vs</w:t>
      </w:r>
      <w:r w:rsidR="00B34737" w:rsidRPr="00872E1D">
        <w:rPr>
          <w:rFonts w:ascii="Book Antiqua" w:eastAsia="Book Antiqua" w:hAnsi="Book Antiqua" w:cs="Book Antiqua"/>
          <w:color w:val="000000" w:themeColor="text1"/>
        </w:rPr>
        <w:t xml:space="preserve"> 54.3%, respectively). However, a group of asymptomatic patients also had the highest number of GIP-positive urine samples per patient. This observation highlights the importance of distinguishing asymptomatic patients due to no gluten consumption from those patients consuming gluten because they were asymptomatic. </w:t>
      </w:r>
    </w:p>
    <w:p w14:paraId="6E87E013" w14:textId="77777777" w:rsidR="00A77B3E" w:rsidRPr="00872E1D" w:rsidRDefault="00B34737" w:rsidP="00F10C3B">
      <w:pPr>
        <w:spacing w:line="360" w:lineRule="auto"/>
        <w:ind w:firstLineChars="200" w:firstLine="480"/>
        <w:jc w:val="both"/>
        <w:rPr>
          <w:rFonts w:ascii="Book Antiqua" w:eastAsia="Book Antiqua" w:hAnsi="Book Antiqua" w:cs="Book Antiqua"/>
          <w:color w:val="000000" w:themeColor="text1"/>
        </w:rPr>
      </w:pPr>
      <w:r w:rsidRPr="00872E1D">
        <w:rPr>
          <w:rFonts w:ascii="Book Antiqua" w:eastAsia="Book Antiqua" w:hAnsi="Book Antiqua" w:cs="Book Antiqua"/>
          <w:color w:val="000000" w:themeColor="text1"/>
        </w:rPr>
        <w:t xml:space="preserve">Considering that avoiding symptoms is the main motivation for adhering to a GFD, GIP content could be a useful indicator for the identification of asymptomatic patients with considerable immunogenic gluten exposure preventing gut mucosal recovery. Furthermore, GIP detection may help in symptomatic patients with CeD to determine whether non-responsive celiac disease or refractory celiac disease occurs due to recurrent gluten exposure or due to additional factors inducing persistent symptoms, such as the consumption of FODMAPs or intestinal </w:t>
      </w:r>
      <w:proofErr w:type="gramStart"/>
      <w:r w:rsidRPr="00872E1D">
        <w:rPr>
          <w:rFonts w:ascii="Book Antiqua" w:eastAsia="Book Antiqua" w:hAnsi="Book Antiqua" w:cs="Book Antiqua"/>
          <w:color w:val="000000" w:themeColor="text1"/>
        </w:rPr>
        <w:t>dysbiosis</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40,41,65,66]</w:t>
      </w:r>
      <w:r w:rsidRPr="00872E1D">
        <w:rPr>
          <w:rFonts w:ascii="Book Antiqua" w:eastAsia="Book Antiqua" w:hAnsi="Book Antiqua" w:cs="Book Antiqua"/>
          <w:color w:val="000000" w:themeColor="text1"/>
        </w:rPr>
        <w:t>.</w:t>
      </w:r>
    </w:p>
    <w:p w14:paraId="6DAC2373" w14:textId="77777777" w:rsidR="00A77B3E" w:rsidRPr="00AC32C1" w:rsidRDefault="00A77B3E" w:rsidP="00F10C3B">
      <w:pPr>
        <w:spacing w:line="360" w:lineRule="auto"/>
        <w:jc w:val="both"/>
        <w:rPr>
          <w:color w:val="000000" w:themeColor="text1"/>
          <w:u w:val="single"/>
        </w:rPr>
      </w:pPr>
    </w:p>
    <w:p w14:paraId="7FD8D800" w14:textId="77777777" w:rsidR="00A77B3E" w:rsidRPr="00AC32C1" w:rsidRDefault="00B34737" w:rsidP="00F10C3B">
      <w:pPr>
        <w:spacing w:line="360" w:lineRule="auto"/>
        <w:jc w:val="both"/>
        <w:rPr>
          <w:color w:val="000000" w:themeColor="text1"/>
          <w:u w:val="single"/>
        </w:rPr>
      </w:pPr>
      <w:r w:rsidRPr="00AC32C1">
        <w:rPr>
          <w:rFonts w:ascii="Book Antiqua" w:eastAsia="Book Antiqua" w:hAnsi="Book Antiqua" w:cs="Book Antiqua"/>
          <w:b/>
          <w:caps/>
          <w:color w:val="000000" w:themeColor="text1"/>
          <w:u w:val="single"/>
        </w:rPr>
        <w:t>CONCLUSION</w:t>
      </w:r>
    </w:p>
    <w:p w14:paraId="3CE3877D" w14:textId="77777777" w:rsidR="00A77B3E" w:rsidRPr="00191AD3" w:rsidRDefault="00C92D23" w:rsidP="00F10C3B">
      <w:pPr>
        <w:spacing w:line="360" w:lineRule="auto"/>
        <w:jc w:val="both"/>
        <w:rPr>
          <w:color w:val="000000" w:themeColor="text1"/>
          <w:lang w:eastAsia="zh-CN"/>
        </w:rPr>
      </w:pPr>
      <w:r w:rsidRPr="00872E1D">
        <w:rPr>
          <w:rFonts w:ascii="Book Antiqua" w:eastAsia="Book Antiqua" w:hAnsi="Book Antiqua" w:cs="Book Antiqua"/>
          <w:color w:val="000000" w:themeColor="text1"/>
        </w:rPr>
        <w:t>Excreted GIP detection in either stool or urine is a precise approach for determining voluntary or involuntary gluten consumption</w:t>
      </w:r>
      <w:r w:rsidR="00B34737" w:rsidRPr="00872E1D">
        <w:rPr>
          <w:rFonts w:ascii="Book Antiqua" w:eastAsia="Book Antiqua" w:hAnsi="Book Antiqua" w:cs="Book Antiqua"/>
          <w:color w:val="000000" w:themeColor="text1"/>
        </w:rPr>
        <w:t xml:space="preserve">. However, isolated GIP measurements might not identify intermittent compliance, unless punctual transgressions took place close to the moment of sample collection. It appears that the use of multiple samples (at least two) contributes to higher sensitivity and specificity of GIP </w:t>
      </w:r>
      <w:proofErr w:type="gramStart"/>
      <w:r w:rsidR="00B34737" w:rsidRPr="00872E1D">
        <w:rPr>
          <w:rFonts w:ascii="Book Antiqua" w:eastAsia="Book Antiqua" w:hAnsi="Book Antiqua" w:cs="Book Antiqua"/>
          <w:color w:val="000000" w:themeColor="text1"/>
        </w:rPr>
        <w:t>detection</w:t>
      </w:r>
      <w:r w:rsidR="00B34737" w:rsidRPr="00872E1D">
        <w:rPr>
          <w:rFonts w:ascii="Book Antiqua" w:eastAsia="Book Antiqua" w:hAnsi="Book Antiqua" w:cs="Book Antiqua"/>
          <w:color w:val="000000" w:themeColor="text1"/>
          <w:szCs w:val="30"/>
          <w:vertAlign w:val="superscript"/>
        </w:rPr>
        <w:t>[</w:t>
      </w:r>
      <w:proofErr w:type="gramEnd"/>
      <w:r w:rsidR="00B34737" w:rsidRPr="00872E1D">
        <w:rPr>
          <w:rFonts w:ascii="Book Antiqua" w:eastAsia="Book Antiqua" w:hAnsi="Book Antiqua" w:cs="Book Antiqua"/>
          <w:color w:val="000000" w:themeColor="text1"/>
          <w:szCs w:val="30"/>
          <w:vertAlign w:val="superscript"/>
        </w:rPr>
        <w:t>23,24]</w:t>
      </w:r>
      <w:r w:rsidR="00B34737" w:rsidRPr="00872E1D">
        <w:rPr>
          <w:rFonts w:ascii="Book Antiqua" w:eastAsia="Book Antiqua" w:hAnsi="Book Antiqua" w:cs="Book Antiqua"/>
          <w:color w:val="000000" w:themeColor="text1"/>
        </w:rPr>
        <w:t xml:space="preserve">. In a considerable number of studies, biopsies and recurrent excretion of GIP indicated that serological tests, symptoms, and dietary questionnaires were not sufficient indicators of GFD </w:t>
      </w:r>
      <w:proofErr w:type="gramStart"/>
      <w:r w:rsidR="00B34737" w:rsidRPr="00872E1D">
        <w:rPr>
          <w:rFonts w:ascii="Book Antiqua" w:eastAsia="Book Antiqua" w:hAnsi="Book Antiqua" w:cs="Book Antiqua"/>
          <w:color w:val="000000" w:themeColor="text1"/>
        </w:rPr>
        <w:t>adherence</w:t>
      </w:r>
      <w:r w:rsidR="00B34737" w:rsidRPr="00872E1D">
        <w:rPr>
          <w:rFonts w:ascii="Book Antiqua" w:eastAsia="Book Antiqua" w:hAnsi="Book Antiqua" w:cs="Book Antiqua"/>
          <w:color w:val="000000" w:themeColor="text1"/>
          <w:szCs w:val="30"/>
          <w:vertAlign w:val="superscript"/>
        </w:rPr>
        <w:t>[</w:t>
      </w:r>
      <w:proofErr w:type="gramEnd"/>
      <w:r w:rsidR="00B34737" w:rsidRPr="00872E1D">
        <w:rPr>
          <w:rFonts w:ascii="Book Antiqua" w:eastAsia="Book Antiqua" w:hAnsi="Book Antiqua" w:cs="Book Antiqua"/>
          <w:color w:val="000000" w:themeColor="text1"/>
          <w:szCs w:val="30"/>
          <w:vertAlign w:val="superscript"/>
        </w:rPr>
        <w:t>9,23,29–31]</w:t>
      </w:r>
      <w:r w:rsidR="00B34737" w:rsidRPr="00872E1D">
        <w:rPr>
          <w:rFonts w:ascii="Book Antiqua" w:eastAsia="Book Antiqua" w:hAnsi="Book Antiqua" w:cs="Book Antiqua"/>
          <w:color w:val="000000" w:themeColor="text1"/>
        </w:rPr>
        <w:t xml:space="preserve">. However, anti-tTG antibodies and clinical dietary assessment have been recently suggested as complementary tools in the evaluation of GFD </w:t>
      </w:r>
      <w:proofErr w:type="gramStart"/>
      <w:r w:rsidR="00B34737" w:rsidRPr="00872E1D">
        <w:rPr>
          <w:rFonts w:ascii="Book Antiqua" w:eastAsia="Book Antiqua" w:hAnsi="Book Antiqua" w:cs="Book Antiqua"/>
          <w:color w:val="000000" w:themeColor="text1"/>
        </w:rPr>
        <w:t>adherence</w:t>
      </w:r>
      <w:r w:rsidR="00B34737" w:rsidRPr="00872E1D">
        <w:rPr>
          <w:rFonts w:ascii="Book Antiqua" w:eastAsia="Book Antiqua" w:hAnsi="Book Antiqua" w:cs="Book Antiqua"/>
          <w:color w:val="000000" w:themeColor="text1"/>
          <w:szCs w:val="30"/>
          <w:vertAlign w:val="superscript"/>
        </w:rPr>
        <w:t>[</w:t>
      </w:r>
      <w:proofErr w:type="gramEnd"/>
      <w:r w:rsidR="00B34737" w:rsidRPr="00872E1D">
        <w:rPr>
          <w:rFonts w:ascii="Book Antiqua" w:eastAsia="Book Antiqua" w:hAnsi="Book Antiqua" w:cs="Book Antiqua"/>
          <w:color w:val="000000" w:themeColor="text1"/>
          <w:szCs w:val="30"/>
          <w:vertAlign w:val="superscript"/>
        </w:rPr>
        <w:t>44,45]</w:t>
      </w:r>
      <w:r w:rsidR="00B34737" w:rsidRPr="00872E1D">
        <w:rPr>
          <w:rFonts w:ascii="Book Antiqua" w:eastAsia="Book Antiqua" w:hAnsi="Book Antiqua" w:cs="Book Antiqua"/>
          <w:color w:val="000000" w:themeColor="text1"/>
        </w:rPr>
        <w:t xml:space="preserve">. In this context, </w:t>
      </w:r>
      <w:proofErr w:type="spellStart"/>
      <w:r w:rsidR="00B34737" w:rsidRPr="00872E1D">
        <w:rPr>
          <w:rFonts w:ascii="Book Antiqua" w:eastAsia="Book Antiqua" w:hAnsi="Book Antiqua" w:cs="Book Antiqua"/>
          <w:color w:val="000000" w:themeColor="text1"/>
        </w:rPr>
        <w:t>Porcelli</w:t>
      </w:r>
      <w:proofErr w:type="spellEnd"/>
      <w:r w:rsidR="00B34737" w:rsidRPr="00872E1D">
        <w:rPr>
          <w:rFonts w:ascii="Book Antiqua" w:eastAsia="Book Antiqua" w:hAnsi="Book Antiqua" w:cs="Book Antiqua"/>
          <w:color w:val="000000" w:themeColor="text1"/>
        </w:rPr>
        <w:t xml:space="preserve"> </w:t>
      </w:r>
      <w:r w:rsidR="006E5332" w:rsidRPr="006E5332">
        <w:rPr>
          <w:rFonts w:ascii="Book Antiqua" w:eastAsia="Book Antiqua" w:hAnsi="Book Antiqua" w:cs="Book Antiqua"/>
          <w:i/>
          <w:iCs/>
          <w:color w:val="000000" w:themeColor="text1"/>
        </w:rPr>
        <w:t xml:space="preserve">et </w:t>
      </w:r>
      <w:proofErr w:type="gramStart"/>
      <w:r w:rsidR="006E5332" w:rsidRPr="006E5332">
        <w:rPr>
          <w:rFonts w:ascii="Book Antiqua" w:eastAsia="Book Antiqua" w:hAnsi="Book Antiqua" w:cs="Book Antiqua"/>
          <w:i/>
          <w:iCs/>
          <w:color w:val="000000" w:themeColor="text1"/>
        </w:rPr>
        <w:t>al</w:t>
      </w:r>
      <w:r w:rsidR="00B34737" w:rsidRPr="00872E1D">
        <w:rPr>
          <w:rFonts w:ascii="Book Antiqua" w:eastAsia="Book Antiqua" w:hAnsi="Book Antiqua" w:cs="Book Antiqua"/>
          <w:color w:val="000000" w:themeColor="text1"/>
          <w:szCs w:val="30"/>
          <w:vertAlign w:val="superscript"/>
        </w:rPr>
        <w:t>[</w:t>
      </w:r>
      <w:proofErr w:type="gramEnd"/>
      <w:r w:rsidR="00B34737" w:rsidRPr="00872E1D">
        <w:rPr>
          <w:rFonts w:ascii="Book Antiqua" w:eastAsia="Book Antiqua" w:hAnsi="Book Antiqua" w:cs="Book Antiqua"/>
          <w:color w:val="000000" w:themeColor="text1"/>
          <w:szCs w:val="30"/>
          <w:vertAlign w:val="superscript"/>
        </w:rPr>
        <w:t>44]</w:t>
      </w:r>
      <w:r w:rsidR="00B34737" w:rsidRPr="00872E1D">
        <w:rPr>
          <w:rFonts w:ascii="Book Antiqua" w:eastAsia="Book Antiqua" w:hAnsi="Book Antiqua" w:cs="Book Antiqua"/>
          <w:color w:val="000000" w:themeColor="text1"/>
        </w:rPr>
        <w:t xml:space="preserve"> proposed the use of the Biagi score in combination with fecal GIP tests using a binary logistic regression model. In contrast, other groups did not find anti-tTG levels to be a relevant marker of adherence even </w:t>
      </w:r>
      <w:r w:rsidR="00B34737" w:rsidRPr="00872E1D">
        <w:rPr>
          <w:rFonts w:ascii="Book Antiqua" w:eastAsia="Book Antiqua" w:hAnsi="Book Antiqua" w:cs="Book Antiqua"/>
          <w:color w:val="000000" w:themeColor="text1"/>
        </w:rPr>
        <w:lastRenderedPageBreak/>
        <w:t xml:space="preserve">though anti-DGP antibodies levels have been shown to significantly correlate with the quantity and frequency of GIP excretion in </w:t>
      </w:r>
      <w:proofErr w:type="gramStart"/>
      <w:r w:rsidR="00B34737" w:rsidRPr="00872E1D">
        <w:rPr>
          <w:rFonts w:ascii="Book Antiqua" w:eastAsia="Book Antiqua" w:hAnsi="Book Antiqua" w:cs="Book Antiqua"/>
          <w:color w:val="000000" w:themeColor="text1"/>
        </w:rPr>
        <w:t>stools</w:t>
      </w:r>
      <w:r w:rsidR="00B34737" w:rsidRPr="00872E1D">
        <w:rPr>
          <w:rFonts w:ascii="Book Antiqua" w:eastAsia="Book Antiqua" w:hAnsi="Book Antiqua" w:cs="Book Antiqua"/>
          <w:color w:val="000000" w:themeColor="text1"/>
          <w:szCs w:val="30"/>
          <w:vertAlign w:val="superscript"/>
        </w:rPr>
        <w:t>[</w:t>
      </w:r>
      <w:proofErr w:type="gramEnd"/>
      <w:r w:rsidR="00B34737" w:rsidRPr="00872E1D">
        <w:rPr>
          <w:rFonts w:ascii="Book Antiqua" w:eastAsia="Book Antiqua" w:hAnsi="Book Antiqua" w:cs="Book Antiqua"/>
          <w:color w:val="000000" w:themeColor="text1"/>
          <w:szCs w:val="30"/>
          <w:vertAlign w:val="superscript"/>
        </w:rPr>
        <w:t>24,41]</w:t>
      </w:r>
      <w:r w:rsidR="00B34737" w:rsidRPr="00872E1D">
        <w:rPr>
          <w:rFonts w:ascii="Book Antiqua" w:eastAsia="Book Antiqua" w:hAnsi="Book Antiqua" w:cs="Book Antiqua"/>
          <w:color w:val="000000" w:themeColor="text1"/>
        </w:rPr>
        <w:t>.</w:t>
      </w:r>
    </w:p>
    <w:p w14:paraId="7FD19A40" w14:textId="77777777" w:rsidR="00A77B3E" w:rsidRPr="00872E1D" w:rsidRDefault="00F6690E"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Regarding which method is more appropriate</w:t>
      </w:r>
      <w:r w:rsidR="00B34737" w:rsidRPr="00872E1D">
        <w:rPr>
          <w:rFonts w:ascii="Book Antiqua" w:eastAsia="Book Antiqua" w:hAnsi="Book Antiqua" w:cs="Book Antiqua"/>
          <w:color w:val="000000" w:themeColor="text1"/>
        </w:rPr>
        <w:t xml:space="preserve">, Roca </w:t>
      </w:r>
      <w:r w:rsidR="006E5332" w:rsidRPr="006E5332">
        <w:rPr>
          <w:rFonts w:ascii="Book Antiqua" w:eastAsia="Book Antiqua" w:hAnsi="Book Antiqua" w:cs="Book Antiqua"/>
          <w:i/>
          <w:iCs/>
          <w:color w:val="000000" w:themeColor="text1"/>
        </w:rPr>
        <w:t xml:space="preserve">et </w:t>
      </w:r>
      <w:proofErr w:type="gramStart"/>
      <w:r w:rsidR="006E5332" w:rsidRPr="006E5332">
        <w:rPr>
          <w:rFonts w:ascii="Book Antiqua" w:eastAsia="Book Antiqua" w:hAnsi="Book Antiqua" w:cs="Book Antiqua"/>
          <w:i/>
          <w:iCs/>
          <w:color w:val="000000" w:themeColor="text1"/>
        </w:rPr>
        <w:t>al</w:t>
      </w:r>
      <w:r w:rsidR="00B34737" w:rsidRPr="00872E1D">
        <w:rPr>
          <w:rFonts w:ascii="Book Antiqua" w:eastAsia="Book Antiqua" w:hAnsi="Book Antiqua" w:cs="Book Antiqua"/>
          <w:color w:val="000000" w:themeColor="text1"/>
          <w:szCs w:val="30"/>
          <w:vertAlign w:val="superscript"/>
        </w:rPr>
        <w:t>[</w:t>
      </w:r>
      <w:proofErr w:type="gramEnd"/>
      <w:r w:rsidR="00B34737" w:rsidRPr="00872E1D">
        <w:rPr>
          <w:rFonts w:ascii="Book Antiqua" w:eastAsia="Book Antiqua" w:hAnsi="Book Antiqua" w:cs="Book Antiqua"/>
          <w:color w:val="000000" w:themeColor="text1"/>
          <w:szCs w:val="30"/>
          <w:vertAlign w:val="superscript"/>
        </w:rPr>
        <w:t>43,67]</w:t>
      </w:r>
      <w:r w:rsidR="00B34737" w:rsidRPr="00872E1D">
        <w:rPr>
          <w:rFonts w:ascii="Book Antiqua" w:eastAsia="Book Antiqua" w:hAnsi="Book Antiqua" w:cs="Book Antiqua"/>
          <w:color w:val="000000" w:themeColor="text1"/>
        </w:rPr>
        <w:t xml:space="preserve"> proposed GIP testing of fecal samples as a non-invasive method that allows patient empowerment for self-managing the disease. ELISA is to be used for the laboratory quantification of GIP, while LFIA strips should be used for patient self-control following suspected involuntary infringements. Even though GIP evaluation may represent an extra cost for CeD patients monitoring, its inclusion in the pursuing of strict GFD adherence would reduce health expenditure by preventing future complications arising from gluten exposure in overlooked asymptomatic patients and would improve the self-esteem or “peace of mind” of patients adhering to the GFD, decreasing the need for additional assessment and endoscopy in non-responsive celiac disease or refractory celiac disease, especially in children. </w:t>
      </w:r>
    </w:p>
    <w:p w14:paraId="27179345" w14:textId="21D4BE1E" w:rsidR="00A77B3E" w:rsidRPr="00872E1D" w:rsidRDefault="00B34737" w:rsidP="00F10C3B">
      <w:pPr>
        <w:spacing w:line="360" w:lineRule="auto"/>
        <w:ind w:firstLineChars="200" w:firstLine="480"/>
        <w:jc w:val="both"/>
        <w:rPr>
          <w:color w:val="000000" w:themeColor="text1"/>
        </w:rPr>
      </w:pPr>
      <w:r w:rsidRPr="00872E1D">
        <w:rPr>
          <w:rFonts w:ascii="Book Antiqua" w:eastAsia="Book Antiqua" w:hAnsi="Book Antiqua" w:cs="Book Antiqua"/>
          <w:color w:val="000000" w:themeColor="text1"/>
        </w:rPr>
        <w:t xml:space="preserve">Some authors have already proposed algorithms for </w:t>
      </w:r>
      <w:r w:rsidR="0074372C" w:rsidRPr="00872E1D">
        <w:rPr>
          <w:rFonts w:ascii="Book Antiqua" w:eastAsia="Book Antiqua" w:hAnsi="Book Antiqua" w:cs="Book Antiqua"/>
          <w:color w:val="000000" w:themeColor="text1"/>
        </w:rPr>
        <w:t xml:space="preserve">the </w:t>
      </w:r>
      <w:r w:rsidRPr="00872E1D">
        <w:rPr>
          <w:rFonts w:ascii="Book Antiqua" w:eastAsia="Book Antiqua" w:hAnsi="Book Antiqua" w:cs="Book Antiqua"/>
          <w:color w:val="000000" w:themeColor="text1"/>
        </w:rPr>
        <w:t xml:space="preserve">application of the determination of GIP in </w:t>
      </w:r>
      <w:proofErr w:type="gramStart"/>
      <w:r w:rsidRPr="00872E1D">
        <w:rPr>
          <w:rFonts w:ascii="Book Antiqua" w:eastAsia="Book Antiqua" w:hAnsi="Book Antiqua" w:cs="Book Antiqua"/>
          <w:color w:val="000000" w:themeColor="text1"/>
        </w:rPr>
        <w:t>stools</w:t>
      </w:r>
      <w:r w:rsidRPr="00872E1D">
        <w:rPr>
          <w:rFonts w:ascii="Book Antiqua" w:eastAsia="Book Antiqua" w:hAnsi="Book Antiqua" w:cs="Book Antiqua"/>
          <w:color w:val="000000" w:themeColor="text1"/>
          <w:szCs w:val="30"/>
          <w:vertAlign w:val="superscript"/>
        </w:rPr>
        <w:t>[</w:t>
      </w:r>
      <w:proofErr w:type="gramEnd"/>
      <w:r w:rsidRPr="00872E1D">
        <w:rPr>
          <w:rFonts w:ascii="Book Antiqua" w:eastAsia="Book Antiqua" w:hAnsi="Book Antiqua" w:cs="Book Antiqua"/>
          <w:color w:val="000000" w:themeColor="text1"/>
          <w:szCs w:val="30"/>
          <w:vertAlign w:val="superscript"/>
        </w:rPr>
        <w:t>39]</w:t>
      </w:r>
      <w:r w:rsidRPr="00872E1D">
        <w:rPr>
          <w:rFonts w:ascii="Book Antiqua" w:eastAsia="Book Antiqua" w:hAnsi="Book Antiqua" w:cs="Book Antiqua"/>
          <w:color w:val="000000" w:themeColor="text1"/>
        </w:rPr>
        <w:t xml:space="preserve"> </w:t>
      </w:r>
      <w:r w:rsidR="0074372C" w:rsidRPr="00872E1D">
        <w:rPr>
          <w:rFonts w:ascii="Book Antiqua" w:eastAsia="Book Antiqua" w:hAnsi="Book Antiqua" w:cs="Book Antiqua"/>
          <w:color w:val="000000" w:themeColor="text1"/>
        </w:rPr>
        <w:t>and urine</w:t>
      </w:r>
      <w:r w:rsidRPr="00872E1D">
        <w:rPr>
          <w:rFonts w:ascii="Book Antiqua" w:eastAsia="Book Antiqua" w:hAnsi="Book Antiqua" w:cs="Book Antiqua"/>
          <w:color w:val="000000" w:themeColor="text1"/>
          <w:szCs w:val="30"/>
          <w:vertAlign w:val="superscript"/>
        </w:rPr>
        <w:t>[23]</w:t>
      </w:r>
      <w:r w:rsidRPr="00872E1D">
        <w:rPr>
          <w:rFonts w:ascii="Book Antiqua" w:eastAsia="Book Antiqua" w:hAnsi="Book Antiqua" w:cs="Book Antiqua"/>
          <w:color w:val="000000" w:themeColor="text1"/>
        </w:rPr>
        <w:t xml:space="preserve"> for the follow-up of patients with CeD. It is expected that the application of those protocols with some variations will be progressively introduced in the guidelines to assess the adherence of patients to the GFD. Future studies may also determine the utility of GIP excretion analysis for other applications, </w:t>
      </w:r>
      <w:r w:rsidR="0074372C" w:rsidRPr="00872E1D">
        <w:rPr>
          <w:rFonts w:ascii="Book Antiqua" w:eastAsia="Book Antiqua" w:hAnsi="Book Antiqua" w:cs="Book Antiqua"/>
          <w:color w:val="000000" w:themeColor="text1"/>
        </w:rPr>
        <w:t>such as the confirmation that sufficient gluten has been ingested before diagnosis or to discover unknown aspects of gluten protein metabolism</w:t>
      </w:r>
      <w:r w:rsidRPr="00872E1D">
        <w:rPr>
          <w:rFonts w:ascii="Book Antiqua" w:eastAsia="Book Antiqua" w:hAnsi="Book Antiqua" w:cs="Book Antiqua"/>
          <w:color w:val="000000" w:themeColor="text1"/>
        </w:rPr>
        <w:t xml:space="preserve">. </w:t>
      </w:r>
    </w:p>
    <w:p w14:paraId="4E798805" w14:textId="77777777" w:rsidR="00A77B3E" w:rsidRPr="00872E1D" w:rsidRDefault="00A77B3E" w:rsidP="00F10C3B">
      <w:pPr>
        <w:spacing w:line="360" w:lineRule="auto"/>
        <w:jc w:val="both"/>
        <w:rPr>
          <w:color w:val="000000" w:themeColor="text1"/>
        </w:rPr>
      </w:pPr>
    </w:p>
    <w:p w14:paraId="27640C5F" w14:textId="77777777" w:rsidR="00A77B3E" w:rsidRPr="00AC32C1" w:rsidRDefault="00B34737" w:rsidP="00F10C3B">
      <w:pPr>
        <w:spacing w:line="360" w:lineRule="auto"/>
        <w:jc w:val="both"/>
        <w:rPr>
          <w:color w:val="000000" w:themeColor="text1"/>
          <w:u w:val="single"/>
        </w:rPr>
      </w:pPr>
      <w:r w:rsidRPr="00AC32C1">
        <w:rPr>
          <w:rFonts w:ascii="Book Antiqua" w:eastAsia="Book Antiqua" w:hAnsi="Book Antiqua" w:cs="Book Antiqua"/>
          <w:b/>
          <w:caps/>
          <w:color w:val="000000" w:themeColor="text1"/>
          <w:u w:val="single"/>
        </w:rPr>
        <w:t>ARTICLE HIGHLIGHTS</w:t>
      </w:r>
    </w:p>
    <w:p w14:paraId="443B6936"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i/>
          <w:color w:val="000000" w:themeColor="text1"/>
        </w:rPr>
        <w:t>Research background</w:t>
      </w:r>
    </w:p>
    <w:p w14:paraId="36400825"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color w:val="000000" w:themeColor="text1"/>
        </w:rPr>
        <w:t>A lifelong strict gluten-free diet (GFD) is the only available treatment for celiac disease (CeD), which reduces symptoms and allows the healing of the intestinal mucosa, preventing long-term complications. However, total exclusion of gluten is difficult to achieve in practice and voluntary and involuntary transgressions are highly frequent.</w:t>
      </w:r>
    </w:p>
    <w:p w14:paraId="518550E0" w14:textId="77777777" w:rsidR="00A77B3E" w:rsidRPr="00872E1D" w:rsidRDefault="00A77B3E" w:rsidP="00F10C3B">
      <w:pPr>
        <w:spacing w:line="360" w:lineRule="auto"/>
        <w:jc w:val="both"/>
        <w:rPr>
          <w:color w:val="000000" w:themeColor="text1"/>
        </w:rPr>
      </w:pPr>
    </w:p>
    <w:p w14:paraId="027C8EA0"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i/>
          <w:color w:val="000000" w:themeColor="text1"/>
        </w:rPr>
        <w:t>Research motivation</w:t>
      </w:r>
    </w:p>
    <w:p w14:paraId="7F783D27"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color w:val="000000" w:themeColor="text1"/>
        </w:rPr>
        <w:lastRenderedPageBreak/>
        <w:t>Gluten immunogenic peptides (GIP) detection in stool and urine is becoming increasingly apparent as a noninvasive and reliable marker for close and efficient GFD monitoring in patients with CeD.</w:t>
      </w:r>
    </w:p>
    <w:p w14:paraId="42CF07BE" w14:textId="77777777" w:rsidR="00A77B3E" w:rsidRPr="00872E1D" w:rsidRDefault="00A77B3E" w:rsidP="00F10C3B">
      <w:pPr>
        <w:spacing w:line="360" w:lineRule="auto"/>
        <w:jc w:val="both"/>
        <w:rPr>
          <w:color w:val="000000" w:themeColor="text1"/>
        </w:rPr>
      </w:pPr>
    </w:p>
    <w:p w14:paraId="1B68D745"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i/>
          <w:color w:val="000000" w:themeColor="text1"/>
        </w:rPr>
        <w:t>Research objectives</w:t>
      </w:r>
    </w:p>
    <w:p w14:paraId="20174457" w14:textId="77777777" w:rsidR="00A77B3E" w:rsidRPr="00872E1D" w:rsidRDefault="00AC32C1" w:rsidP="00F10C3B">
      <w:pPr>
        <w:spacing w:line="360" w:lineRule="auto"/>
        <w:jc w:val="both"/>
        <w:rPr>
          <w:color w:val="000000" w:themeColor="text1"/>
        </w:rPr>
      </w:pPr>
      <w:r>
        <w:rPr>
          <w:rFonts w:ascii="Book Antiqua" w:hAnsi="Book Antiqua" w:cs="Book Antiqua" w:hint="eastAsia"/>
          <w:color w:val="000000" w:themeColor="text1"/>
          <w:lang w:eastAsia="zh-CN"/>
        </w:rPr>
        <w:t xml:space="preserve">The authors </w:t>
      </w:r>
      <w:r w:rsidR="00B34737" w:rsidRPr="00872E1D">
        <w:rPr>
          <w:rFonts w:ascii="Book Antiqua" w:eastAsia="Book Antiqua" w:hAnsi="Book Antiqua" w:cs="Book Antiqua"/>
          <w:color w:val="000000" w:themeColor="text1"/>
        </w:rPr>
        <w:t>aim</w:t>
      </w:r>
      <w:r>
        <w:rPr>
          <w:rFonts w:ascii="Book Antiqua" w:hAnsi="Book Antiqua" w:cs="Book Antiqua" w:hint="eastAsia"/>
          <w:color w:val="000000" w:themeColor="text1"/>
          <w:lang w:eastAsia="zh-CN"/>
        </w:rPr>
        <w:t xml:space="preserve">ed </w:t>
      </w:r>
      <w:r w:rsidR="00B34737" w:rsidRPr="00872E1D">
        <w:rPr>
          <w:rFonts w:ascii="Book Antiqua" w:eastAsia="Book Antiqua" w:hAnsi="Book Antiqua" w:cs="Book Antiqua"/>
          <w:color w:val="000000" w:themeColor="text1"/>
        </w:rPr>
        <w:t>to summarize published data regarding the performance of GIP determination in stool and urine in comparison to other available tools in assessing GFD adherence in patients with CeD.</w:t>
      </w:r>
    </w:p>
    <w:p w14:paraId="37A58204" w14:textId="77777777" w:rsidR="00A77B3E" w:rsidRPr="00872E1D" w:rsidRDefault="00A77B3E" w:rsidP="00F10C3B">
      <w:pPr>
        <w:spacing w:line="360" w:lineRule="auto"/>
        <w:jc w:val="both"/>
        <w:rPr>
          <w:color w:val="000000" w:themeColor="text1"/>
        </w:rPr>
      </w:pPr>
    </w:p>
    <w:p w14:paraId="6379A712"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i/>
          <w:color w:val="000000" w:themeColor="text1"/>
        </w:rPr>
        <w:t>Research methods</w:t>
      </w:r>
    </w:p>
    <w:p w14:paraId="4D0B52A7" w14:textId="77777777" w:rsidR="00A77B3E" w:rsidRPr="00872E1D" w:rsidRDefault="00AC32C1" w:rsidP="00F10C3B">
      <w:pPr>
        <w:spacing w:line="360" w:lineRule="auto"/>
        <w:jc w:val="both"/>
        <w:rPr>
          <w:color w:val="000000" w:themeColor="text1"/>
        </w:rPr>
      </w:pPr>
      <w:r>
        <w:rPr>
          <w:rFonts w:ascii="Book Antiqua" w:hAnsi="Book Antiqua" w:cs="Book Antiqua" w:hint="eastAsia"/>
          <w:color w:val="000000" w:themeColor="text1"/>
          <w:lang w:eastAsia="zh-CN"/>
        </w:rPr>
        <w:t xml:space="preserve">The authors </w:t>
      </w:r>
      <w:r w:rsidR="00B34737" w:rsidRPr="00872E1D">
        <w:rPr>
          <w:rFonts w:ascii="Book Antiqua" w:eastAsia="Book Antiqua" w:hAnsi="Book Antiqua" w:cs="Book Antiqua"/>
          <w:color w:val="000000" w:themeColor="text1"/>
        </w:rPr>
        <w:t xml:space="preserve">conducted a systematic review searching in PubMed and Web of Science clinical studies that reported the performance of GIP determination in stool and/or urine with other biomarkers for the evaluation of treatment adherence in adult and pediatric patients with CeD. </w:t>
      </w:r>
    </w:p>
    <w:p w14:paraId="466EA6D6" w14:textId="77777777" w:rsidR="006909C7" w:rsidRPr="00872E1D" w:rsidRDefault="006909C7" w:rsidP="00F10C3B">
      <w:pPr>
        <w:spacing w:line="360" w:lineRule="auto"/>
        <w:jc w:val="both"/>
        <w:rPr>
          <w:color w:val="000000" w:themeColor="text1"/>
          <w:lang w:eastAsia="zh-CN"/>
        </w:rPr>
      </w:pPr>
    </w:p>
    <w:p w14:paraId="1E03353D"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i/>
          <w:color w:val="000000" w:themeColor="text1"/>
        </w:rPr>
        <w:t>Research results</w:t>
      </w:r>
    </w:p>
    <w:p w14:paraId="7C1E224C" w14:textId="77777777" w:rsidR="00A77B3E" w:rsidRPr="00872E1D" w:rsidRDefault="00AC32C1" w:rsidP="00F10C3B">
      <w:pPr>
        <w:spacing w:line="360" w:lineRule="auto"/>
        <w:jc w:val="both"/>
        <w:rPr>
          <w:color w:val="000000" w:themeColor="text1"/>
        </w:rPr>
      </w:pPr>
      <w:r>
        <w:rPr>
          <w:rFonts w:ascii="Book Antiqua" w:hAnsi="Book Antiqua" w:cs="Book Antiqua" w:hint="eastAsia"/>
          <w:color w:val="000000" w:themeColor="text1"/>
          <w:lang w:eastAsia="zh-CN"/>
        </w:rPr>
        <w:t xml:space="preserve">The authors </w:t>
      </w:r>
      <w:r w:rsidR="00B34737" w:rsidRPr="00872E1D">
        <w:rPr>
          <w:rFonts w:ascii="Book Antiqua" w:eastAsia="Book Antiqua" w:hAnsi="Book Antiqua" w:cs="Book Antiqua"/>
          <w:color w:val="000000" w:themeColor="text1"/>
        </w:rPr>
        <w:t xml:space="preserve">screened 67 articles and 15 articles were included for full-text analysis. In the selected publications GIP determination in stool and/or urine were compared with at least one of the following markers: levels of CeD-specific serology, </w:t>
      </w:r>
      <w:r w:rsidR="00787B79" w:rsidRPr="00872E1D">
        <w:rPr>
          <w:rFonts w:ascii="Book Antiqua" w:eastAsia="Book Antiqua" w:hAnsi="Book Antiqua" w:cs="Book Antiqua"/>
          <w:color w:val="000000" w:themeColor="text1"/>
        </w:rPr>
        <w:t>results from CeD-specific non-specific questionnaires</w:t>
      </w:r>
      <w:r w:rsidR="00B34737" w:rsidRPr="00872E1D">
        <w:rPr>
          <w:rFonts w:ascii="Book Antiqua" w:eastAsia="Book Antiqua" w:hAnsi="Book Antiqua" w:cs="Book Antiqua"/>
          <w:color w:val="000000" w:themeColor="text1"/>
        </w:rPr>
        <w:t>, symptomatology, and duodenal biopsy. Fecal determination by ELISA was the most investigated GIP marker, followed by urine rapid test and stool rapid test. Variability was seen in the concordance between the different tools among the studies reviewed due to the differences found in the study design, the target population</w:t>
      </w:r>
      <w:r w:rsidR="00787B79" w:rsidRPr="00872E1D">
        <w:rPr>
          <w:rFonts w:ascii="Book Antiqua" w:eastAsia="Book Antiqua" w:hAnsi="Book Antiqua" w:cs="Book Antiqua"/>
          <w:color w:val="000000" w:themeColor="text1"/>
        </w:rPr>
        <w:t>,</w:t>
      </w:r>
      <w:r w:rsidR="00B34737" w:rsidRPr="00872E1D">
        <w:rPr>
          <w:rFonts w:ascii="Book Antiqua" w:eastAsia="Book Antiqua" w:hAnsi="Book Antiqua" w:cs="Book Antiqua"/>
          <w:color w:val="000000" w:themeColor="text1"/>
        </w:rPr>
        <w:t xml:space="preserve"> and the methods used. One of the main outcome measures reviewed was the diagnostic accuracy of these tools in assessing mucosal healing. An association of mucosal status and GIP detection was observed in some publications, where serology, questionnaires</w:t>
      </w:r>
      <w:r w:rsidR="00787B79" w:rsidRPr="00872E1D">
        <w:rPr>
          <w:rFonts w:ascii="Book Antiqua" w:eastAsia="Book Antiqua" w:hAnsi="Book Antiqua" w:cs="Book Antiqua"/>
          <w:color w:val="000000" w:themeColor="text1"/>
        </w:rPr>
        <w:t>,</w:t>
      </w:r>
      <w:r w:rsidR="00B34737" w:rsidRPr="00872E1D">
        <w:rPr>
          <w:rFonts w:ascii="Book Antiqua" w:eastAsia="Book Antiqua" w:hAnsi="Book Antiqua" w:cs="Book Antiqua"/>
          <w:color w:val="000000" w:themeColor="text1"/>
        </w:rPr>
        <w:t xml:space="preserve"> and symptomatology showed lower sensitivity. Furthermore, GIP detection may help in symptomatic patients to determine whether non-responsive CeD or refractory CeD occurs due to recurrent gluten exposure or due to additional factors.</w:t>
      </w:r>
    </w:p>
    <w:p w14:paraId="2B16C635" w14:textId="77777777" w:rsidR="00A77B3E" w:rsidRPr="00872E1D" w:rsidRDefault="00A77B3E" w:rsidP="00F10C3B">
      <w:pPr>
        <w:spacing w:line="360" w:lineRule="auto"/>
        <w:jc w:val="both"/>
        <w:rPr>
          <w:color w:val="000000" w:themeColor="text1"/>
        </w:rPr>
      </w:pPr>
    </w:p>
    <w:p w14:paraId="23BE97D4"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i/>
          <w:color w:val="000000" w:themeColor="text1"/>
        </w:rPr>
        <w:t>Research conclusions</w:t>
      </w:r>
    </w:p>
    <w:p w14:paraId="61D358CF"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color w:val="000000" w:themeColor="text1"/>
        </w:rPr>
        <w:t>The introduction of GIP detection in stool and/or urine as a non-invasive marker for GFD monitoring in patients with CeD may reduce health expenditure by preventing future complications arising from gluten exposure not detectable by other tools in use. Stool and urine rapid tests may be an option for disease self-managing by the patient, while fecal ELISA test could be used for GIP quantification in the laboratory.</w:t>
      </w:r>
    </w:p>
    <w:p w14:paraId="0402F144" w14:textId="77777777" w:rsidR="00A77B3E" w:rsidRPr="00872E1D" w:rsidRDefault="00A77B3E" w:rsidP="00F10C3B">
      <w:pPr>
        <w:spacing w:line="360" w:lineRule="auto"/>
        <w:jc w:val="both"/>
        <w:rPr>
          <w:color w:val="000000" w:themeColor="text1"/>
        </w:rPr>
      </w:pPr>
    </w:p>
    <w:p w14:paraId="7FEE7F09"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i/>
          <w:color w:val="000000" w:themeColor="text1"/>
        </w:rPr>
        <w:t>Research perspectives</w:t>
      </w:r>
    </w:p>
    <w:p w14:paraId="7B8C8B74" w14:textId="77777777" w:rsidR="00A77B3E" w:rsidRPr="00872E1D" w:rsidRDefault="00393CD6" w:rsidP="00F10C3B">
      <w:pPr>
        <w:spacing w:line="360" w:lineRule="auto"/>
        <w:jc w:val="both"/>
        <w:rPr>
          <w:color w:val="000000" w:themeColor="text1"/>
        </w:rPr>
      </w:pPr>
      <w:r w:rsidRPr="00872E1D">
        <w:rPr>
          <w:rFonts w:ascii="Book Antiqua" w:eastAsia="Book Antiqua" w:hAnsi="Book Antiqua" w:cs="Book Antiqua"/>
          <w:color w:val="000000" w:themeColor="text1"/>
        </w:rPr>
        <w:t>The introduction of algorithms for GIP determination within the follow-up of patients with CeD in guidelines will allow its routine use in clinical practice</w:t>
      </w:r>
      <w:r w:rsidR="00B34737" w:rsidRPr="00872E1D">
        <w:rPr>
          <w:rFonts w:ascii="Book Antiqua" w:eastAsia="Book Antiqua" w:hAnsi="Book Antiqua" w:cs="Book Antiqua"/>
          <w:color w:val="000000" w:themeColor="text1"/>
        </w:rPr>
        <w:t>. In addition, future studies may also determine their utility for other applications such as the confirmation of gluten consumption during the diagnosis process or the investigation of gluten metabolism.</w:t>
      </w:r>
    </w:p>
    <w:p w14:paraId="59CEE5D6" w14:textId="77777777" w:rsidR="00A77B3E" w:rsidRPr="00872E1D" w:rsidRDefault="00A77B3E" w:rsidP="00F10C3B">
      <w:pPr>
        <w:spacing w:line="360" w:lineRule="auto"/>
        <w:jc w:val="both"/>
        <w:rPr>
          <w:color w:val="000000" w:themeColor="text1"/>
        </w:rPr>
      </w:pPr>
    </w:p>
    <w:p w14:paraId="715436F4" w14:textId="77777777" w:rsidR="00A77B3E" w:rsidRPr="00AC32C1" w:rsidRDefault="00B34737" w:rsidP="00F10C3B">
      <w:pPr>
        <w:spacing w:line="360" w:lineRule="auto"/>
        <w:jc w:val="both"/>
        <w:rPr>
          <w:color w:val="000000" w:themeColor="text1"/>
          <w:u w:val="single"/>
        </w:rPr>
      </w:pPr>
      <w:r w:rsidRPr="00AC32C1">
        <w:rPr>
          <w:rFonts w:ascii="Book Antiqua" w:eastAsia="Book Antiqua" w:hAnsi="Book Antiqua" w:cs="Book Antiqua"/>
          <w:b/>
          <w:caps/>
          <w:color w:val="000000" w:themeColor="text1"/>
          <w:u w:val="single"/>
        </w:rPr>
        <w:t>ACKNOWLEDGEMENTS</w:t>
      </w:r>
    </w:p>
    <w:p w14:paraId="46CD2447" w14:textId="77777777" w:rsidR="00A77B3E" w:rsidRDefault="007C663B" w:rsidP="00F10C3B">
      <w:pPr>
        <w:spacing w:line="360" w:lineRule="auto"/>
        <w:jc w:val="both"/>
        <w:rPr>
          <w:rFonts w:ascii="Book Antiqua" w:hAnsi="Book Antiqua" w:cs="Book Antiqua"/>
          <w:color w:val="000000" w:themeColor="text1"/>
          <w:lang w:eastAsia="zh-CN"/>
        </w:rPr>
      </w:pPr>
      <w:r w:rsidRPr="00872E1D">
        <w:rPr>
          <w:rFonts w:ascii="Book Antiqua" w:eastAsia="Book Antiqua" w:hAnsi="Book Antiqua" w:cs="Book Antiqua"/>
          <w:color w:val="000000" w:themeColor="text1"/>
        </w:rPr>
        <w:t>This paper will be part of Laura Coto’s doctorate that is being carried out within the context of</w:t>
      </w:r>
      <w:r w:rsidR="00B34737" w:rsidRPr="00872E1D">
        <w:rPr>
          <w:rFonts w:ascii="Book Antiqua" w:eastAsia="Book Antiqua" w:hAnsi="Book Antiqua" w:cs="Book Antiqua"/>
          <w:color w:val="000000" w:themeColor="text1"/>
        </w:rPr>
        <w:t xml:space="preserve"> “Human Nutrition Program” at the University of Granada. </w:t>
      </w:r>
    </w:p>
    <w:p w14:paraId="46F59886" w14:textId="77777777" w:rsidR="00A77B3E" w:rsidRPr="00872E1D" w:rsidRDefault="00A77B3E" w:rsidP="00F10C3B">
      <w:pPr>
        <w:spacing w:line="360" w:lineRule="auto"/>
        <w:jc w:val="both"/>
        <w:rPr>
          <w:color w:val="000000" w:themeColor="text1"/>
          <w:lang w:eastAsia="zh-CN"/>
        </w:rPr>
      </w:pPr>
    </w:p>
    <w:p w14:paraId="56E939A0" w14:textId="77777777" w:rsidR="00A77B3E" w:rsidRDefault="00B34737" w:rsidP="00F10C3B">
      <w:pPr>
        <w:spacing w:line="360" w:lineRule="auto"/>
        <w:jc w:val="both"/>
        <w:rPr>
          <w:rFonts w:ascii="Book Antiqua" w:hAnsi="Book Antiqua" w:cs="Book Antiqua"/>
          <w:b/>
          <w:color w:val="000000" w:themeColor="text1"/>
          <w:lang w:eastAsia="zh-CN"/>
        </w:rPr>
      </w:pPr>
      <w:r w:rsidRPr="00872E1D">
        <w:rPr>
          <w:rFonts w:ascii="Book Antiqua" w:eastAsia="Book Antiqua" w:hAnsi="Book Antiqua" w:cs="Book Antiqua"/>
          <w:b/>
          <w:color w:val="000000" w:themeColor="text1"/>
        </w:rPr>
        <w:t>REFERENCES</w:t>
      </w:r>
    </w:p>
    <w:p w14:paraId="4C548D02" w14:textId="77777777" w:rsidR="002420DA" w:rsidRPr="00151141" w:rsidRDefault="002420DA" w:rsidP="00F10C3B">
      <w:pPr>
        <w:spacing w:line="360" w:lineRule="auto"/>
        <w:jc w:val="both"/>
        <w:rPr>
          <w:rFonts w:ascii="Book Antiqua" w:hAnsi="Book Antiqua"/>
        </w:rPr>
      </w:pPr>
      <w:bookmarkStart w:id="21" w:name="OLE_LINK11"/>
      <w:r w:rsidRPr="00151141">
        <w:rPr>
          <w:rFonts w:ascii="Book Antiqua" w:hAnsi="Book Antiqua"/>
        </w:rPr>
        <w:t xml:space="preserve">1 </w:t>
      </w:r>
      <w:proofErr w:type="spellStart"/>
      <w:r w:rsidRPr="00151141">
        <w:rPr>
          <w:rFonts w:ascii="Book Antiqua" w:hAnsi="Book Antiqua"/>
          <w:b/>
          <w:bCs/>
        </w:rPr>
        <w:t>Shewry</w:t>
      </w:r>
      <w:proofErr w:type="spellEnd"/>
      <w:r w:rsidRPr="00151141">
        <w:rPr>
          <w:rFonts w:ascii="Book Antiqua" w:hAnsi="Book Antiqua"/>
          <w:b/>
          <w:bCs/>
        </w:rPr>
        <w:t xml:space="preserve"> PR</w:t>
      </w:r>
      <w:r w:rsidRPr="00151141">
        <w:rPr>
          <w:rFonts w:ascii="Book Antiqua" w:hAnsi="Book Antiqua"/>
        </w:rPr>
        <w:t xml:space="preserve">, Halford NG, Belton PS, Tatham AS. The structure and properties of gluten: an elastic protein from wheat grain. </w:t>
      </w:r>
      <w:proofErr w:type="spellStart"/>
      <w:r w:rsidRPr="00151141">
        <w:rPr>
          <w:rFonts w:ascii="Book Antiqua" w:hAnsi="Book Antiqua"/>
          <w:i/>
          <w:iCs/>
        </w:rPr>
        <w:t>Philos</w:t>
      </w:r>
      <w:proofErr w:type="spellEnd"/>
      <w:r w:rsidRPr="00151141">
        <w:rPr>
          <w:rFonts w:ascii="Book Antiqua" w:hAnsi="Book Antiqua"/>
          <w:i/>
          <w:iCs/>
        </w:rPr>
        <w:t xml:space="preserve"> Trans R Soc </w:t>
      </w:r>
      <w:proofErr w:type="spellStart"/>
      <w:r w:rsidRPr="00151141">
        <w:rPr>
          <w:rFonts w:ascii="Book Antiqua" w:hAnsi="Book Antiqua"/>
          <w:i/>
          <w:iCs/>
        </w:rPr>
        <w:t>Lond</w:t>
      </w:r>
      <w:proofErr w:type="spellEnd"/>
      <w:r w:rsidRPr="00151141">
        <w:rPr>
          <w:rFonts w:ascii="Book Antiqua" w:hAnsi="Book Antiqua"/>
          <w:i/>
          <w:iCs/>
        </w:rPr>
        <w:t xml:space="preserve"> B Biol Sci</w:t>
      </w:r>
      <w:r w:rsidRPr="00151141">
        <w:rPr>
          <w:rFonts w:ascii="Book Antiqua" w:hAnsi="Book Antiqua"/>
        </w:rPr>
        <w:t xml:space="preserve"> 2002; </w:t>
      </w:r>
      <w:r w:rsidRPr="00151141">
        <w:rPr>
          <w:rFonts w:ascii="Book Antiqua" w:hAnsi="Book Antiqua"/>
          <w:b/>
          <w:bCs/>
        </w:rPr>
        <w:t>357</w:t>
      </w:r>
      <w:r w:rsidRPr="00151141">
        <w:rPr>
          <w:rFonts w:ascii="Book Antiqua" w:hAnsi="Book Antiqua"/>
        </w:rPr>
        <w:t>: 133-142 [PMID: 11911770 DOI: 10.1098/rstb.2001.1024]</w:t>
      </w:r>
    </w:p>
    <w:p w14:paraId="62B2766B"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2 </w:t>
      </w:r>
      <w:r w:rsidRPr="00151141">
        <w:rPr>
          <w:rFonts w:ascii="Book Antiqua" w:hAnsi="Book Antiqua"/>
          <w:b/>
          <w:bCs/>
        </w:rPr>
        <w:t>Shan L</w:t>
      </w:r>
      <w:r w:rsidRPr="00151141">
        <w:rPr>
          <w:rFonts w:ascii="Book Antiqua" w:hAnsi="Book Antiqua"/>
        </w:rPr>
        <w:t xml:space="preserve">, </w:t>
      </w:r>
      <w:proofErr w:type="spellStart"/>
      <w:r w:rsidRPr="00151141">
        <w:rPr>
          <w:rFonts w:ascii="Book Antiqua" w:hAnsi="Book Antiqua"/>
        </w:rPr>
        <w:t>Molberg</w:t>
      </w:r>
      <w:proofErr w:type="spellEnd"/>
      <w:r w:rsidRPr="00151141">
        <w:rPr>
          <w:rFonts w:ascii="Book Antiqua" w:hAnsi="Book Antiqua"/>
        </w:rPr>
        <w:t xml:space="preserve"> Ø, Parrot I, </w:t>
      </w:r>
      <w:proofErr w:type="spellStart"/>
      <w:r w:rsidRPr="00151141">
        <w:rPr>
          <w:rFonts w:ascii="Book Antiqua" w:hAnsi="Book Antiqua"/>
        </w:rPr>
        <w:t>Hausch</w:t>
      </w:r>
      <w:proofErr w:type="spellEnd"/>
      <w:r w:rsidRPr="00151141">
        <w:rPr>
          <w:rFonts w:ascii="Book Antiqua" w:hAnsi="Book Antiqua"/>
        </w:rPr>
        <w:t xml:space="preserve"> F, </w:t>
      </w:r>
      <w:proofErr w:type="spellStart"/>
      <w:r w:rsidRPr="00151141">
        <w:rPr>
          <w:rFonts w:ascii="Book Antiqua" w:hAnsi="Book Antiqua"/>
        </w:rPr>
        <w:t>Filiz</w:t>
      </w:r>
      <w:proofErr w:type="spellEnd"/>
      <w:r w:rsidRPr="00151141">
        <w:rPr>
          <w:rFonts w:ascii="Book Antiqua" w:hAnsi="Book Antiqua"/>
        </w:rPr>
        <w:t xml:space="preserve"> F, Gray GM, </w:t>
      </w:r>
      <w:proofErr w:type="spellStart"/>
      <w:r w:rsidRPr="00151141">
        <w:rPr>
          <w:rFonts w:ascii="Book Antiqua" w:hAnsi="Book Antiqua"/>
        </w:rPr>
        <w:t>Sollid</w:t>
      </w:r>
      <w:proofErr w:type="spellEnd"/>
      <w:r w:rsidRPr="00151141">
        <w:rPr>
          <w:rFonts w:ascii="Book Antiqua" w:hAnsi="Book Antiqua"/>
        </w:rPr>
        <w:t xml:space="preserve"> LM, Khosla C. Structural basis for gluten intolerance in celiac sprue. </w:t>
      </w:r>
      <w:r w:rsidRPr="00151141">
        <w:rPr>
          <w:rFonts w:ascii="Book Antiqua" w:hAnsi="Book Antiqua"/>
          <w:i/>
          <w:iCs/>
        </w:rPr>
        <w:t>Science</w:t>
      </w:r>
      <w:r w:rsidRPr="00151141">
        <w:rPr>
          <w:rFonts w:ascii="Book Antiqua" w:hAnsi="Book Antiqua"/>
        </w:rPr>
        <w:t xml:space="preserve"> 2002; </w:t>
      </w:r>
      <w:r w:rsidRPr="00151141">
        <w:rPr>
          <w:rFonts w:ascii="Book Antiqua" w:hAnsi="Book Antiqua"/>
          <w:b/>
          <w:bCs/>
        </w:rPr>
        <w:t>297</w:t>
      </w:r>
      <w:r w:rsidRPr="00151141">
        <w:rPr>
          <w:rFonts w:ascii="Book Antiqua" w:hAnsi="Book Antiqua"/>
        </w:rPr>
        <w:t>: 2275-2279 [PMID: 12351792 DOI: 10.1126/science.1074129]</w:t>
      </w:r>
    </w:p>
    <w:p w14:paraId="7375C7E7" w14:textId="77777777" w:rsidR="002420DA" w:rsidRPr="00151141" w:rsidRDefault="00C3458C" w:rsidP="00F10C3B">
      <w:pPr>
        <w:spacing w:line="360" w:lineRule="auto"/>
        <w:jc w:val="both"/>
        <w:rPr>
          <w:rFonts w:ascii="Book Antiqua" w:hAnsi="Book Antiqua"/>
        </w:rPr>
      </w:pPr>
      <w:r w:rsidRPr="00C3458C">
        <w:rPr>
          <w:rFonts w:ascii="Book Antiqua" w:hAnsi="Book Antiqua"/>
        </w:rPr>
        <w:t xml:space="preserve">3 </w:t>
      </w:r>
      <w:r w:rsidRPr="00C3458C">
        <w:rPr>
          <w:rFonts w:ascii="Book Antiqua" w:hAnsi="Book Antiqua"/>
          <w:b/>
          <w:bCs/>
        </w:rPr>
        <w:t>Fasano A</w:t>
      </w:r>
      <w:r w:rsidRPr="00C3458C">
        <w:rPr>
          <w:rFonts w:ascii="Book Antiqua" w:hAnsi="Book Antiqua"/>
        </w:rPr>
        <w:t xml:space="preserve">, </w:t>
      </w:r>
      <w:proofErr w:type="spellStart"/>
      <w:r w:rsidRPr="00C3458C">
        <w:rPr>
          <w:rFonts w:ascii="Book Antiqua" w:hAnsi="Book Antiqua"/>
        </w:rPr>
        <w:t>Catassi</w:t>
      </w:r>
      <w:proofErr w:type="spellEnd"/>
      <w:r w:rsidRPr="00C3458C">
        <w:rPr>
          <w:rFonts w:ascii="Book Antiqua" w:hAnsi="Book Antiqua"/>
        </w:rPr>
        <w:t xml:space="preserve"> C. Clinical practice. </w:t>
      </w:r>
      <w:r w:rsidR="002420DA" w:rsidRPr="00151141">
        <w:rPr>
          <w:rFonts w:ascii="Book Antiqua" w:hAnsi="Book Antiqua"/>
        </w:rPr>
        <w:t xml:space="preserve">Celiac disease. </w:t>
      </w:r>
      <w:r w:rsidR="002420DA" w:rsidRPr="00151141">
        <w:rPr>
          <w:rFonts w:ascii="Book Antiqua" w:hAnsi="Book Antiqua"/>
          <w:i/>
          <w:iCs/>
        </w:rPr>
        <w:t xml:space="preserve">N </w:t>
      </w:r>
      <w:proofErr w:type="spellStart"/>
      <w:r w:rsidR="002420DA" w:rsidRPr="00151141">
        <w:rPr>
          <w:rFonts w:ascii="Book Antiqua" w:hAnsi="Book Antiqua"/>
          <w:i/>
          <w:iCs/>
        </w:rPr>
        <w:t>Engl</w:t>
      </w:r>
      <w:proofErr w:type="spellEnd"/>
      <w:r w:rsidR="002420DA" w:rsidRPr="00151141">
        <w:rPr>
          <w:rFonts w:ascii="Book Antiqua" w:hAnsi="Book Antiqua"/>
          <w:i/>
          <w:iCs/>
        </w:rPr>
        <w:t xml:space="preserve"> J Med</w:t>
      </w:r>
      <w:r w:rsidR="002420DA" w:rsidRPr="00151141">
        <w:rPr>
          <w:rFonts w:ascii="Book Antiqua" w:hAnsi="Book Antiqua"/>
        </w:rPr>
        <w:t xml:space="preserve"> 2012; </w:t>
      </w:r>
      <w:r w:rsidR="002420DA" w:rsidRPr="00151141">
        <w:rPr>
          <w:rFonts w:ascii="Book Antiqua" w:hAnsi="Book Antiqua"/>
          <w:b/>
          <w:bCs/>
        </w:rPr>
        <w:t>367</w:t>
      </w:r>
      <w:r w:rsidR="002420DA" w:rsidRPr="00151141">
        <w:rPr>
          <w:rFonts w:ascii="Book Antiqua" w:hAnsi="Book Antiqua"/>
        </w:rPr>
        <w:t>: 2419-2426 [PMID: 23252527 DOI: 10.1056/NEJMcp1113994]</w:t>
      </w:r>
    </w:p>
    <w:p w14:paraId="0882CB61" w14:textId="77777777" w:rsidR="002420DA" w:rsidRPr="00151141" w:rsidRDefault="002420DA" w:rsidP="00F10C3B">
      <w:pPr>
        <w:spacing w:line="360" w:lineRule="auto"/>
        <w:jc w:val="both"/>
        <w:rPr>
          <w:rFonts w:ascii="Book Antiqua" w:hAnsi="Book Antiqua"/>
        </w:rPr>
      </w:pPr>
      <w:r w:rsidRPr="00151141">
        <w:rPr>
          <w:rFonts w:ascii="Book Antiqua" w:hAnsi="Book Antiqua"/>
        </w:rPr>
        <w:lastRenderedPageBreak/>
        <w:t xml:space="preserve">4 </w:t>
      </w:r>
      <w:r w:rsidRPr="00151141">
        <w:rPr>
          <w:rFonts w:ascii="Book Antiqua" w:hAnsi="Book Antiqua"/>
          <w:b/>
          <w:bCs/>
        </w:rPr>
        <w:t>Abadie V</w:t>
      </w:r>
      <w:r w:rsidRPr="00151141">
        <w:rPr>
          <w:rFonts w:ascii="Book Antiqua" w:hAnsi="Book Antiqua"/>
        </w:rPr>
        <w:t xml:space="preserve">, </w:t>
      </w:r>
      <w:proofErr w:type="spellStart"/>
      <w:r w:rsidRPr="00151141">
        <w:rPr>
          <w:rFonts w:ascii="Book Antiqua" w:hAnsi="Book Antiqua"/>
        </w:rPr>
        <w:t>Sollid</w:t>
      </w:r>
      <w:proofErr w:type="spellEnd"/>
      <w:r w:rsidRPr="00151141">
        <w:rPr>
          <w:rFonts w:ascii="Book Antiqua" w:hAnsi="Book Antiqua"/>
        </w:rPr>
        <w:t xml:space="preserve"> LM, Barreiro LB, Jabri B. Integration of genetic and immunological insights into a model of celiac disease pathogenesis. </w:t>
      </w:r>
      <w:proofErr w:type="spellStart"/>
      <w:r w:rsidRPr="00151141">
        <w:rPr>
          <w:rFonts w:ascii="Book Antiqua" w:hAnsi="Book Antiqua"/>
          <w:i/>
          <w:iCs/>
        </w:rPr>
        <w:t>Annu</w:t>
      </w:r>
      <w:proofErr w:type="spellEnd"/>
      <w:r w:rsidRPr="00151141">
        <w:rPr>
          <w:rFonts w:ascii="Book Antiqua" w:hAnsi="Book Antiqua"/>
          <w:i/>
          <w:iCs/>
        </w:rPr>
        <w:t xml:space="preserve"> Rev Immunol</w:t>
      </w:r>
      <w:r w:rsidRPr="00151141">
        <w:rPr>
          <w:rFonts w:ascii="Book Antiqua" w:hAnsi="Book Antiqua"/>
        </w:rPr>
        <w:t xml:space="preserve"> 2011; </w:t>
      </w:r>
      <w:r w:rsidRPr="00151141">
        <w:rPr>
          <w:rFonts w:ascii="Book Antiqua" w:hAnsi="Book Antiqua"/>
          <w:b/>
          <w:bCs/>
        </w:rPr>
        <w:t>29</w:t>
      </w:r>
      <w:r w:rsidRPr="00151141">
        <w:rPr>
          <w:rFonts w:ascii="Book Antiqua" w:hAnsi="Book Antiqua"/>
        </w:rPr>
        <w:t>: 493-525 [PMID: 21219178 DOI: 10.1146/annurev-immunol-040210-092915]</w:t>
      </w:r>
    </w:p>
    <w:p w14:paraId="1CC0EF6E"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5 </w:t>
      </w:r>
      <w:proofErr w:type="spellStart"/>
      <w:r w:rsidRPr="00151141">
        <w:rPr>
          <w:rFonts w:ascii="Book Antiqua" w:hAnsi="Book Antiqua"/>
          <w:b/>
          <w:bCs/>
        </w:rPr>
        <w:t>Loeff</w:t>
      </w:r>
      <w:proofErr w:type="spellEnd"/>
      <w:r w:rsidRPr="00151141">
        <w:rPr>
          <w:rFonts w:ascii="Book Antiqua" w:hAnsi="Book Antiqua"/>
          <w:b/>
          <w:bCs/>
        </w:rPr>
        <w:t xml:space="preserve"> T</w:t>
      </w:r>
      <w:r w:rsidRPr="00151141">
        <w:rPr>
          <w:rFonts w:ascii="Book Antiqua" w:hAnsi="Book Antiqua"/>
        </w:rPr>
        <w:t xml:space="preserve">, Araya M, Pérez-Bravo F. Frequency of MYO9B polymorphisms in celiac patients and controls. </w:t>
      </w:r>
      <w:r w:rsidRPr="00151141">
        <w:rPr>
          <w:rFonts w:ascii="Book Antiqua" w:hAnsi="Book Antiqua"/>
          <w:i/>
          <w:iCs/>
        </w:rPr>
        <w:t xml:space="preserve">Rev </w:t>
      </w:r>
      <w:proofErr w:type="spellStart"/>
      <w:r w:rsidRPr="00151141">
        <w:rPr>
          <w:rFonts w:ascii="Book Antiqua" w:hAnsi="Book Antiqua"/>
          <w:i/>
          <w:iCs/>
        </w:rPr>
        <w:t>Esp</w:t>
      </w:r>
      <w:proofErr w:type="spellEnd"/>
      <w:r w:rsidRPr="00151141">
        <w:rPr>
          <w:rFonts w:ascii="Book Antiqua" w:hAnsi="Book Antiqua"/>
          <w:i/>
          <w:iCs/>
        </w:rPr>
        <w:t xml:space="preserve"> </w:t>
      </w:r>
      <w:proofErr w:type="spellStart"/>
      <w:r w:rsidRPr="00151141">
        <w:rPr>
          <w:rFonts w:ascii="Book Antiqua" w:hAnsi="Book Antiqua"/>
          <w:i/>
          <w:iCs/>
        </w:rPr>
        <w:t>Enferm</w:t>
      </w:r>
      <w:proofErr w:type="spellEnd"/>
      <w:r w:rsidRPr="00151141">
        <w:rPr>
          <w:rFonts w:ascii="Book Antiqua" w:hAnsi="Book Antiqua"/>
          <w:i/>
          <w:iCs/>
        </w:rPr>
        <w:t xml:space="preserve"> Dig</w:t>
      </w:r>
      <w:r w:rsidRPr="00151141">
        <w:rPr>
          <w:rFonts w:ascii="Book Antiqua" w:hAnsi="Book Antiqua"/>
        </w:rPr>
        <w:t xml:space="preserve"> 2012; </w:t>
      </w:r>
      <w:r w:rsidRPr="00151141">
        <w:rPr>
          <w:rFonts w:ascii="Book Antiqua" w:hAnsi="Book Antiqua"/>
          <w:b/>
          <w:bCs/>
        </w:rPr>
        <w:t>104</w:t>
      </w:r>
      <w:r w:rsidRPr="00151141">
        <w:rPr>
          <w:rFonts w:ascii="Book Antiqua" w:hAnsi="Book Antiqua"/>
        </w:rPr>
        <w:t>: 566-571 [PMID: 23368647 DOI: 10.4321/s1130-01082012001100003]</w:t>
      </w:r>
    </w:p>
    <w:p w14:paraId="30AE025D"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6 </w:t>
      </w:r>
      <w:proofErr w:type="spellStart"/>
      <w:r w:rsidRPr="00151141">
        <w:rPr>
          <w:rFonts w:ascii="Book Antiqua" w:hAnsi="Book Antiqua"/>
          <w:b/>
          <w:bCs/>
        </w:rPr>
        <w:t>Wapenaar</w:t>
      </w:r>
      <w:proofErr w:type="spellEnd"/>
      <w:r w:rsidRPr="00151141">
        <w:rPr>
          <w:rFonts w:ascii="Book Antiqua" w:hAnsi="Book Antiqua"/>
          <w:b/>
          <w:bCs/>
        </w:rPr>
        <w:t xml:space="preserve"> MC</w:t>
      </w:r>
      <w:r w:rsidRPr="00151141">
        <w:rPr>
          <w:rFonts w:ascii="Book Antiqua" w:hAnsi="Book Antiqua"/>
        </w:rPr>
        <w:t xml:space="preserve">, </w:t>
      </w:r>
      <w:proofErr w:type="spellStart"/>
      <w:r w:rsidRPr="00151141">
        <w:rPr>
          <w:rFonts w:ascii="Book Antiqua" w:hAnsi="Book Antiqua"/>
        </w:rPr>
        <w:t>Monsuur</w:t>
      </w:r>
      <w:proofErr w:type="spellEnd"/>
      <w:r w:rsidRPr="00151141">
        <w:rPr>
          <w:rFonts w:ascii="Book Antiqua" w:hAnsi="Book Antiqua"/>
        </w:rPr>
        <w:t xml:space="preserve"> AJ, van </w:t>
      </w:r>
      <w:proofErr w:type="spellStart"/>
      <w:r w:rsidRPr="00151141">
        <w:rPr>
          <w:rFonts w:ascii="Book Antiqua" w:hAnsi="Book Antiqua"/>
        </w:rPr>
        <w:t>Bodegraven</w:t>
      </w:r>
      <w:proofErr w:type="spellEnd"/>
      <w:r w:rsidRPr="00151141">
        <w:rPr>
          <w:rFonts w:ascii="Book Antiqua" w:hAnsi="Book Antiqua"/>
        </w:rPr>
        <w:t xml:space="preserve"> AA, </w:t>
      </w:r>
      <w:proofErr w:type="spellStart"/>
      <w:r w:rsidRPr="00151141">
        <w:rPr>
          <w:rFonts w:ascii="Book Antiqua" w:hAnsi="Book Antiqua"/>
        </w:rPr>
        <w:t>Weersma</w:t>
      </w:r>
      <w:proofErr w:type="spellEnd"/>
      <w:r w:rsidRPr="00151141">
        <w:rPr>
          <w:rFonts w:ascii="Book Antiqua" w:hAnsi="Book Antiqua"/>
        </w:rPr>
        <w:t xml:space="preserve"> RK, </w:t>
      </w:r>
      <w:proofErr w:type="spellStart"/>
      <w:r w:rsidRPr="00151141">
        <w:rPr>
          <w:rFonts w:ascii="Book Antiqua" w:hAnsi="Book Antiqua"/>
        </w:rPr>
        <w:t>Bevova</w:t>
      </w:r>
      <w:proofErr w:type="spellEnd"/>
      <w:r w:rsidRPr="00151141">
        <w:rPr>
          <w:rFonts w:ascii="Book Antiqua" w:hAnsi="Book Antiqua"/>
        </w:rPr>
        <w:t xml:space="preserve"> MR, </w:t>
      </w:r>
      <w:proofErr w:type="spellStart"/>
      <w:r w:rsidRPr="00151141">
        <w:rPr>
          <w:rFonts w:ascii="Book Antiqua" w:hAnsi="Book Antiqua"/>
        </w:rPr>
        <w:t>Linskens</w:t>
      </w:r>
      <w:proofErr w:type="spellEnd"/>
      <w:r w:rsidRPr="00151141">
        <w:rPr>
          <w:rFonts w:ascii="Book Antiqua" w:hAnsi="Book Antiqua"/>
        </w:rPr>
        <w:t xml:space="preserve"> RK, </w:t>
      </w:r>
      <w:proofErr w:type="spellStart"/>
      <w:r w:rsidRPr="00151141">
        <w:rPr>
          <w:rFonts w:ascii="Book Antiqua" w:hAnsi="Book Antiqua"/>
        </w:rPr>
        <w:t>Howdle</w:t>
      </w:r>
      <w:proofErr w:type="spellEnd"/>
      <w:r w:rsidRPr="00151141">
        <w:rPr>
          <w:rFonts w:ascii="Book Antiqua" w:hAnsi="Book Antiqua"/>
        </w:rPr>
        <w:t xml:space="preserve"> P, Holmes G, Mulder CJ, Dijkstra G, van Heel DA, </w:t>
      </w:r>
      <w:proofErr w:type="spellStart"/>
      <w:r w:rsidRPr="00151141">
        <w:rPr>
          <w:rFonts w:ascii="Book Antiqua" w:hAnsi="Book Antiqua"/>
        </w:rPr>
        <w:t>Wijmenga</w:t>
      </w:r>
      <w:proofErr w:type="spellEnd"/>
      <w:r w:rsidRPr="00151141">
        <w:rPr>
          <w:rFonts w:ascii="Book Antiqua" w:hAnsi="Book Antiqua"/>
        </w:rPr>
        <w:t xml:space="preserve"> C. Associations with tight junction genes PARD3 and MAGI2 in Dutch patients point to a common barrier defect for coeliac disease and ulcerative colitis. </w:t>
      </w:r>
      <w:r w:rsidRPr="00151141">
        <w:rPr>
          <w:rFonts w:ascii="Book Antiqua" w:hAnsi="Book Antiqua"/>
          <w:i/>
          <w:iCs/>
        </w:rPr>
        <w:t>Gut</w:t>
      </w:r>
      <w:r w:rsidRPr="00151141">
        <w:rPr>
          <w:rFonts w:ascii="Book Antiqua" w:hAnsi="Book Antiqua"/>
        </w:rPr>
        <w:t xml:space="preserve"> 2008; </w:t>
      </w:r>
      <w:r w:rsidRPr="00151141">
        <w:rPr>
          <w:rFonts w:ascii="Book Antiqua" w:hAnsi="Book Antiqua"/>
          <w:b/>
          <w:bCs/>
        </w:rPr>
        <w:t>57</w:t>
      </w:r>
      <w:r w:rsidRPr="00151141">
        <w:rPr>
          <w:rFonts w:ascii="Book Antiqua" w:hAnsi="Book Antiqua"/>
        </w:rPr>
        <w:t>: 463-467 [PMID: 17989107 DOI: 10.1136/gut.2007.133132]</w:t>
      </w:r>
    </w:p>
    <w:p w14:paraId="1E9D747E"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7 </w:t>
      </w:r>
      <w:r w:rsidRPr="00151141">
        <w:rPr>
          <w:rFonts w:ascii="Book Antiqua" w:hAnsi="Book Antiqua"/>
          <w:b/>
          <w:bCs/>
        </w:rPr>
        <w:t>Tye-Din JA</w:t>
      </w:r>
      <w:r w:rsidRPr="00151141">
        <w:rPr>
          <w:rFonts w:ascii="Book Antiqua" w:hAnsi="Book Antiqua"/>
        </w:rPr>
        <w:t xml:space="preserve">, Stewart JA, </w:t>
      </w:r>
      <w:proofErr w:type="spellStart"/>
      <w:r w:rsidRPr="00151141">
        <w:rPr>
          <w:rFonts w:ascii="Book Antiqua" w:hAnsi="Book Antiqua"/>
        </w:rPr>
        <w:t>Dromey</w:t>
      </w:r>
      <w:proofErr w:type="spellEnd"/>
      <w:r w:rsidRPr="00151141">
        <w:rPr>
          <w:rFonts w:ascii="Book Antiqua" w:hAnsi="Book Antiqua"/>
        </w:rPr>
        <w:t xml:space="preserve"> JA, </w:t>
      </w:r>
      <w:proofErr w:type="spellStart"/>
      <w:r w:rsidRPr="00151141">
        <w:rPr>
          <w:rFonts w:ascii="Book Antiqua" w:hAnsi="Book Antiqua"/>
        </w:rPr>
        <w:t>Beissbarth</w:t>
      </w:r>
      <w:proofErr w:type="spellEnd"/>
      <w:r w:rsidRPr="00151141">
        <w:rPr>
          <w:rFonts w:ascii="Book Antiqua" w:hAnsi="Book Antiqua"/>
        </w:rPr>
        <w:t xml:space="preserve"> T, van Heel DA, Tatham A, Henderson K, Mannering SI, </w:t>
      </w:r>
      <w:proofErr w:type="spellStart"/>
      <w:r w:rsidRPr="00151141">
        <w:rPr>
          <w:rFonts w:ascii="Book Antiqua" w:hAnsi="Book Antiqua"/>
        </w:rPr>
        <w:t>Gianfrani</w:t>
      </w:r>
      <w:proofErr w:type="spellEnd"/>
      <w:r w:rsidRPr="00151141">
        <w:rPr>
          <w:rFonts w:ascii="Book Antiqua" w:hAnsi="Book Antiqua"/>
        </w:rPr>
        <w:t xml:space="preserve"> C, Jewell DP, Hill AV, McCluskey J, </w:t>
      </w:r>
      <w:proofErr w:type="spellStart"/>
      <w:r w:rsidRPr="00151141">
        <w:rPr>
          <w:rFonts w:ascii="Book Antiqua" w:hAnsi="Book Antiqua"/>
        </w:rPr>
        <w:t>Rossjohn</w:t>
      </w:r>
      <w:proofErr w:type="spellEnd"/>
      <w:r w:rsidRPr="00151141">
        <w:rPr>
          <w:rFonts w:ascii="Book Antiqua" w:hAnsi="Book Antiqua"/>
        </w:rPr>
        <w:t xml:space="preserve"> J, Anderson RP. Comprehensive, quantitative mapping of T cell epitopes in gluten in celiac disease. </w:t>
      </w:r>
      <w:r w:rsidRPr="00151141">
        <w:rPr>
          <w:rFonts w:ascii="Book Antiqua" w:hAnsi="Book Antiqua"/>
          <w:i/>
          <w:iCs/>
        </w:rPr>
        <w:t xml:space="preserve">Sci </w:t>
      </w:r>
      <w:proofErr w:type="spellStart"/>
      <w:r w:rsidRPr="00151141">
        <w:rPr>
          <w:rFonts w:ascii="Book Antiqua" w:hAnsi="Book Antiqua"/>
          <w:i/>
          <w:iCs/>
        </w:rPr>
        <w:t>Transl</w:t>
      </w:r>
      <w:proofErr w:type="spellEnd"/>
      <w:r w:rsidRPr="00151141">
        <w:rPr>
          <w:rFonts w:ascii="Book Antiqua" w:hAnsi="Book Antiqua"/>
          <w:i/>
          <w:iCs/>
        </w:rPr>
        <w:t xml:space="preserve"> Med</w:t>
      </w:r>
      <w:r w:rsidRPr="00151141">
        <w:rPr>
          <w:rFonts w:ascii="Book Antiqua" w:hAnsi="Book Antiqua"/>
        </w:rPr>
        <w:t xml:space="preserve"> 2010; </w:t>
      </w:r>
      <w:r w:rsidRPr="00151141">
        <w:rPr>
          <w:rFonts w:ascii="Book Antiqua" w:hAnsi="Book Antiqua"/>
          <w:b/>
          <w:bCs/>
        </w:rPr>
        <w:t>2</w:t>
      </w:r>
      <w:r w:rsidRPr="00151141">
        <w:rPr>
          <w:rFonts w:ascii="Book Antiqua" w:hAnsi="Book Antiqua"/>
        </w:rPr>
        <w:t>: 41ra51 [PMID: 20650871 DOI: 10.1126/scitranslmed.3001012]</w:t>
      </w:r>
    </w:p>
    <w:p w14:paraId="198ABCEC"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8 </w:t>
      </w:r>
      <w:r w:rsidRPr="00151141">
        <w:rPr>
          <w:rFonts w:ascii="Book Antiqua" w:hAnsi="Book Antiqua"/>
          <w:b/>
          <w:bCs/>
        </w:rPr>
        <w:t>Comino I</w:t>
      </w:r>
      <w:r w:rsidRPr="00151141">
        <w:rPr>
          <w:rFonts w:ascii="Book Antiqua" w:hAnsi="Book Antiqua"/>
        </w:rPr>
        <w:t>, Fernández-</w:t>
      </w:r>
      <w:proofErr w:type="spellStart"/>
      <w:r w:rsidRPr="00151141">
        <w:rPr>
          <w:rFonts w:ascii="Book Antiqua" w:hAnsi="Book Antiqua"/>
        </w:rPr>
        <w:t>Bañares</w:t>
      </w:r>
      <w:proofErr w:type="spellEnd"/>
      <w:r w:rsidRPr="00151141">
        <w:rPr>
          <w:rFonts w:ascii="Book Antiqua" w:hAnsi="Book Antiqua"/>
        </w:rPr>
        <w:t xml:space="preserve"> F, </w:t>
      </w:r>
      <w:proofErr w:type="spellStart"/>
      <w:r w:rsidRPr="00151141">
        <w:rPr>
          <w:rFonts w:ascii="Book Antiqua" w:hAnsi="Book Antiqua"/>
        </w:rPr>
        <w:t>Esteve</w:t>
      </w:r>
      <w:proofErr w:type="spellEnd"/>
      <w:r w:rsidRPr="00151141">
        <w:rPr>
          <w:rFonts w:ascii="Book Antiqua" w:hAnsi="Book Antiqua"/>
        </w:rPr>
        <w:t xml:space="preserve"> M, </w:t>
      </w:r>
      <w:proofErr w:type="spellStart"/>
      <w:r w:rsidRPr="00151141">
        <w:rPr>
          <w:rFonts w:ascii="Book Antiqua" w:hAnsi="Book Antiqua"/>
        </w:rPr>
        <w:t>Ortigosa</w:t>
      </w:r>
      <w:proofErr w:type="spellEnd"/>
      <w:r w:rsidRPr="00151141">
        <w:rPr>
          <w:rFonts w:ascii="Book Antiqua" w:hAnsi="Book Antiqua"/>
        </w:rPr>
        <w:t xml:space="preserve"> L, </w:t>
      </w:r>
      <w:proofErr w:type="spellStart"/>
      <w:r w:rsidRPr="00151141">
        <w:rPr>
          <w:rFonts w:ascii="Book Antiqua" w:hAnsi="Book Antiqua"/>
        </w:rPr>
        <w:t>Castillejo</w:t>
      </w:r>
      <w:proofErr w:type="spellEnd"/>
      <w:r w:rsidRPr="00151141">
        <w:rPr>
          <w:rFonts w:ascii="Book Antiqua" w:hAnsi="Book Antiqua"/>
        </w:rPr>
        <w:t xml:space="preserve"> G, </w:t>
      </w:r>
      <w:proofErr w:type="spellStart"/>
      <w:r w:rsidRPr="00151141">
        <w:rPr>
          <w:rFonts w:ascii="Book Antiqua" w:hAnsi="Book Antiqua"/>
        </w:rPr>
        <w:t>Fambuena</w:t>
      </w:r>
      <w:proofErr w:type="spellEnd"/>
      <w:r w:rsidRPr="00151141">
        <w:rPr>
          <w:rFonts w:ascii="Book Antiqua" w:hAnsi="Book Antiqua"/>
        </w:rPr>
        <w:t xml:space="preserve"> B, Ribes-</w:t>
      </w:r>
      <w:proofErr w:type="spellStart"/>
      <w:r w:rsidRPr="00151141">
        <w:rPr>
          <w:rFonts w:ascii="Book Antiqua" w:hAnsi="Book Antiqua"/>
        </w:rPr>
        <w:t>Koninckx</w:t>
      </w:r>
      <w:proofErr w:type="spellEnd"/>
      <w:r w:rsidRPr="00151141">
        <w:rPr>
          <w:rFonts w:ascii="Book Antiqua" w:hAnsi="Book Antiqua"/>
        </w:rPr>
        <w:t xml:space="preserve"> C, Sierra C, Rodríguez-Herrera A, Salazar JC, </w:t>
      </w:r>
      <w:proofErr w:type="spellStart"/>
      <w:r w:rsidRPr="00151141">
        <w:rPr>
          <w:rFonts w:ascii="Book Antiqua" w:hAnsi="Book Antiqua"/>
        </w:rPr>
        <w:t>Caunedo</w:t>
      </w:r>
      <w:proofErr w:type="spellEnd"/>
      <w:r w:rsidRPr="00151141">
        <w:rPr>
          <w:rFonts w:ascii="Book Antiqua" w:hAnsi="Book Antiqua"/>
        </w:rPr>
        <w:t xml:space="preserve"> Á, </w:t>
      </w:r>
      <w:proofErr w:type="spellStart"/>
      <w:r w:rsidRPr="00151141">
        <w:rPr>
          <w:rFonts w:ascii="Book Antiqua" w:hAnsi="Book Antiqua"/>
        </w:rPr>
        <w:t>Marugán-Miguelsanz</w:t>
      </w:r>
      <w:proofErr w:type="spellEnd"/>
      <w:r w:rsidRPr="00151141">
        <w:rPr>
          <w:rFonts w:ascii="Book Antiqua" w:hAnsi="Book Antiqua"/>
        </w:rPr>
        <w:t xml:space="preserve"> JM, Garrote JA, </w:t>
      </w:r>
      <w:proofErr w:type="spellStart"/>
      <w:r w:rsidRPr="00151141">
        <w:rPr>
          <w:rFonts w:ascii="Book Antiqua" w:hAnsi="Book Antiqua"/>
        </w:rPr>
        <w:t>Vivas</w:t>
      </w:r>
      <w:proofErr w:type="spellEnd"/>
      <w:r w:rsidRPr="00151141">
        <w:rPr>
          <w:rFonts w:ascii="Book Antiqua" w:hAnsi="Book Antiqua"/>
        </w:rPr>
        <w:t xml:space="preserve"> S, Lo </w:t>
      </w:r>
      <w:proofErr w:type="spellStart"/>
      <w:r w:rsidRPr="00151141">
        <w:rPr>
          <w:rFonts w:ascii="Book Antiqua" w:hAnsi="Book Antiqua"/>
        </w:rPr>
        <w:t>Iacono</w:t>
      </w:r>
      <w:proofErr w:type="spellEnd"/>
      <w:r w:rsidRPr="00151141">
        <w:rPr>
          <w:rFonts w:ascii="Book Antiqua" w:hAnsi="Book Antiqua"/>
        </w:rPr>
        <w:t xml:space="preserve"> O, </w:t>
      </w:r>
      <w:proofErr w:type="spellStart"/>
      <w:r w:rsidRPr="00151141">
        <w:rPr>
          <w:rFonts w:ascii="Book Antiqua" w:hAnsi="Book Antiqua"/>
        </w:rPr>
        <w:t>Nuñez</w:t>
      </w:r>
      <w:proofErr w:type="spellEnd"/>
      <w:r w:rsidRPr="00151141">
        <w:rPr>
          <w:rFonts w:ascii="Book Antiqua" w:hAnsi="Book Antiqua"/>
        </w:rPr>
        <w:t xml:space="preserve"> A, Vaquero L, Vegas AM, Crespo L, Fernández-Salazar L, </w:t>
      </w:r>
      <w:proofErr w:type="spellStart"/>
      <w:r w:rsidRPr="00151141">
        <w:rPr>
          <w:rFonts w:ascii="Book Antiqua" w:hAnsi="Book Antiqua"/>
        </w:rPr>
        <w:t>Arranz</w:t>
      </w:r>
      <w:proofErr w:type="spellEnd"/>
      <w:r w:rsidRPr="00151141">
        <w:rPr>
          <w:rFonts w:ascii="Book Antiqua" w:hAnsi="Book Antiqua"/>
        </w:rPr>
        <w:t xml:space="preserve"> E, Jiménez-García VA, Antonio Montes-Cano M, </w:t>
      </w:r>
      <w:proofErr w:type="spellStart"/>
      <w:r w:rsidRPr="00151141">
        <w:rPr>
          <w:rFonts w:ascii="Book Antiqua" w:hAnsi="Book Antiqua"/>
        </w:rPr>
        <w:t>Espín</w:t>
      </w:r>
      <w:proofErr w:type="spellEnd"/>
      <w:r w:rsidRPr="00151141">
        <w:rPr>
          <w:rFonts w:ascii="Book Antiqua" w:hAnsi="Book Antiqua"/>
        </w:rPr>
        <w:t xml:space="preserve"> B, Galera A, Valverde J, </w:t>
      </w:r>
      <w:proofErr w:type="spellStart"/>
      <w:r w:rsidRPr="00151141">
        <w:rPr>
          <w:rFonts w:ascii="Book Antiqua" w:hAnsi="Book Antiqua"/>
        </w:rPr>
        <w:t>Girón</w:t>
      </w:r>
      <w:proofErr w:type="spellEnd"/>
      <w:r w:rsidRPr="00151141">
        <w:rPr>
          <w:rFonts w:ascii="Book Antiqua" w:hAnsi="Book Antiqua"/>
        </w:rPr>
        <w:t xml:space="preserve"> FJ, </w:t>
      </w:r>
      <w:proofErr w:type="spellStart"/>
      <w:r w:rsidRPr="00151141">
        <w:rPr>
          <w:rFonts w:ascii="Book Antiqua" w:hAnsi="Book Antiqua"/>
        </w:rPr>
        <w:t>Bolonio</w:t>
      </w:r>
      <w:proofErr w:type="spellEnd"/>
      <w:r w:rsidRPr="00151141">
        <w:rPr>
          <w:rFonts w:ascii="Book Antiqua" w:hAnsi="Book Antiqua"/>
        </w:rPr>
        <w:t xml:space="preserve"> M, </w:t>
      </w:r>
      <w:proofErr w:type="spellStart"/>
      <w:r w:rsidRPr="00151141">
        <w:rPr>
          <w:rFonts w:ascii="Book Antiqua" w:hAnsi="Book Antiqua"/>
        </w:rPr>
        <w:t>Millán</w:t>
      </w:r>
      <w:proofErr w:type="spellEnd"/>
      <w:r w:rsidRPr="00151141">
        <w:rPr>
          <w:rFonts w:ascii="Book Antiqua" w:hAnsi="Book Antiqua"/>
        </w:rPr>
        <w:t xml:space="preserve"> A, </w:t>
      </w:r>
      <w:proofErr w:type="spellStart"/>
      <w:r w:rsidRPr="00151141">
        <w:rPr>
          <w:rFonts w:ascii="Book Antiqua" w:hAnsi="Book Antiqua"/>
        </w:rPr>
        <w:t>Cerezo</w:t>
      </w:r>
      <w:proofErr w:type="spellEnd"/>
      <w:r w:rsidRPr="00151141">
        <w:rPr>
          <w:rFonts w:ascii="Book Antiqua" w:hAnsi="Book Antiqua"/>
        </w:rPr>
        <w:t xml:space="preserve"> FM, Guajardo C, Alberto JR, </w:t>
      </w:r>
      <w:proofErr w:type="spellStart"/>
      <w:r w:rsidRPr="00151141">
        <w:rPr>
          <w:rFonts w:ascii="Book Antiqua" w:hAnsi="Book Antiqua"/>
        </w:rPr>
        <w:t>Rosinach</w:t>
      </w:r>
      <w:proofErr w:type="spellEnd"/>
      <w:r w:rsidRPr="00151141">
        <w:rPr>
          <w:rFonts w:ascii="Book Antiqua" w:hAnsi="Book Antiqua"/>
        </w:rPr>
        <w:t xml:space="preserve"> M, Segura V, León F, </w:t>
      </w:r>
      <w:proofErr w:type="spellStart"/>
      <w:r w:rsidRPr="00151141">
        <w:rPr>
          <w:rFonts w:ascii="Book Antiqua" w:hAnsi="Book Antiqua"/>
        </w:rPr>
        <w:t>Marinich</w:t>
      </w:r>
      <w:proofErr w:type="spellEnd"/>
      <w:r w:rsidRPr="00151141">
        <w:rPr>
          <w:rFonts w:ascii="Book Antiqua" w:hAnsi="Book Antiqua"/>
        </w:rPr>
        <w:t xml:space="preserve"> J, Muñoz-</w:t>
      </w:r>
      <w:proofErr w:type="spellStart"/>
      <w:r w:rsidRPr="00151141">
        <w:rPr>
          <w:rFonts w:ascii="Book Antiqua" w:hAnsi="Book Antiqua"/>
        </w:rPr>
        <w:t>Suano</w:t>
      </w:r>
      <w:proofErr w:type="spellEnd"/>
      <w:r w:rsidRPr="00151141">
        <w:rPr>
          <w:rFonts w:ascii="Book Antiqua" w:hAnsi="Book Antiqua"/>
        </w:rPr>
        <w:t xml:space="preserve"> A, Romero-Gómez M, Cebolla Á, Sousa C. Fecal Gluten Peptides Reveal Limitations of Serological Tests and Food Questionnaires for Monitoring Gluten-Free Diet in Celiac Disease Patients. </w:t>
      </w:r>
      <w:r w:rsidRPr="00151141">
        <w:rPr>
          <w:rFonts w:ascii="Book Antiqua" w:hAnsi="Book Antiqua"/>
          <w:i/>
          <w:iCs/>
        </w:rPr>
        <w:t>Am J Gastroenterol</w:t>
      </w:r>
      <w:r w:rsidRPr="00151141">
        <w:rPr>
          <w:rFonts w:ascii="Book Antiqua" w:hAnsi="Book Antiqua"/>
        </w:rPr>
        <w:t xml:space="preserve"> 2016; </w:t>
      </w:r>
      <w:r w:rsidRPr="00151141">
        <w:rPr>
          <w:rFonts w:ascii="Book Antiqua" w:hAnsi="Book Antiqua"/>
          <w:b/>
          <w:bCs/>
        </w:rPr>
        <w:t>111</w:t>
      </w:r>
      <w:r w:rsidRPr="00151141">
        <w:rPr>
          <w:rFonts w:ascii="Book Antiqua" w:hAnsi="Book Antiqua"/>
        </w:rPr>
        <w:t>: 1456-1465 [PMID: 27644734 DOI: 10.1038/ajg.2016.439]</w:t>
      </w:r>
    </w:p>
    <w:p w14:paraId="7A7E7795"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9 </w:t>
      </w:r>
      <w:r w:rsidRPr="00151141">
        <w:rPr>
          <w:rFonts w:ascii="Book Antiqua" w:hAnsi="Book Antiqua"/>
          <w:b/>
          <w:bCs/>
        </w:rPr>
        <w:t>Moreno ML</w:t>
      </w:r>
      <w:r w:rsidRPr="00151141">
        <w:rPr>
          <w:rFonts w:ascii="Book Antiqua" w:hAnsi="Book Antiqua"/>
        </w:rPr>
        <w:t xml:space="preserve">, Cebolla Á, Muñoz-Suano A, Carrillo-Carrion C, Comino I, Pizarro Á, León F, Rodríguez-Herrera A, Sousa C. Detection of gluten immunogenic peptides in the urine of patients with coeliac disease reveals transgressions in the gluten-free diet </w:t>
      </w:r>
      <w:r w:rsidRPr="00151141">
        <w:rPr>
          <w:rFonts w:ascii="Book Antiqua" w:hAnsi="Book Antiqua"/>
        </w:rPr>
        <w:lastRenderedPageBreak/>
        <w:t xml:space="preserve">and incomplete mucosal healing. </w:t>
      </w:r>
      <w:r w:rsidRPr="00151141">
        <w:rPr>
          <w:rFonts w:ascii="Book Antiqua" w:hAnsi="Book Antiqua"/>
          <w:i/>
          <w:iCs/>
        </w:rPr>
        <w:t>Gut</w:t>
      </w:r>
      <w:r w:rsidRPr="00151141">
        <w:rPr>
          <w:rFonts w:ascii="Book Antiqua" w:hAnsi="Book Antiqua"/>
        </w:rPr>
        <w:t xml:space="preserve"> 2017; </w:t>
      </w:r>
      <w:r w:rsidRPr="00151141">
        <w:rPr>
          <w:rFonts w:ascii="Book Antiqua" w:hAnsi="Book Antiqua"/>
          <w:b/>
          <w:bCs/>
        </w:rPr>
        <w:t>66</w:t>
      </w:r>
      <w:r w:rsidRPr="00151141">
        <w:rPr>
          <w:rFonts w:ascii="Book Antiqua" w:hAnsi="Book Antiqua"/>
        </w:rPr>
        <w:t>: 250-257 [PMID: 26608460 DOI: 10.1136/gutjnl-2015-310148]</w:t>
      </w:r>
    </w:p>
    <w:p w14:paraId="60BE84C4"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10 </w:t>
      </w:r>
      <w:proofErr w:type="spellStart"/>
      <w:r w:rsidRPr="00151141">
        <w:rPr>
          <w:rFonts w:ascii="Book Antiqua" w:hAnsi="Book Antiqua"/>
          <w:b/>
          <w:bCs/>
        </w:rPr>
        <w:t>Caio</w:t>
      </w:r>
      <w:proofErr w:type="spellEnd"/>
      <w:r w:rsidRPr="00151141">
        <w:rPr>
          <w:rFonts w:ascii="Book Antiqua" w:hAnsi="Book Antiqua"/>
          <w:b/>
          <w:bCs/>
        </w:rPr>
        <w:t xml:space="preserve"> G</w:t>
      </w:r>
      <w:r w:rsidRPr="00151141">
        <w:rPr>
          <w:rFonts w:ascii="Book Antiqua" w:hAnsi="Book Antiqua"/>
        </w:rPr>
        <w:t xml:space="preserve">, Volta U, </w:t>
      </w:r>
      <w:proofErr w:type="spellStart"/>
      <w:r w:rsidRPr="00151141">
        <w:rPr>
          <w:rFonts w:ascii="Book Antiqua" w:hAnsi="Book Antiqua"/>
        </w:rPr>
        <w:t>Sapone</w:t>
      </w:r>
      <w:proofErr w:type="spellEnd"/>
      <w:r w:rsidRPr="00151141">
        <w:rPr>
          <w:rFonts w:ascii="Book Antiqua" w:hAnsi="Book Antiqua"/>
        </w:rPr>
        <w:t xml:space="preserve"> A, Leffler DA, De Giorgio R, </w:t>
      </w:r>
      <w:proofErr w:type="spellStart"/>
      <w:r w:rsidRPr="00151141">
        <w:rPr>
          <w:rFonts w:ascii="Book Antiqua" w:hAnsi="Book Antiqua"/>
        </w:rPr>
        <w:t>Catassi</w:t>
      </w:r>
      <w:proofErr w:type="spellEnd"/>
      <w:r w:rsidRPr="00151141">
        <w:rPr>
          <w:rFonts w:ascii="Book Antiqua" w:hAnsi="Book Antiqua"/>
        </w:rPr>
        <w:t xml:space="preserve"> C, Fasano A. Celiac disease: a comprehensive current review. </w:t>
      </w:r>
      <w:r w:rsidRPr="00151141">
        <w:rPr>
          <w:rFonts w:ascii="Book Antiqua" w:hAnsi="Book Antiqua"/>
          <w:i/>
          <w:iCs/>
        </w:rPr>
        <w:t>BMC Med</w:t>
      </w:r>
      <w:r w:rsidRPr="00151141">
        <w:rPr>
          <w:rFonts w:ascii="Book Antiqua" w:hAnsi="Book Antiqua"/>
        </w:rPr>
        <w:t xml:space="preserve"> 2019; </w:t>
      </w:r>
      <w:r w:rsidRPr="00151141">
        <w:rPr>
          <w:rFonts w:ascii="Book Antiqua" w:hAnsi="Book Antiqua"/>
          <w:b/>
          <w:bCs/>
        </w:rPr>
        <w:t>17</w:t>
      </w:r>
      <w:r w:rsidRPr="00151141">
        <w:rPr>
          <w:rFonts w:ascii="Book Antiqua" w:hAnsi="Book Antiqua"/>
        </w:rPr>
        <w:t>: 142 [PMID: 31331324 DOI: 10.1186/s12916-019-1380-z]</w:t>
      </w:r>
    </w:p>
    <w:p w14:paraId="07F833F0"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11 </w:t>
      </w:r>
      <w:r w:rsidRPr="00151141">
        <w:rPr>
          <w:rFonts w:ascii="Book Antiqua" w:hAnsi="Book Antiqua"/>
          <w:b/>
          <w:bCs/>
        </w:rPr>
        <w:t>Leonard MM</w:t>
      </w:r>
      <w:r w:rsidRPr="00151141">
        <w:rPr>
          <w:rFonts w:ascii="Book Antiqua" w:hAnsi="Book Antiqua"/>
        </w:rPr>
        <w:t xml:space="preserve">, </w:t>
      </w:r>
      <w:proofErr w:type="spellStart"/>
      <w:r w:rsidRPr="00151141">
        <w:rPr>
          <w:rFonts w:ascii="Book Antiqua" w:hAnsi="Book Antiqua"/>
        </w:rPr>
        <w:t>Sapone</w:t>
      </w:r>
      <w:proofErr w:type="spellEnd"/>
      <w:r w:rsidRPr="00151141">
        <w:rPr>
          <w:rFonts w:ascii="Book Antiqua" w:hAnsi="Book Antiqua"/>
        </w:rPr>
        <w:t xml:space="preserve"> A, </w:t>
      </w:r>
      <w:proofErr w:type="spellStart"/>
      <w:r w:rsidRPr="00151141">
        <w:rPr>
          <w:rFonts w:ascii="Book Antiqua" w:hAnsi="Book Antiqua"/>
        </w:rPr>
        <w:t>Catassi</w:t>
      </w:r>
      <w:proofErr w:type="spellEnd"/>
      <w:r w:rsidRPr="00151141">
        <w:rPr>
          <w:rFonts w:ascii="Book Antiqua" w:hAnsi="Book Antiqua"/>
        </w:rPr>
        <w:t xml:space="preserve"> C, Fasano A. Celiac Disease and Nonceliac Gluten Sensitivity: A Review. </w:t>
      </w:r>
      <w:r w:rsidRPr="00151141">
        <w:rPr>
          <w:rFonts w:ascii="Book Antiqua" w:hAnsi="Book Antiqua"/>
          <w:i/>
          <w:iCs/>
        </w:rPr>
        <w:t>JAMA</w:t>
      </w:r>
      <w:r w:rsidRPr="00151141">
        <w:rPr>
          <w:rFonts w:ascii="Book Antiqua" w:hAnsi="Book Antiqua"/>
        </w:rPr>
        <w:t xml:space="preserve"> 2017; </w:t>
      </w:r>
      <w:r w:rsidRPr="00151141">
        <w:rPr>
          <w:rFonts w:ascii="Book Antiqua" w:hAnsi="Book Antiqua"/>
          <w:b/>
          <w:bCs/>
        </w:rPr>
        <w:t>318</w:t>
      </w:r>
      <w:r w:rsidRPr="00151141">
        <w:rPr>
          <w:rFonts w:ascii="Book Antiqua" w:hAnsi="Book Antiqua"/>
        </w:rPr>
        <w:t>: 647-656 [PMID: 28810029 DOI: 10.1001/jama.2017.9730]</w:t>
      </w:r>
    </w:p>
    <w:p w14:paraId="57ED44C5"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12 </w:t>
      </w:r>
      <w:proofErr w:type="spellStart"/>
      <w:r w:rsidRPr="00151141">
        <w:rPr>
          <w:rFonts w:ascii="Book Antiqua" w:hAnsi="Book Antiqua"/>
          <w:b/>
          <w:bCs/>
        </w:rPr>
        <w:t>Vivas</w:t>
      </w:r>
      <w:proofErr w:type="spellEnd"/>
      <w:r w:rsidRPr="00151141">
        <w:rPr>
          <w:rFonts w:ascii="Book Antiqua" w:hAnsi="Book Antiqua"/>
          <w:b/>
          <w:bCs/>
        </w:rPr>
        <w:t xml:space="preserve"> S</w:t>
      </w:r>
      <w:r w:rsidRPr="00151141">
        <w:rPr>
          <w:rFonts w:ascii="Book Antiqua" w:hAnsi="Book Antiqua"/>
        </w:rPr>
        <w:t xml:space="preserve">, Ruiz de Morales JM, Fernandez M, Hernando M, Herrero B, </w:t>
      </w:r>
      <w:proofErr w:type="spellStart"/>
      <w:r w:rsidRPr="00151141">
        <w:rPr>
          <w:rFonts w:ascii="Book Antiqua" w:hAnsi="Book Antiqua"/>
        </w:rPr>
        <w:t>Casqueiro</w:t>
      </w:r>
      <w:proofErr w:type="spellEnd"/>
      <w:r w:rsidRPr="00151141">
        <w:rPr>
          <w:rFonts w:ascii="Book Antiqua" w:hAnsi="Book Antiqua"/>
        </w:rPr>
        <w:t xml:space="preserve"> J, Gutierrez S. Age-related clinical, serological, and histopathological features of celiac disease. </w:t>
      </w:r>
      <w:r w:rsidRPr="00151141">
        <w:rPr>
          <w:rFonts w:ascii="Book Antiqua" w:hAnsi="Book Antiqua"/>
          <w:i/>
          <w:iCs/>
        </w:rPr>
        <w:t>Am J Gastroenterol</w:t>
      </w:r>
      <w:r w:rsidRPr="00151141">
        <w:rPr>
          <w:rFonts w:ascii="Book Antiqua" w:hAnsi="Book Antiqua"/>
        </w:rPr>
        <w:t xml:space="preserve"> 2008; </w:t>
      </w:r>
      <w:r w:rsidRPr="00151141">
        <w:rPr>
          <w:rFonts w:ascii="Book Antiqua" w:hAnsi="Book Antiqua"/>
          <w:b/>
          <w:bCs/>
        </w:rPr>
        <w:t>103</w:t>
      </w:r>
      <w:r w:rsidRPr="00151141">
        <w:rPr>
          <w:rFonts w:ascii="Book Antiqua" w:hAnsi="Book Antiqua"/>
        </w:rPr>
        <w:t>: 2360-5; quiz 2366 [PMID: 18702652 DOI: 10.1111/j.1572-0241.2008.01977.x]</w:t>
      </w:r>
    </w:p>
    <w:p w14:paraId="44741774"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13 </w:t>
      </w:r>
      <w:r w:rsidRPr="00151141">
        <w:rPr>
          <w:rFonts w:ascii="Book Antiqua" w:hAnsi="Book Antiqua"/>
          <w:b/>
          <w:bCs/>
        </w:rPr>
        <w:t>Reilly NR</w:t>
      </w:r>
      <w:r w:rsidRPr="00151141">
        <w:rPr>
          <w:rFonts w:ascii="Book Antiqua" w:hAnsi="Book Antiqua"/>
        </w:rPr>
        <w:t xml:space="preserve">, Aguilar K, Hassid BG, Cheng J, </w:t>
      </w:r>
      <w:proofErr w:type="spellStart"/>
      <w:r w:rsidRPr="00151141">
        <w:rPr>
          <w:rFonts w:ascii="Book Antiqua" w:hAnsi="Book Antiqua"/>
        </w:rPr>
        <w:t>Defelice</w:t>
      </w:r>
      <w:proofErr w:type="spellEnd"/>
      <w:r w:rsidRPr="00151141">
        <w:rPr>
          <w:rFonts w:ascii="Book Antiqua" w:hAnsi="Book Antiqua"/>
        </w:rPr>
        <w:t xml:space="preserve"> AR, </w:t>
      </w:r>
      <w:proofErr w:type="spellStart"/>
      <w:r w:rsidRPr="00151141">
        <w:rPr>
          <w:rFonts w:ascii="Book Antiqua" w:hAnsi="Book Antiqua"/>
        </w:rPr>
        <w:t>Kazlow</w:t>
      </w:r>
      <w:proofErr w:type="spellEnd"/>
      <w:r w:rsidRPr="00151141">
        <w:rPr>
          <w:rFonts w:ascii="Book Antiqua" w:hAnsi="Book Antiqua"/>
        </w:rPr>
        <w:t xml:space="preserve"> P, Bhagat G, Green PH. Celiac disease in normal-weight and overweight children: clinical features and growth outcomes following a gluten-free diet. </w:t>
      </w:r>
      <w:r w:rsidRPr="00151141">
        <w:rPr>
          <w:rFonts w:ascii="Book Antiqua" w:hAnsi="Book Antiqua"/>
          <w:i/>
          <w:iCs/>
        </w:rPr>
        <w:t xml:space="preserve">J </w:t>
      </w:r>
      <w:proofErr w:type="spellStart"/>
      <w:r w:rsidRPr="00151141">
        <w:rPr>
          <w:rFonts w:ascii="Book Antiqua" w:hAnsi="Book Antiqua"/>
          <w:i/>
          <w:iCs/>
        </w:rPr>
        <w:t>Pediatr</w:t>
      </w:r>
      <w:proofErr w:type="spellEnd"/>
      <w:r w:rsidRPr="00151141">
        <w:rPr>
          <w:rFonts w:ascii="Book Antiqua" w:hAnsi="Book Antiqua"/>
          <w:i/>
          <w:iCs/>
        </w:rPr>
        <w:t xml:space="preserve"> Gastroenterol </w:t>
      </w:r>
      <w:proofErr w:type="spellStart"/>
      <w:r w:rsidRPr="00151141">
        <w:rPr>
          <w:rFonts w:ascii="Book Antiqua" w:hAnsi="Book Antiqua"/>
          <w:i/>
          <w:iCs/>
        </w:rPr>
        <w:t>Nutr</w:t>
      </w:r>
      <w:proofErr w:type="spellEnd"/>
      <w:r w:rsidRPr="00151141">
        <w:rPr>
          <w:rFonts w:ascii="Book Antiqua" w:hAnsi="Book Antiqua"/>
        </w:rPr>
        <w:t xml:space="preserve"> 2011; </w:t>
      </w:r>
      <w:r w:rsidRPr="00151141">
        <w:rPr>
          <w:rFonts w:ascii="Book Antiqua" w:hAnsi="Book Antiqua"/>
          <w:b/>
          <w:bCs/>
        </w:rPr>
        <w:t>53</w:t>
      </w:r>
      <w:r w:rsidRPr="00151141">
        <w:rPr>
          <w:rFonts w:ascii="Book Antiqua" w:hAnsi="Book Antiqua"/>
        </w:rPr>
        <w:t>: 528-531 [PMID: 21670710 DOI: 10.1097/MPG.0b013e3182276d5e]</w:t>
      </w:r>
    </w:p>
    <w:p w14:paraId="34B48778"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14 </w:t>
      </w:r>
      <w:proofErr w:type="spellStart"/>
      <w:r w:rsidRPr="00151141">
        <w:rPr>
          <w:rFonts w:ascii="Book Antiqua" w:hAnsi="Book Antiqua"/>
          <w:b/>
          <w:bCs/>
        </w:rPr>
        <w:t>Lindfors</w:t>
      </w:r>
      <w:proofErr w:type="spellEnd"/>
      <w:r w:rsidRPr="00151141">
        <w:rPr>
          <w:rFonts w:ascii="Book Antiqua" w:hAnsi="Book Antiqua"/>
          <w:b/>
          <w:bCs/>
        </w:rPr>
        <w:t xml:space="preserve"> K</w:t>
      </w:r>
      <w:r w:rsidRPr="00151141">
        <w:rPr>
          <w:rFonts w:ascii="Book Antiqua" w:hAnsi="Book Antiqua"/>
        </w:rPr>
        <w:t xml:space="preserve">, </w:t>
      </w:r>
      <w:proofErr w:type="spellStart"/>
      <w:r w:rsidRPr="00151141">
        <w:rPr>
          <w:rFonts w:ascii="Book Antiqua" w:hAnsi="Book Antiqua"/>
        </w:rPr>
        <w:t>Ciacci</w:t>
      </w:r>
      <w:proofErr w:type="spellEnd"/>
      <w:r w:rsidRPr="00151141">
        <w:rPr>
          <w:rFonts w:ascii="Book Antiqua" w:hAnsi="Book Antiqua"/>
        </w:rPr>
        <w:t xml:space="preserve"> C, </w:t>
      </w:r>
      <w:proofErr w:type="spellStart"/>
      <w:r w:rsidRPr="00151141">
        <w:rPr>
          <w:rFonts w:ascii="Book Antiqua" w:hAnsi="Book Antiqua"/>
        </w:rPr>
        <w:t>Kurppa</w:t>
      </w:r>
      <w:proofErr w:type="spellEnd"/>
      <w:r w:rsidRPr="00151141">
        <w:rPr>
          <w:rFonts w:ascii="Book Antiqua" w:hAnsi="Book Antiqua"/>
        </w:rPr>
        <w:t xml:space="preserve"> K, Lundin KEA, </w:t>
      </w:r>
      <w:proofErr w:type="spellStart"/>
      <w:r w:rsidRPr="00151141">
        <w:rPr>
          <w:rFonts w:ascii="Book Antiqua" w:hAnsi="Book Antiqua"/>
        </w:rPr>
        <w:t>Makharia</w:t>
      </w:r>
      <w:proofErr w:type="spellEnd"/>
      <w:r w:rsidRPr="00151141">
        <w:rPr>
          <w:rFonts w:ascii="Book Antiqua" w:hAnsi="Book Antiqua"/>
        </w:rPr>
        <w:t xml:space="preserve"> GK, </w:t>
      </w:r>
      <w:proofErr w:type="spellStart"/>
      <w:r w:rsidRPr="00151141">
        <w:rPr>
          <w:rFonts w:ascii="Book Antiqua" w:hAnsi="Book Antiqua"/>
        </w:rPr>
        <w:t>Mearin</w:t>
      </w:r>
      <w:proofErr w:type="spellEnd"/>
      <w:r w:rsidRPr="00151141">
        <w:rPr>
          <w:rFonts w:ascii="Book Antiqua" w:hAnsi="Book Antiqua"/>
        </w:rPr>
        <w:t xml:space="preserve"> ML, Murray JA, </w:t>
      </w:r>
      <w:proofErr w:type="spellStart"/>
      <w:r w:rsidRPr="00151141">
        <w:rPr>
          <w:rFonts w:ascii="Book Antiqua" w:hAnsi="Book Antiqua"/>
        </w:rPr>
        <w:t>Verdu</w:t>
      </w:r>
      <w:proofErr w:type="spellEnd"/>
      <w:r w:rsidRPr="00151141">
        <w:rPr>
          <w:rFonts w:ascii="Book Antiqua" w:hAnsi="Book Antiqua"/>
        </w:rPr>
        <w:t xml:space="preserve"> EF, </w:t>
      </w:r>
      <w:proofErr w:type="spellStart"/>
      <w:r w:rsidRPr="00151141">
        <w:rPr>
          <w:rFonts w:ascii="Book Antiqua" w:hAnsi="Book Antiqua"/>
        </w:rPr>
        <w:t>Kaukinen</w:t>
      </w:r>
      <w:proofErr w:type="spellEnd"/>
      <w:r w:rsidRPr="00151141">
        <w:rPr>
          <w:rFonts w:ascii="Book Antiqua" w:hAnsi="Book Antiqua"/>
        </w:rPr>
        <w:t xml:space="preserve"> K. Coeliac disease. </w:t>
      </w:r>
      <w:r w:rsidRPr="00151141">
        <w:rPr>
          <w:rFonts w:ascii="Book Antiqua" w:hAnsi="Book Antiqua"/>
          <w:i/>
          <w:iCs/>
        </w:rPr>
        <w:t>Nat Rev Dis Primers</w:t>
      </w:r>
      <w:r w:rsidRPr="00151141">
        <w:rPr>
          <w:rFonts w:ascii="Book Antiqua" w:hAnsi="Book Antiqua"/>
        </w:rPr>
        <w:t xml:space="preserve"> 2019; </w:t>
      </w:r>
      <w:r w:rsidRPr="00151141">
        <w:rPr>
          <w:rFonts w:ascii="Book Antiqua" w:hAnsi="Book Antiqua"/>
          <w:b/>
          <w:bCs/>
        </w:rPr>
        <w:t>5</w:t>
      </w:r>
      <w:r w:rsidRPr="00151141">
        <w:rPr>
          <w:rFonts w:ascii="Book Antiqua" w:hAnsi="Book Antiqua"/>
        </w:rPr>
        <w:t>: 3 [PMID: 30631077 DOI: 10.1038/s41572-018-0054-z]</w:t>
      </w:r>
    </w:p>
    <w:p w14:paraId="0CBDE7A1"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15 </w:t>
      </w:r>
      <w:proofErr w:type="spellStart"/>
      <w:r w:rsidRPr="00151141">
        <w:rPr>
          <w:rFonts w:ascii="Book Antiqua" w:hAnsi="Book Antiqua"/>
          <w:b/>
          <w:bCs/>
        </w:rPr>
        <w:t>Lebwohl</w:t>
      </w:r>
      <w:proofErr w:type="spellEnd"/>
      <w:r w:rsidRPr="00151141">
        <w:rPr>
          <w:rFonts w:ascii="Book Antiqua" w:hAnsi="Book Antiqua"/>
          <w:b/>
          <w:bCs/>
        </w:rPr>
        <w:t xml:space="preserve"> B</w:t>
      </w:r>
      <w:r w:rsidRPr="00151141">
        <w:rPr>
          <w:rFonts w:ascii="Book Antiqua" w:hAnsi="Book Antiqua"/>
        </w:rPr>
        <w:t xml:space="preserve">, </w:t>
      </w:r>
      <w:proofErr w:type="spellStart"/>
      <w:r w:rsidRPr="00151141">
        <w:rPr>
          <w:rFonts w:ascii="Book Antiqua" w:hAnsi="Book Antiqua"/>
        </w:rPr>
        <w:t>Granath</w:t>
      </w:r>
      <w:proofErr w:type="spellEnd"/>
      <w:r w:rsidRPr="00151141">
        <w:rPr>
          <w:rFonts w:ascii="Book Antiqua" w:hAnsi="Book Antiqua"/>
        </w:rPr>
        <w:t xml:space="preserve"> F, Ekbom A, </w:t>
      </w:r>
      <w:proofErr w:type="spellStart"/>
      <w:r w:rsidRPr="00151141">
        <w:rPr>
          <w:rFonts w:ascii="Book Antiqua" w:hAnsi="Book Antiqua"/>
        </w:rPr>
        <w:t>Smedby</w:t>
      </w:r>
      <w:proofErr w:type="spellEnd"/>
      <w:r w:rsidRPr="00151141">
        <w:rPr>
          <w:rFonts w:ascii="Book Antiqua" w:hAnsi="Book Antiqua"/>
        </w:rPr>
        <w:t xml:space="preserve"> KE, Murray JA, </w:t>
      </w:r>
      <w:proofErr w:type="spellStart"/>
      <w:r w:rsidRPr="00151141">
        <w:rPr>
          <w:rFonts w:ascii="Book Antiqua" w:hAnsi="Book Antiqua"/>
        </w:rPr>
        <w:t>Neugut</w:t>
      </w:r>
      <w:proofErr w:type="spellEnd"/>
      <w:r w:rsidRPr="00151141">
        <w:rPr>
          <w:rFonts w:ascii="Book Antiqua" w:hAnsi="Book Antiqua"/>
        </w:rPr>
        <w:t xml:space="preserve"> AI, Green PH, </w:t>
      </w:r>
      <w:proofErr w:type="spellStart"/>
      <w:r w:rsidRPr="00151141">
        <w:rPr>
          <w:rFonts w:ascii="Book Antiqua" w:hAnsi="Book Antiqua"/>
        </w:rPr>
        <w:t>Ludvigsson</w:t>
      </w:r>
      <w:proofErr w:type="spellEnd"/>
      <w:r w:rsidRPr="00151141">
        <w:rPr>
          <w:rFonts w:ascii="Book Antiqua" w:hAnsi="Book Antiqua"/>
        </w:rPr>
        <w:t xml:space="preserve"> JF. Mucosal healing and risk for lymphoproliferative malignancy in celiac disease: a population-based cohort study. </w:t>
      </w:r>
      <w:r w:rsidRPr="00151141">
        <w:rPr>
          <w:rFonts w:ascii="Book Antiqua" w:hAnsi="Book Antiqua"/>
          <w:i/>
          <w:iCs/>
        </w:rPr>
        <w:t>Ann Intern Med</w:t>
      </w:r>
      <w:r w:rsidRPr="00151141">
        <w:rPr>
          <w:rFonts w:ascii="Book Antiqua" w:hAnsi="Book Antiqua"/>
        </w:rPr>
        <w:t xml:space="preserve"> 2013; </w:t>
      </w:r>
      <w:r w:rsidRPr="00151141">
        <w:rPr>
          <w:rFonts w:ascii="Book Antiqua" w:hAnsi="Book Antiqua"/>
          <w:b/>
          <w:bCs/>
        </w:rPr>
        <w:t>159</w:t>
      </w:r>
      <w:r w:rsidRPr="00151141">
        <w:rPr>
          <w:rFonts w:ascii="Book Antiqua" w:hAnsi="Book Antiqua"/>
        </w:rPr>
        <w:t>: 169-175 [PMID: 23922062 DOI: 10.7326/0003-4819-159-3-201308060-00006]</w:t>
      </w:r>
    </w:p>
    <w:p w14:paraId="6C6BC794"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16 </w:t>
      </w:r>
      <w:r w:rsidRPr="00151141">
        <w:rPr>
          <w:rFonts w:ascii="Book Antiqua" w:hAnsi="Book Antiqua"/>
          <w:b/>
          <w:bCs/>
        </w:rPr>
        <w:t>Elli L</w:t>
      </w:r>
      <w:r w:rsidRPr="00151141">
        <w:rPr>
          <w:rFonts w:ascii="Book Antiqua" w:hAnsi="Book Antiqua"/>
        </w:rPr>
        <w:t xml:space="preserve">, Ferretti F, Orlando S, </w:t>
      </w:r>
      <w:proofErr w:type="spellStart"/>
      <w:r w:rsidRPr="00151141">
        <w:rPr>
          <w:rFonts w:ascii="Book Antiqua" w:hAnsi="Book Antiqua"/>
        </w:rPr>
        <w:t>Vecchi</w:t>
      </w:r>
      <w:proofErr w:type="spellEnd"/>
      <w:r w:rsidRPr="00151141">
        <w:rPr>
          <w:rFonts w:ascii="Book Antiqua" w:hAnsi="Book Antiqua"/>
        </w:rPr>
        <w:t xml:space="preserve"> M, </w:t>
      </w:r>
      <w:proofErr w:type="spellStart"/>
      <w:r w:rsidRPr="00151141">
        <w:rPr>
          <w:rFonts w:ascii="Book Antiqua" w:hAnsi="Book Antiqua"/>
        </w:rPr>
        <w:t>Monguzzi</w:t>
      </w:r>
      <w:proofErr w:type="spellEnd"/>
      <w:r w:rsidRPr="00151141">
        <w:rPr>
          <w:rFonts w:ascii="Book Antiqua" w:hAnsi="Book Antiqua"/>
        </w:rPr>
        <w:t xml:space="preserve"> E, </w:t>
      </w:r>
      <w:proofErr w:type="spellStart"/>
      <w:r w:rsidRPr="00151141">
        <w:rPr>
          <w:rFonts w:ascii="Book Antiqua" w:hAnsi="Book Antiqua"/>
        </w:rPr>
        <w:t>Roncoroni</w:t>
      </w:r>
      <w:proofErr w:type="spellEnd"/>
      <w:r w:rsidRPr="00151141">
        <w:rPr>
          <w:rFonts w:ascii="Book Antiqua" w:hAnsi="Book Antiqua"/>
        </w:rPr>
        <w:t xml:space="preserve"> L, </w:t>
      </w:r>
      <w:proofErr w:type="spellStart"/>
      <w:r w:rsidRPr="00151141">
        <w:rPr>
          <w:rFonts w:ascii="Book Antiqua" w:hAnsi="Book Antiqua"/>
        </w:rPr>
        <w:t>Schuppan</w:t>
      </w:r>
      <w:proofErr w:type="spellEnd"/>
      <w:r w:rsidRPr="00151141">
        <w:rPr>
          <w:rFonts w:ascii="Book Antiqua" w:hAnsi="Book Antiqua"/>
        </w:rPr>
        <w:t xml:space="preserve"> D. Management of celiac disease in daily clinical practice. </w:t>
      </w:r>
      <w:r w:rsidRPr="00151141">
        <w:rPr>
          <w:rFonts w:ascii="Book Antiqua" w:hAnsi="Book Antiqua"/>
          <w:i/>
          <w:iCs/>
        </w:rPr>
        <w:t>Eur J Intern Med</w:t>
      </w:r>
      <w:r w:rsidRPr="00151141">
        <w:rPr>
          <w:rFonts w:ascii="Book Antiqua" w:hAnsi="Book Antiqua"/>
        </w:rPr>
        <w:t xml:space="preserve"> 2019; </w:t>
      </w:r>
      <w:r w:rsidRPr="00151141">
        <w:rPr>
          <w:rFonts w:ascii="Book Antiqua" w:hAnsi="Book Antiqua"/>
          <w:b/>
          <w:bCs/>
        </w:rPr>
        <w:t>61</w:t>
      </w:r>
      <w:r w:rsidRPr="00151141">
        <w:rPr>
          <w:rFonts w:ascii="Book Antiqua" w:hAnsi="Book Antiqua"/>
        </w:rPr>
        <w:t>: 15-24 [PMID: 30528262 DOI: 10.1016/j.ejim.2018.11.012]</w:t>
      </w:r>
    </w:p>
    <w:p w14:paraId="7DD46C87"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17 </w:t>
      </w:r>
      <w:r w:rsidRPr="00151141">
        <w:rPr>
          <w:rFonts w:ascii="Book Antiqua" w:hAnsi="Book Antiqua"/>
          <w:b/>
          <w:bCs/>
        </w:rPr>
        <w:t>Therrien A</w:t>
      </w:r>
      <w:r w:rsidRPr="00151141">
        <w:rPr>
          <w:rFonts w:ascii="Book Antiqua" w:hAnsi="Book Antiqua"/>
        </w:rPr>
        <w:t xml:space="preserve">, Kelly CP, Silvester JA. Celiac Disease: Extraintestinal Manifestations and Associated Conditions. </w:t>
      </w:r>
      <w:r w:rsidRPr="00151141">
        <w:rPr>
          <w:rFonts w:ascii="Book Antiqua" w:hAnsi="Book Antiqua"/>
          <w:i/>
          <w:iCs/>
        </w:rPr>
        <w:t>J Clin Gastroenterol</w:t>
      </w:r>
      <w:r w:rsidRPr="00151141">
        <w:rPr>
          <w:rFonts w:ascii="Book Antiqua" w:hAnsi="Book Antiqua"/>
        </w:rPr>
        <w:t xml:space="preserve"> 2020; </w:t>
      </w:r>
      <w:r w:rsidRPr="00151141">
        <w:rPr>
          <w:rFonts w:ascii="Book Antiqua" w:hAnsi="Book Antiqua"/>
          <w:b/>
          <w:bCs/>
        </w:rPr>
        <w:t>54</w:t>
      </w:r>
      <w:r w:rsidRPr="00151141">
        <w:rPr>
          <w:rFonts w:ascii="Book Antiqua" w:hAnsi="Book Antiqua"/>
        </w:rPr>
        <w:t>: 8-21 [PMID: 31513026 DOI: 10.1097/MCG.0000000000001267]</w:t>
      </w:r>
    </w:p>
    <w:p w14:paraId="5954694F" w14:textId="77777777" w:rsidR="002420DA" w:rsidRPr="00151141" w:rsidRDefault="002420DA" w:rsidP="00F10C3B">
      <w:pPr>
        <w:spacing w:line="360" w:lineRule="auto"/>
        <w:jc w:val="both"/>
        <w:rPr>
          <w:rFonts w:ascii="Book Antiqua" w:hAnsi="Book Antiqua"/>
        </w:rPr>
      </w:pPr>
      <w:r w:rsidRPr="00151141">
        <w:rPr>
          <w:rFonts w:ascii="Book Antiqua" w:hAnsi="Book Antiqua"/>
        </w:rPr>
        <w:lastRenderedPageBreak/>
        <w:t xml:space="preserve">18 </w:t>
      </w:r>
      <w:r w:rsidRPr="00151141">
        <w:rPr>
          <w:rFonts w:ascii="Book Antiqua" w:hAnsi="Book Antiqua"/>
          <w:b/>
          <w:bCs/>
        </w:rPr>
        <w:t>See JA</w:t>
      </w:r>
      <w:r w:rsidRPr="00151141">
        <w:rPr>
          <w:rFonts w:ascii="Book Antiqua" w:hAnsi="Book Antiqua"/>
        </w:rPr>
        <w:t xml:space="preserve">, </w:t>
      </w:r>
      <w:proofErr w:type="spellStart"/>
      <w:r w:rsidRPr="00151141">
        <w:rPr>
          <w:rFonts w:ascii="Book Antiqua" w:hAnsi="Book Antiqua"/>
        </w:rPr>
        <w:t>Kaukinen</w:t>
      </w:r>
      <w:proofErr w:type="spellEnd"/>
      <w:r w:rsidRPr="00151141">
        <w:rPr>
          <w:rFonts w:ascii="Book Antiqua" w:hAnsi="Book Antiqua"/>
        </w:rPr>
        <w:t xml:space="preserve"> K, </w:t>
      </w:r>
      <w:proofErr w:type="spellStart"/>
      <w:r w:rsidRPr="00151141">
        <w:rPr>
          <w:rFonts w:ascii="Book Antiqua" w:hAnsi="Book Antiqua"/>
        </w:rPr>
        <w:t>Makharia</w:t>
      </w:r>
      <w:proofErr w:type="spellEnd"/>
      <w:r w:rsidRPr="00151141">
        <w:rPr>
          <w:rFonts w:ascii="Book Antiqua" w:hAnsi="Book Antiqua"/>
        </w:rPr>
        <w:t xml:space="preserve"> GK, Gibson PR, Murray JA. Practical insights into gluten-free diets. </w:t>
      </w:r>
      <w:r w:rsidRPr="00151141">
        <w:rPr>
          <w:rFonts w:ascii="Book Antiqua" w:hAnsi="Book Antiqua"/>
          <w:i/>
          <w:iCs/>
        </w:rPr>
        <w:t>Nat Rev Gastroenterol Hepatol</w:t>
      </w:r>
      <w:r w:rsidRPr="00151141">
        <w:rPr>
          <w:rFonts w:ascii="Book Antiqua" w:hAnsi="Book Antiqua"/>
        </w:rPr>
        <w:t xml:space="preserve"> 2015; </w:t>
      </w:r>
      <w:r w:rsidRPr="00151141">
        <w:rPr>
          <w:rFonts w:ascii="Book Antiqua" w:hAnsi="Book Antiqua"/>
          <w:b/>
          <w:bCs/>
        </w:rPr>
        <w:t>12</w:t>
      </w:r>
      <w:r w:rsidRPr="00151141">
        <w:rPr>
          <w:rFonts w:ascii="Book Antiqua" w:hAnsi="Book Antiqua"/>
        </w:rPr>
        <w:t>: 580-591 [PMID: 26392070 DOI: 10.1038/nrgastro.2015.156]</w:t>
      </w:r>
    </w:p>
    <w:p w14:paraId="1658D5B1"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19 </w:t>
      </w:r>
      <w:r w:rsidRPr="00151141">
        <w:rPr>
          <w:rFonts w:ascii="Book Antiqua" w:hAnsi="Book Antiqua"/>
          <w:b/>
          <w:bCs/>
        </w:rPr>
        <w:t>Leinonen H</w:t>
      </w:r>
      <w:r w:rsidRPr="00151141">
        <w:rPr>
          <w:rFonts w:ascii="Book Antiqua" w:hAnsi="Book Antiqua"/>
        </w:rPr>
        <w:t xml:space="preserve">, </w:t>
      </w:r>
      <w:proofErr w:type="spellStart"/>
      <w:r w:rsidRPr="00151141">
        <w:rPr>
          <w:rFonts w:ascii="Book Antiqua" w:hAnsi="Book Antiqua"/>
        </w:rPr>
        <w:t>Kivelä</w:t>
      </w:r>
      <w:proofErr w:type="spellEnd"/>
      <w:r w:rsidRPr="00151141">
        <w:rPr>
          <w:rFonts w:ascii="Book Antiqua" w:hAnsi="Book Antiqua"/>
        </w:rPr>
        <w:t xml:space="preserve"> L, </w:t>
      </w:r>
      <w:proofErr w:type="spellStart"/>
      <w:r w:rsidRPr="00151141">
        <w:rPr>
          <w:rFonts w:ascii="Book Antiqua" w:hAnsi="Book Antiqua"/>
        </w:rPr>
        <w:t>Lähdeaho</w:t>
      </w:r>
      <w:proofErr w:type="spellEnd"/>
      <w:r w:rsidRPr="00151141">
        <w:rPr>
          <w:rFonts w:ascii="Book Antiqua" w:hAnsi="Book Antiqua"/>
        </w:rPr>
        <w:t xml:space="preserve"> ML, </w:t>
      </w:r>
      <w:proofErr w:type="spellStart"/>
      <w:r w:rsidRPr="00151141">
        <w:rPr>
          <w:rFonts w:ascii="Book Antiqua" w:hAnsi="Book Antiqua"/>
        </w:rPr>
        <w:t>Huhtala</w:t>
      </w:r>
      <w:proofErr w:type="spellEnd"/>
      <w:r w:rsidRPr="00151141">
        <w:rPr>
          <w:rFonts w:ascii="Book Antiqua" w:hAnsi="Book Antiqua"/>
        </w:rPr>
        <w:t xml:space="preserve"> H, </w:t>
      </w:r>
      <w:proofErr w:type="spellStart"/>
      <w:r w:rsidRPr="00151141">
        <w:rPr>
          <w:rFonts w:ascii="Book Antiqua" w:hAnsi="Book Antiqua"/>
        </w:rPr>
        <w:t>Kaukinen</w:t>
      </w:r>
      <w:proofErr w:type="spellEnd"/>
      <w:r w:rsidRPr="00151141">
        <w:rPr>
          <w:rFonts w:ascii="Book Antiqua" w:hAnsi="Book Antiqua"/>
        </w:rPr>
        <w:t xml:space="preserve"> K, </w:t>
      </w:r>
      <w:proofErr w:type="spellStart"/>
      <w:r w:rsidRPr="00151141">
        <w:rPr>
          <w:rFonts w:ascii="Book Antiqua" w:hAnsi="Book Antiqua"/>
        </w:rPr>
        <w:t>Kurppa</w:t>
      </w:r>
      <w:proofErr w:type="spellEnd"/>
      <w:r w:rsidRPr="00151141">
        <w:rPr>
          <w:rFonts w:ascii="Book Antiqua" w:hAnsi="Book Antiqua"/>
        </w:rPr>
        <w:t xml:space="preserve"> K. Daily Life Restrictions are Common and Associated with Health Concerns and Dietary Challenges in Adult Celiac Disease Patients Diagnosed in Childhood. </w:t>
      </w:r>
      <w:r w:rsidRPr="00151141">
        <w:rPr>
          <w:rFonts w:ascii="Book Antiqua" w:hAnsi="Book Antiqua"/>
          <w:i/>
          <w:iCs/>
        </w:rPr>
        <w:t>Nutrients</w:t>
      </w:r>
      <w:r w:rsidRPr="00151141">
        <w:rPr>
          <w:rFonts w:ascii="Book Antiqua" w:hAnsi="Book Antiqua"/>
        </w:rPr>
        <w:t xml:space="preserve"> 2019; </w:t>
      </w:r>
      <w:r w:rsidRPr="00151141">
        <w:rPr>
          <w:rFonts w:ascii="Book Antiqua" w:hAnsi="Book Antiqua"/>
          <w:b/>
          <w:bCs/>
        </w:rPr>
        <w:t>11</w:t>
      </w:r>
      <w:r w:rsidRPr="00151141">
        <w:rPr>
          <w:rFonts w:ascii="Book Antiqua" w:hAnsi="Book Antiqua"/>
        </w:rPr>
        <w:t xml:space="preserve"> [PMID: 31349675 DOI: 10.3390/nu11081718]</w:t>
      </w:r>
    </w:p>
    <w:p w14:paraId="690AA08B"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20 </w:t>
      </w:r>
      <w:proofErr w:type="spellStart"/>
      <w:r w:rsidRPr="00151141">
        <w:rPr>
          <w:rFonts w:ascii="Book Antiqua" w:hAnsi="Book Antiqua"/>
          <w:b/>
          <w:bCs/>
        </w:rPr>
        <w:t>Troncone</w:t>
      </w:r>
      <w:proofErr w:type="spellEnd"/>
      <w:r w:rsidRPr="00151141">
        <w:rPr>
          <w:rFonts w:ascii="Book Antiqua" w:hAnsi="Book Antiqua"/>
          <w:b/>
          <w:bCs/>
        </w:rPr>
        <w:t xml:space="preserve"> R</w:t>
      </w:r>
      <w:r w:rsidRPr="00151141">
        <w:rPr>
          <w:rFonts w:ascii="Book Antiqua" w:hAnsi="Book Antiqua"/>
        </w:rPr>
        <w:t xml:space="preserve">, </w:t>
      </w:r>
      <w:proofErr w:type="spellStart"/>
      <w:r w:rsidRPr="00151141">
        <w:rPr>
          <w:rFonts w:ascii="Book Antiqua" w:hAnsi="Book Antiqua"/>
        </w:rPr>
        <w:t>Auricchio</w:t>
      </w:r>
      <w:proofErr w:type="spellEnd"/>
      <w:r w:rsidRPr="00151141">
        <w:rPr>
          <w:rFonts w:ascii="Book Antiqua" w:hAnsi="Book Antiqua"/>
        </w:rPr>
        <w:t xml:space="preserve"> R, </w:t>
      </w:r>
      <w:proofErr w:type="spellStart"/>
      <w:r w:rsidRPr="00151141">
        <w:rPr>
          <w:rFonts w:ascii="Book Antiqua" w:hAnsi="Book Antiqua"/>
        </w:rPr>
        <w:t>Granata</w:t>
      </w:r>
      <w:proofErr w:type="spellEnd"/>
      <w:r w:rsidRPr="00151141">
        <w:rPr>
          <w:rFonts w:ascii="Book Antiqua" w:hAnsi="Book Antiqua"/>
        </w:rPr>
        <w:t xml:space="preserve"> V. Issues related to gluten-free diet in coeliac disease. </w:t>
      </w:r>
      <w:proofErr w:type="spellStart"/>
      <w:r w:rsidRPr="00151141">
        <w:rPr>
          <w:rFonts w:ascii="Book Antiqua" w:hAnsi="Book Antiqua"/>
          <w:i/>
          <w:iCs/>
        </w:rPr>
        <w:t>Curr</w:t>
      </w:r>
      <w:proofErr w:type="spellEnd"/>
      <w:r w:rsidRPr="00151141">
        <w:rPr>
          <w:rFonts w:ascii="Book Antiqua" w:hAnsi="Book Antiqua"/>
          <w:i/>
          <w:iCs/>
        </w:rPr>
        <w:t xml:space="preserve"> </w:t>
      </w:r>
      <w:proofErr w:type="spellStart"/>
      <w:r w:rsidRPr="00151141">
        <w:rPr>
          <w:rFonts w:ascii="Book Antiqua" w:hAnsi="Book Antiqua"/>
          <w:i/>
          <w:iCs/>
        </w:rPr>
        <w:t>Opin</w:t>
      </w:r>
      <w:proofErr w:type="spellEnd"/>
      <w:r w:rsidRPr="00151141">
        <w:rPr>
          <w:rFonts w:ascii="Book Antiqua" w:hAnsi="Book Antiqua"/>
          <w:i/>
          <w:iCs/>
        </w:rPr>
        <w:t xml:space="preserve"> Clin </w:t>
      </w:r>
      <w:proofErr w:type="spellStart"/>
      <w:r w:rsidRPr="00151141">
        <w:rPr>
          <w:rFonts w:ascii="Book Antiqua" w:hAnsi="Book Antiqua"/>
          <w:i/>
          <w:iCs/>
        </w:rPr>
        <w:t>Nutr</w:t>
      </w:r>
      <w:proofErr w:type="spellEnd"/>
      <w:r w:rsidRPr="00151141">
        <w:rPr>
          <w:rFonts w:ascii="Book Antiqua" w:hAnsi="Book Antiqua"/>
          <w:i/>
          <w:iCs/>
        </w:rPr>
        <w:t xml:space="preserve"> </w:t>
      </w:r>
      <w:proofErr w:type="spellStart"/>
      <w:r w:rsidRPr="00151141">
        <w:rPr>
          <w:rFonts w:ascii="Book Antiqua" w:hAnsi="Book Antiqua"/>
          <w:i/>
          <w:iCs/>
        </w:rPr>
        <w:t>Metab</w:t>
      </w:r>
      <w:proofErr w:type="spellEnd"/>
      <w:r w:rsidRPr="00151141">
        <w:rPr>
          <w:rFonts w:ascii="Book Antiqua" w:hAnsi="Book Antiqua"/>
          <w:i/>
          <w:iCs/>
        </w:rPr>
        <w:t xml:space="preserve"> Care</w:t>
      </w:r>
      <w:r w:rsidRPr="00151141">
        <w:rPr>
          <w:rFonts w:ascii="Book Antiqua" w:hAnsi="Book Antiqua"/>
        </w:rPr>
        <w:t xml:space="preserve"> 2008; </w:t>
      </w:r>
      <w:r w:rsidRPr="00151141">
        <w:rPr>
          <w:rFonts w:ascii="Book Antiqua" w:hAnsi="Book Antiqua"/>
          <w:b/>
          <w:bCs/>
        </w:rPr>
        <w:t>11</w:t>
      </w:r>
      <w:r w:rsidRPr="00151141">
        <w:rPr>
          <w:rFonts w:ascii="Book Antiqua" w:hAnsi="Book Antiqua"/>
        </w:rPr>
        <w:t>: 329-333 [PMID: 18403932 DOI: 10.1097/MCO.0b013e3282f795f8]</w:t>
      </w:r>
    </w:p>
    <w:p w14:paraId="57BDEC01"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21 </w:t>
      </w:r>
      <w:proofErr w:type="spellStart"/>
      <w:r w:rsidRPr="00151141">
        <w:rPr>
          <w:rFonts w:ascii="Book Antiqua" w:hAnsi="Book Antiqua"/>
          <w:b/>
          <w:bCs/>
        </w:rPr>
        <w:t>Vriezinga</w:t>
      </w:r>
      <w:proofErr w:type="spellEnd"/>
      <w:r w:rsidRPr="00151141">
        <w:rPr>
          <w:rFonts w:ascii="Book Antiqua" w:hAnsi="Book Antiqua"/>
          <w:b/>
          <w:bCs/>
        </w:rPr>
        <w:t xml:space="preserve"> SL</w:t>
      </w:r>
      <w:r w:rsidRPr="00151141">
        <w:rPr>
          <w:rFonts w:ascii="Book Antiqua" w:hAnsi="Book Antiqua"/>
        </w:rPr>
        <w:t xml:space="preserve">, Schweizer JJ, Koning F, </w:t>
      </w:r>
      <w:proofErr w:type="spellStart"/>
      <w:r w:rsidRPr="00151141">
        <w:rPr>
          <w:rFonts w:ascii="Book Antiqua" w:hAnsi="Book Antiqua"/>
        </w:rPr>
        <w:t>Mearin</w:t>
      </w:r>
      <w:proofErr w:type="spellEnd"/>
      <w:r w:rsidRPr="00151141">
        <w:rPr>
          <w:rFonts w:ascii="Book Antiqua" w:hAnsi="Book Antiqua"/>
        </w:rPr>
        <w:t xml:space="preserve"> ML. Coeliac disease and gluten-related disorders in childhood. </w:t>
      </w:r>
      <w:r w:rsidRPr="00151141">
        <w:rPr>
          <w:rFonts w:ascii="Book Antiqua" w:hAnsi="Book Antiqua"/>
          <w:i/>
          <w:iCs/>
        </w:rPr>
        <w:t>Nat Rev Gastroenterol Hepatol</w:t>
      </w:r>
      <w:r w:rsidRPr="00151141">
        <w:rPr>
          <w:rFonts w:ascii="Book Antiqua" w:hAnsi="Book Antiqua"/>
        </w:rPr>
        <w:t xml:space="preserve"> 2015; </w:t>
      </w:r>
      <w:r w:rsidRPr="00151141">
        <w:rPr>
          <w:rFonts w:ascii="Book Antiqua" w:hAnsi="Book Antiqua"/>
          <w:b/>
          <w:bCs/>
        </w:rPr>
        <w:t>12</w:t>
      </w:r>
      <w:r w:rsidRPr="00151141">
        <w:rPr>
          <w:rFonts w:ascii="Book Antiqua" w:hAnsi="Book Antiqua"/>
        </w:rPr>
        <w:t>: 527-536 [PMID: 26100369 DOI: 10.1038/nrgastro.2015.98]</w:t>
      </w:r>
    </w:p>
    <w:p w14:paraId="2C13D7B4"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22 </w:t>
      </w:r>
      <w:r w:rsidRPr="00151141">
        <w:rPr>
          <w:rFonts w:ascii="Book Antiqua" w:hAnsi="Book Antiqua"/>
          <w:b/>
          <w:bCs/>
        </w:rPr>
        <w:t xml:space="preserve">Fernández </w:t>
      </w:r>
      <w:proofErr w:type="spellStart"/>
      <w:r w:rsidRPr="00151141">
        <w:rPr>
          <w:rFonts w:ascii="Book Antiqua" w:hAnsi="Book Antiqua"/>
          <w:b/>
          <w:bCs/>
        </w:rPr>
        <w:t>Miaja</w:t>
      </w:r>
      <w:proofErr w:type="spellEnd"/>
      <w:r w:rsidRPr="00151141">
        <w:rPr>
          <w:rFonts w:ascii="Book Antiqua" w:hAnsi="Book Antiqua"/>
          <w:b/>
          <w:bCs/>
        </w:rPr>
        <w:t xml:space="preserve"> M</w:t>
      </w:r>
      <w:r w:rsidRPr="00151141">
        <w:rPr>
          <w:rFonts w:ascii="Book Antiqua" w:hAnsi="Book Antiqua"/>
        </w:rPr>
        <w:t xml:space="preserve">, Díaz Martín JJ, Jiménez </w:t>
      </w:r>
      <w:proofErr w:type="spellStart"/>
      <w:r w:rsidRPr="00151141">
        <w:rPr>
          <w:rFonts w:ascii="Book Antiqua" w:hAnsi="Book Antiqua"/>
        </w:rPr>
        <w:t>Treviño</w:t>
      </w:r>
      <w:proofErr w:type="spellEnd"/>
      <w:r w:rsidRPr="00151141">
        <w:rPr>
          <w:rFonts w:ascii="Book Antiqua" w:hAnsi="Book Antiqua"/>
        </w:rPr>
        <w:t xml:space="preserve"> S, Suárez González M, </w:t>
      </w:r>
      <w:proofErr w:type="spellStart"/>
      <w:r w:rsidRPr="00151141">
        <w:rPr>
          <w:rFonts w:ascii="Book Antiqua" w:hAnsi="Book Antiqua"/>
        </w:rPr>
        <w:t>Bousoño</w:t>
      </w:r>
      <w:proofErr w:type="spellEnd"/>
      <w:r w:rsidRPr="00151141">
        <w:rPr>
          <w:rFonts w:ascii="Book Antiqua" w:hAnsi="Book Antiqua"/>
        </w:rPr>
        <w:t xml:space="preserve"> García C. [Study of adherence to the gluten-free diet in coeliac patients]. </w:t>
      </w:r>
      <w:r w:rsidRPr="00151141">
        <w:rPr>
          <w:rFonts w:ascii="Book Antiqua" w:hAnsi="Book Antiqua"/>
          <w:i/>
          <w:iCs/>
        </w:rPr>
        <w:t xml:space="preserve">An </w:t>
      </w:r>
      <w:proofErr w:type="spellStart"/>
      <w:r w:rsidRPr="00151141">
        <w:rPr>
          <w:rFonts w:ascii="Book Antiqua" w:hAnsi="Book Antiqua"/>
          <w:i/>
          <w:iCs/>
        </w:rPr>
        <w:t>Pediatr</w:t>
      </w:r>
      <w:proofErr w:type="spellEnd"/>
      <w:r w:rsidRPr="00151141">
        <w:rPr>
          <w:rFonts w:ascii="Book Antiqua" w:hAnsi="Book Antiqua"/>
          <w:i/>
          <w:iCs/>
        </w:rPr>
        <w:t xml:space="preserve"> (</w:t>
      </w:r>
      <w:proofErr w:type="spellStart"/>
      <w:r w:rsidRPr="00151141">
        <w:rPr>
          <w:rFonts w:ascii="Book Antiqua" w:hAnsi="Book Antiqua"/>
          <w:i/>
          <w:iCs/>
        </w:rPr>
        <w:t>Barc</w:t>
      </w:r>
      <w:proofErr w:type="spellEnd"/>
      <w:r w:rsidRPr="00151141">
        <w:rPr>
          <w:rFonts w:ascii="Book Antiqua" w:hAnsi="Book Antiqua"/>
          <w:i/>
          <w:iCs/>
        </w:rPr>
        <w:t>)</w:t>
      </w:r>
      <w:r w:rsidRPr="00151141">
        <w:rPr>
          <w:rFonts w:ascii="Book Antiqua" w:hAnsi="Book Antiqua"/>
        </w:rPr>
        <w:t xml:space="preserve"> 2021; </w:t>
      </w:r>
      <w:r w:rsidRPr="00151141">
        <w:rPr>
          <w:rFonts w:ascii="Book Antiqua" w:hAnsi="Book Antiqua"/>
          <w:b/>
          <w:bCs/>
        </w:rPr>
        <w:t>94</w:t>
      </w:r>
      <w:r w:rsidRPr="00151141">
        <w:rPr>
          <w:rFonts w:ascii="Book Antiqua" w:hAnsi="Book Antiqua"/>
        </w:rPr>
        <w:t>: 377-384 [PMID: 32830086 DOI: 10.1016/j.anpedi.2020.06.017]</w:t>
      </w:r>
    </w:p>
    <w:p w14:paraId="1046D91A" w14:textId="77777777" w:rsidR="002420DA" w:rsidRPr="006336DF" w:rsidRDefault="002420DA" w:rsidP="00F10C3B">
      <w:pPr>
        <w:spacing w:line="360" w:lineRule="auto"/>
        <w:jc w:val="both"/>
        <w:rPr>
          <w:rFonts w:ascii="Book Antiqua" w:hAnsi="Book Antiqua"/>
          <w:lang w:val="es-ES"/>
        </w:rPr>
      </w:pPr>
      <w:r w:rsidRPr="00151141">
        <w:rPr>
          <w:rFonts w:ascii="Book Antiqua" w:hAnsi="Book Antiqua"/>
        </w:rPr>
        <w:t xml:space="preserve">23 </w:t>
      </w:r>
      <w:r w:rsidRPr="00151141">
        <w:rPr>
          <w:rFonts w:ascii="Book Antiqua" w:hAnsi="Book Antiqua"/>
          <w:b/>
          <w:bCs/>
        </w:rPr>
        <w:t>Ruiz-</w:t>
      </w:r>
      <w:proofErr w:type="spellStart"/>
      <w:r w:rsidRPr="00151141">
        <w:rPr>
          <w:rFonts w:ascii="Book Antiqua" w:hAnsi="Book Antiqua"/>
          <w:b/>
          <w:bCs/>
        </w:rPr>
        <w:t>Carnicer</w:t>
      </w:r>
      <w:proofErr w:type="spellEnd"/>
      <w:r w:rsidRPr="00151141">
        <w:rPr>
          <w:rFonts w:ascii="Book Antiqua" w:hAnsi="Book Antiqua"/>
          <w:b/>
          <w:bCs/>
        </w:rPr>
        <w:t xml:space="preserve"> Á</w:t>
      </w:r>
      <w:r w:rsidRPr="00151141">
        <w:rPr>
          <w:rFonts w:ascii="Book Antiqua" w:hAnsi="Book Antiqua"/>
        </w:rPr>
        <w:t xml:space="preserve">, Garzón-Benavides M, </w:t>
      </w:r>
      <w:proofErr w:type="spellStart"/>
      <w:r w:rsidRPr="00151141">
        <w:rPr>
          <w:rFonts w:ascii="Book Antiqua" w:hAnsi="Book Antiqua"/>
        </w:rPr>
        <w:t>Fombuena</w:t>
      </w:r>
      <w:proofErr w:type="spellEnd"/>
      <w:r w:rsidRPr="00151141">
        <w:rPr>
          <w:rFonts w:ascii="Book Antiqua" w:hAnsi="Book Antiqua"/>
        </w:rPr>
        <w:t xml:space="preserve"> B, Segura V, García-Fernández F, </w:t>
      </w:r>
      <w:proofErr w:type="spellStart"/>
      <w:r w:rsidRPr="00151141">
        <w:rPr>
          <w:rFonts w:ascii="Book Antiqua" w:hAnsi="Book Antiqua"/>
        </w:rPr>
        <w:t>Sobrino</w:t>
      </w:r>
      <w:proofErr w:type="spellEnd"/>
      <w:r w:rsidRPr="00151141">
        <w:rPr>
          <w:rFonts w:ascii="Book Antiqua" w:hAnsi="Book Antiqua"/>
        </w:rPr>
        <w:t>-Rodríguez S, Gómez-</w:t>
      </w:r>
      <w:proofErr w:type="spellStart"/>
      <w:r w:rsidRPr="00151141">
        <w:rPr>
          <w:rFonts w:ascii="Book Antiqua" w:hAnsi="Book Antiqua"/>
        </w:rPr>
        <w:t>Izquierdo</w:t>
      </w:r>
      <w:proofErr w:type="spellEnd"/>
      <w:r w:rsidRPr="00151141">
        <w:rPr>
          <w:rFonts w:ascii="Book Antiqua" w:hAnsi="Book Antiqua"/>
        </w:rPr>
        <w:t xml:space="preserve"> L, Montes-Cano MA, Rodríguez-Herrera A, </w:t>
      </w:r>
      <w:proofErr w:type="spellStart"/>
      <w:r w:rsidRPr="00151141">
        <w:rPr>
          <w:rFonts w:ascii="Book Antiqua" w:hAnsi="Book Antiqua"/>
        </w:rPr>
        <w:t>Millán</w:t>
      </w:r>
      <w:proofErr w:type="spellEnd"/>
      <w:r w:rsidRPr="00151141">
        <w:rPr>
          <w:rFonts w:ascii="Book Antiqua" w:hAnsi="Book Antiqua"/>
        </w:rPr>
        <w:t xml:space="preserve"> R, Rico MC, González-Naranjo C, </w:t>
      </w:r>
      <w:proofErr w:type="spellStart"/>
      <w:r w:rsidRPr="00151141">
        <w:rPr>
          <w:rFonts w:ascii="Book Antiqua" w:hAnsi="Book Antiqua"/>
        </w:rPr>
        <w:t>Bozada</w:t>
      </w:r>
      <w:proofErr w:type="spellEnd"/>
      <w:r w:rsidRPr="00151141">
        <w:rPr>
          <w:rFonts w:ascii="Book Antiqua" w:hAnsi="Book Antiqua"/>
        </w:rPr>
        <w:t xml:space="preserve">-García JM, Díaz J, Coronel-Rodríguez C, </w:t>
      </w:r>
      <w:proofErr w:type="spellStart"/>
      <w:r w:rsidRPr="00151141">
        <w:rPr>
          <w:rFonts w:ascii="Book Antiqua" w:hAnsi="Book Antiqua"/>
        </w:rPr>
        <w:t>Espín</w:t>
      </w:r>
      <w:proofErr w:type="spellEnd"/>
      <w:r w:rsidRPr="00151141">
        <w:rPr>
          <w:rFonts w:ascii="Book Antiqua" w:hAnsi="Book Antiqua"/>
        </w:rPr>
        <w:t xml:space="preserve"> B, Romero-Gómez M, Cebolla Á, Sousa C, Comino I, Argüelles F, Pizarro Á. Negative predictive value of the repeated absence of gluten immunogenic peptides in the urine of treated celiac patients in predicting mucosal healing: new proposals for follow-up in celiac disease. </w:t>
      </w:r>
      <w:r w:rsidR="00C3458C" w:rsidRPr="00C3458C">
        <w:rPr>
          <w:rFonts w:ascii="Book Antiqua" w:hAnsi="Book Antiqua"/>
          <w:i/>
          <w:iCs/>
          <w:lang w:val="es-ES"/>
        </w:rPr>
        <w:t>Am J Clin Nutr</w:t>
      </w:r>
      <w:r w:rsidR="00C3458C" w:rsidRPr="00C3458C">
        <w:rPr>
          <w:rFonts w:ascii="Book Antiqua" w:hAnsi="Book Antiqua"/>
          <w:lang w:val="es-ES"/>
        </w:rPr>
        <w:t xml:space="preserve"> 2020; </w:t>
      </w:r>
      <w:r w:rsidR="00C3458C" w:rsidRPr="00C3458C">
        <w:rPr>
          <w:rFonts w:ascii="Book Antiqua" w:hAnsi="Book Antiqua"/>
          <w:b/>
          <w:bCs/>
          <w:lang w:val="es-ES"/>
        </w:rPr>
        <w:t>112</w:t>
      </w:r>
      <w:r w:rsidR="00C3458C" w:rsidRPr="00C3458C">
        <w:rPr>
          <w:rFonts w:ascii="Book Antiqua" w:hAnsi="Book Antiqua"/>
          <w:lang w:val="es-ES"/>
        </w:rPr>
        <w:t>: 1240-1251 [PMID: 32692806 DOI: 10.1093/ajcn/nqaa188]</w:t>
      </w:r>
    </w:p>
    <w:p w14:paraId="09038394" w14:textId="77777777" w:rsidR="002420DA" w:rsidRPr="00151141" w:rsidRDefault="00C3458C" w:rsidP="00F10C3B">
      <w:pPr>
        <w:spacing w:line="360" w:lineRule="auto"/>
        <w:jc w:val="both"/>
        <w:rPr>
          <w:rFonts w:ascii="Book Antiqua" w:hAnsi="Book Antiqua"/>
        </w:rPr>
      </w:pPr>
      <w:r w:rsidRPr="00C3458C">
        <w:rPr>
          <w:rFonts w:ascii="Book Antiqua" w:hAnsi="Book Antiqua"/>
          <w:lang w:val="es-ES"/>
        </w:rPr>
        <w:t xml:space="preserve">24 </w:t>
      </w:r>
      <w:r w:rsidRPr="00C3458C">
        <w:rPr>
          <w:rFonts w:ascii="Book Antiqua" w:hAnsi="Book Antiqua"/>
          <w:b/>
          <w:bCs/>
          <w:lang w:val="es-ES"/>
        </w:rPr>
        <w:t>Stefanolo JP</w:t>
      </w:r>
      <w:r w:rsidRPr="00C3458C">
        <w:rPr>
          <w:rFonts w:ascii="Book Antiqua" w:hAnsi="Book Antiqua"/>
          <w:lang w:val="es-ES"/>
        </w:rPr>
        <w:t xml:space="preserve">, Tálamo M, Dodds S, de la Paz Temprano M, Costa AF, Moreno ML, Pinto-Sánchez MI, Smecuol E, Vázquez H, Gonzalez A, Niveloni SI, Mauriño E, Verdu EF, Bai JC. </w:t>
      </w:r>
      <w:r w:rsidR="002420DA" w:rsidRPr="00151141">
        <w:rPr>
          <w:rFonts w:ascii="Book Antiqua" w:hAnsi="Book Antiqua"/>
        </w:rPr>
        <w:t xml:space="preserve">Real-World Gluten Exposure in Patients With Celiac Disease on Gluten-Free Diets, Determined From Gliadin Immunogenic Peptides in Urine and Fecal Samples. </w:t>
      </w:r>
      <w:r w:rsidR="002420DA" w:rsidRPr="00151141">
        <w:rPr>
          <w:rFonts w:ascii="Book Antiqua" w:hAnsi="Book Antiqua"/>
          <w:i/>
          <w:iCs/>
        </w:rPr>
        <w:lastRenderedPageBreak/>
        <w:t>Clin Gastroenterol Hepatol</w:t>
      </w:r>
      <w:r w:rsidR="002420DA" w:rsidRPr="00151141">
        <w:rPr>
          <w:rFonts w:ascii="Book Antiqua" w:hAnsi="Book Antiqua"/>
        </w:rPr>
        <w:t xml:space="preserve"> 2021; </w:t>
      </w:r>
      <w:r w:rsidR="002420DA" w:rsidRPr="00151141">
        <w:rPr>
          <w:rFonts w:ascii="Book Antiqua" w:hAnsi="Book Antiqua"/>
          <w:b/>
          <w:bCs/>
        </w:rPr>
        <w:t>19</w:t>
      </w:r>
      <w:r w:rsidR="002420DA" w:rsidRPr="00151141">
        <w:rPr>
          <w:rFonts w:ascii="Book Antiqua" w:hAnsi="Book Antiqua"/>
        </w:rPr>
        <w:t>: 484-491.e1 [PMID: 32217152 DOI: 10.1016/j.cgh.2020.03.038]</w:t>
      </w:r>
    </w:p>
    <w:p w14:paraId="66DB8307"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25 </w:t>
      </w:r>
      <w:r w:rsidRPr="00151141">
        <w:rPr>
          <w:rFonts w:ascii="Book Antiqua" w:hAnsi="Book Antiqua"/>
          <w:b/>
          <w:bCs/>
        </w:rPr>
        <w:t>Stoven S</w:t>
      </w:r>
      <w:r w:rsidRPr="00151141">
        <w:rPr>
          <w:rFonts w:ascii="Book Antiqua" w:hAnsi="Book Antiqua"/>
        </w:rPr>
        <w:t xml:space="preserve">, Murray JA, Marietta E. Celiac disease: advances in treatment via gluten modification. </w:t>
      </w:r>
      <w:r w:rsidRPr="00151141">
        <w:rPr>
          <w:rFonts w:ascii="Book Antiqua" w:hAnsi="Book Antiqua"/>
          <w:i/>
          <w:iCs/>
        </w:rPr>
        <w:t>Clin Gastroenterol Hepatol</w:t>
      </w:r>
      <w:r w:rsidRPr="00151141">
        <w:rPr>
          <w:rFonts w:ascii="Book Antiqua" w:hAnsi="Book Antiqua"/>
        </w:rPr>
        <w:t xml:space="preserve"> 2012; </w:t>
      </w:r>
      <w:r w:rsidRPr="00151141">
        <w:rPr>
          <w:rFonts w:ascii="Book Antiqua" w:hAnsi="Book Antiqua"/>
          <w:b/>
          <w:bCs/>
        </w:rPr>
        <w:t>10</w:t>
      </w:r>
      <w:r w:rsidRPr="00151141">
        <w:rPr>
          <w:rFonts w:ascii="Book Antiqua" w:hAnsi="Book Antiqua"/>
        </w:rPr>
        <w:t>: 859-862 [PMID: 22728383 DOI: 10.1016/j.cgh.2012.06.005]</w:t>
      </w:r>
    </w:p>
    <w:p w14:paraId="0E3EA193"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26 </w:t>
      </w:r>
      <w:r w:rsidRPr="00151141">
        <w:rPr>
          <w:rFonts w:ascii="Book Antiqua" w:hAnsi="Book Antiqua"/>
          <w:b/>
          <w:bCs/>
        </w:rPr>
        <w:t>Tio M</w:t>
      </w:r>
      <w:r w:rsidRPr="00151141">
        <w:rPr>
          <w:rFonts w:ascii="Book Antiqua" w:hAnsi="Book Antiqua"/>
        </w:rPr>
        <w:t xml:space="preserve">, Cox MR, </w:t>
      </w:r>
      <w:proofErr w:type="spellStart"/>
      <w:r w:rsidRPr="00151141">
        <w:rPr>
          <w:rFonts w:ascii="Book Antiqua" w:hAnsi="Book Antiqua"/>
        </w:rPr>
        <w:t>Eslick</w:t>
      </w:r>
      <w:proofErr w:type="spellEnd"/>
      <w:r w:rsidRPr="00151141">
        <w:rPr>
          <w:rFonts w:ascii="Book Antiqua" w:hAnsi="Book Antiqua"/>
        </w:rPr>
        <w:t xml:space="preserve"> GD. Meta-analysis: coeliac disease and the risk of all-cause mortality, any malignancy and lymphoid malignancy. </w:t>
      </w:r>
      <w:r w:rsidRPr="00151141">
        <w:rPr>
          <w:rFonts w:ascii="Book Antiqua" w:hAnsi="Book Antiqua"/>
          <w:i/>
          <w:iCs/>
        </w:rPr>
        <w:t xml:space="preserve">Aliment </w:t>
      </w:r>
      <w:proofErr w:type="spellStart"/>
      <w:r w:rsidRPr="00151141">
        <w:rPr>
          <w:rFonts w:ascii="Book Antiqua" w:hAnsi="Book Antiqua"/>
          <w:i/>
          <w:iCs/>
        </w:rPr>
        <w:t>Pharmacol</w:t>
      </w:r>
      <w:proofErr w:type="spellEnd"/>
      <w:r w:rsidRPr="00151141">
        <w:rPr>
          <w:rFonts w:ascii="Book Antiqua" w:hAnsi="Book Antiqua"/>
          <w:i/>
          <w:iCs/>
        </w:rPr>
        <w:t xml:space="preserve"> </w:t>
      </w:r>
      <w:proofErr w:type="spellStart"/>
      <w:r w:rsidRPr="00151141">
        <w:rPr>
          <w:rFonts w:ascii="Book Antiqua" w:hAnsi="Book Antiqua"/>
          <w:i/>
          <w:iCs/>
        </w:rPr>
        <w:t>Ther</w:t>
      </w:r>
      <w:proofErr w:type="spellEnd"/>
      <w:r w:rsidRPr="00151141">
        <w:rPr>
          <w:rFonts w:ascii="Book Antiqua" w:hAnsi="Book Antiqua"/>
        </w:rPr>
        <w:t xml:space="preserve"> 2012; </w:t>
      </w:r>
      <w:r w:rsidRPr="00151141">
        <w:rPr>
          <w:rFonts w:ascii="Book Antiqua" w:hAnsi="Book Antiqua"/>
          <w:b/>
          <w:bCs/>
        </w:rPr>
        <w:t>35</w:t>
      </w:r>
      <w:r w:rsidRPr="00151141">
        <w:rPr>
          <w:rFonts w:ascii="Book Antiqua" w:hAnsi="Book Antiqua"/>
        </w:rPr>
        <w:t>: 540-551 [PMID: 22239821 DOI: 10.1111/j.1365-2036.2011.04972.x]</w:t>
      </w:r>
    </w:p>
    <w:p w14:paraId="13C94BD0"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27 </w:t>
      </w:r>
      <w:r w:rsidRPr="00151141">
        <w:rPr>
          <w:rFonts w:ascii="Book Antiqua" w:hAnsi="Book Antiqua"/>
          <w:b/>
          <w:bCs/>
        </w:rPr>
        <w:t>Hall NJ</w:t>
      </w:r>
      <w:r w:rsidRPr="00151141">
        <w:rPr>
          <w:rFonts w:ascii="Book Antiqua" w:hAnsi="Book Antiqua"/>
        </w:rPr>
        <w:t xml:space="preserve">, Rubin GP, Charnock A. Intentional and inadvertent non-adherence in adult coeliac disease. A cross-sectional survey. </w:t>
      </w:r>
      <w:r w:rsidRPr="00151141">
        <w:rPr>
          <w:rFonts w:ascii="Book Antiqua" w:hAnsi="Book Antiqua"/>
          <w:i/>
          <w:iCs/>
        </w:rPr>
        <w:t>Appetite</w:t>
      </w:r>
      <w:r w:rsidRPr="00151141">
        <w:rPr>
          <w:rFonts w:ascii="Book Antiqua" w:hAnsi="Book Antiqua"/>
        </w:rPr>
        <w:t xml:space="preserve"> 2013; </w:t>
      </w:r>
      <w:r w:rsidRPr="00151141">
        <w:rPr>
          <w:rFonts w:ascii="Book Antiqua" w:hAnsi="Book Antiqua"/>
          <w:b/>
          <w:bCs/>
        </w:rPr>
        <w:t>68</w:t>
      </w:r>
      <w:r w:rsidRPr="00151141">
        <w:rPr>
          <w:rFonts w:ascii="Book Antiqua" w:hAnsi="Book Antiqua"/>
        </w:rPr>
        <w:t>: 56-62 [PMID: 23623778 DOI: 10.1016/j.appet.2013.04.016]</w:t>
      </w:r>
    </w:p>
    <w:p w14:paraId="2C6E2203"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28 </w:t>
      </w:r>
      <w:r w:rsidRPr="00151141">
        <w:rPr>
          <w:rFonts w:ascii="Book Antiqua" w:hAnsi="Book Antiqua"/>
          <w:b/>
          <w:bCs/>
        </w:rPr>
        <w:t>Muhammad H</w:t>
      </w:r>
      <w:r w:rsidRPr="00151141">
        <w:rPr>
          <w:rFonts w:ascii="Book Antiqua" w:hAnsi="Book Antiqua"/>
        </w:rPr>
        <w:t xml:space="preserve">, Reeves S, Jeanes YM. Identifying and improving adherence to the gluten-free diet in people with coeliac disease. </w:t>
      </w:r>
      <w:r w:rsidRPr="00151141">
        <w:rPr>
          <w:rFonts w:ascii="Book Antiqua" w:hAnsi="Book Antiqua"/>
          <w:i/>
          <w:iCs/>
        </w:rPr>
        <w:t xml:space="preserve">Proc </w:t>
      </w:r>
      <w:proofErr w:type="spellStart"/>
      <w:r w:rsidRPr="00151141">
        <w:rPr>
          <w:rFonts w:ascii="Book Antiqua" w:hAnsi="Book Antiqua"/>
          <w:i/>
          <w:iCs/>
        </w:rPr>
        <w:t>Nutr</w:t>
      </w:r>
      <w:proofErr w:type="spellEnd"/>
      <w:r w:rsidRPr="00151141">
        <w:rPr>
          <w:rFonts w:ascii="Book Antiqua" w:hAnsi="Book Antiqua"/>
          <w:i/>
          <w:iCs/>
        </w:rPr>
        <w:t xml:space="preserve"> Soc</w:t>
      </w:r>
      <w:r w:rsidRPr="00151141">
        <w:rPr>
          <w:rFonts w:ascii="Book Antiqua" w:hAnsi="Book Antiqua"/>
        </w:rPr>
        <w:t xml:space="preserve"> 2019; </w:t>
      </w:r>
      <w:r w:rsidRPr="00151141">
        <w:rPr>
          <w:rFonts w:ascii="Book Antiqua" w:hAnsi="Book Antiqua"/>
          <w:b/>
          <w:bCs/>
        </w:rPr>
        <w:t>78</w:t>
      </w:r>
      <w:r w:rsidRPr="00151141">
        <w:rPr>
          <w:rFonts w:ascii="Book Antiqua" w:hAnsi="Book Antiqua"/>
        </w:rPr>
        <w:t>: 418-425 [PMID: 30630540 DOI: 10.1017/S002966511800277X]</w:t>
      </w:r>
    </w:p>
    <w:p w14:paraId="181B9074"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29 </w:t>
      </w:r>
      <w:r w:rsidRPr="00151141">
        <w:rPr>
          <w:rFonts w:ascii="Book Antiqua" w:hAnsi="Book Antiqua"/>
          <w:b/>
          <w:bCs/>
        </w:rPr>
        <w:t>Silvester JA</w:t>
      </w:r>
      <w:r w:rsidRPr="00151141">
        <w:rPr>
          <w:rFonts w:ascii="Book Antiqua" w:hAnsi="Book Antiqua"/>
        </w:rPr>
        <w:t xml:space="preserve">, Comino I, Rigaux LN, Segura V, Green KH, </w:t>
      </w:r>
      <w:proofErr w:type="spellStart"/>
      <w:r w:rsidRPr="00151141">
        <w:rPr>
          <w:rFonts w:ascii="Book Antiqua" w:hAnsi="Book Antiqua"/>
        </w:rPr>
        <w:t>Cebolla</w:t>
      </w:r>
      <w:proofErr w:type="spellEnd"/>
      <w:r w:rsidRPr="00151141">
        <w:rPr>
          <w:rFonts w:ascii="Book Antiqua" w:hAnsi="Book Antiqua"/>
        </w:rPr>
        <w:t xml:space="preserve"> A, </w:t>
      </w:r>
      <w:proofErr w:type="spellStart"/>
      <w:r w:rsidRPr="00151141">
        <w:rPr>
          <w:rFonts w:ascii="Book Antiqua" w:hAnsi="Book Antiqua"/>
        </w:rPr>
        <w:t>Weiten</w:t>
      </w:r>
      <w:proofErr w:type="spellEnd"/>
      <w:r w:rsidRPr="00151141">
        <w:rPr>
          <w:rFonts w:ascii="Book Antiqua" w:hAnsi="Book Antiqua"/>
        </w:rPr>
        <w:t xml:space="preserve"> D, Dominguez R, Leffler DA, Leon F, Bernstein CN, Graff LA, Kelly CP, Sousa C, </w:t>
      </w:r>
      <w:proofErr w:type="spellStart"/>
      <w:r w:rsidRPr="00151141">
        <w:rPr>
          <w:rFonts w:ascii="Book Antiqua" w:hAnsi="Book Antiqua"/>
        </w:rPr>
        <w:t>Duerksen</w:t>
      </w:r>
      <w:proofErr w:type="spellEnd"/>
      <w:r w:rsidRPr="00151141">
        <w:rPr>
          <w:rFonts w:ascii="Book Antiqua" w:hAnsi="Book Antiqua"/>
        </w:rPr>
        <w:t xml:space="preserve"> DR. Exposure sources, amounts and time course of gluten ingestion and excretion in patients with coeliac disease on a gluten-free diet. </w:t>
      </w:r>
      <w:r w:rsidRPr="00151141">
        <w:rPr>
          <w:rFonts w:ascii="Book Antiqua" w:hAnsi="Book Antiqua"/>
          <w:i/>
          <w:iCs/>
        </w:rPr>
        <w:t xml:space="preserve">Aliment </w:t>
      </w:r>
      <w:proofErr w:type="spellStart"/>
      <w:r w:rsidRPr="00151141">
        <w:rPr>
          <w:rFonts w:ascii="Book Antiqua" w:hAnsi="Book Antiqua"/>
          <w:i/>
          <w:iCs/>
        </w:rPr>
        <w:t>Pharmacol</w:t>
      </w:r>
      <w:proofErr w:type="spellEnd"/>
      <w:r w:rsidRPr="00151141">
        <w:rPr>
          <w:rFonts w:ascii="Book Antiqua" w:hAnsi="Book Antiqua"/>
          <w:i/>
          <w:iCs/>
        </w:rPr>
        <w:t xml:space="preserve"> </w:t>
      </w:r>
      <w:proofErr w:type="spellStart"/>
      <w:r w:rsidRPr="00151141">
        <w:rPr>
          <w:rFonts w:ascii="Book Antiqua" w:hAnsi="Book Antiqua"/>
          <w:i/>
          <w:iCs/>
        </w:rPr>
        <w:t>Ther</w:t>
      </w:r>
      <w:proofErr w:type="spellEnd"/>
      <w:r w:rsidRPr="00151141">
        <w:rPr>
          <w:rFonts w:ascii="Book Antiqua" w:hAnsi="Book Antiqua"/>
        </w:rPr>
        <w:t xml:space="preserve"> 2020; </w:t>
      </w:r>
      <w:r w:rsidRPr="00151141">
        <w:rPr>
          <w:rFonts w:ascii="Book Antiqua" w:hAnsi="Book Antiqua"/>
          <w:b/>
          <w:bCs/>
        </w:rPr>
        <w:t>52</w:t>
      </w:r>
      <w:r w:rsidRPr="00151141">
        <w:rPr>
          <w:rFonts w:ascii="Book Antiqua" w:hAnsi="Book Antiqua"/>
        </w:rPr>
        <w:t>: 1469-1479 [PMID: 32981131 DOI: 10.1111/apt.16075]</w:t>
      </w:r>
    </w:p>
    <w:p w14:paraId="748170ED"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30 </w:t>
      </w:r>
      <w:r w:rsidRPr="00151141">
        <w:rPr>
          <w:rFonts w:ascii="Book Antiqua" w:hAnsi="Book Antiqua"/>
          <w:b/>
          <w:bCs/>
        </w:rPr>
        <w:t>Silvester JA</w:t>
      </w:r>
      <w:r w:rsidRPr="00151141">
        <w:rPr>
          <w:rFonts w:ascii="Book Antiqua" w:hAnsi="Book Antiqua"/>
        </w:rPr>
        <w:t xml:space="preserve">, Comino I, Kelly CP, Sousa C, </w:t>
      </w:r>
      <w:proofErr w:type="spellStart"/>
      <w:r w:rsidRPr="00151141">
        <w:rPr>
          <w:rFonts w:ascii="Book Antiqua" w:hAnsi="Book Antiqua"/>
        </w:rPr>
        <w:t>Duerksen</w:t>
      </w:r>
      <w:proofErr w:type="spellEnd"/>
      <w:r w:rsidRPr="00151141">
        <w:rPr>
          <w:rFonts w:ascii="Book Antiqua" w:hAnsi="Book Antiqua"/>
        </w:rPr>
        <w:t xml:space="preserve"> DR; DOGGIE BAG Study Group. Most Patients With Celiac Disease on Gluten-Free Diets Consume Measurable Amounts of Gluten. </w:t>
      </w:r>
      <w:r w:rsidRPr="00151141">
        <w:rPr>
          <w:rFonts w:ascii="Book Antiqua" w:hAnsi="Book Antiqua"/>
          <w:i/>
          <w:iCs/>
        </w:rPr>
        <w:t>Gastroenterology</w:t>
      </w:r>
      <w:r w:rsidRPr="00151141">
        <w:rPr>
          <w:rFonts w:ascii="Book Antiqua" w:hAnsi="Book Antiqua"/>
        </w:rPr>
        <w:t xml:space="preserve"> 2020; </w:t>
      </w:r>
      <w:r w:rsidRPr="00151141">
        <w:rPr>
          <w:rFonts w:ascii="Book Antiqua" w:hAnsi="Book Antiqua"/>
          <w:b/>
          <w:bCs/>
        </w:rPr>
        <w:t>158</w:t>
      </w:r>
      <w:r w:rsidRPr="00151141">
        <w:rPr>
          <w:rFonts w:ascii="Book Antiqua" w:hAnsi="Book Antiqua"/>
        </w:rPr>
        <w:t>: 1497-1499.e1 [PMID: 31866245 DOI: 10.1053/j.gastro.2019.12.016]</w:t>
      </w:r>
    </w:p>
    <w:p w14:paraId="24D63C8B"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31 </w:t>
      </w:r>
      <w:proofErr w:type="spellStart"/>
      <w:r w:rsidRPr="00151141">
        <w:rPr>
          <w:rFonts w:ascii="Book Antiqua" w:hAnsi="Book Antiqua"/>
          <w:b/>
          <w:bCs/>
        </w:rPr>
        <w:t>Myléus</w:t>
      </w:r>
      <w:proofErr w:type="spellEnd"/>
      <w:r w:rsidRPr="00151141">
        <w:rPr>
          <w:rFonts w:ascii="Book Antiqua" w:hAnsi="Book Antiqua"/>
          <w:b/>
          <w:bCs/>
        </w:rPr>
        <w:t xml:space="preserve"> A</w:t>
      </w:r>
      <w:r w:rsidRPr="00151141">
        <w:rPr>
          <w:rFonts w:ascii="Book Antiqua" w:hAnsi="Book Antiqua"/>
        </w:rPr>
        <w:t xml:space="preserve">, Reilly NR, Green PHR. Rate, Risk Factors, and Outcomes of Nonadherence in Pediatric Patients </w:t>
      </w:r>
      <w:proofErr w:type="gramStart"/>
      <w:r w:rsidRPr="00151141">
        <w:rPr>
          <w:rFonts w:ascii="Book Antiqua" w:hAnsi="Book Antiqua"/>
        </w:rPr>
        <w:t>With</w:t>
      </w:r>
      <w:proofErr w:type="gramEnd"/>
      <w:r w:rsidRPr="00151141">
        <w:rPr>
          <w:rFonts w:ascii="Book Antiqua" w:hAnsi="Book Antiqua"/>
        </w:rPr>
        <w:t xml:space="preserve"> Celiac Disease: A Systematic Review. </w:t>
      </w:r>
      <w:r w:rsidRPr="00151141">
        <w:rPr>
          <w:rFonts w:ascii="Book Antiqua" w:hAnsi="Book Antiqua"/>
          <w:i/>
          <w:iCs/>
        </w:rPr>
        <w:t>Clin Gastroenterol Hepatol</w:t>
      </w:r>
      <w:r w:rsidRPr="00151141">
        <w:rPr>
          <w:rFonts w:ascii="Book Antiqua" w:hAnsi="Book Antiqua"/>
        </w:rPr>
        <w:t xml:space="preserve"> 2020; </w:t>
      </w:r>
      <w:r w:rsidRPr="00151141">
        <w:rPr>
          <w:rFonts w:ascii="Book Antiqua" w:hAnsi="Book Antiqua"/>
          <w:b/>
          <w:bCs/>
        </w:rPr>
        <w:t>18</w:t>
      </w:r>
      <w:r w:rsidRPr="00151141">
        <w:rPr>
          <w:rFonts w:ascii="Book Antiqua" w:hAnsi="Book Antiqua"/>
        </w:rPr>
        <w:t>: 562-573 [PMID: 31173891 DOI: 10.1016/j.cgh.2019.05.046]</w:t>
      </w:r>
    </w:p>
    <w:p w14:paraId="49DD717E"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32 </w:t>
      </w:r>
      <w:r w:rsidRPr="00151141">
        <w:rPr>
          <w:rFonts w:ascii="Book Antiqua" w:hAnsi="Book Antiqua"/>
          <w:b/>
          <w:bCs/>
        </w:rPr>
        <w:t>Villafuerte-Galvez J</w:t>
      </w:r>
      <w:r w:rsidRPr="00151141">
        <w:rPr>
          <w:rFonts w:ascii="Book Antiqua" w:hAnsi="Book Antiqua"/>
        </w:rPr>
        <w:t xml:space="preserve">, Vanga RR, Dennis M, Hansen J, Leffler DA, Kelly CP, Mukherjee R. Factors governing long-term adherence to a gluten-free diet in adult </w:t>
      </w:r>
      <w:r w:rsidRPr="00151141">
        <w:rPr>
          <w:rFonts w:ascii="Book Antiqua" w:hAnsi="Book Antiqua"/>
        </w:rPr>
        <w:lastRenderedPageBreak/>
        <w:t xml:space="preserve">patients with coeliac disease. </w:t>
      </w:r>
      <w:r w:rsidRPr="00151141">
        <w:rPr>
          <w:rFonts w:ascii="Book Antiqua" w:hAnsi="Book Antiqua"/>
          <w:i/>
          <w:iCs/>
        </w:rPr>
        <w:t xml:space="preserve">Aliment </w:t>
      </w:r>
      <w:proofErr w:type="spellStart"/>
      <w:r w:rsidRPr="00151141">
        <w:rPr>
          <w:rFonts w:ascii="Book Antiqua" w:hAnsi="Book Antiqua"/>
          <w:i/>
          <w:iCs/>
        </w:rPr>
        <w:t>Pharmacol</w:t>
      </w:r>
      <w:proofErr w:type="spellEnd"/>
      <w:r w:rsidRPr="00151141">
        <w:rPr>
          <w:rFonts w:ascii="Book Antiqua" w:hAnsi="Book Antiqua"/>
          <w:i/>
          <w:iCs/>
        </w:rPr>
        <w:t xml:space="preserve"> </w:t>
      </w:r>
      <w:proofErr w:type="spellStart"/>
      <w:r w:rsidRPr="00151141">
        <w:rPr>
          <w:rFonts w:ascii="Book Antiqua" w:hAnsi="Book Antiqua"/>
          <w:i/>
          <w:iCs/>
        </w:rPr>
        <w:t>Ther</w:t>
      </w:r>
      <w:proofErr w:type="spellEnd"/>
      <w:r w:rsidRPr="00151141">
        <w:rPr>
          <w:rFonts w:ascii="Book Antiqua" w:hAnsi="Book Antiqua"/>
        </w:rPr>
        <w:t xml:space="preserve"> 2015; </w:t>
      </w:r>
      <w:r w:rsidRPr="00151141">
        <w:rPr>
          <w:rFonts w:ascii="Book Antiqua" w:hAnsi="Book Antiqua"/>
          <w:b/>
          <w:bCs/>
        </w:rPr>
        <w:t>42</w:t>
      </w:r>
      <w:r w:rsidRPr="00151141">
        <w:rPr>
          <w:rFonts w:ascii="Book Antiqua" w:hAnsi="Book Antiqua"/>
        </w:rPr>
        <w:t>: 753-760 [PMID: 26206401 DOI: 10.1111/apt.13319]</w:t>
      </w:r>
    </w:p>
    <w:p w14:paraId="4F57D62D"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33 </w:t>
      </w:r>
      <w:proofErr w:type="spellStart"/>
      <w:r w:rsidRPr="00151141">
        <w:rPr>
          <w:rFonts w:ascii="Book Antiqua" w:hAnsi="Book Antiqua"/>
          <w:b/>
          <w:bCs/>
        </w:rPr>
        <w:t>Bebb</w:t>
      </w:r>
      <w:proofErr w:type="spellEnd"/>
      <w:r w:rsidRPr="00151141">
        <w:rPr>
          <w:rFonts w:ascii="Book Antiqua" w:hAnsi="Book Antiqua"/>
          <w:b/>
          <w:bCs/>
        </w:rPr>
        <w:t xml:space="preserve"> JR</w:t>
      </w:r>
      <w:r w:rsidRPr="00151141">
        <w:rPr>
          <w:rFonts w:ascii="Book Antiqua" w:hAnsi="Book Antiqua"/>
        </w:rPr>
        <w:t xml:space="preserve">, Lawson A, Knight T, Long RG. Long-term follow-up of coeliac disease--what do coeliac patients want? </w:t>
      </w:r>
      <w:r w:rsidRPr="00151141">
        <w:rPr>
          <w:rFonts w:ascii="Book Antiqua" w:hAnsi="Book Antiqua"/>
          <w:i/>
          <w:iCs/>
        </w:rPr>
        <w:t xml:space="preserve">Aliment </w:t>
      </w:r>
      <w:proofErr w:type="spellStart"/>
      <w:r w:rsidRPr="00151141">
        <w:rPr>
          <w:rFonts w:ascii="Book Antiqua" w:hAnsi="Book Antiqua"/>
          <w:i/>
          <w:iCs/>
        </w:rPr>
        <w:t>Pharmacol</w:t>
      </w:r>
      <w:proofErr w:type="spellEnd"/>
      <w:r w:rsidRPr="00151141">
        <w:rPr>
          <w:rFonts w:ascii="Book Antiqua" w:hAnsi="Book Antiqua"/>
          <w:i/>
          <w:iCs/>
        </w:rPr>
        <w:t xml:space="preserve"> </w:t>
      </w:r>
      <w:proofErr w:type="spellStart"/>
      <w:r w:rsidRPr="00151141">
        <w:rPr>
          <w:rFonts w:ascii="Book Antiqua" w:hAnsi="Book Antiqua"/>
          <w:i/>
          <w:iCs/>
        </w:rPr>
        <w:t>Ther</w:t>
      </w:r>
      <w:proofErr w:type="spellEnd"/>
      <w:r w:rsidRPr="00151141">
        <w:rPr>
          <w:rFonts w:ascii="Book Antiqua" w:hAnsi="Book Antiqua"/>
        </w:rPr>
        <w:t xml:space="preserve"> 2006; </w:t>
      </w:r>
      <w:r w:rsidRPr="00151141">
        <w:rPr>
          <w:rFonts w:ascii="Book Antiqua" w:hAnsi="Book Antiqua"/>
          <w:b/>
          <w:bCs/>
        </w:rPr>
        <w:t>23</w:t>
      </w:r>
      <w:r w:rsidRPr="00151141">
        <w:rPr>
          <w:rFonts w:ascii="Book Antiqua" w:hAnsi="Book Antiqua"/>
        </w:rPr>
        <w:t>: 827-831 [PMID: 16556185 DOI: 10.1111/j.1365-2036.2006.02824.x]</w:t>
      </w:r>
    </w:p>
    <w:p w14:paraId="77C0494C"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34 </w:t>
      </w:r>
      <w:r w:rsidRPr="00151141">
        <w:rPr>
          <w:rFonts w:ascii="Book Antiqua" w:hAnsi="Book Antiqua"/>
          <w:b/>
          <w:bCs/>
        </w:rPr>
        <w:t>Haines ML</w:t>
      </w:r>
      <w:r w:rsidRPr="00151141">
        <w:rPr>
          <w:rFonts w:ascii="Book Antiqua" w:hAnsi="Book Antiqua"/>
        </w:rPr>
        <w:t xml:space="preserve">, Anderson RP, Gibson PR. Systematic review: The evidence base for long-term management of coeliac disease. </w:t>
      </w:r>
      <w:r w:rsidRPr="00151141">
        <w:rPr>
          <w:rFonts w:ascii="Book Antiqua" w:hAnsi="Book Antiqua"/>
          <w:i/>
          <w:iCs/>
        </w:rPr>
        <w:t xml:space="preserve">Aliment </w:t>
      </w:r>
      <w:proofErr w:type="spellStart"/>
      <w:r w:rsidRPr="00151141">
        <w:rPr>
          <w:rFonts w:ascii="Book Antiqua" w:hAnsi="Book Antiqua"/>
          <w:i/>
          <w:iCs/>
        </w:rPr>
        <w:t>Pharmacol</w:t>
      </w:r>
      <w:proofErr w:type="spellEnd"/>
      <w:r w:rsidRPr="00151141">
        <w:rPr>
          <w:rFonts w:ascii="Book Antiqua" w:hAnsi="Book Antiqua"/>
          <w:i/>
          <w:iCs/>
        </w:rPr>
        <w:t xml:space="preserve"> </w:t>
      </w:r>
      <w:proofErr w:type="spellStart"/>
      <w:r w:rsidRPr="00151141">
        <w:rPr>
          <w:rFonts w:ascii="Book Antiqua" w:hAnsi="Book Antiqua"/>
          <w:i/>
          <w:iCs/>
        </w:rPr>
        <w:t>Ther</w:t>
      </w:r>
      <w:proofErr w:type="spellEnd"/>
      <w:r w:rsidRPr="00151141">
        <w:rPr>
          <w:rFonts w:ascii="Book Antiqua" w:hAnsi="Book Antiqua"/>
        </w:rPr>
        <w:t xml:space="preserve"> 2008; </w:t>
      </w:r>
      <w:r w:rsidRPr="00151141">
        <w:rPr>
          <w:rFonts w:ascii="Book Antiqua" w:hAnsi="Book Antiqua"/>
          <w:b/>
          <w:bCs/>
        </w:rPr>
        <w:t>28</w:t>
      </w:r>
      <w:r w:rsidRPr="00151141">
        <w:rPr>
          <w:rFonts w:ascii="Book Antiqua" w:hAnsi="Book Antiqua"/>
        </w:rPr>
        <w:t>: 1042-1066 [PMID: 18671779 DOI: 10.1111/j.1365-2036.2008.03820.x]</w:t>
      </w:r>
    </w:p>
    <w:p w14:paraId="26C8D75B"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35 </w:t>
      </w:r>
      <w:r w:rsidRPr="00151141">
        <w:rPr>
          <w:rFonts w:ascii="Book Antiqua" w:hAnsi="Book Antiqua"/>
          <w:b/>
          <w:bCs/>
        </w:rPr>
        <w:t>Herman ML</w:t>
      </w:r>
      <w:r w:rsidRPr="00151141">
        <w:rPr>
          <w:rFonts w:ascii="Book Antiqua" w:hAnsi="Book Antiqua"/>
        </w:rPr>
        <w:t xml:space="preserve">, Rubio-Tapia A, Lahr BD, Larson JJ, Van Dyke CT, Murray JA. Patients with celiac disease are not followed up adequately. </w:t>
      </w:r>
      <w:r w:rsidRPr="00151141">
        <w:rPr>
          <w:rFonts w:ascii="Book Antiqua" w:hAnsi="Book Antiqua"/>
          <w:i/>
          <w:iCs/>
        </w:rPr>
        <w:t>Clin Gastroenterol Hepatol</w:t>
      </w:r>
      <w:r w:rsidRPr="00151141">
        <w:rPr>
          <w:rFonts w:ascii="Book Antiqua" w:hAnsi="Book Antiqua"/>
        </w:rPr>
        <w:t xml:space="preserve"> 2012; </w:t>
      </w:r>
      <w:r w:rsidRPr="00151141">
        <w:rPr>
          <w:rFonts w:ascii="Book Antiqua" w:hAnsi="Book Antiqua"/>
          <w:b/>
          <w:bCs/>
        </w:rPr>
        <w:t>10</w:t>
      </w:r>
      <w:r w:rsidRPr="00151141">
        <w:rPr>
          <w:rFonts w:ascii="Book Antiqua" w:hAnsi="Book Antiqua"/>
        </w:rPr>
        <w:t>: 893-899.e1 [PMID: 22610009 DOI: 10.1016/j.cgh.2012.05.007]</w:t>
      </w:r>
    </w:p>
    <w:p w14:paraId="01FA8385"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36 </w:t>
      </w:r>
      <w:proofErr w:type="spellStart"/>
      <w:r w:rsidRPr="00151141">
        <w:rPr>
          <w:rFonts w:ascii="Book Antiqua" w:hAnsi="Book Antiqua"/>
          <w:b/>
          <w:bCs/>
        </w:rPr>
        <w:t>Catassi</w:t>
      </w:r>
      <w:proofErr w:type="spellEnd"/>
      <w:r w:rsidRPr="00151141">
        <w:rPr>
          <w:rFonts w:ascii="Book Antiqua" w:hAnsi="Book Antiqua"/>
          <w:b/>
          <w:bCs/>
        </w:rPr>
        <w:t xml:space="preserve"> C</w:t>
      </w:r>
      <w:r w:rsidRPr="00151141">
        <w:rPr>
          <w:rFonts w:ascii="Book Antiqua" w:hAnsi="Book Antiqua"/>
        </w:rPr>
        <w:t xml:space="preserve">, </w:t>
      </w:r>
      <w:proofErr w:type="spellStart"/>
      <w:r w:rsidRPr="00151141">
        <w:rPr>
          <w:rFonts w:ascii="Book Antiqua" w:hAnsi="Book Antiqua"/>
        </w:rPr>
        <w:t>Fabiani</w:t>
      </w:r>
      <w:proofErr w:type="spellEnd"/>
      <w:r w:rsidRPr="00151141">
        <w:rPr>
          <w:rFonts w:ascii="Book Antiqua" w:hAnsi="Book Antiqua"/>
        </w:rPr>
        <w:t xml:space="preserve"> E, </w:t>
      </w:r>
      <w:proofErr w:type="spellStart"/>
      <w:r w:rsidRPr="00151141">
        <w:rPr>
          <w:rFonts w:ascii="Book Antiqua" w:hAnsi="Book Antiqua"/>
        </w:rPr>
        <w:t>Iacono</w:t>
      </w:r>
      <w:proofErr w:type="spellEnd"/>
      <w:r w:rsidRPr="00151141">
        <w:rPr>
          <w:rFonts w:ascii="Book Antiqua" w:hAnsi="Book Antiqua"/>
        </w:rPr>
        <w:t xml:space="preserve"> G, </w:t>
      </w:r>
      <w:proofErr w:type="spellStart"/>
      <w:r w:rsidRPr="00151141">
        <w:rPr>
          <w:rFonts w:ascii="Book Antiqua" w:hAnsi="Book Antiqua"/>
        </w:rPr>
        <w:t>D'Agate</w:t>
      </w:r>
      <w:proofErr w:type="spellEnd"/>
      <w:r w:rsidRPr="00151141">
        <w:rPr>
          <w:rFonts w:ascii="Book Antiqua" w:hAnsi="Book Antiqua"/>
        </w:rPr>
        <w:t xml:space="preserve"> C, Francavilla R, Biagi F, Volta U, </w:t>
      </w:r>
      <w:proofErr w:type="spellStart"/>
      <w:r w:rsidRPr="00151141">
        <w:rPr>
          <w:rFonts w:ascii="Book Antiqua" w:hAnsi="Book Antiqua"/>
        </w:rPr>
        <w:t>Accomando</w:t>
      </w:r>
      <w:proofErr w:type="spellEnd"/>
      <w:r w:rsidRPr="00151141">
        <w:rPr>
          <w:rFonts w:ascii="Book Antiqua" w:hAnsi="Book Antiqua"/>
        </w:rPr>
        <w:t xml:space="preserve"> S, </w:t>
      </w:r>
      <w:proofErr w:type="spellStart"/>
      <w:r w:rsidRPr="00151141">
        <w:rPr>
          <w:rFonts w:ascii="Book Antiqua" w:hAnsi="Book Antiqua"/>
        </w:rPr>
        <w:t>Picarelli</w:t>
      </w:r>
      <w:proofErr w:type="spellEnd"/>
      <w:r w:rsidRPr="00151141">
        <w:rPr>
          <w:rFonts w:ascii="Book Antiqua" w:hAnsi="Book Antiqua"/>
        </w:rPr>
        <w:t xml:space="preserve"> A, De Vitis I, </w:t>
      </w:r>
      <w:proofErr w:type="spellStart"/>
      <w:r w:rsidRPr="00151141">
        <w:rPr>
          <w:rFonts w:ascii="Book Antiqua" w:hAnsi="Book Antiqua"/>
        </w:rPr>
        <w:t>Pianelli</w:t>
      </w:r>
      <w:proofErr w:type="spellEnd"/>
      <w:r w:rsidRPr="00151141">
        <w:rPr>
          <w:rFonts w:ascii="Book Antiqua" w:hAnsi="Book Antiqua"/>
        </w:rPr>
        <w:t xml:space="preserve"> G, </w:t>
      </w:r>
      <w:proofErr w:type="spellStart"/>
      <w:r w:rsidRPr="00151141">
        <w:rPr>
          <w:rFonts w:ascii="Book Antiqua" w:hAnsi="Book Antiqua"/>
        </w:rPr>
        <w:t>Gesuita</w:t>
      </w:r>
      <w:proofErr w:type="spellEnd"/>
      <w:r w:rsidRPr="00151141">
        <w:rPr>
          <w:rFonts w:ascii="Book Antiqua" w:hAnsi="Book Antiqua"/>
        </w:rPr>
        <w:t xml:space="preserve"> R, Carle F, </w:t>
      </w:r>
      <w:proofErr w:type="spellStart"/>
      <w:r w:rsidRPr="00151141">
        <w:rPr>
          <w:rFonts w:ascii="Book Antiqua" w:hAnsi="Book Antiqua"/>
        </w:rPr>
        <w:t>Mandolesi</w:t>
      </w:r>
      <w:proofErr w:type="spellEnd"/>
      <w:r w:rsidRPr="00151141">
        <w:rPr>
          <w:rFonts w:ascii="Book Antiqua" w:hAnsi="Book Antiqua"/>
        </w:rPr>
        <w:t xml:space="preserve"> A, </w:t>
      </w:r>
      <w:proofErr w:type="spellStart"/>
      <w:r w:rsidRPr="00151141">
        <w:rPr>
          <w:rFonts w:ascii="Book Antiqua" w:hAnsi="Book Antiqua"/>
        </w:rPr>
        <w:t>Bearzi</w:t>
      </w:r>
      <w:proofErr w:type="spellEnd"/>
      <w:r w:rsidRPr="00151141">
        <w:rPr>
          <w:rFonts w:ascii="Book Antiqua" w:hAnsi="Book Antiqua"/>
        </w:rPr>
        <w:t xml:space="preserve"> I, Fasano A. A prospective, double-blind, placebo-controlled trial to establish a safe gluten threshold for patients with celiac disease. </w:t>
      </w:r>
      <w:r w:rsidRPr="00151141">
        <w:rPr>
          <w:rFonts w:ascii="Book Antiqua" w:hAnsi="Book Antiqua"/>
          <w:i/>
          <w:iCs/>
        </w:rPr>
        <w:t xml:space="preserve">Am J Clin </w:t>
      </w:r>
      <w:proofErr w:type="spellStart"/>
      <w:r w:rsidRPr="00151141">
        <w:rPr>
          <w:rFonts w:ascii="Book Antiqua" w:hAnsi="Book Antiqua"/>
          <w:i/>
          <w:iCs/>
        </w:rPr>
        <w:t>Nutr</w:t>
      </w:r>
      <w:proofErr w:type="spellEnd"/>
      <w:r w:rsidRPr="00151141">
        <w:rPr>
          <w:rFonts w:ascii="Book Antiqua" w:hAnsi="Book Antiqua"/>
        </w:rPr>
        <w:t xml:space="preserve"> 2007; </w:t>
      </w:r>
      <w:r w:rsidRPr="00151141">
        <w:rPr>
          <w:rFonts w:ascii="Book Antiqua" w:hAnsi="Book Antiqua"/>
          <w:b/>
          <w:bCs/>
        </w:rPr>
        <w:t>85</w:t>
      </w:r>
      <w:r w:rsidRPr="00151141">
        <w:rPr>
          <w:rFonts w:ascii="Book Antiqua" w:hAnsi="Book Antiqua"/>
        </w:rPr>
        <w:t>: 160-166 [PMID: 17209192 DOI: 10.1093/</w:t>
      </w:r>
      <w:proofErr w:type="spellStart"/>
      <w:r w:rsidRPr="00151141">
        <w:rPr>
          <w:rFonts w:ascii="Book Antiqua" w:hAnsi="Book Antiqua"/>
        </w:rPr>
        <w:t>ajcn</w:t>
      </w:r>
      <w:proofErr w:type="spellEnd"/>
      <w:r w:rsidRPr="00151141">
        <w:rPr>
          <w:rFonts w:ascii="Book Antiqua" w:hAnsi="Book Antiqua"/>
        </w:rPr>
        <w:t>/85.1.160]</w:t>
      </w:r>
    </w:p>
    <w:p w14:paraId="02944768" w14:textId="77777777" w:rsidR="002420DA" w:rsidRPr="00A54C4D" w:rsidRDefault="002420DA" w:rsidP="00F10C3B">
      <w:pPr>
        <w:spacing w:line="360" w:lineRule="auto"/>
        <w:jc w:val="both"/>
        <w:rPr>
          <w:rFonts w:ascii="Book Antiqua" w:hAnsi="Book Antiqua"/>
          <w:lang w:val="es-ES"/>
        </w:rPr>
      </w:pPr>
      <w:r w:rsidRPr="00151141">
        <w:rPr>
          <w:rFonts w:ascii="Book Antiqua" w:hAnsi="Book Antiqua"/>
        </w:rPr>
        <w:t xml:space="preserve">37 </w:t>
      </w:r>
      <w:r w:rsidRPr="00151141">
        <w:rPr>
          <w:rFonts w:ascii="Book Antiqua" w:hAnsi="Book Antiqua"/>
          <w:b/>
          <w:bCs/>
        </w:rPr>
        <w:t>Walker MM</w:t>
      </w:r>
      <w:r w:rsidRPr="00151141">
        <w:rPr>
          <w:rFonts w:ascii="Book Antiqua" w:hAnsi="Book Antiqua"/>
        </w:rPr>
        <w:t xml:space="preserve">, Murray JA. An update in the diagnosis of coeliac disease. </w:t>
      </w:r>
      <w:r w:rsidR="00C3458C" w:rsidRPr="00C3458C">
        <w:rPr>
          <w:rFonts w:ascii="Book Antiqua" w:hAnsi="Book Antiqua"/>
          <w:i/>
          <w:iCs/>
          <w:lang w:val="es-ES"/>
        </w:rPr>
        <w:t>Histopathology</w:t>
      </w:r>
      <w:r w:rsidR="00C3458C" w:rsidRPr="00C3458C">
        <w:rPr>
          <w:rFonts w:ascii="Book Antiqua" w:hAnsi="Book Antiqua"/>
          <w:lang w:val="es-ES"/>
        </w:rPr>
        <w:t xml:space="preserve"> 2011; </w:t>
      </w:r>
      <w:r w:rsidR="00C3458C" w:rsidRPr="00C3458C">
        <w:rPr>
          <w:rFonts w:ascii="Book Antiqua" w:hAnsi="Book Antiqua"/>
          <w:b/>
          <w:bCs/>
          <w:lang w:val="es-ES"/>
        </w:rPr>
        <w:t>59</w:t>
      </w:r>
      <w:r w:rsidR="00C3458C" w:rsidRPr="00C3458C">
        <w:rPr>
          <w:rFonts w:ascii="Book Antiqua" w:hAnsi="Book Antiqua"/>
          <w:lang w:val="es-ES"/>
        </w:rPr>
        <w:t>: 166-179 [PMID: 21054494 DOI: 10.1111/j.1365-2559.2010.03680.x]</w:t>
      </w:r>
    </w:p>
    <w:p w14:paraId="0D841C35" w14:textId="1C325A72" w:rsidR="002420DA" w:rsidRPr="006336DF" w:rsidRDefault="002420DA" w:rsidP="00F10C3B">
      <w:pPr>
        <w:spacing w:line="360" w:lineRule="auto"/>
        <w:jc w:val="both"/>
        <w:rPr>
          <w:rFonts w:ascii="Book Antiqua" w:hAnsi="Book Antiqua"/>
          <w:lang w:val="es-ES" w:eastAsia="zh-CN"/>
        </w:rPr>
      </w:pPr>
      <w:r w:rsidRPr="006336DF">
        <w:rPr>
          <w:rFonts w:ascii="Book Antiqua" w:hAnsi="Book Antiqua"/>
          <w:lang w:val="es-ES"/>
        </w:rPr>
        <w:t xml:space="preserve">38 </w:t>
      </w:r>
      <w:r w:rsidRPr="006336DF">
        <w:rPr>
          <w:rFonts w:ascii="Book Antiqua" w:hAnsi="Book Antiqua"/>
          <w:b/>
          <w:lang w:val="es-ES"/>
        </w:rPr>
        <w:t>Catassi C</w:t>
      </w:r>
      <w:r w:rsidRPr="006336DF">
        <w:rPr>
          <w:rFonts w:ascii="Book Antiqua" w:hAnsi="Book Antiqua"/>
          <w:lang w:val="es-ES"/>
        </w:rPr>
        <w:t xml:space="preserve">. Protocollo per la diagnosi ed il follow-up della malattia celiaca. </w:t>
      </w:r>
      <w:r w:rsidRPr="006336DF">
        <w:rPr>
          <w:rFonts w:ascii="Book Antiqua" w:hAnsi="Book Antiqua"/>
          <w:i/>
          <w:lang w:val="es-ES"/>
        </w:rPr>
        <w:t>Encicl del Dirit</w:t>
      </w:r>
      <w:r w:rsidRPr="006336DF">
        <w:rPr>
          <w:rFonts w:ascii="Book Antiqua" w:hAnsi="Book Antiqua"/>
          <w:lang w:val="es-ES"/>
        </w:rPr>
        <w:t xml:space="preserve"> 2015</w:t>
      </w:r>
      <w:r w:rsidR="00FE3E31">
        <w:rPr>
          <w:rFonts w:ascii="Book Antiqua" w:hAnsi="Book Antiqua"/>
          <w:lang w:val="es-ES"/>
        </w:rPr>
        <w:t>;</w:t>
      </w:r>
      <w:r w:rsidRPr="006336DF">
        <w:rPr>
          <w:rFonts w:ascii="Book Antiqua" w:hAnsi="Book Antiqua"/>
          <w:lang w:val="es-ES" w:eastAsia="zh-CN"/>
        </w:rPr>
        <w:t xml:space="preserve"> </w:t>
      </w:r>
      <w:r w:rsidRPr="006336DF">
        <w:rPr>
          <w:rFonts w:ascii="Book Antiqua" w:hAnsi="Book Antiqua"/>
          <w:lang w:val="es-ES"/>
        </w:rPr>
        <w:t>263</w:t>
      </w:r>
      <w:r w:rsidR="00FE3E31">
        <w:rPr>
          <w:rFonts w:ascii="Book Antiqua" w:hAnsi="Book Antiqua"/>
          <w:lang w:val="es-ES"/>
        </w:rPr>
        <w:t>-</w:t>
      </w:r>
      <w:r w:rsidRPr="006336DF">
        <w:rPr>
          <w:rFonts w:ascii="Book Antiqua" w:hAnsi="Book Antiqua"/>
          <w:lang w:val="es-ES"/>
        </w:rPr>
        <w:t>358</w:t>
      </w:r>
    </w:p>
    <w:p w14:paraId="203AC2F1" w14:textId="77777777" w:rsidR="002420DA" w:rsidRPr="00151141" w:rsidRDefault="002420DA" w:rsidP="00F10C3B">
      <w:pPr>
        <w:spacing w:line="360" w:lineRule="auto"/>
        <w:jc w:val="both"/>
        <w:rPr>
          <w:rFonts w:ascii="Book Antiqua" w:hAnsi="Book Antiqua"/>
        </w:rPr>
      </w:pPr>
      <w:r w:rsidRPr="006336DF">
        <w:rPr>
          <w:rFonts w:ascii="Book Antiqua" w:hAnsi="Book Antiqua"/>
          <w:lang w:val="es-ES"/>
        </w:rPr>
        <w:t xml:space="preserve">39 </w:t>
      </w:r>
      <w:r w:rsidRPr="006336DF">
        <w:rPr>
          <w:rFonts w:ascii="Book Antiqua" w:hAnsi="Book Antiqua"/>
          <w:b/>
          <w:bCs/>
          <w:lang w:val="es-ES"/>
        </w:rPr>
        <w:t>Gerasimidis K</w:t>
      </w:r>
      <w:r w:rsidRPr="006336DF">
        <w:rPr>
          <w:rFonts w:ascii="Book Antiqua" w:hAnsi="Book Antiqua"/>
          <w:lang w:val="es-ES"/>
        </w:rPr>
        <w:t xml:space="preserve">, Zafeiropoulou K, Mackinder M, Ijaz UZ, Duncan H, Buchanan E, Cardigan T, Edwards CA, McGrogan P, Russell RK. </w:t>
      </w:r>
      <w:r w:rsidRPr="00151141">
        <w:rPr>
          <w:rFonts w:ascii="Book Antiqua" w:hAnsi="Book Antiqua"/>
        </w:rPr>
        <w:t xml:space="preserve">Comparison of Clinical Methods </w:t>
      </w:r>
      <w:proofErr w:type="gramStart"/>
      <w:r w:rsidRPr="00151141">
        <w:rPr>
          <w:rFonts w:ascii="Book Antiqua" w:hAnsi="Book Antiqua"/>
        </w:rPr>
        <w:t>With</w:t>
      </w:r>
      <w:proofErr w:type="gramEnd"/>
      <w:r w:rsidRPr="00151141">
        <w:rPr>
          <w:rFonts w:ascii="Book Antiqua" w:hAnsi="Book Antiqua"/>
        </w:rPr>
        <w:t xml:space="preserve"> the </w:t>
      </w:r>
      <w:proofErr w:type="spellStart"/>
      <w:r w:rsidRPr="00151141">
        <w:rPr>
          <w:rFonts w:ascii="Book Antiqua" w:hAnsi="Book Antiqua"/>
        </w:rPr>
        <w:t>Faecal</w:t>
      </w:r>
      <w:proofErr w:type="spellEnd"/>
      <w:r w:rsidRPr="00151141">
        <w:rPr>
          <w:rFonts w:ascii="Book Antiqua" w:hAnsi="Book Antiqua"/>
        </w:rPr>
        <w:t xml:space="preserve"> Gluten Immunogenic Peptide to Assess Gluten Intake in Coeliac Disease. </w:t>
      </w:r>
      <w:r w:rsidRPr="00151141">
        <w:rPr>
          <w:rFonts w:ascii="Book Antiqua" w:hAnsi="Book Antiqua"/>
          <w:i/>
          <w:iCs/>
        </w:rPr>
        <w:t xml:space="preserve">J </w:t>
      </w:r>
      <w:proofErr w:type="spellStart"/>
      <w:r w:rsidRPr="00151141">
        <w:rPr>
          <w:rFonts w:ascii="Book Antiqua" w:hAnsi="Book Antiqua"/>
          <w:i/>
          <w:iCs/>
        </w:rPr>
        <w:t>Pediatr</w:t>
      </w:r>
      <w:proofErr w:type="spellEnd"/>
      <w:r w:rsidRPr="00151141">
        <w:rPr>
          <w:rFonts w:ascii="Book Antiqua" w:hAnsi="Book Antiqua"/>
          <w:i/>
          <w:iCs/>
        </w:rPr>
        <w:t xml:space="preserve"> Gastroenterol </w:t>
      </w:r>
      <w:proofErr w:type="spellStart"/>
      <w:r w:rsidRPr="00151141">
        <w:rPr>
          <w:rFonts w:ascii="Book Antiqua" w:hAnsi="Book Antiqua"/>
          <w:i/>
          <w:iCs/>
        </w:rPr>
        <w:t>Nutr</w:t>
      </w:r>
      <w:proofErr w:type="spellEnd"/>
      <w:r w:rsidRPr="00151141">
        <w:rPr>
          <w:rFonts w:ascii="Book Antiqua" w:hAnsi="Book Antiqua"/>
        </w:rPr>
        <w:t xml:space="preserve"> 2018; </w:t>
      </w:r>
      <w:r w:rsidRPr="00151141">
        <w:rPr>
          <w:rFonts w:ascii="Book Antiqua" w:hAnsi="Book Antiqua"/>
          <w:b/>
          <w:bCs/>
        </w:rPr>
        <w:t>67</w:t>
      </w:r>
      <w:r w:rsidRPr="00151141">
        <w:rPr>
          <w:rFonts w:ascii="Book Antiqua" w:hAnsi="Book Antiqua"/>
        </w:rPr>
        <w:t>: 356-360 [PMID: 29916953 DOI: 10.1097/MPG.0000000000002062]</w:t>
      </w:r>
    </w:p>
    <w:p w14:paraId="0955516B"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40 </w:t>
      </w:r>
      <w:r w:rsidRPr="00151141">
        <w:rPr>
          <w:rFonts w:ascii="Book Antiqua" w:hAnsi="Book Antiqua"/>
          <w:b/>
          <w:bCs/>
        </w:rPr>
        <w:t>Comino I</w:t>
      </w:r>
      <w:r w:rsidRPr="00151141">
        <w:rPr>
          <w:rFonts w:ascii="Book Antiqua" w:hAnsi="Book Antiqua"/>
        </w:rPr>
        <w:t xml:space="preserve">, Segura V, </w:t>
      </w:r>
      <w:proofErr w:type="spellStart"/>
      <w:r w:rsidRPr="00151141">
        <w:rPr>
          <w:rFonts w:ascii="Book Antiqua" w:hAnsi="Book Antiqua"/>
        </w:rPr>
        <w:t>Ortigosa</w:t>
      </w:r>
      <w:proofErr w:type="spellEnd"/>
      <w:r w:rsidRPr="00151141">
        <w:rPr>
          <w:rFonts w:ascii="Book Antiqua" w:hAnsi="Book Antiqua"/>
        </w:rPr>
        <w:t xml:space="preserve"> L, </w:t>
      </w:r>
      <w:proofErr w:type="spellStart"/>
      <w:r w:rsidRPr="00151141">
        <w:rPr>
          <w:rFonts w:ascii="Book Antiqua" w:hAnsi="Book Antiqua"/>
        </w:rPr>
        <w:t>Espín</w:t>
      </w:r>
      <w:proofErr w:type="spellEnd"/>
      <w:r w:rsidRPr="00151141">
        <w:rPr>
          <w:rFonts w:ascii="Book Antiqua" w:hAnsi="Book Antiqua"/>
        </w:rPr>
        <w:t xml:space="preserve"> B, </w:t>
      </w:r>
      <w:proofErr w:type="spellStart"/>
      <w:r w:rsidRPr="00151141">
        <w:rPr>
          <w:rFonts w:ascii="Book Antiqua" w:hAnsi="Book Antiqua"/>
        </w:rPr>
        <w:t>Castillejo</w:t>
      </w:r>
      <w:proofErr w:type="spellEnd"/>
      <w:r w:rsidRPr="00151141">
        <w:rPr>
          <w:rFonts w:ascii="Book Antiqua" w:hAnsi="Book Antiqua"/>
        </w:rPr>
        <w:t xml:space="preserve"> G, Garrote JA, Sierra C, </w:t>
      </w:r>
      <w:proofErr w:type="spellStart"/>
      <w:r w:rsidRPr="00151141">
        <w:rPr>
          <w:rFonts w:ascii="Book Antiqua" w:hAnsi="Book Antiqua"/>
        </w:rPr>
        <w:t>Millán</w:t>
      </w:r>
      <w:proofErr w:type="spellEnd"/>
      <w:r w:rsidRPr="00151141">
        <w:rPr>
          <w:rFonts w:ascii="Book Antiqua" w:hAnsi="Book Antiqua"/>
        </w:rPr>
        <w:t xml:space="preserve"> A, Ribes-</w:t>
      </w:r>
      <w:proofErr w:type="spellStart"/>
      <w:r w:rsidRPr="00151141">
        <w:rPr>
          <w:rFonts w:ascii="Book Antiqua" w:hAnsi="Book Antiqua"/>
        </w:rPr>
        <w:t>Koninckx</w:t>
      </w:r>
      <w:proofErr w:type="spellEnd"/>
      <w:r w:rsidRPr="00151141">
        <w:rPr>
          <w:rFonts w:ascii="Book Antiqua" w:hAnsi="Book Antiqua"/>
        </w:rPr>
        <w:t xml:space="preserve"> C, Román E, Rodríguez-Herrera A, Díaz J, Silvester JA, Cebolla Á, Sousa C. Prospective longitudinal study: use of </w:t>
      </w:r>
      <w:proofErr w:type="spellStart"/>
      <w:r w:rsidRPr="00151141">
        <w:rPr>
          <w:rFonts w:ascii="Book Antiqua" w:hAnsi="Book Antiqua"/>
        </w:rPr>
        <w:t>faecal</w:t>
      </w:r>
      <w:proofErr w:type="spellEnd"/>
      <w:r w:rsidRPr="00151141">
        <w:rPr>
          <w:rFonts w:ascii="Book Antiqua" w:hAnsi="Book Antiqua"/>
        </w:rPr>
        <w:t xml:space="preserve"> gluten immunogenic peptides to </w:t>
      </w:r>
      <w:r w:rsidRPr="00151141">
        <w:rPr>
          <w:rFonts w:ascii="Book Antiqua" w:hAnsi="Book Antiqua"/>
        </w:rPr>
        <w:lastRenderedPageBreak/>
        <w:t xml:space="preserve">monitor children diagnosed with coeliac disease during transition to a gluten-free diet. </w:t>
      </w:r>
      <w:r w:rsidRPr="00151141">
        <w:rPr>
          <w:rFonts w:ascii="Book Antiqua" w:hAnsi="Book Antiqua"/>
          <w:i/>
          <w:iCs/>
        </w:rPr>
        <w:t xml:space="preserve">Aliment </w:t>
      </w:r>
      <w:proofErr w:type="spellStart"/>
      <w:r w:rsidRPr="00151141">
        <w:rPr>
          <w:rFonts w:ascii="Book Antiqua" w:hAnsi="Book Antiqua"/>
          <w:i/>
          <w:iCs/>
        </w:rPr>
        <w:t>Pharmacol</w:t>
      </w:r>
      <w:proofErr w:type="spellEnd"/>
      <w:r w:rsidRPr="00151141">
        <w:rPr>
          <w:rFonts w:ascii="Book Antiqua" w:hAnsi="Book Antiqua"/>
          <w:i/>
          <w:iCs/>
        </w:rPr>
        <w:t xml:space="preserve"> </w:t>
      </w:r>
      <w:proofErr w:type="spellStart"/>
      <w:r w:rsidRPr="00151141">
        <w:rPr>
          <w:rFonts w:ascii="Book Antiqua" w:hAnsi="Book Antiqua"/>
          <w:i/>
          <w:iCs/>
        </w:rPr>
        <w:t>Ther</w:t>
      </w:r>
      <w:proofErr w:type="spellEnd"/>
      <w:r w:rsidRPr="00151141">
        <w:rPr>
          <w:rFonts w:ascii="Book Antiqua" w:hAnsi="Book Antiqua"/>
        </w:rPr>
        <w:t xml:space="preserve"> 2019; </w:t>
      </w:r>
      <w:r w:rsidRPr="00151141">
        <w:rPr>
          <w:rFonts w:ascii="Book Antiqua" w:hAnsi="Book Antiqua"/>
          <w:b/>
          <w:bCs/>
        </w:rPr>
        <w:t>49</w:t>
      </w:r>
      <w:r w:rsidRPr="00151141">
        <w:rPr>
          <w:rFonts w:ascii="Book Antiqua" w:hAnsi="Book Antiqua"/>
        </w:rPr>
        <w:t>: 1484-1492 [PMID: 31074004 DOI: 10.1111/apt.15277]</w:t>
      </w:r>
    </w:p>
    <w:p w14:paraId="29212A2C"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41 </w:t>
      </w:r>
      <w:r w:rsidRPr="00151141">
        <w:rPr>
          <w:rFonts w:ascii="Book Antiqua" w:hAnsi="Book Antiqua"/>
          <w:b/>
          <w:bCs/>
        </w:rPr>
        <w:t>Costa AF</w:t>
      </w:r>
      <w:r w:rsidRPr="00151141">
        <w:rPr>
          <w:rFonts w:ascii="Book Antiqua" w:hAnsi="Book Antiqua"/>
        </w:rPr>
        <w:t xml:space="preserve">, </w:t>
      </w:r>
      <w:proofErr w:type="spellStart"/>
      <w:r w:rsidRPr="00151141">
        <w:rPr>
          <w:rFonts w:ascii="Book Antiqua" w:hAnsi="Book Antiqua"/>
        </w:rPr>
        <w:t>Sugai</w:t>
      </w:r>
      <w:proofErr w:type="spellEnd"/>
      <w:r w:rsidRPr="00151141">
        <w:rPr>
          <w:rFonts w:ascii="Book Antiqua" w:hAnsi="Book Antiqua"/>
        </w:rPr>
        <w:t xml:space="preserve"> E, </w:t>
      </w:r>
      <w:proofErr w:type="spellStart"/>
      <w:r w:rsidRPr="00151141">
        <w:rPr>
          <w:rFonts w:ascii="Book Antiqua" w:hAnsi="Book Antiqua"/>
        </w:rPr>
        <w:t>Temprano</w:t>
      </w:r>
      <w:proofErr w:type="spellEnd"/>
      <w:r w:rsidRPr="00151141">
        <w:rPr>
          <w:rFonts w:ascii="Book Antiqua" w:hAnsi="Book Antiqua"/>
        </w:rPr>
        <w:t xml:space="preserve"> MP, </w:t>
      </w:r>
      <w:proofErr w:type="spellStart"/>
      <w:r w:rsidRPr="00151141">
        <w:rPr>
          <w:rFonts w:ascii="Book Antiqua" w:hAnsi="Book Antiqua"/>
        </w:rPr>
        <w:t>Niveloni</w:t>
      </w:r>
      <w:proofErr w:type="spellEnd"/>
      <w:r w:rsidRPr="00151141">
        <w:rPr>
          <w:rFonts w:ascii="Book Antiqua" w:hAnsi="Book Antiqua"/>
        </w:rPr>
        <w:t xml:space="preserve"> SI, Vázquez H, Moreno ML, Domínguez-Flores MR, Muñoz-</w:t>
      </w:r>
      <w:proofErr w:type="spellStart"/>
      <w:r w:rsidRPr="00151141">
        <w:rPr>
          <w:rFonts w:ascii="Book Antiqua" w:hAnsi="Book Antiqua"/>
        </w:rPr>
        <w:t>Suano</w:t>
      </w:r>
      <w:proofErr w:type="spellEnd"/>
      <w:r w:rsidRPr="00151141">
        <w:rPr>
          <w:rFonts w:ascii="Book Antiqua" w:hAnsi="Book Antiqua"/>
        </w:rPr>
        <w:t xml:space="preserve"> A, </w:t>
      </w:r>
      <w:proofErr w:type="spellStart"/>
      <w:r w:rsidRPr="00151141">
        <w:rPr>
          <w:rFonts w:ascii="Book Antiqua" w:hAnsi="Book Antiqua"/>
        </w:rPr>
        <w:t>Smecuol</w:t>
      </w:r>
      <w:proofErr w:type="spellEnd"/>
      <w:r w:rsidRPr="00151141">
        <w:rPr>
          <w:rFonts w:ascii="Book Antiqua" w:hAnsi="Book Antiqua"/>
        </w:rPr>
        <w:t xml:space="preserve"> E, </w:t>
      </w:r>
      <w:proofErr w:type="spellStart"/>
      <w:r w:rsidRPr="00151141">
        <w:rPr>
          <w:rFonts w:ascii="Book Antiqua" w:hAnsi="Book Antiqua"/>
        </w:rPr>
        <w:t>Stefanolo</w:t>
      </w:r>
      <w:proofErr w:type="spellEnd"/>
      <w:r w:rsidRPr="00151141">
        <w:rPr>
          <w:rFonts w:ascii="Book Antiqua" w:hAnsi="Book Antiqua"/>
        </w:rPr>
        <w:t xml:space="preserve"> JP, González AF, </w:t>
      </w:r>
      <w:proofErr w:type="spellStart"/>
      <w:r w:rsidRPr="00151141">
        <w:rPr>
          <w:rFonts w:ascii="Book Antiqua" w:hAnsi="Book Antiqua"/>
        </w:rPr>
        <w:t>Cebolla</w:t>
      </w:r>
      <w:proofErr w:type="spellEnd"/>
      <w:r w:rsidRPr="00151141">
        <w:rPr>
          <w:rFonts w:ascii="Book Antiqua" w:hAnsi="Book Antiqua"/>
        </w:rPr>
        <w:t xml:space="preserve">-Ramirez A, </w:t>
      </w:r>
      <w:proofErr w:type="spellStart"/>
      <w:r w:rsidRPr="00151141">
        <w:rPr>
          <w:rFonts w:ascii="Book Antiqua" w:hAnsi="Book Antiqua"/>
        </w:rPr>
        <w:t>Mauriño</w:t>
      </w:r>
      <w:proofErr w:type="spellEnd"/>
      <w:r w:rsidRPr="00151141">
        <w:rPr>
          <w:rFonts w:ascii="Book Antiqua" w:hAnsi="Book Antiqua"/>
        </w:rPr>
        <w:t xml:space="preserve"> E, </w:t>
      </w:r>
      <w:proofErr w:type="spellStart"/>
      <w:r w:rsidRPr="00151141">
        <w:rPr>
          <w:rFonts w:ascii="Book Antiqua" w:hAnsi="Book Antiqua"/>
        </w:rPr>
        <w:t>Verdú</w:t>
      </w:r>
      <w:proofErr w:type="spellEnd"/>
      <w:r w:rsidRPr="00151141">
        <w:rPr>
          <w:rFonts w:ascii="Book Antiqua" w:hAnsi="Book Antiqua"/>
        </w:rPr>
        <w:t xml:space="preserve"> EF, Bai JC. Gluten immunogenic peptide excretion detects dietary transgressions in treated celiac disease patients. </w:t>
      </w:r>
      <w:r w:rsidRPr="00151141">
        <w:rPr>
          <w:rFonts w:ascii="Book Antiqua" w:hAnsi="Book Antiqua"/>
          <w:i/>
          <w:iCs/>
        </w:rPr>
        <w:t>World J Gastroenterol</w:t>
      </w:r>
      <w:r w:rsidRPr="00151141">
        <w:rPr>
          <w:rFonts w:ascii="Book Antiqua" w:hAnsi="Book Antiqua"/>
        </w:rPr>
        <w:t xml:space="preserve"> 2019; </w:t>
      </w:r>
      <w:r w:rsidRPr="00151141">
        <w:rPr>
          <w:rFonts w:ascii="Book Antiqua" w:hAnsi="Book Antiqua"/>
          <w:b/>
          <w:bCs/>
        </w:rPr>
        <w:t>25</w:t>
      </w:r>
      <w:r w:rsidRPr="00151141">
        <w:rPr>
          <w:rFonts w:ascii="Book Antiqua" w:hAnsi="Book Antiqua"/>
        </w:rPr>
        <w:t>: 1409-1420 [PMID: 30918433 DOI: 10.3748/wjg.v25.i11.1409]</w:t>
      </w:r>
    </w:p>
    <w:p w14:paraId="785BAB94"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42 </w:t>
      </w:r>
      <w:proofErr w:type="spellStart"/>
      <w:r w:rsidRPr="00151141">
        <w:rPr>
          <w:rFonts w:ascii="Book Antiqua" w:hAnsi="Book Antiqua"/>
          <w:b/>
          <w:bCs/>
        </w:rPr>
        <w:t>Porcelli</w:t>
      </w:r>
      <w:proofErr w:type="spellEnd"/>
      <w:r w:rsidRPr="00151141">
        <w:rPr>
          <w:rFonts w:ascii="Book Antiqua" w:hAnsi="Book Antiqua"/>
          <w:b/>
          <w:bCs/>
        </w:rPr>
        <w:t xml:space="preserve"> B</w:t>
      </w:r>
      <w:r w:rsidRPr="00151141">
        <w:rPr>
          <w:rFonts w:ascii="Book Antiqua" w:hAnsi="Book Antiqua"/>
        </w:rPr>
        <w:t xml:space="preserve">, Ferretti F, </w:t>
      </w:r>
      <w:proofErr w:type="spellStart"/>
      <w:r w:rsidRPr="00151141">
        <w:rPr>
          <w:rFonts w:ascii="Book Antiqua" w:hAnsi="Book Antiqua"/>
        </w:rPr>
        <w:t>Cinci</w:t>
      </w:r>
      <w:proofErr w:type="spellEnd"/>
      <w:r w:rsidRPr="00151141">
        <w:rPr>
          <w:rFonts w:ascii="Book Antiqua" w:hAnsi="Book Antiqua"/>
        </w:rPr>
        <w:t xml:space="preserve"> F, </w:t>
      </w:r>
      <w:proofErr w:type="spellStart"/>
      <w:r w:rsidRPr="00151141">
        <w:rPr>
          <w:rFonts w:ascii="Book Antiqua" w:hAnsi="Book Antiqua"/>
        </w:rPr>
        <w:t>Biviano</w:t>
      </w:r>
      <w:proofErr w:type="spellEnd"/>
      <w:r w:rsidRPr="00151141">
        <w:rPr>
          <w:rFonts w:ascii="Book Antiqua" w:hAnsi="Book Antiqua"/>
        </w:rPr>
        <w:t xml:space="preserve"> I, Santini A, Grande E, </w:t>
      </w:r>
      <w:proofErr w:type="spellStart"/>
      <w:r w:rsidRPr="00151141">
        <w:rPr>
          <w:rFonts w:ascii="Book Antiqua" w:hAnsi="Book Antiqua"/>
        </w:rPr>
        <w:t>Quagliarella</w:t>
      </w:r>
      <w:proofErr w:type="spellEnd"/>
      <w:r w:rsidRPr="00151141">
        <w:rPr>
          <w:rFonts w:ascii="Book Antiqua" w:hAnsi="Book Antiqua"/>
        </w:rPr>
        <w:t xml:space="preserve"> F, </w:t>
      </w:r>
      <w:proofErr w:type="spellStart"/>
      <w:r w:rsidRPr="00151141">
        <w:rPr>
          <w:rFonts w:ascii="Book Antiqua" w:hAnsi="Book Antiqua"/>
        </w:rPr>
        <w:t>Terzuoli</w:t>
      </w:r>
      <w:proofErr w:type="spellEnd"/>
      <w:r w:rsidRPr="00151141">
        <w:rPr>
          <w:rFonts w:ascii="Book Antiqua" w:hAnsi="Book Antiqua"/>
        </w:rPr>
        <w:t xml:space="preserve"> L, </w:t>
      </w:r>
      <w:proofErr w:type="spellStart"/>
      <w:r w:rsidRPr="00151141">
        <w:rPr>
          <w:rFonts w:ascii="Book Antiqua" w:hAnsi="Book Antiqua"/>
        </w:rPr>
        <w:t>Bacarelli</w:t>
      </w:r>
      <w:proofErr w:type="spellEnd"/>
      <w:r w:rsidRPr="00151141">
        <w:rPr>
          <w:rFonts w:ascii="Book Antiqua" w:hAnsi="Book Antiqua"/>
        </w:rPr>
        <w:t xml:space="preserve"> MR, </w:t>
      </w:r>
      <w:proofErr w:type="spellStart"/>
      <w:r w:rsidRPr="00151141">
        <w:rPr>
          <w:rFonts w:ascii="Book Antiqua" w:hAnsi="Book Antiqua"/>
        </w:rPr>
        <w:t>Bizzaro</w:t>
      </w:r>
      <w:proofErr w:type="spellEnd"/>
      <w:r w:rsidRPr="00151141">
        <w:rPr>
          <w:rFonts w:ascii="Book Antiqua" w:hAnsi="Book Antiqua"/>
        </w:rPr>
        <w:t xml:space="preserve"> N, </w:t>
      </w:r>
      <w:proofErr w:type="spellStart"/>
      <w:r w:rsidRPr="00151141">
        <w:rPr>
          <w:rFonts w:ascii="Book Antiqua" w:hAnsi="Book Antiqua"/>
        </w:rPr>
        <w:t>Vascotto</w:t>
      </w:r>
      <w:proofErr w:type="spellEnd"/>
      <w:r w:rsidRPr="00151141">
        <w:rPr>
          <w:rFonts w:ascii="Book Antiqua" w:hAnsi="Book Antiqua"/>
        </w:rPr>
        <w:t xml:space="preserve"> M, Marini M. Fecal gluten immunogenic peptides as indicators of dietary compliance in celiac patients. </w:t>
      </w:r>
      <w:r w:rsidRPr="00151141">
        <w:rPr>
          <w:rFonts w:ascii="Book Antiqua" w:hAnsi="Book Antiqua"/>
          <w:i/>
          <w:iCs/>
        </w:rPr>
        <w:t xml:space="preserve">Minerva Gastroenterol </w:t>
      </w:r>
      <w:proofErr w:type="spellStart"/>
      <w:r w:rsidRPr="00151141">
        <w:rPr>
          <w:rFonts w:ascii="Book Antiqua" w:hAnsi="Book Antiqua"/>
          <w:i/>
          <w:iCs/>
        </w:rPr>
        <w:t>Dietol</w:t>
      </w:r>
      <w:proofErr w:type="spellEnd"/>
      <w:r w:rsidRPr="00151141">
        <w:rPr>
          <w:rFonts w:ascii="Book Antiqua" w:hAnsi="Book Antiqua"/>
        </w:rPr>
        <w:t xml:space="preserve"> 2020; </w:t>
      </w:r>
      <w:r w:rsidRPr="00151141">
        <w:rPr>
          <w:rFonts w:ascii="Book Antiqua" w:hAnsi="Book Antiqua"/>
          <w:b/>
          <w:bCs/>
        </w:rPr>
        <w:t>66</w:t>
      </w:r>
      <w:r w:rsidRPr="00151141">
        <w:rPr>
          <w:rFonts w:ascii="Book Antiqua" w:hAnsi="Book Antiqua"/>
        </w:rPr>
        <w:t>: 201-207 [PMID: 32218420 DOI: 10.23736/S1121-421X.20.02662-8]</w:t>
      </w:r>
    </w:p>
    <w:p w14:paraId="6FD2458C"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43 </w:t>
      </w:r>
      <w:r w:rsidRPr="00151141">
        <w:rPr>
          <w:rFonts w:ascii="Book Antiqua" w:hAnsi="Book Antiqua"/>
          <w:b/>
          <w:bCs/>
        </w:rPr>
        <w:t>Roca M</w:t>
      </w:r>
      <w:r w:rsidRPr="00151141">
        <w:rPr>
          <w:rFonts w:ascii="Book Antiqua" w:hAnsi="Book Antiqua"/>
        </w:rPr>
        <w:t xml:space="preserve">, </w:t>
      </w:r>
      <w:proofErr w:type="spellStart"/>
      <w:r w:rsidRPr="00151141">
        <w:rPr>
          <w:rFonts w:ascii="Book Antiqua" w:hAnsi="Book Antiqua"/>
        </w:rPr>
        <w:t>Donat</w:t>
      </w:r>
      <w:proofErr w:type="spellEnd"/>
      <w:r w:rsidRPr="00151141">
        <w:rPr>
          <w:rFonts w:ascii="Book Antiqua" w:hAnsi="Book Antiqua"/>
        </w:rPr>
        <w:t xml:space="preserve"> E, </w:t>
      </w:r>
      <w:proofErr w:type="spellStart"/>
      <w:r w:rsidRPr="00151141">
        <w:rPr>
          <w:rFonts w:ascii="Book Antiqua" w:hAnsi="Book Antiqua"/>
        </w:rPr>
        <w:t>Masip</w:t>
      </w:r>
      <w:proofErr w:type="spellEnd"/>
      <w:r w:rsidRPr="00151141">
        <w:rPr>
          <w:rFonts w:ascii="Book Antiqua" w:hAnsi="Book Antiqua"/>
        </w:rPr>
        <w:t xml:space="preserve"> E, Crespo-Escobar P, Cañada-Martínez AJ, Polo B, Ribes-</w:t>
      </w:r>
      <w:proofErr w:type="spellStart"/>
      <w:r w:rsidRPr="00151141">
        <w:rPr>
          <w:rFonts w:ascii="Book Antiqua" w:hAnsi="Book Antiqua"/>
        </w:rPr>
        <w:t>Koninckx</w:t>
      </w:r>
      <w:proofErr w:type="spellEnd"/>
      <w:r w:rsidRPr="00151141">
        <w:rPr>
          <w:rFonts w:ascii="Book Antiqua" w:hAnsi="Book Antiqua"/>
        </w:rPr>
        <w:t xml:space="preserve"> C. Analysis of gluten immunogenic peptides in feces to assess adherence to the gluten-free diet in pediatric celiac patients. </w:t>
      </w:r>
      <w:r w:rsidRPr="00151141">
        <w:rPr>
          <w:rFonts w:ascii="Book Antiqua" w:hAnsi="Book Antiqua"/>
          <w:i/>
          <w:iCs/>
        </w:rPr>
        <w:t xml:space="preserve">Eur J </w:t>
      </w:r>
      <w:proofErr w:type="spellStart"/>
      <w:r w:rsidRPr="00151141">
        <w:rPr>
          <w:rFonts w:ascii="Book Antiqua" w:hAnsi="Book Antiqua"/>
          <w:i/>
          <w:iCs/>
        </w:rPr>
        <w:t>Nutr</w:t>
      </w:r>
      <w:proofErr w:type="spellEnd"/>
      <w:r w:rsidRPr="00151141">
        <w:rPr>
          <w:rFonts w:ascii="Book Antiqua" w:hAnsi="Book Antiqua"/>
        </w:rPr>
        <w:t xml:space="preserve"> 2021; </w:t>
      </w:r>
      <w:r w:rsidRPr="00151141">
        <w:rPr>
          <w:rFonts w:ascii="Book Antiqua" w:hAnsi="Book Antiqua"/>
          <w:b/>
          <w:bCs/>
        </w:rPr>
        <w:t>60</w:t>
      </w:r>
      <w:r w:rsidRPr="00151141">
        <w:rPr>
          <w:rFonts w:ascii="Book Antiqua" w:hAnsi="Book Antiqua"/>
        </w:rPr>
        <w:t>: 2131-2140 [PMID: 33057793 DOI: 10.1007/s00394-020-02404-z]</w:t>
      </w:r>
    </w:p>
    <w:p w14:paraId="70C30491" w14:textId="77777777" w:rsidR="002420DA" w:rsidRPr="00A54C4D" w:rsidRDefault="002420DA" w:rsidP="00F10C3B">
      <w:pPr>
        <w:spacing w:line="360" w:lineRule="auto"/>
        <w:jc w:val="both"/>
        <w:rPr>
          <w:rFonts w:ascii="Book Antiqua" w:hAnsi="Book Antiqua"/>
          <w:lang w:val="es-ES"/>
        </w:rPr>
      </w:pPr>
      <w:r w:rsidRPr="00151141">
        <w:rPr>
          <w:rFonts w:ascii="Book Antiqua" w:hAnsi="Book Antiqua"/>
        </w:rPr>
        <w:t xml:space="preserve">44 </w:t>
      </w:r>
      <w:proofErr w:type="spellStart"/>
      <w:r w:rsidRPr="00151141">
        <w:rPr>
          <w:rFonts w:ascii="Book Antiqua" w:hAnsi="Book Antiqua"/>
          <w:b/>
          <w:bCs/>
        </w:rPr>
        <w:t>Porcelli</w:t>
      </w:r>
      <w:proofErr w:type="spellEnd"/>
      <w:r w:rsidRPr="00151141">
        <w:rPr>
          <w:rFonts w:ascii="Book Antiqua" w:hAnsi="Book Antiqua"/>
          <w:b/>
          <w:bCs/>
        </w:rPr>
        <w:t xml:space="preserve"> B</w:t>
      </w:r>
      <w:r w:rsidRPr="00151141">
        <w:rPr>
          <w:rFonts w:ascii="Book Antiqua" w:hAnsi="Book Antiqua"/>
        </w:rPr>
        <w:t xml:space="preserve">, Ferretti F, </w:t>
      </w:r>
      <w:proofErr w:type="spellStart"/>
      <w:r w:rsidRPr="00151141">
        <w:rPr>
          <w:rFonts w:ascii="Book Antiqua" w:hAnsi="Book Antiqua"/>
        </w:rPr>
        <w:t>Biviano</w:t>
      </w:r>
      <w:proofErr w:type="spellEnd"/>
      <w:r w:rsidRPr="00151141">
        <w:rPr>
          <w:rFonts w:ascii="Book Antiqua" w:hAnsi="Book Antiqua"/>
        </w:rPr>
        <w:t xml:space="preserve"> I, Santini A, </w:t>
      </w:r>
      <w:proofErr w:type="spellStart"/>
      <w:r w:rsidRPr="00151141">
        <w:rPr>
          <w:rFonts w:ascii="Book Antiqua" w:hAnsi="Book Antiqua"/>
        </w:rPr>
        <w:t>Cinci</w:t>
      </w:r>
      <w:proofErr w:type="spellEnd"/>
      <w:r w:rsidRPr="00151141">
        <w:rPr>
          <w:rFonts w:ascii="Book Antiqua" w:hAnsi="Book Antiqua"/>
        </w:rPr>
        <w:t xml:space="preserve"> F, </w:t>
      </w:r>
      <w:proofErr w:type="spellStart"/>
      <w:r w:rsidRPr="00151141">
        <w:rPr>
          <w:rFonts w:ascii="Book Antiqua" w:hAnsi="Book Antiqua"/>
        </w:rPr>
        <w:t>Vascotto</w:t>
      </w:r>
      <w:proofErr w:type="spellEnd"/>
      <w:r w:rsidRPr="00151141">
        <w:rPr>
          <w:rFonts w:ascii="Book Antiqua" w:hAnsi="Book Antiqua"/>
        </w:rPr>
        <w:t xml:space="preserve"> M, Grande E, </w:t>
      </w:r>
      <w:proofErr w:type="spellStart"/>
      <w:r w:rsidRPr="00151141">
        <w:rPr>
          <w:rFonts w:ascii="Book Antiqua" w:hAnsi="Book Antiqua"/>
        </w:rPr>
        <w:t>Quagliarella</w:t>
      </w:r>
      <w:proofErr w:type="spellEnd"/>
      <w:r w:rsidRPr="00151141">
        <w:rPr>
          <w:rFonts w:ascii="Book Antiqua" w:hAnsi="Book Antiqua"/>
        </w:rPr>
        <w:t xml:space="preserve"> F, </w:t>
      </w:r>
      <w:proofErr w:type="spellStart"/>
      <w:r w:rsidRPr="00151141">
        <w:rPr>
          <w:rFonts w:ascii="Book Antiqua" w:hAnsi="Book Antiqua"/>
        </w:rPr>
        <w:t>Terzuoli</w:t>
      </w:r>
      <w:proofErr w:type="spellEnd"/>
      <w:r w:rsidRPr="00151141">
        <w:rPr>
          <w:rFonts w:ascii="Book Antiqua" w:hAnsi="Book Antiqua"/>
        </w:rPr>
        <w:t xml:space="preserve"> L, </w:t>
      </w:r>
      <w:proofErr w:type="spellStart"/>
      <w:r w:rsidRPr="00151141">
        <w:rPr>
          <w:rFonts w:ascii="Book Antiqua" w:hAnsi="Book Antiqua"/>
        </w:rPr>
        <w:t>Bizzaro</w:t>
      </w:r>
      <w:proofErr w:type="spellEnd"/>
      <w:r w:rsidRPr="00151141">
        <w:rPr>
          <w:rFonts w:ascii="Book Antiqua" w:hAnsi="Book Antiqua"/>
        </w:rPr>
        <w:t xml:space="preserve"> N, Marini M, </w:t>
      </w:r>
      <w:proofErr w:type="spellStart"/>
      <w:r w:rsidRPr="00151141">
        <w:rPr>
          <w:rFonts w:ascii="Book Antiqua" w:hAnsi="Book Antiqua"/>
        </w:rPr>
        <w:t>Rentini</w:t>
      </w:r>
      <w:proofErr w:type="spellEnd"/>
      <w:r w:rsidRPr="00151141">
        <w:rPr>
          <w:rFonts w:ascii="Book Antiqua" w:hAnsi="Book Antiqua"/>
        </w:rPr>
        <w:t xml:space="preserve"> S. Testing for fecal gluten immunogenic peptides: a useful tool to evaluate compliance with gluten-free diet by </w:t>
      </w:r>
      <w:proofErr w:type="spellStart"/>
      <w:r w:rsidRPr="00151141">
        <w:rPr>
          <w:rFonts w:ascii="Book Antiqua" w:hAnsi="Book Antiqua"/>
        </w:rPr>
        <w:t>celiacs</w:t>
      </w:r>
      <w:proofErr w:type="spellEnd"/>
      <w:r w:rsidRPr="00151141">
        <w:rPr>
          <w:rFonts w:ascii="Book Antiqua" w:hAnsi="Book Antiqua"/>
        </w:rPr>
        <w:t xml:space="preserve">. </w:t>
      </w:r>
      <w:r w:rsidR="00C3458C" w:rsidRPr="00C3458C">
        <w:rPr>
          <w:rFonts w:ascii="Book Antiqua" w:hAnsi="Book Antiqua"/>
          <w:i/>
          <w:iCs/>
          <w:lang w:val="es-ES"/>
        </w:rPr>
        <w:t>Ann Gastroenterol</w:t>
      </w:r>
      <w:r w:rsidR="00C3458C" w:rsidRPr="00C3458C">
        <w:rPr>
          <w:rFonts w:ascii="Book Antiqua" w:hAnsi="Book Antiqua"/>
          <w:lang w:val="es-ES"/>
        </w:rPr>
        <w:t xml:space="preserve"> 2020; </w:t>
      </w:r>
      <w:r w:rsidR="00C3458C" w:rsidRPr="00C3458C">
        <w:rPr>
          <w:rFonts w:ascii="Book Antiqua" w:hAnsi="Book Antiqua"/>
          <w:b/>
          <w:bCs/>
          <w:lang w:val="es-ES"/>
        </w:rPr>
        <w:t>33</w:t>
      </w:r>
      <w:r w:rsidR="00C3458C" w:rsidRPr="00C3458C">
        <w:rPr>
          <w:rFonts w:ascii="Book Antiqua" w:hAnsi="Book Antiqua"/>
          <w:lang w:val="es-ES"/>
        </w:rPr>
        <w:t>: 631-637 [PMID: 33162739 DOI: 10.20524/aog.2020.0530]</w:t>
      </w:r>
    </w:p>
    <w:p w14:paraId="0493207F" w14:textId="77777777" w:rsidR="002420DA" w:rsidRPr="00151141" w:rsidRDefault="002420DA" w:rsidP="00F10C3B">
      <w:pPr>
        <w:spacing w:line="360" w:lineRule="auto"/>
        <w:jc w:val="both"/>
        <w:rPr>
          <w:rFonts w:ascii="Book Antiqua" w:hAnsi="Book Antiqua"/>
        </w:rPr>
      </w:pPr>
      <w:r w:rsidRPr="006336DF">
        <w:rPr>
          <w:rFonts w:ascii="Book Antiqua" w:hAnsi="Book Antiqua"/>
          <w:lang w:val="es-ES"/>
        </w:rPr>
        <w:t xml:space="preserve">45 </w:t>
      </w:r>
      <w:r w:rsidRPr="006336DF">
        <w:rPr>
          <w:rFonts w:ascii="Book Antiqua" w:hAnsi="Book Antiqua"/>
          <w:b/>
          <w:bCs/>
          <w:lang w:val="es-ES"/>
        </w:rPr>
        <w:t>Laserna-Mendieta EJ</w:t>
      </w:r>
      <w:r w:rsidRPr="006336DF">
        <w:rPr>
          <w:rFonts w:ascii="Book Antiqua" w:hAnsi="Book Antiqua"/>
          <w:lang w:val="es-ES"/>
        </w:rPr>
        <w:t xml:space="preserve">, Casanova MJ, Arias Á, Arias-González L, Majano P, Mate LA, Gordillo-Vélez CH, Jiménez M, Angueira T, Tébar-Romero E, Carrillo-Ramos MJ, Tejero-Bustos MÁ, Gisbert JP, Santander C, Lucendo AJ. </w:t>
      </w:r>
      <w:r w:rsidRPr="00151141">
        <w:rPr>
          <w:rFonts w:ascii="Book Antiqua" w:hAnsi="Book Antiqua"/>
        </w:rPr>
        <w:t xml:space="preserve">Poor Sensitivity of Fecal Gluten Immunogenic Peptides and Serum Antibodies to Detect Duodenal Mucosal Damage in Celiac Disease Monitoring. </w:t>
      </w:r>
      <w:r w:rsidRPr="00151141">
        <w:rPr>
          <w:rFonts w:ascii="Book Antiqua" w:hAnsi="Book Antiqua"/>
          <w:i/>
          <w:iCs/>
        </w:rPr>
        <w:t>Nutrients</w:t>
      </w:r>
      <w:r w:rsidRPr="00151141">
        <w:rPr>
          <w:rFonts w:ascii="Book Antiqua" w:hAnsi="Book Antiqua"/>
        </w:rPr>
        <w:t xml:space="preserve"> 2020; </w:t>
      </w:r>
      <w:r w:rsidRPr="00151141">
        <w:rPr>
          <w:rFonts w:ascii="Book Antiqua" w:hAnsi="Book Antiqua"/>
          <w:b/>
          <w:bCs/>
        </w:rPr>
        <w:t>13</w:t>
      </w:r>
      <w:r w:rsidRPr="00151141">
        <w:rPr>
          <w:rFonts w:ascii="Book Antiqua" w:hAnsi="Book Antiqua"/>
        </w:rPr>
        <w:t xml:space="preserve"> [PMID: 33396719 DOI: 10.3390/nu13010098]</w:t>
      </w:r>
    </w:p>
    <w:p w14:paraId="1B525851" w14:textId="77777777" w:rsidR="002420DA" w:rsidRPr="00151141" w:rsidRDefault="002420DA" w:rsidP="00F10C3B">
      <w:pPr>
        <w:spacing w:line="360" w:lineRule="auto"/>
        <w:jc w:val="both"/>
        <w:rPr>
          <w:rFonts w:ascii="Book Antiqua" w:hAnsi="Book Antiqua"/>
        </w:rPr>
      </w:pPr>
      <w:r w:rsidRPr="006336DF">
        <w:rPr>
          <w:rFonts w:ascii="Book Antiqua" w:hAnsi="Book Antiqua"/>
          <w:lang w:val="es-ES"/>
        </w:rPr>
        <w:t xml:space="preserve">46 </w:t>
      </w:r>
      <w:r w:rsidRPr="006336DF">
        <w:rPr>
          <w:rFonts w:ascii="Book Antiqua" w:hAnsi="Book Antiqua"/>
          <w:b/>
          <w:bCs/>
          <w:lang w:val="es-ES"/>
        </w:rPr>
        <w:t>Fernández-Bañares F</w:t>
      </w:r>
      <w:r w:rsidRPr="006336DF">
        <w:rPr>
          <w:rFonts w:ascii="Book Antiqua" w:hAnsi="Book Antiqua"/>
          <w:lang w:val="es-ES"/>
        </w:rPr>
        <w:t xml:space="preserve">, Beltrán B, Salas A, Comino I, Ballester-Clau R, Ferrer C, Molina-Infante J, Rosinach M, Modolell I, Rodríguez-Moranta F, Arau B, Segura V, Fernández-Salazar L, Santolaria S, Esteve M, Sousa C; CADER study group. </w:t>
      </w:r>
      <w:r w:rsidRPr="00151141">
        <w:rPr>
          <w:rFonts w:ascii="Book Antiqua" w:hAnsi="Book Antiqua"/>
        </w:rPr>
        <w:t xml:space="preserve">Persistent </w:t>
      </w:r>
      <w:r w:rsidRPr="00151141">
        <w:rPr>
          <w:rFonts w:ascii="Book Antiqua" w:hAnsi="Book Antiqua"/>
        </w:rPr>
        <w:lastRenderedPageBreak/>
        <w:t xml:space="preserve">Villous Atrophy in De Novo Adult Patients </w:t>
      </w:r>
      <w:proofErr w:type="gramStart"/>
      <w:r w:rsidRPr="00151141">
        <w:rPr>
          <w:rFonts w:ascii="Book Antiqua" w:hAnsi="Book Antiqua"/>
        </w:rPr>
        <w:t>With</w:t>
      </w:r>
      <w:proofErr w:type="gramEnd"/>
      <w:r w:rsidRPr="00151141">
        <w:rPr>
          <w:rFonts w:ascii="Book Antiqua" w:hAnsi="Book Antiqua"/>
        </w:rPr>
        <w:t xml:space="preserve"> Celiac Disease and Strict Control of Gluten-Free Diet Adherence: A Multicenter Prospective Study (CADER Study). </w:t>
      </w:r>
      <w:r w:rsidRPr="00151141">
        <w:rPr>
          <w:rFonts w:ascii="Book Antiqua" w:hAnsi="Book Antiqua"/>
          <w:i/>
          <w:iCs/>
        </w:rPr>
        <w:t>Am J Gastroenterol</w:t>
      </w:r>
      <w:r w:rsidRPr="00151141">
        <w:rPr>
          <w:rFonts w:ascii="Book Antiqua" w:hAnsi="Book Antiqua"/>
        </w:rPr>
        <w:t xml:space="preserve"> 2021; </w:t>
      </w:r>
      <w:r w:rsidRPr="00151141">
        <w:rPr>
          <w:rFonts w:ascii="Book Antiqua" w:hAnsi="Book Antiqua"/>
          <w:b/>
          <w:bCs/>
        </w:rPr>
        <w:t>116</w:t>
      </w:r>
      <w:r w:rsidRPr="00151141">
        <w:rPr>
          <w:rFonts w:ascii="Book Antiqua" w:hAnsi="Book Antiqua"/>
        </w:rPr>
        <w:t>: 1036-1043 [PMID: 33491958 DOI: 10.14309/ajg.0000000000001139]</w:t>
      </w:r>
    </w:p>
    <w:p w14:paraId="4112ED66"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47 </w:t>
      </w:r>
      <w:proofErr w:type="spellStart"/>
      <w:r w:rsidRPr="00151141">
        <w:rPr>
          <w:rFonts w:ascii="Book Antiqua" w:hAnsi="Book Antiqua"/>
          <w:b/>
          <w:bCs/>
        </w:rPr>
        <w:t>Qiao</w:t>
      </w:r>
      <w:proofErr w:type="spellEnd"/>
      <w:r w:rsidRPr="00151141">
        <w:rPr>
          <w:rFonts w:ascii="Book Antiqua" w:hAnsi="Book Antiqua"/>
          <w:b/>
          <w:bCs/>
        </w:rPr>
        <w:t xml:space="preserve"> SW</w:t>
      </w:r>
      <w:r w:rsidRPr="00151141">
        <w:rPr>
          <w:rFonts w:ascii="Book Antiqua" w:hAnsi="Book Antiqua"/>
        </w:rPr>
        <w:t xml:space="preserve">, </w:t>
      </w:r>
      <w:proofErr w:type="spellStart"/>
      <w:r w:rsidRPr="00151141">
        <w:rPr>
          <w:rFonts w:ascii="Book Antiqua" w:hAnsi="Book Antiqua"/>
        </w:rPr>
        <w:t>Bergseng</w:t>
      </w:r>
      <w:proofErr w:type="spellEnd"/>
      <w:r w:rsidRPr="00151141">
        <w:rPr>
          <w:rFonts w:ascii="Book Antiqua" w:hAnsi="Book Antiqua"/>
        </w:rPr>
        <w:t xml:space="preserve"> E, </w:t>
      </w:r>
      <w:proofErr w:type="spellStart"/>
      <w:r w:rsidRPr="00151141">
        <w:rPr>
          <w:rFonts w:ascii="Book Antiqua" w:hAnsi="Book Antiqua"/>
        </w:rPr>
        <w:t>Molberg</w:t>
      </w:r>
      <w:proofErr w:type="spellEnd"/>
      <w:r w:rsidRPr="00151141">
        <w:rPr>
          <w:rFonts w:ascii="Book Antiqua" w:hAnsi="Book Antiqua"/>
        </w:rPr>
        <w:t xml:space="preserve"> O, Jung G, Fleckenstein B, </w:t>
      </w:r>
      <w:proofErr w:type="spellStart"/>
      <w:r w:rsidRPr="00151141">
        <w:rPr>
          <w:rFonts w:ascii="Book Antiqua" w:hAnsi="Book Antiqua"/>
        </w:rPr>
        <w:t>Sollid</w:t>
      </w:r>
      <w:proofErr w:type="spellEnd"/>
      <w:r w:rsidRPr="00151141">
        <w:rPr>
          <w:rFonts w:ascii="Book Antiqua" w:hAnsi="Book Antiqua"/>
        </w:rPr>
        <w:t xml:space="preserve"> LM. Refining the rules of gliadin T cell epitope binding to the disease-associated DQ2 molecule in celiac disease: importance of proline spacing and glutamine deamidation. </w:t>
      </w:r>
      <w:r w:rsidRPr="00151141">
        <w:rPr>
          <w:rFonts w:ascii="Book Antiqua" w:hAnsi="Book Antiqua"/>
          <w:i/>
          <w:iCs/>
        </w:rPr>
        <w:t>J Immunol</w:t>
      </w:r>
      <w:r w:rsidRPr="00151141">
        <w:rPr>
          <w:rFonts w:ascii="Book Antiqua" w:hAnsi="Book Antiqua"/>
        </w:rPr>
        <w:t xml:space="preserve"> 2005; </w:t>
      </w:r>
      <w:r w:rsidRPr="00151141">
        <w:rPr>
          <w:rFonts w:ascii="Book Antiqua" w:hAnsi="Book Antiqua"/>
          <w:b/>
          <w:bCs/>
        </w:rPr>
        <w:t>175</w:t>
      </w:r>
      <w:r w:rsidRPr="00151141">
        <w:rPr>
          <w:rFonts w:ascii="Book Antiqua" w:hAnsi="Book Antiqua"/>
        </w:rPr>
        <w:t>: 254-261 [PMID: 15972656 DOI: 10.4049/jimmunol.175.1.254]</w:t>
      </w:r>
    </w:p>
    <w:p w14:paraId="0E2A30F5"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48 </w:t>
      </w:r>
      <w:proofErr w:type="spellStart"/>
      <w:r w:rsidRPr="00151141">
        <w:rPr>
          <w:rFonts w:ascii="Book Antiqua" w:hAnsi="Book Antiqua"/>
          <w:b/>
          <w:bCs/>
        </w:rPr>
        <w:t>Camarca</w:t>
      </w:r>
      <w:proofErr w:type="spellEnd"/>
      <w:r w:rsidRPr="00151141">
        <w:rPr>
          <w:rFonts w:ascii="Book Antiqua" w:hAnsi="Book Antiqua"/>
          <w:b/>
          <w:bCs/>
        </w:rPr>
        <w:t xml:space="preserve"> A</w:t>
      </w:r>
      <w:r w:rsidRPr="00151141">
        <w:rPr>
          <w:rFonts w:ascii="Book Antiqua" w:hAnsi="Book Antiqua"/>
        </w:rPr>
        <w:t xml:space="preserve">, Anderson RP, </w:t>
      </w:r>
      <w:proofErr w:type="spellStart"/>
      <w:r w:rsidRPr="00151141">
        <w:rPr>
          <w:rFonts w:ascii="Book Antiqua" w:hAnsi="Book Antiqua"/>
        </w:rPr>
        <w:t>Mamone</w:t>
      </w:r>
      <w:proofErr w:type="spellEnd"/>
      <w:r w:rsidRPr="00151141">
        <w:rPr>
          <w:rFonts w:ascii="Book Antiqua" w:hAnsi="Book Antiqua"/>
        </w:rPr>
        <w:t xml:space="preserve"> G, Fierro O, </w:t>
      </w:r>
      <w:proofErr w:type="spellStart"/>
      <w:r w:rsidRPr="00151141">
        <w:rPr>
          <w:rFonts w:ascii="Book Antiqua" w:hAnsi="Book Antiqua"/>
        </w:rPr>
        <w:t>Facchiano</w:t>
      </w:r>
      <w:proofErr w:type="spellEnd"/>
      <w:r w:rsidRPr="00151141">
        <w:rPr>
          <w:rFonts w:ascii="Book Antiqua" w:hAnsi="Book Antiqua"/>
        </w:rPr>
        <w:t xml:space="preserve"> A, </w:t>
      </w:r>
      <w:proofErr w:type="spellStart"/>
      <w:r w:rsidRPr="00151141">
        <w:rPr>
          <w:rFonts w:ascii="Book Antiqua" w:hAnsi="Book Antiqua"/>
        </w:rPr>
        <w:t>Costantini</w:t>
      </w:r>
      <w:proofErr w:type="spellEnd"/>
      <w:r w:rsidRPr="00151141">
        <w:rPr>
          <w:rFonts w:ascii="Book Antiqua" w:hAnsi="Book Antiqua"/>
        </w:rPr>
        <w:t xml:space="preserve"> S, </w:t>
      </w:r>
      <w:proofErr w:type="spellStart"/>
      <w:r w:rsidRPr="00151141">
        <w:rPr>
          <w:rFonts w:ascii="Book Antiqua" w:hAnsi="Book Antiqua"/>
        </w:rPr>
        <w:t>Zanzi</w:t>
      </w:r>
      <w:proofErr w:type="spellEnd"/>
      <w:r w:rsidRPr="00151141">
        <w:rPr>
          <w:rFonts w:ascii="Book Antiqua" w:hAnsi="Book Antiqua"/>
        </w:rPr>
        <w:t xml:space="preserve"> D, Sidney J, </w:t>
      </w:r>
      <w:proofErr w:type="spellStart"/>
      <w:r w:rsidRPr="00151141">
        <w:rPr>
          <w:rFonts w:ascii="Book Antiqua" w:hAnsi="Book Antiqua"/>
        </w:rPr>
        <w:t>Auricchio</w:t>
      </w:r>
      <w:proofErr w:type="spellEnd"/>
      <w:r w:rsidRPr="00151141">
        <w:rPr>
          <w:rFonts w:ascii="Book Antiqua" w:hAnsi="Book Antiqua"/>
        </w:rPr>
        <w:t xml:space="preserve"> S, </w:t>
      </w:r>
      <w:proofErr w:type="spellStart"/>
      <w:r w:rsidRPr="00151141">
        <w:rPr>
          <w:rFonts w:ascii="Book Antiqua" w:hAnsi="Book Antiqua"/>
        </w:rPr>
        <w:t>Sette</w:t>
      </w:r>
      <w:proofErr w:type="spellEnd"/>
      <w:r w:rsidRPr="00151141">
        <w:rPr>
          <w:rFonts w:ascii="Book Antiqua" w:hAnsi="Book Antiqua"/>
        </w:rPr>
        <w:t xml:space="preserve"> A, </w:t>
      </w:r>
      <w:proofErr w:type="spellStart"/>
      <w:r w:rsidRPr="00151141">
        <w:rPr>
          <w:rFonts w:ascii="Book Antiqua" w:hAnsi="Book Antiqua"/>
        </w:rPr>
        <w:t>Troncone</w:t>
      </w:r>
      <w:proofErr w:type="spellEnd"/>
      <w:r w:rsidRPr="00151141">
        <w:rPr>
          <w:rFonts w:ascii="Book Antiqua" w:hAnsi="Book Antiqua"/>
        </w:rPr>
        <w:t xml:space="preserve"> R, </w:t>
      </w:r>
      <w:proofErr w:type="spellStart"/>
      <w:r w:rsidRPr="00151141">
        <w:rPr>
          <w:rFonts w:ascii="Book Antiqua" w:hAnsi="Book Antiqua"/>
        </w:rPr>
        <w:t>Gianfrani</w:t>
      </w:r>
      <w:proofErr w:type="spellEnd"/>
      <w:r w:rsidRPr="00151141">
        <w:rPr>
          <w:rFonts w:ascii="Book Antiqua" w:hAnsi="Book Antiqua"/>
        </w:rPr>
        <w:t xml:space="preserve"> C. Intestinal T cell responses to gluten peptides are largely heterogeneous: implications for a peptide-based therapy in celiac disease. </w:t>
      </w:r>
      <w:r w:rsidRPr="00151141">
        <w:rPr>
          <w:rFonts w:ascii="Book Antiqua" w:hAnsi="Book Antiqua"/>
          <w:i/>
          <w:iCs/>
        </w:rPr>
        <w:t>J Immunol</w:t>
      </w:r>
      <w:r w:rsidRPr="00151141">
        <w:rPr>
          <w:rFonts w:ascii="Book Antiqua" w:hAnsi="Book Antiqua"/>
        </w:rPr>
        <w:t xml:space="preserve"> 2009; </w:t>
      </w:r>
      <w:r w:rsidRPr="00151141">
        <w:rPr>
          <w:rFonts w:ascii="Book Antiqua" w:hAnsi="Book Antiqua"/>
          <w:b/>
          <w:bCs/>
        </w:rPr>
        <w:t>182</w:t>
      </w:r>
      <w:r w:rsidRPr="00151141">
        <w:rPr>
          <w:rFonts w:ascii="Book Antiqua" w:hAnsi="Book Antiqua"/>
        </w:rPr>
        <w:t>: 4158-4166 [PMID: 19299713 DOI: 10.4049/jimmunol.0803181]</w:t>
      </w:r>
    </w:p>
    <w:p w14:paraId="03A4E4C0" w14:textId="5B45D97A" w:rsidR="002420DA" w:rsidRPr="00151141" w:rsidRDefault="002420DA" w:rsidP="00F10C3B">
      <w:pPr>
        <w:spacing w:line="360" w:lineRule="auto"/>
        <w:jc w:val="both"/>
        <w:rPr>
          <w:rFonts w:ascii="Book Antiqua" w:hAnsi="Book Antiqua"/>
        </w:rPr>
      </w:pPr>
      <w:r w:rsidRPr="00151141">
        <w:rPr>
          <w:rFonts w:ascii="Book Antiqua" w:hAnsi="Book Antiqua"/>
        </w:rPr>
        <w:t xml:space="preserve">49 </w:t>
      </w:r>
      <w:r w:rsidRPr="00151141">
        <w:rPr>
          <w:rFonts w:ascii="Book Antiqua" w:hAnsi="Book Antiqua"/>
          <w:b/>
          <w:bCs/>
        </w:rPr>
        <w:t>Skerritt JH,</w:t>
      </w:r>
      <w:r w:rsidRPr="00151141">
        <w:rPr>
          <w:rFonts w:ascii="Book Antiqua" w:hAnsi="Book Antiqua"/>
        </w:rPr>
        <w:t xml:space="preserve"> Hill AS. Monoclonal antibody sandwich enzyme immunoassays for determination of gluten in foods.</w:t>
      </w:r>
      <w:r w:rsidRPr="00151141">
        <w:rPr>
          <w:rFonts w:ascii="Book Antiqua" w:hAnsi="Book Antiqua"/>
          <w:i/>
        </w:rPr>
        <w:t xml:space="preserve"> J Agric Food Chem </w:t>
      </w:r>
      <w:r w:rsidRPr="00151141">
        <w:rPr>
          <w:rFonts w:ascii="Book Antiqua" w:hAnsi="Book Antiqua"/>
        </w:rPr>
        <w:t xml:space="preserve">1991; </w:t>
      </w:r>
      <w:r w:rsidRPr="00151141">
        <w:rPr>
          <w:rFonts w:ascii="Book Antiqua" w:hAnsi="Book Antiqua"/>
          <w:b/>
        </w:rPr>
        <w:t>38</w:t>
      </w:r>
      <w:r w:rsidRPr="00151141">
        <w:rPr>
          <w:rFonts w:ascii="Book Antiqua" w:hAnsi="Book Antiqua"/>
        </w:rPr>
        <w:t>: 1771</w:t>
      </w:r>
      <w:r w:rsidR="00FE3E31">
        <w:rPr>
          <w:rFonts w:ascii="Book Antiqua" w:hAnsi="Book Antiqua"/>
        </w:rPr>
        <w:t>-</w:t>
      </w:r>
      <w:r w:rsidRPr="00151141">
        <w:rPr>
          <w:rFonts w:ascii="Book Antiqua" w:hAnsi="Book Antiqua"/>
        </w:rPr>
        <w:t>1778 [DOI: 10.1021/jf00098a029]</w:t>
      </w:r>
    </w:p>
    <w:p w14:paraId="67E840A3"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50 </w:t>
      </w:r>
      <w:r w:rsidRPr="00151141">
        <w:rPr>
          <w:rFonts w:ascii="Book Antiqua" w:hAnsi="Book Antiqua"/>
          <w:b/>
          <w:bCs/>
        </w:rPr>
        <w:t>Valdés I</w:t>
      </w:r>
      <w:r w:rsidRPr="00151141">
        <w:rPr>
          <w:rFonts w:ascii="Book Antiqua" w:hAnsi="Book Antiqua"/>
        </w:rPr>
        <w:t xml:space="preserve">, García E, </w:t>
      </w:r>
      <w:proofErr w:type="spellStart"/>
      <w:r w:rsidRPr="00151141">
        <w:rPr>
          <w:rFonts w:ascii="Book Antiqua" w:hAnsi="Book Antiqua"/>
        </w:rPr>
        <w:t>Llorente</w:t>
      </w:r>
      <w:proofErr w:type="spellEnd"/>
      <w:r w:rsidRPr="00151141">
        <w:rPr>
          <w:rFonts w:ascii="Book Antiqua" w:hAnsi="Book Antiqua"/>
        </w:rPr>
        <w:t xml:space="preserve"> M, Méndez E. Innovative approach to low-level gluten determination in foods using a novel sandwich enzyme-linked immunosorbent assay protocol. </w:t>
      </w:r>
      <w:r w:rsidRPr="00151141">
        <w:rPr>
          <w:rFonts w:ascii="Book Antiqua" w:hAnsi="Book Antiqua"/>
          <w:i/>
          <w:iCs/>
        </w:rPr>
        <w:t>Eur J Gastroenterol Hepatol</w:t>
      </w:r>
      <w:r w:rsidRPr="00151141">
        <w:rPr>
          <w:rFonts w:ascii="Book Antiqua" w:hAnsi="Book Antiqua"/>
        </w:rPr>
        <w:t xml:space="preserve"> 2003; </w:t>
      </w:r>
      <w:r w:rsidRPr="00151141">
        <w:rPr>
          <w:rFonts w:ascii="Book Antiqua" w:hAnsi="Book Antiqua"/>
          <w:b/>
          <w:bCs/>
        </w:rPr>
        <w:t>15</w:t>
      </w:r>
      <w:r w:rsidRPr="00151141">
        <w:rPr>
          <w:rFonts w:ascii="Book Antiqua" w:hAnsi="Book Antiqua"/>
        </w:rPr>
        <w:t>: 465-474 [PMID: 12702901 DOI: 10.1097/01.meg.0000059119.41030.df]</w:t>
      </w:r>
    </w:p>
    <w:p w14:paraId="54049178"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51 </w:t>
      </w:r>
      <w:r w:rsidRPr="00151141">
        <w:rPr>
          <w:rFonts w:ascii="Book Antiqua" w:hAnsi="Book Antiqua"/>
          <w:b/>
          <w:bCs/>
        </w:rPr>
        <w:t xml:space="preserve">van den </w:t>
      </w:r>
      <w:proofErr w:type="spellStart"/>
      <w:r w:rsidRPr="00151141">
        <w:rPr>
          <w:rFonts w:ascii="Book Antiqua" w:hAnsi="Book Antiqua"/>
          <w:b/>
          <w:bCs/>
        </w:rPr>
        <w:t>Broeck</w:t>
      </w:r>
      <w:proofErr w:type="spellEnd"/>
      <w:r w:rsidRPr="00151141">
        <w:rPr>
          <w:rFonts w:ascii="Book Antiqua" w:hAnsi="Book Antiqua"/>
          <w:b/>
          <w:bCs/>
        </w:rPr>
        <w:t xml:space="preserve"> HC</w:t>
      </w:r>
      <w:r w:rsidRPr="00151141">
        <w:rPr>
          <w:rFonts w:ascii="Book Antiqua" w:hAnsi="Book Antiqua"/>
        </w:rPr>
        <w:t xml:space="preserve">, de Jong HC, </w:t>
      </w:r>
      <w:proofErr w:type="spellStart"/>
      <w:r w:rsidRPr="00151141">
        <w:rPr>
          <w:rFonts w:ascii="Book Antiqua" w:hAnsi="Book Antiqua"/>
        </w:rPr>
        <w:t>Salentijn</w:t>
      </w:r>
      <w:proofErr w:type="spellEnd"/>
      <w:r w:rsidRPr="00151141">
        <w:rPr>
          <w:rFonts w:ascii="Book Antiqua" w:hAnsi="Book Antiqua"/>
        </w:rPr>
        <w:t xml:space="preserve"> EM, </w:t>
      </w:r>
      <w:proofErr w:type="spellStart"/>
      <w:r w:rsidRPr="00151141">
        <w:rPr>
          <w:rFonts w:ascii="Book Antiqua" w:hAnsi="Book Antiqua"/>
        </w:rPr>
        <w:t>Dekking</w:t>
      </w:r>
      <w:proofErr w:type="spellEnd"/>
      <w:r w:rsidRPr="00151141">
        <w:rPr>
          <w:rFonts w:ascii="Book Antiqua" w:hAnsi="Book Antiqua"/>
        </w:rPr>
        <w:t xml:space="preserve"> L, Bosch D, Hamer RJ, </w:t>
      </w:r>
      <w:proofErr w:type="spellStart"/>
      <w:r w:rsidRPr="00151141">
        <w:rPr>
          <w:rFonts w:ascii="Book Antiqua" w:hAnsi="Book Antiqua"/>
        </w:rPr>
        <w:t>Gilissen</w:t>
      </w:r>
      <w:proofErr w:type="spellEnd"/>
      <w:r w:rsidRPr="00151141">
        <w:rPr>
          <w:rFonts w:ascii="Book Antiqua" w:hAnsi="Book Antiqua"/>
        </w:rPr>
        <w:t xml:space="preserve"> LJ, van der Meer IM, Smulders MJ. Presence of celiac disease epitopes in modern and old </w:t>
      </w:r>
      <w:proofErr w:type="spellStart"/>
      <w:r w:rsidRPr="00151141">
        <w:rPr>
          <w:rFonts w:ascii="Book Antiqua" w:hAnsi="Book Antiqua"/>
        </w:rPr>
        <w:t>hexaploid</w:t>
      </w:r>
      <w:proofErr w:type="spellEnd"/>
      <w:r w:rsidRPr="00151141">
        <w:rPr>
          <w:rFonts w:ascii="Book Antiqua" w:hAnsi="Book Antiqua"/>
        </w:rPr>
        <w:t xml:space="preserve"> wheat varieties: wheat breeding may have contributed to increased prevalence of celiac disease. </w:t>
      </w:r>
      <w:proofErr w:type="spellStart"/>
      <w:r w:rsidRPr="00151141">
        <w:rPr>
          <w:rFonts w:ascii="Book Antiqua" w:hAnsi="Book Antiqua"/>
          <w:i/>
          <w:iCs/>
        </w:rPr>
        <w:t>Theor</w:t>
      </w:r>
      <w:proofErr w:type="spellEnd"/>
      <w:r w:rsidRPr="00151141">
        <w:rPr>
          <w:rFonts w:ascii="Book Antiqua" w:hAnsi="Book Antiqua"/>
          <w:i/>
          <w:iCs/>
        </w:rPr>
        <w:t xml:space="preserve"> Appl Genet</w:t>
      </w:r>
      <w:r w:rsidRPr="00151141">
        <w:rPr>
          <w:rFonts w:ascii="Book Antiqua" w:hAnsi="Book Antiqua"/>
        </w:rPr>
        <w:t xml:space="preserve"> 2010; </w:t>
      </w:r>
      <w:r w:rsidRPr="00151141">
        <w:rPr>
          <w:rFonts w:ascii="Book Antiqua" w:hAnsi="Book Antiqua"/>
          <w:b/>
          <w:bCs/>
        </w:rPr>
        <w:t>121</w:t>
      </w:r>
      <w:r w:rsidRPr="00151141">
        <w:rPr>
          <w:rFonts w:ascii="Book Antiqua" w:hAnsi="Book Antiqua"/>
        </w:rPr>
        <w:t>: 1527-1539 [PMID: 20664999 DOI: 10.1007/s00122-010-1408-4]</w:t>
      </w:r>
    </w:p>
    <w:p w14:paraId="4E4D83C8"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52 </w:t>
      </w:r>
      <w:r w:rsidRPr="00151141">
        <w:rPr>
          <w:rFonts w:ascii="Book Antiqua" w:hAnsi="Book Antiqua"/>
          <w:b/>
          <w:bCs/>
        </w:rPr>
        <w:t>Zhang J</w:t>
      </w:r>
      <w:r w:rsidRPr="00151141">
        <w:rPr>
          <w:rFonts w:ascii="Book Antiqua" w:hAnsi="Book Antiqua"/>
        </w:rPr>
        <w:t xml:space="preserve">, </w:t>
      </w:r>
      <w:proofErr w:type="spellStart"/>
      <w:r w:rsidRPr="00151141">
        <w:rPr>
          <w:rFonts w:ascii="Book Antiqua" w:hAnsi="Book Antiqua"/>
        </w:rPr>
        <w:t>Portela</w:t>
      </w:r>
      <w:proofErr w:type="spellEnd"/>
      <w:r w:rsidRPr="00151141">
        <w:rPr>
          <w:rFonts w:ascii="Book Antiqua" w:hAnsi="Book Antiqua"/>
        </w:rPr>
        <w:t xml:space="preserve"> SB, </w:t>
      </w:r>
      <w:proofErr w:type="spellStart"/>
      <w:r w:rsidRPr="00151141">
        <w:rPr>
          <w:rFonts w:ascii="Book Antiqua" w:hAnsi="Book Antiqua"/>
        </w:rPr>
        <w:t>Horrell</w:t>
      </w:r>
      <w:proofErr w:type="spellEnd"/>
      <w:r w:rsidRPr="00151141">
        <w:rPr>
          <w:rFonts w:ascii="Book Antiqua" w:hAnsi="Book Antiqua"/>
        </w:rPr>
        <w:t xml:space="preserve"> JB, Leung A, </w:t>
      </w:r>
      <w:proofErr w:type="spellStart"/>
      <w:r w:rsidRPr="00151141">
        <w:rPr>
          <w:rFonts w:ascii="Book Antiqua" w:hAnsi="Book Antiqua"/>
        </w:rPr>
        <w:t>Weitmann</w:t>
      </w:r>
      <w:proofErr w:type="spellEnd"/>
      <w:r w:rsidRPr="00151141">
        <w:rPr>
          <w:rFonts w:ascii="Book Antiqua" w:hAnsi="Book Antiqua"/>
        </w:rPr>
        <w:t xml:space="preserve"> DR, </w:t>
      </w:r>
      <w:proofErr w:type="spellStart"/>
      <w:r w:rsidRPr="00151141">
        <w:rPr>
          <w:rFonts w:ascii="Book Antiqua" w:hAnsi="Book Antiqua"/>
        </w:rPr>
        <w:t>Artiuch</w:t>
      </w:r>
      <w:proofErr w:type="spellEnd"/>
      <w:r w:rsidRPr="00151141">
        <w:rPr>
          <w:rFonts w:ascii="Book Antiqua" w:hAnsi="Book Antiqua"/>
        </w:rPr>
        <w:t xml:space="preserve"> JB, Wilson SM, Cipriani M, </w:t>
      </w:r>
      <w:proofErr w:type="spellStart"/>
      <w:r w:rsidRPr="00151141">
        <w:rPr>
          <w:rFonts w:ascii="Book Antiqua" w:hAnsi="Book Antiqua"/>
        </w:rPr>
        <w:t>Slakey</w:t>
      </w:r>
      <w:proofErr w:type="spellEnd"/>
      <w:r w:rsidRPr="00151141">
        <w:rPr>
          <w:rFonts w:ascii="Book Antiqua" w:hAnsi="Book Antiqua"/>
        </w:rPr>
        <w:t xml:space="preserve"> LK, Burt AM, Dias Lourenco FJ, </w:t>
      </w:r>
      <w:proofErr w:type="spellStart"/>
      <w:r w:rsidRPr="00151141">
        <w:rPr>
          <w:rFonts w:ascii="Book Antiqua" w:hAnsi="Book Antiqua"/>
        </w:rPr>
        <w:t>Spinali</w:t>
      </w:r>
      <w:proofErr w:type="spellEnd"/>
      <w:r w:rsidRPr="00151141">
        <w:rPr>
          <w:rFonts w:ascii="Book Antiqua" w:hAnsi="Book Antiqua"/>
        </w:rPr>
        <w:t xml:space="preserve"> MS, Ward JR, </w:t>
      </w:r>
      <w:proofErr w:type="spellStart"/>
      <w:r w:rsidRPr="00151141">
        <w:rPr>
          <w:rFonts w:ascii="Book Antiqua" w:hAnsi="Book Antiqua"/>
        </w:rPr>
        <w:t>Seit-Nebi</w:t>
      </w:r>
      <w:proofErr w:type="spellEnd"/>
      <w:r w:rsidRPr="00151141">
        <w:rPr>
          <w:rFonts w:ascii="Book Antiqua" w:hAnsi="Book Antiqua"/>
        </w:rPr>
        <w:t xml:space="preserve"> A, </w:t>
      </w:r>
      <w:proofErr w:type="spellStart"/>
      <w:r w:rsidRPr="00151141">
        <w:rPr>
          <w:rFonts w:ascii="Book Antiqua" w:hAnsi="Book Antiqua"/>
        </w:rPr>
        <w:t>Sundvor</w:t>
      </w:r>
      <w:proofErr w:type="spellEnd"/>
      <w:r w:rsidRPr="00151141">
        <w:rPr>
          <w:rFonts w:ascii="Book Antiqua" w:hAnsi="Book Antiqua"/>
        </w:rPr>
        <w:t xml:space="preserve"> SE, Yates SN. An integrated, accurate, rapid, and economical handheld consumer gluten detector. </w:t>
      </w:r>
      <w:r w:rsidRPr="00151141">
        <w:rPr>
          <w:rFonts w:ascii="Book Antiqua" w:hAnsi="Book Antiqua"/>
          <w:i/>
          <w:iCs/>
        </w:rPr>
        <w:t>Food Chem</w:t>
      </w:r>
      <w:r w:rsidRPr="00151141">
        <w:rPr>
          <w:rFonts w:ascii="Book Antiqua" w:hAnsi="Book Antiqua"/>
        </w:rPr>
        <w:t xml:space="preserve"> 2019; </w:t>
      </w:r>
      <w:r w:rsidRPr="00151141">
        <w:rPr>
          <w:rFonts w:ascii="Book Antiqua" w:hAnsi="Book Antiqua"/>
          <w:b/>
          <w:bCs/>
        </w:rPr>
        <w:t>275</w:t>
      </w:r>
      <w:r w:rsidRPr="00151141">
        <w:rPr>
          <w:rFonts w:ascii="Book Antiqua" w:hAnsi="Book Antiqua"/>
        </w:rPr>
        <w:t>: 446-456 [PMID: 30724219 DOI: 10.1016/j.foodchem.2018.08.117]</w:t>
      </w:r>
    </w:p>
    <w:p w14:paraId="0EC56BAC" w14:textId="77777777" w:rsidR="002420DA" w:rsidRPr="00151141" w:rsidRDefault="002420DA" w:rsidP="00F10C3B">
      <w:pPr>
        <w:spacing w:line="360" w:lineRule="auto"/>
        <w:jc w:val="both"/>
        <w:rPr>
          <w:rFonts w:ascii="Book Antiqua" w:hAnsi="Book Antiqua"/>
        </w:rPr>
      </w:pPr>
      <w:r w:rsidRPr="00151141">
        <w:rPr>
          <w:rFonts w:ascii="Book Antiqua" w:hAnsi="Book Antiqua"/>
        </w:rPr>
        <w:lastRenderedPageBreak/>
        <w:t xml:space="preserve">53 </w:t>
      </w:r>
      <w:proofErr w:type="spellStart"/>
      <w:r w:rsidRPr="00151141">
        <w:rPr>
          <w:rFonts w:ascii="Book Antiqua" w:hAnsi="Book Antiqua"/>
          <w:b/>
          <w:bCs/>
        </w:rPr>
        <w:t>Chatziharalambous</w:t>
      </w:r>
      <w:proofErr w:type="spellEnd"/>
      <w:r w:rsidRPr="00151141">
        <w:rPr>
          <w:rFonts w:ascii="Book Antiqua" w:hAnsi="Book Antiqua"/>
          <w:b/>
          <w:bCs/>
        </w:rPr>
        <w:t xml:space="preserve"> D</w:t>
      </w:r>
      <w:r w:rsidRPr="00151141">
        <w:rPr>
          <w:rFonts w:ascii="Book Antiqua" w:hAnsi="Book Antiqua"/>
        </w:rPr>
        <w:t xml:space="preserve">, </w:t>
      </w:r>
      <w:proofErr w:type="spellStart"/>
      <w:r w:rsidRPr="00151141">
        <w:rPr>
          <w:rFonts w:ascii="Book Antiqua" w:hAnsi="Book Antiqua"/>
        </w:rPr>
        <w:t>Lygirou</w:t>
      </w:r>
      <w:proofErr w:type="spellEnd"/>
      <w:r w:rsidRPr="00151141">
        <w:rPr>
          <w:rFonts w:ascii="Book Antiqua" w:hAnsi="Book Antiqua"/>
        </w:rPr>
        <w:t xml:space="preserve"> V, </w:t>
      </w:r>
      <w:proofErr w:type="spellStart"/>
      <w:r w:rsidRPr="00151141">
        <w:rPr>
          <w:rFonts w:ascii="Book Antiqua" w:hAnsi="Book Antiqua"/>
        </w:rPr>
        <w:t>Latosinska</w:t>
      </w:r>
      <w:proofErr w:type="spellEnd"/>
      <w:r w:rsidRPr="00151141">
        <w:rPr>
          <w:rFonts w:ascii="Book Antiqua" w:hAnsi="Book Antiqua"/>
        </w:rPr>
        <w:t xml:space="preserve"> A, </w:t>
      </w:r>
      <w:proofErr w:type="spellStart"/>
      <w:r w:rsidRPr="00151141">
        <w:rPr>
          <w:rFonts w:ascii="Book Antiqua" w:hAnsi="Book Antiqua"/>
        </w:rPr>
        <w:t>Stravodimos</w:t>
      </w:r>
      <w:proofErr w:type="spellEnd"/>
      <w:r w:rsidRPr="00151141">
        <w:rPr>
          <w:rFonts w:ascii="Book Antiqua" w:hAnsi="Book Antiqua"/>
        </w:rPr>
        <w:t xml:space="preserve"> K, </w:t>
      </w:r>
      <w:proofErr w:type="spellStart"/>
      <w:r w:rsidRPr="00151141">
        <w:rPr>
          <w:rFonts w:ascii="Book Antiqua" w:hAnsi="Book Antiqua"/>
        </w:rPr>
        <w:t>Vlahou</w:t>
      </w:r>
      <w:proofErr w:type="spellEnd"/>
      <w:r w:rsidRPr="00151141">
        <w:rPr>
          <w:rFonts w:ascii="Book Antiqua" w:hAnsi="Book Antiqua"/>
        </w:rPr>
        <w:t xml:space="preserve"> A, Jankowski V, </w:t>
      </w:r>
      <w:proofErr w:type="spellStart"/>
      <w:r w:rsidRPr="00151141">
        <w:rPr>
          <w:rFonts w:ascii="Book Antiqua" w:hAnsi="Book Antiqua"/>
        </w:rPr>
        <w:t>Zoidakis</w:t>
      </w:r>
      <w:proofErr w:type="spellEnd"/>
      <w:r w:rsidRPr="00151141">
        <w:rPr>
          <w:rFonts w:ascii="Book Antiqua" w:hAnsi="Book Antiqua"/>
        </w:rPr>
        <w:t xml:space="preserve"> J. Analytical Performance of ELISA Assays in Urine: One More Bottleneck towards Biomarker Validation and Clinical Implementation. </w:t>
      </w:r>
      <w:proofErr w:type="spellStart"/>
      <w:r w:rsidRPr="00151141">
        <w:rPr>
          <w:rFonts w:ascii="Book Antiqua" w:hAnsi="Book Antiqua"/>
          <w:i/>
          <w:iCs/>
        </w:rPr>
        <w:t>PLoS</w:t>
      </w:r>
      <w:proofErr w:type="spellEnd"/>
      <w:r w:rsidRPr="00151141">
        <w:rPr>
          <w:rFonts w:ascii="Book Antiqua" w:hAnsi="Book Antiqua"/>
          <w:i/>
          <w:iCs/>
        </w:rPr>
        <w:t xml:space="preserve"> One</w:t>
      </w:r>
      <w:r w:rsidRPr="00151141">
        <w:rPr>
          <w:rFonts w:ascii="Book Antiqua" w:hAnsi="Book Antiqua"/>
        </w:rPr>
        <w:t xml:space="preserve"> 2016; </w:t>
      </w:r>
      <w:r w:rsidRPr="00151141">
        <w:rPr>
          <w:rFonts w:ascii="Book Antiqua" w:hAnsi="Book Antiqua"/>
          <w:b/>
          <w:bCs/>
        </w:rPr>
        <w:t>11</w:t>
      </w:r>
      <w:r w:rsidRPr="00151141">
        <w:rPr>
          <w:rFonts w:ascii="Book Antiqua" w:hAnsi="Book Antiqua"/>
        </w:rPr>
        <w:t>: e0149471 [PMID: 26889680 DOI: 10.1371/journal.pone.0149471]</w:t>
      </w:r>
    </w:p>
    <w:p w14:paraId="46C05B0F"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54 </w:t>
      </w:r>
      <w:r w:rsidRPr="00151141">
        <w:rPr>
          <w:rFonts w:ascii="Book Antiqua" w:hAnsi="Book Antiqua"/>
          <w:b/>
          <w:bCs/>
        </w:rPr>
        <w:t>Adachi J</w:t>
      </w:r>
      <w:r w:rsidRPr="00151141">
        <w:rPr>
          <w:rFonts w:ascii="Book Antiqua" w:hAnsi="Book Antiqua"/>
        </w:rPr>
        <w:t xml:space="preserve">, Kumar C, Zhang Y, Olsen JV, Mann M. The human urinary proteome contains more than 1500 proteins, including a large proportion of membrane proteins. </w:t>
      </w:r>
      <w:r w:rsidRPr="00151141">
        <w:rPr>
          <w:rFonts w:ascii="Book Antiqua" w:hAnsi="Book Antiqua"/>
          <w:i/>
          <w:iCs/>
        </w:rPr>
        <w:t>Genome Biol</w:t>
      </w:r>
      <w:r w:rsidRPr="00151141">
        <w:rPr>
          <w:rFonts w:ascii="Book Antiqua" w:hAnsi="Book Antiqua"/>
        </w:rPr>
        <w:t xml:space="preserve"> 2006; </w:t>
      </w:r>
      <w:r w:rsidRPr="00151141">
        <w:rPr>
          <w:rFonts w:ascii="Book Antiqua" w:hAnsi="Book Antiqua"/>
          <w:b/>
          <w:bCs/>
        </w:rPr>
        <w:t>7</w:t>
      </w:r>
      <w:r w:rsidRPr="00151141">
        <w:rPr>
          <w:rFonts w:ascii="Book Antiqua" w:hAnsi="Book Antiqua"/>
        </w:rPr>
        <w:t>: R80 [PMID: 16948836 DOI: 10.1186/gb-2006-7-9-R80]</w:t>
      </w:r>
    </w:p>
    <w:p w14:paraId="5C72236B" w14:textId="77777777" w:rsidR="002420DA" w:rsidRPr="00FE3E31" w:rsidRDefault="002420DA" w:rsidP="00F10C3B">
      <w:pPr>
        <w:spacing w:line="360" w:lineRule="auto"/>
        <w:jc w:val="both"/>
        <w:rPr>
          <w:rFonts w:ascii="Book Antiqua" w:hAnsi="Book Antiqua"/>
          <w:highlight w:val="yellow"/>
          <w:lang w:eastAsia="zh-CN"/>
        </w:rPr>
      </w:pPr>
      <w:r w:rsidRPr="00FE3E31">
        <w:rPr>
          <w:rFonts w:ascii="Book Antiqua" w:hAnsi="Book Antiqua"/>
          <w:highlight w:val="yellow"/>
        </w:rPr>
        <w:t xml:space="preserve">55 </w:t>
      </w:r>
      <w:r w:rsidRPr="00FE3E31">
        <w:rPr>
          <w:rFonts w:ascii="Book Antiqua" w:hAnsi="Book Antiqua"/>
          <w:b/>
          <w:highlight w:val="yellow"/>
        </w:rPr>
        <w:t>U.S. Department of Health and Human Services FDA</w:t>
      </w:r>
      <w:r w:rsidRPr="00FE3E31">
        <w:rPr>
          <w:rFonts w:ascii="Book Antiqua" w:hAnsi="Book Antiqua"/>
          <w:highlight w:val="yellow"/>
        </w:rPr>
        <w:t>. Bioanalytical Method Validation Guidance for Industry. 2018; 1–41</w:t>
      </w:r>
      <w:r w:rsidR="00B37945" w:rsidRPr="00FE3E31">
        <w:rPr>
          <w:rFonts w:ascii="Book Antiqua" w:hAnsi="Book Antiqua" w:hint="eastAsia"/>
          <w:highlight w:val="yellow"/>
          <w:lang w:eastAsia="zh-CN"/>
        </w:rPr>
        <w:t xml:space="preserve">. </w:t>
      </w:r>
      <w:r w:rsidR="00B37945" w:rsidRPr="00FE3E31">
        <w:rPr>
          <w:rFonts w:ascii="Book Antiqua" w:hAnsi="Book Antiqua"/>
          <w:highlight w:val="yellow"/>
        </w:rPr>
        <w:t xml:space="preserve">Available from: </w:t>
      </w:r>
      <w:r w:rsidR="00B37945" w:rsidRPr="00FE3E31">
        <w:rPr>
          <w:rFonts w:ascii="Book Antiqua" w:hAnsi="Book Antiqua"/>
          <w:highlight w:val="yellow"/>
          <w:lang w:eastAsia="zh-CN"/>
        </w:rPr>
        <w:t>https://www.fda.gov/regulatory-information/search-fda-guidance-documents/bioanalytical-method-validation-guidance-industry</w:t>
      </w:r>
    </w:p>
    <w:p w14:paraId="21C598F7" w14:textId="21B4F510" w:rsidR="002420DA" w:rsidRPr="00151141" w:rsidRDefault="002420DA" w:rsidP="00F10C3B">
      <w:pPr>
        <w:spacing w:line="360" w:lineRule="auto"/>
        <w:jc w:val="both"/>
        <w:rPr>
          <w:rFonts w:ascii="Book Antiqua" w:hAnsi="Book Antiqua"/>
        </w:rPr>
      </w:pPr>
      <w:r w:rsidRPr="00FE3E31">
        <w:rPr>
          <w:rFonts w:ascii="Book Antiqua" w:hAnsi="Book Antiqua"/>
          <w:highlight w:val="yellow"/>
        </w:rPr>
        <w:t xml:space="preserve">56 </w:t>
      </w:r>
      <w:proofErr w:type="spellStart"/>
      <w:r w:rsidRPr="00FE3E31">
        <w:rPr>
          <w:rFonts w:ascii="Book Antiqua" w:hAnsi="Book Antiqua"/>
          <w:b/>
          <w:highlight w:val="yellow"/>
        </w:rPr>
        <w:t>Biomedal</w:t>
      </w:r>
      <w:proofErr w:type="spellEnd"/>
      <w:r w:rsidRPr="00FE3E31">
        <w:rPr>
          <w:rFonts w:ascii="Book Antiqua" w:hAnsi="Book Antiqua"/>
          <w:highlight w:val="yellow"/>
        </w:rPr>
        <w:t xml:space="preserve">. </w:t>
      </w:r>
      <w:proofErr w:type="spellStart"/>
      <w:r w:rsidRPr="00FE3E31">
        <w:rPr>
          <w:rFonts w:ascii="Book Antiqua" w:hAnsi="Book Antiqua"/>
          <w:highlight w:val="yellow"/>
        </w:rPr>
        <w:t>iVYCHECK</w:t>
      </w:r>
      <w:proofErr w:type="spellEnd"/>
      <w:r w:rsidRPr="00FE3E31">
        <w:rPr>
          <w:rFonts w:ascii="Book Antiqua" w:hAnsi="Book Antiqua"/>
          <w:highlight w:val="yellow"/>
        </w:rPr>
        <w:t xml:space="preserve"> GIP Stool. [cited </w:t>
      </w:r>
      <w:r w:rsidRPr="00FE3E31">
        <w:rPr>
          <w:rFonts w:ascii="Book Antiqua" w:hAnsi="Book Antiqua"/>
          <w:highlight w:val="yellow"/>
          <w:lang w:eastAsia="zh-CN"/>
        </w:rPr>
        <w:t xml:space="preserve">15 June </w:t>
      </w:r>
      <w:r w:rsidRPr="00FE3E31">
        <w:rPr>
          <w:rFonts w:ascii="Book Antiqua" w:hAnsi="Book Antiqua"/>
          <w:highlight w:val="yellow"/>
        </w:rPr>
        <w:t>2021]</w:t>
      </w:r>
      <w:r w:rsidR="00FE3E31">
        <w:rPr>
          <w:rFonts w:ascii="Book Antiqua" w:hAnsi="Book Antiqua"/>
          <w:highlight w:val="yellow"/>
        </w:rPr>
        <w:t>.</w:t>
      </w:r>
      <w:r w:rsidRPr="00FE3E31">
        <w:rPr>
          <w:rFonts w:ascii="Book Antiqua" w:hAnsi="Book Antiqua"/>
          <w:highlight w:val="yellow"/>
          <w:lang w:eastAsia="zh-CN"/>
        </w:rPr>
        <w:t xml:space="preserve"> </w:t>
      </w:r>
      <w:bookmarkStart w:id="22" w:name="OLE_LINK323"/>
      <w:bookmarkStart w:id="23" w:name="OLE_LINK324"/>
      <w:r w:rsidRPr="00FE3E31">
        <w:rPr>
          <w:rFonts w:ascii="Book Antiqua" w:hAnsi="Book Antiqua"/>
          <w:highlight w:val="yellow"/>
        </w:rPr>
        <w:t xml:space="preserve">Available from: </w:t>
      </w:r>
      <w:bookmarkEnd w:id="22"/>
      <w:bookmarkEnd w:id="23"/>
      <w:r w:rsidRPr="00FE3E31">
        <w:rPr>
          <w:rFonts w:ascii="Book Antiqua" w:hAnsi="Book Antiqua"/>
          <w:highlight w:val="yellow"/>
        </w:rPr>
        <w:t>https://ivydal.biomedal.com/tests-de-uso-profesional/ivycheck-gip-stool/</w:t>
      </w:r>
    </w:p>
    <w:p w14:paraId="3489EE15"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57 </w:t>
      </w:r>
      <w:proofErr w:type="spellStart"/>
      <w:r w:rsidRPr="00151141">
        <w:rPr>
          <w:rFonts w:ascii="Book Antiqua" w:hAnsi="Book Antiqua"/>
          <w:b/>
          <w:bCs/>
        </w:rPr>
        <w:t>Auricchio</w:t>
      </w:r>
      <w:proofErr w:type="spellEnd"/>
      <w:r w:rsidRPr="00151141">
        <w:rPr>
          <w:rFonts w:ascii="Book Antiqua" w:hAnsi="Book Antiqua"/>
          <w:b/>
          <w:bCs/>
        </w:rPr>
        <w:t xml:space="preserve"> S</w:t>
      </w:r>
      <w:r w:rsidRPr="00151141">
        <w:rPr>
          <w:rFonts w:ascii="Book Antiqua" w:hAnsi="Book Antiqua"/>
        </w:rPr>
        <w:t xml:space="preserve">. An innovative approach to measure compliance to a gluten-free diet. </w:t>
      </w:r>
      <w:r w:rsidRPr="00151141">
        <w:rPr>
          <w:rFonts w:ascii="Book Antiqua" w:hAnsi="Book Antiqua"/>
          <w:i/>
          <w:iCs/>
        </w:rPr>
        <w:t xml:space="preserve">Am J Clin </w:t>
      </w:r>
      <w:proofErr w:type="spellStart"/>
      <w:r w:rsidRPr="00151141">
        <w:rPr>
          <w:rFonts w:ascii="Book Antiqua" w:hAnsi="Book Antiqua"/>
          <w:i/>
          <w:iCs/>
        </w:rPr>
        <w:t>Nutr</w:t>
      </w:r>
      <w:proofErr w:type="spellEnd"/>
      <w:r w:rsidRPr="00151141">
        <w:rPr>
          <w:rFonts w:ascii="Book Antiqua" w:hAnsi="Book Antiqua"/>
        </w:rPr>
        <w:t xml:space="preserve"> 2012; </w:t>
      </w:r>
      <w:r w:rsidRPr="00151141">
        <w:rPr>
          <w:rFonts w:ascii="Book Antiqua" w:hAnsi="Book Antiqua"/>
          <w:b/>
          <w:bCs/>
        </w:rPr>
        <w:t>95</w:t>
      </w:r>
      <w:r w:rsidRPr="00151141">
        <w:rPr>
          <w:rFonts w:ascii="Book Antiqua" w:hAnsi="Book Antiqua"/>
        </w:rPr>
        <w:t>: 537-538 [PMID: 22301934 DOI: 10.3945/ajcn.111.032888]</w:t>
      </w:r>
    </w:p>
    <w:p w14:paraId="2A7F77DE"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58 </w:t>
      </w:r>
      <w:r w:rsidRPr="00151141">
        <w:rPr>
          <w:rFonts w:ascii="Book Antiqua" w:hAnsi="Book Antiqua"/>
          <w:b/>
          <w:bCs/>
        </w:rPr>
        <w:t>Bethune MT</w:t>
      </w:r>
      <w:r w:rsidRPr="00151141">
        <w:rPr>
          <w:rFonts w:ascii="Book Antiqua" w:hAnsi="Book Antiqua"/>
        </w:rPr>
        <w:t xml:space="preserve">, Crespo-Bosque M, </w:t>
      </w:r>
      <w:proofErr w:type="spellStart"/>
      <w:r w:rsidRPr="00151141">
        <w:rPr>
          <w:rFonts w:ascii="Book Antiqua" w:hAnsi="Book Antiqua"/>
        </w:rPr>
        <w:t>Bergseng</w:t>
      </w:r>
      <w:proofErr w:type="spellEnd"/>
      <w:r w:rsidRPr="00151141">
        <w:rPr>
          <w:rFonts w:ascii="Book Antiqua" w:hAnsi="Book Antiqua"/>
        </w:rPr>
        <w:t xml:space="preserve"> E, Mazumdar K, Doyle L, Sestak K, </w:t>
      </w:r>
      <w:proofErr w:type="spellStart"/>
      <w:r w:rsidRPr="00151141">
        <w:rPr>
          <w:rFonts w:ascii="Book Antiqua" w:hAnsi="Book Antiqua"/>
        </w:rPr>
        <w:t>Sollid</w:t>
      </w:r>
      <w:proofErr w:type="spellEnd"/>
      <w:r w:rsidRPr="00151141">
        <w:rPr>
          <w:rFonts w:ascii="Book Antiqua" w:hAnsi="Book Antiqua"/>
        </w:rPr>
        <w:t xml:space="preserve"> LM, Khosla C. Noninflammatory gluten peptide analogs as biomarkers for celiac sprue. </w:t>
      </w:r>
      <w:r w:rsidRPr="00151141">
        <w:rPr>
          <w:rFonts w:ascii="Book Antiqua" w:hAnsi="Book Antiqua"/>
          <w:i/>
          <w:iCs/>
        </w:rPr>
        <w:t>Chem Biol</w:t>
      </w:r>
      <w:r w:rsidRPr="00151141">
        <w:rPr>
          <w:rFonts w:ascii="Book Antiqua" w:hAnsi="Book Antiqua"/>
        </w:rPr>
        <w:t xml:space="preserve"> 2009; </w:t>
      </w:r>
      <w:r w:rsidRPr="00151141">
        <w:rPr>
          <w:rFonts w:ascii="Book Antiqua" w:hAnsi="Book Antiqua"/>
          <w:b/>
          <w:bCs/>
        </w:rPr>
        <w:t>16</w:t>
      </w:r>
      <w:r w:rsidRPr="00151141">
        <w:rPr>
          <w:rFonts w:ascii="Book Antiqua" w:hAnsi="Book Antiqua"/>
        </w:rPr>
        <w:t>: 868-881 [PMID: 19716477 DOI: 10.1016/j.chembiol.2009.07.009]</w:t>
      </w:r>
    </w:p>
    <w:p w14:paraId="77264A20"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59 </w:t>
      </w:r>
      <w:proofErr w:type="spellStart"/>
      <w:r w:rsidRPr="00151141">
        <w:rPr>
          <w:rFonts w:ascii="Book Antiqua" w:hAnsi="Book Antiqua"/>
          <w:b/>
          <w:bCs/>
        </w:rPr>
        <w:t>Ehren</w:t>
      </w:r>
      <w:proofErr w:type="spellEnd"/>
      <w:r w:rsidRPr="00151141">
        <w:rPr>
          <w:rFonts w:ascii="Book Antiqua" w:hAnsi="Book Antiqua"/>
          <w:b/>
          <w:bCs/>
        </w:rPr>
        <w:t xml:space="preserve"> J</w:t>
      </w:r>
      <w:r w:rsidRPr="00151141">
        <w:rPr>
          <w:rFonts w:ascii="Book Antiqua" w:hAnsi="Book Antiqua"/>
        </w:rPr>
        <w:t xml:space="preserve">, </w:t>
      </w:r>
      <w:proofErr w:type="spellStart"/>
      <w:r w:rsidRPr="00151141">
        <w:rPr>
          <w:rFonts w:ascii="Book Antiqua" w:hAnsi="Book Antiqua"/>
        </w:rPr>
        <w:t>Morón</w:t>
      </w:r>
      <w:proofErr w:type="spellEnd"/>
      <w:r w:rsidRPr="00151141">
        <w:rPr>
          <w:rFonts w:ascii="Book Antiqua" w:hAnsi="Book Antiqua"/>
        </w:rPr>
        <w:t xml:space="preserve"> B, Martin E, Bethune MT, Gray GM, Khosla C. A food-grade enzyme preparation with modest gluten detoxification properties. </w:t>
      </w:r>
      <w:proofErr w:type="spellStart"/>
      <w:r w:rsidRPr="00151141">
        <w:rPr>
          <w:rFonts w:ascii="Book Antiqua" w:hAnsi="Book Antiqua"/>
          <w:i/>
          <w:iCs/>
        </w:rPr>
        <w:t>PLoS</w:t>
      </w:r>
      <w:proofErr w:type="spellEnd"/>
      <w:r w:rsidRPr="00151141">
        <w:rPr>
          <w:rFonts w:ascii="Book Antiqua" w:hAnsi="Book Antiqua"/>
          <w:i/>
          <w:iCs/>
        </w:rPr>
        <w:t xml:space="preserve"> One</w:t>
      </w:r>
      <w:r w:rsidRPr="00151141">
        <w:rPr>
          <w:rFonts w:ascii="Book Antiqua" w:hAnsi="Book Antiqua"/>
        </w:rPr>
        <w:t xml:space="preserve"> 2009; </w:t>
      </w:r>
      <w:r w:rsidRPr="00151141">
        <w:rPr>
          <w:rFonts w:ascii="Book Antiqua" w:hAnsi="Book Antiqua"/>
          <w:b/>
          <w:bCs/>
        </w:rPr>
        <w:t>4</w:t>
      </w:r>
      <w:r w:rsidRPr="00151141">
        <w:rPr>
          <w:rFonts w:ascii="Book Antiqua" w:hAnsi="Book Antiqua"/>
        </w:rPr>
        <w:t>: e6313 [PMID: 19621078 DOI: 10.1371/journal.pone.0006313]</w:t>
      </w:r>
    </w:p>
    <w:p w14:paraId="12F69C99"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60 </w:t>
      </w:r>
      <w:r w:rsidRPr="00151141">
        <w:rPr>
          <w:rFonts w:ascii="Book Antiqua" w:hAnsi="Book Antiqua"/>
          <w:b/>
          <w:bCs/>
        </w:rPr>
        <w:t>Sharkey LM</w:t>
      </w:r>
      <w:r w:rsidRPr="00151141">
        <w:rPr>
          <w:rFonts w:ascii="Book Antiqua" w:hAnsi="Book Antiqua"/>
        </w:rPr>
        <w:t xml:space="preserve">, Corbett G, Currie E, Lee J, Sweeney N, Woodward JM. </w:t>
      </w:r>
      <w:proofErr w:type="spellStart"/>
      <w:r w:rsidRPr="00151141">
        <w:rPr>
          <w:rFonts w:ascii="Book Antiqua" w:hAnsi="Book Antiqua"/>
        </w:rPr>
        <w:t>Optimising</w:t>
      </w:r>
      <w:proofErr w:type="spellEnd"/>
      <w:r w:rsidRPr="00151141">
        <w:rPr>
          <w:rFonts w:ascii="Book Antiqua" w:hAnsi="Book Antiqua"/>
        </w:rPr>
        <w:t xml:space="preserve"> delivery of care in coeliac disease - comparison of the benefits of repeat biopsy and serological follow-up. </w:t>
      </w:r>
      <w:r w:rsidRPr="00151141">
        <w:rPr>
          <w:rFonts w:ascii="Book Antiqua" w:hAnsi="Book Antiqua"/>
          <w:i/>
          <w:iCs/>
        </w:rPr>
        <w:t xml:space="preserve">Aliment </w:t>
      </w:r>
      <w:proofErr w:type="spellStart"/>
      <w:r w:rsidRPr="00151141">
        <w:rPr>
          <w:rFonts w:ascii="Book Antiqua" w:hAnsi="Book Antiqua"/>
          <w:i/>
          <w:iCs/>
        </w:rPr>
        <w:t>Pharmacol</w:t>
      </w:r>
      <w:proofErr w:type="spellEnd"/>
      <w:r w:rsidRPr="00151141">
        <w:rPr>
          <w:rFonts w:ascii="Book Antiqua" w:hAnsi="Book Antiqua"/>
          <w:i/>
          <w:iCs/>
        </w:rPr>
        <w:t xml:space="preserve"> </w:t>
      </w:r>
      <w:proofErr w:type="spellStart"/>
      <w:r w:rsidRPr="00151141">
        <w:rPr>
          <w:rFonts w:ascii="Book Antiqua" w:hAnsi="Book Antiqua"/>
          <w:i/>
          <w:iCs/>
        </w:rPr>
        <w:t>Ther</w:t>
      </w:r>
      <w:proofErr w:type="spellEnd"/>
      <w:r w:rsidRPr="00151141">
        <w:rPr>
          <w:rFonts w:ascii="Book Antiqua" w:hAnsi="Book Antiqua"/>
        </w:rPr>
        <w:t xml:space="preserve"> 2013; </w:t>
      </w:r>
      <w:r w:rsidRPr="00151141">
        <w:rPr>
          <w:rFonts w:ascii="Book Antiqua" w:hAnsi="Book Antiqua"/>
          <w:b/>
          <w:bCs/>
        </w:rPr>
        <w:t>38</w:t>
      </w:r>
      <w:r w:rsidRPr="00151141">
        <w:rPr>
          <w:rFonts w:ascii="Book Antiqua" w:hAnsi="Book Antiqua"/>
        </w:rPr>
        <w:t>: 1278-1291 [PMID: 24117503 DOI: 10.1111/apt.12510]</w:t>
      </w:r>
    </w:p>
    <w:p w14:paraId="19E24D83"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61 </w:t>
      </w:r>
      <w:proofErr w:type="spellStart"/>
      <w:r w:rsidRPr="00151141">
        <w:rPr>
          <w:rFonts w:ascii="Book Antiqua" w:hAnsi="Book Antiqua"/>
          <w:b/>
          <w:bCs/>
        </w:rPr>
        <w:t>Tursi</w:t>
      </w:r>
      <w:proofErr w:type="spellEnd"/>
      <w:r w:rsidRPr="00151141">
        <w:rPr>
          <w:rFonts w:ascii="Book Antiqua" w:hAnsi="Book Antiqua"/>
          <w:b/>
          <w:bCs/>
        </w:rPr>
        <w:t xml:space="preserve"> A</w:t>
      </w:r>
      <w:r w:rsidRPr="00151141">
        <w:rPr>
          <w:rFonts w:ascii="Book Antiqua" w:hAnsi="Book Antiqua"/>
        </w:rPr>
        <w:t xml:space="preserve">, </w:t>
      </w:r>
      <w:proofErr w:type="spellStart"/>
      <w:r w:rsidRPr="00151141">
        <w:rPr>
          <w:rFonts w:ascii="Book Antiqua" w:hAnsi="Book Antiqua"/>
        </w:rPr>
        <w:t>Brandimarte</w:t>
      </w:r>
      <w:proofErr w:type="spellEnd"/>
      <w:r w:rsidRPr="00151141">
        <w:rPr>
          <w:rFonts w:ascii="Book Antiqua" w:hAnsi="Book Antiqua"/>
        </w:rPr>
        <w:t xml:space="preserve"> G, </w:t>
      </w:r>
      <w:proofErr w:type="spellStart"/>
      <w:r w:rsidRPr="00151141">
        <w:rPr>
          <w:rFonts w:ascii="Book Antiqua" w:hAnsi="Book Antiqua"/>
        </w:rPr>
        <w:t>Giorgetti</w:t>
      </w:r>
      <w:proofErr w:type="spellEnd"/>
      <w:r w:rsidRPr="00151141">
        <w:rPr>
          <w:rFonts w:ascii="Book Antiqua" w:hAnsi="Book Antiqua"/>
        </w:rPr>
        <w:t xml:space="preserve"> GM. Lack of usefulness of anti-transglutaminase antibodies in assessing histologic recovery after gluten-free diet in celiac disease. </w:t>
      </w:r>
      <w:r w:rsidRPr="00151141">
        <w:rPr>
          <w:rFonts w:ascii="Book Antiqua" w:hAnsi="Book Antiqua"/>
          <w:i/>
          <w:iCs/>
        </w:rPr>
        <w:t>J Clin Gastroenterol</w:t>
      </w:r>
      <w:r w:rsidRPr="00151141">
        <w:rPr>
          <w:rFonts w:ascii="Book Antiqua" w:hAnsi="Book Antiqua"/>
        </w:rPr>
        <w:t xml:space="preserve"> 2003; </w:t>
      </w:r>
      <w:r w:rsidRPr="00151141">
        <w:rPr>
          <w:rFonts w:ascii="Book Antiqua" w:hAnsi="Book Antiqua"/>
          <w:b/>
          <w:bCs/>
        </w:rPr>
        <w:t>37</w:t>
      </w:r>
      <w:r w:rsidRPr="00151141">
        <w:rPr>
          <w:rFonts w:ascii="Book Antiqua" w:hAnsi="Book Antiqua"/>
        </w:rPr>
        <w:t>: 387-391 [PMID: 14564185 DOI: 10.1097/00004836-200311000-00007]</w:t>
      </w:r>
    </w:p>
    <w:p w14:paraId="19C44959" w14:textId="77777777" w:rsidR="002420DA" w:rsidRPr="00151141" w:rsidRDefault="002420DA" w:rsidP="00F10C3B">
      <w:pPr>
        <w:spacing w:line="360" w:lineRule="auto"/>
        <w:jc w:val="both"/>
        <w:rPr>
          <w:rFonts w:ascii="Book Antiqua" w:hAnsi="Book Antiqua"/>
        </w:rPr>
      </w:pPr>
      <w:r w:rsidRPr="00151141">
        <w:rPr>
          <w:rFonts w:ascii="Book Antiqua" w:hAnsi="Book Antiqua"/>
        </w:rPr>
        <w:lastRenderedPageBreak/>
        <w:t xml:space="preserve">62 </w:t>
      </w:r>
      <w:proofErr w:type="spellStart"/>
      <w:r w:rsidRPr="00151141">
        <w:rPr>
          <w:rFonts w:ascii="Book Antiqua" w:hAnsi="Book Antiqua"/>
          <w:b/>
          <w:bCs/>
        </w:rPr>
        <w:t>Rashtak</w:t>
      </w:r>
      <w:proofErr w:type="spellEnd"/>
      <w:r w:rsidRPr="00151141">
        <w:rPr>
          <w:rFonts w:ascii="Book Antiqua" w:hAnsi="Book Antiqua"/>
          <w:b/>
          <w:bCs/>
        </w:rPr>
        <w:t xml:space="preserve"> S</w:t>
      </w:r>
      <w:r w:rsidRPr="00151141">
        <w:rPr>
          <w:rFonts w:ascii="Book Antiqua" w:hAnsi="Book Antiqua"/>
        </w:rPr>
        <w:t xml:space="preserve">, Ettore MW, Homburger HA, Murray JA. Comparative usefulness of deamidated gliadin antibodies in the diagnosis of celiac disease. </w:t>
      </w:r>
      <w:r w:rsidRPr="00151141">
        <w:rPr>
          <w:rFonts w:ascii="Book Antiqua" w:hAnsi="Book Antiqua"/>
          <w:i/>
          <w:iCs/>
        </w:rPr>
        <w:t>Clin Gastroenterol Hepatol</w:t>
      </w:r>
      <w:r w:rsidRPr="00151141">
        <w:rPr>
          <w:rFonts w:ascii="Book Antiqua" w:hAnsi="Book Antiqua"/>
        </w:rPr>
        <w:t xml:space="preserve"> 2008; </w:t>
      </w:r>
      <w:r w:rsidRPr="00151141">
        <w:rPr>
          <w:rFonts w:ascii="Book Antiqua" w:hAnsi="Book Antiqua"/>
          <w:b/>
          <w:bCs/>
        </w:rPr>
        <w:t>6</w:t>
      </w:r>
      <w:r w:rsidRPr="00151141">
        <w:rPr>
          <w:rFonts w:ascii="Book Antiqua" w:hAnsi="Book Antiqua"/>
        </w:rPr>
        <w:t>: 426-32; quiz 370 [PMID: 18304884 DOI: 10.1016/j.cgh.2007.12.030]</w:t>
      </w:r>
    </w:p>
    <w:p w14:paraId="1A3E9BFF"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63 </w:t>
      </w:r>
      <w:r w:rsidRPr="00151141">
        <w:rPr>
          <w:rFonts w:ascii="Book Antiqua" w:hAnsi="Book Antiqua"/>
          <w:b/>
          <w:bCs/>
        </w:rPr>
        <w:t>Arguelles-Grande C</w:t>
      </w:r>
      <w:r w:rsidRPr="00151141">
        <w:rPr>
          <w:rFonts w:ascii="Book Antiqua" w:hAnsi="Book Antiqua"/>
        </w:rPr>
        <w:t xml:space="preserve">, Tennyson CA, Lewis SK, Green PH, Bhagat G. Variability in small bowel histopathology reporting between different pathology practice settings: impact on the diagnosis of coeliac disease. </w:t>
      </w:r>
      <w:r w:rsidRPr="00151141">
        <w:rPr>
          <w:rFonts w:ascii="Book Antiqua" w:hAnsi="Book Antiqua"/>
          <w:i/>
          <w:iCs/>
        </w:rPr>
        <w:t xml:space="preserve">J Clin </w:t>
      </w:r>
      <w:proofErr w:type="spellStart"/>
      <w:r w:rsidRPr="00151141">
        <w:rPr>
          <w:rFonts w:ascii="Book Antiqua" w:hAnsi="Book Antiqua"/>
          <w:i/>
          <w:iCs/>
        </w:rPr>
        <w:t>Pathol</w:t>
      </w:r>
      <w:proofErr w:type="spellEnd"/>
      <w:r w:rsidRPr="00151141">
        <w:rPr>
          <w:rFonts w:ascii="Book Antiqua" w:hAnsi="Book Antiqua"/>
        </w:rPr>
        <w:t xml:space="preserve"> 2012; </w:t>
      </w:r>
      <w:r w:rsidRPr="00151141">
        <w:rPr>
          <w:rFonts w:ascii="Book Antiqua" w:hAnsi="Book Antiqua"/>
          <w:b/>
          <w:bCs/>
        </w:rPr>
        <w:t>65</w:t>
      </w:r>
      <w:r w:rsidRPr="00151141">
        <w:rPr>
          <w:rFonts w:ascii="Book Antiqua" w:hAnsi="Book Antiqua"/>
        </w:rPr>
        <w:t>: 242-247 [PMID: 22081783 DOI: 10.1136/jclinpath-2011-200372]</w:t>
      </w:r>
    </w:p>
    <w:p w14:paraId="6EF3561B"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64 </w:t>
      </w:r>
      <w:proofErr w:type="spellStart"/>
      <w:r w:rsidRPr="00151141">
        <w:rPr>
          <w:rFonts w:ascii="Book Antiqua" w:hAnsi="Book Antiqua"/>
          <w:b/>
          <w:bCs/>
        </w:rPr>
        <w:t>Ravelli</w:t>
      </w:r>
      <w:proofErr w:type="spellEnd"/>
      <w:r w:rsidRPr="00151141">
        <w:rPr>
          <w:rFonts w:ascii="Book Antiqua" w:hAnsi="Book Antiqua"/>
          <w:b/>
          <w:bCs/>
        </w:rPr>
        <w:t xml:space="preserve"> A</w:t>
      </w:r>
      <w:r w:rsidRPr="00151141">
        <w:rPr>
          <w:rFonts w:ascii="Book Antiqua" w:hAnsi="Book Antiqua"/>
        </w:rPr>
        <w:t xml:space="preserve">, </w:t>
      </w:r>
      <w:proofErr w:type="spellStart"/>
      <w:r w:rsidRPr="00151141">
        <w:rPr>
          <w:rFonts w:ascii="Book Antiqua" w:hAnsi="Book Antiqua"/>
        </w:rPr>
        <w:t>Villanacci</w:t>
      </w:r>
      <w:proofErr w:type="spellEnd"/>
      <w:r w:rsidRPr="00151141">
        <w:rPr>
          <w:rFonts w:ascii="Book Antiqua" w:hAnsi="Book Antiqua"/>
        </w:rPr>
        <w:t xml:space="preserve"> V. Tricks of the trade: How to avoid histological pitfalls in celiac disease. </w:t>
      </w:r>
      <w:proofErr w:type="spellStart"/>
      <w:r w:rsidRPr="00151141">
        <w:rPr>
          <w:rFonts w:ascii="Book Antiqua" w:hAnsi="Book Antiqua"/>
          <w:i/>
          <w:iCs/>
        </w:rPr>
        <w:t>Pathol</w:t>
      </w:r>
      <w:proofErr w:type="spellEnd"/>
      <w:r w:rsidRPr="00151141">
        <w:rPr>
          <w:rFonts w:ascii="Book Antiqua" w:hAnsi="Book Antiqua"/>
          <w:i/>
          <w:iCs/>
        </w:rPr>
        <w:t xml:space="preserve"> Res </w:t>
      </w:r>
      <w:proofErr w:type="spellStart"/>
      <w:r w:rsidRPr="00151141">
        <w:rPr>
          <w:rFonts w:ascii="Book Antiqua" w:hAnsi="Book Antiqua"/>
          <w:i/>
          <w:iCs/>
        </w:rPr>
        <w:t>Pract</w:t>
      </w:r>
      <w:proofErr w:type="spellEnd"/>
      <w:r w:rsidRPr="00151141">
        <w:rPr>
          <w:rFonts w:ascii="Book Antiqua" w:hAnsi="Book Antiqua"/>
        </w:rPr>
        <w:t xml:space="preserve"> 2012; </w:t>
      </w:r>
      <w:r w:rsidRPr="00151141">
        <w:rPr>
          <w:rFonts w:ascii="Book Antiqua" w:hAnsi="Book Antiqua"/>
          <w:b/>
          <w:bCs/>
        </w:rPr>
        <w:t>208</w:t>
      </w:r>
      <w:r w:rsidRPr="00151141">
        <w:rPr>
          <w:rFonts w:ascii="Book Antiqua" w:hAnsi="Book Antiqua"/>
        </w:rPr>
        <w:t>: 197-202 [PMID: 22417775 DOI: 10.1016/j.prp.2012.01.008]</w:t>
      </w:r>
    </w:p>
    <w:p w14:paraId="083B4D29"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65 </w:t>
      </w:r>
      <w:r w:rsidRPr="00151141">
        <w:rPr>
          <w:rFonts w:ascii="Book Antiqua" w:hAnsi="Book Antiqua"/>
          <w:b/>
          <w:bCs/>
        </w:rPr>
        <w:t>Gibson PR</w:t>
      </w:r>
      <w:r w:rsidRPr="00151141">
        <w:rPr>
          <w:rFonts w:ascii="Book Antiqua" w:hAnsi="Book Antiqua"/>
        </w:rPr>
        <w:t xml:space="preserve">, Muir JG, Newnham ED. Other Dietary Confounders: FODMAPS </w:t>
      </w:r>
      <w:r w:rsidR="006E5332" w:rsidRPr="006E5332">
        <w:rPr>
          <w:rFonts w:ascii="Book Antiqua" w:hAnsi="Book Antiqua"/>
          <w:i/>
        </w:rPr>
        <w:t>et al</w:t>
      </w:r>
      <w:r w:rsidRPr="00151141">
        <w:rPr>
          <w:rFonts w:ascii="Book Antiqua" w:hAnsi="Book Antiqua"/>
        </w:rPr>
        <w:t xml:space="preserve">. </w:t>
      </w:r>
      <w:r w:rsidRPr="00151141">
        <w:rPr>
          <w:rFonts w:ascii="Book Antiqua" w:hAnsi="Book Antiqua"/>
          <w:i/>
          <w:iCs/>
        </w:rPr>
        <w:t>Dig Dis</w:t>
      </w:r>
      <w:r w:rsidRPr="00151141">
        <w:rPr>
          <w:rFonts w:ascii="Book Antiqua" w:hAnsi="Book Antiqua"/>
        </w:rPr>
        <w:t xml:space="preserve"> 2015; </w:t>
      </w:r>
      <w:r w:rsidRPr="00151141">
        <w:rPr>
          <w:rFonts w:ascii="Book Antiqua" w:hAnsi="Book Antiqua"/>
          <w:b/>
          <w:bCs/>
        </w:rPr>
        <w:t>33</w:t>
      </w:r>
      <w:r w:rsidRPr="00151141">
        <w:rPr>
          <w:rFonts w:ascii="Book Antiqua" w:hAnsi="Book Antiqua"/>
        </w:rPr>
        <w:t>: 269-276 [PMID: 25925934 DOI: 10.1159/000371401]</w:t>
      </w:r>
    </w:p>
    <w:p w14:paraId="660BE167"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66 </w:t>
      </w:r>
      <w:proofErr w:type="spellStart"/>
      <w:r w:rsidRPr="00151141">
        <w:rPr>
          <w:rFonts w:ascii="Book Antiqua" w:hAnsi="Book Antiqua"/>
          <w:b/>
          <w:bCs/>
        </w:rPr>
        <w:t>Wacklin</w:t>
      </w:r>
      <w:proofErr w:type="spellEnd"/>
      <w:r w:rsidRPr="00151141">
        <w:rPr>
          <w:rFonts w:ascii="Book Antiqua" w:hAnsi="Book Antiqua"/>
          <w:b/>
          <w:bCs/>
        </w:rPr>
        <w:t xml:space="preserve"> P</w:t>
      </w:r>
      <w:r w:rsidRPr="00151141">
        <w:rPr>
          <w:rFonts w:ascii="Book Antiqua" w:hAnsi="Book Antiqua"/>
        </w:rPr>
        <w:t xml:space="preserve">, </w:t>
      </w:r>
      <w:proofErr w:type="spellStart"/>
      <w:r w:rsidRPr="00151141">
        <w:rPr>
          <w:rFonts w:ascii="Book Antiqua" w:hAnsi="Book Antiqua"/>
        </w:rPr>
        <w:t>Kaukinen</w:t>
      </w:r>
      <w:proofErr w:type="spellEnd"/>
      <w:r w:rsidRPr="00151141">
        <w:rPr>
          <w:rFonts w:ascii="Book Antiqua" w:hAnsi="Book Antiqua"/>
        </w:rPr>
        <w:t xml:space="preserve"> K, </w:t>
      </w:r>
      <w:proofErr w:type="spellStart"/>
      <w:r w:rsidRPr="00151141">
        <w:rPr>
          <w:rFonts w:ascii="Book Antiqua" w:hAnsi="Book Antiqua"/>
        </w:rPr>
        <w:t>Tuovinen</w:t>
      </w:r>
      <w:proofErr w:type="spellEnd"/>
      <w:r w:rsidRPr="00151141">
        <w:rPr>
          <w:rFonts w:ascii="Book Antiqua" w:hAnsi="Book Antiqua"/>
        </w:rPr>
        <w:t xml:space="preserve"> E, Collin P, </w:t>
      </w:r>
      <w:proofErr w:type="spellStart"/>
      <w:r w:rsidRPr="00151141">
        <w:rPr>
          <w:rFonts w:ascii="Book Antiqua" w:hAnsi="Book Antiqua"/>
        </w:rPr>
        <w:t>Lindfors</w:t>
      </w:r>
      <w:proofErr w:type="spellEnd"/>
      <w:r w:rsidRPr="00151141">
        <w:rPr>
          <w:rFonts w:ascii="Book Antiqua" w:hAnsi="Book Antiqua"/>
        </w:rPr>
        <w:t xml:space="preserve"> K, Partanen J, </w:t>
      </w:r>
      <w:proofErr w:type="spellStart"/>
      <w:r w:rsidRPr="00151141">
        <w:rPr>
          <w:rFonts w:ascii="Book Antiqua" w:hAnsi="Book Antiqua"/>
        </w:rPr>
        <w:t>Mäki</w:t>
      </w:r>
      <w:proofErr w:type="spellEnd"/>
      <w:r w:rsidRPr="00151141">
        <w:rPr>
          <w:rFonts w:ascii="Book Antiqua" w:hAnsi="Book Antiqua"/>
        </w:rPr>
        <w:t xml:space="preserve"> M, </w:t>
      </w:r>
      <w:proofErr w:type="spellStart"/>
      <w:r w:rsidRPr="00151141">
        <w:rPr>
          <w:rFonts w:ascii="Book Antiqua" w:hAnsi="Book Antiqua"/>
        </w:rPr>
        <w:t>Mättö</w:t>
      </w:r>
      <w:proofErr w:type="spellEnd"/>
      <w:r w:rsidRPr="00151141">
        <w:rPr>
          <w:rFonts w:ascii="Book Antiqua" w:hAnsi="Book Antiqua"/>
        </w:rPr>
        <w:t xml:space="preserve"> J. The duodenal microbiota composition of adult celiac disease patients is associated with the clinical manifestation of the disease. </w:t>
      </w:r>
      <w:proofErr w:type="spellStart"/>
      <w:r w:rsidRPr="00151141">
        <w:rPr>
          <w:rFonts w:ascii="Book Antiqua" w:hAnsi="Book Antiqua"/>
          <w:i/>
          <w:iCs/>
        </w:rPr>
        <w:t>Inflamm</w:t>
      </w:r>
      <w:proofErr w:type="spellEnd"/>
      <w:r w:rsidRPr="00151141">
        <w:rPr>
          <w:rFonts w:ascii="Book Antiqua" w:hAnsi="Book Antiqua"/>
          <w:i/>
          <w:iCs/>
        </w:rPr>
        <w:t xml:space="preserve"> Bowel Dis</w:t>
      </w:r>
      <w:r w:rsidRPr="00151141">
        <w:rPr>
          <w:rFonts w:ascii="Book Antiqua" w:hAnsi="Book Antiqua"/>
        </w:rPr>
        <w:t xml:space="preserve"> 2013; </w:t>
      </w:r>
      <w:r w:rsidRPr="00151141">
        <w:rPr>
          <w:rFonts w:ascii="Book Antiqua" w:hAnsi="Book Antiqua"/>
          <w:b/>
          <w:bCs/>
        </w:rPr>
        <w:t>19</w:t>
      </w:r>
      <w:r w:rsidRPr="00151141">
        <w:rPr>
          <w:rFonts w:ascii="Book Antiqua" w:hAnsi="Book Antiqua"/>
        </w:rPr>
        <w:t>: 934-941 [PMID: 23478804 DOI: 10.1097/MIB.0b013e31828029a9]</w:t>
      </w:r>
    </w:p>
    <w:p w14:paraId="70D31F81" w14:textId="77777777" w:rsidR="002420DA" w:rsidRPr="00151141" w:rsidRDefault="002420DA" w:rsidP="00F10C3B">
      <w:pPr>
        <w:spacing w:line="360" w:lineRule="auto"/>
        <w:jc w:val="both"/>
        <w:rPr>
          <w:rFonts w:ascii="Book Antiqua" w:hAnsi="Book Antiqua"/>
        </w:rPr>
      </w:pPr>
      <w:r w:rsidRPr="00151141">
        <w:rPr>
          <w:rFonts w:ascii="Book Antiqua" w:hAnsi="Book Antiqua"/>
        </w:rPr>
        <w:t xml:space="preserve">67 </w:t>
      </w:r>
      <w:r w:rsidRPr="00151141">
        <w:rPr>
          <w:rFonts w:ascii="Book Antiqua" w:hAnsi="Book Antiqua"/>
          <w:b/>
          <w:bCs/>
        </w:rPr>
        <w:t>Roca M</w:t>
      </w:r>
      <w:r w:rsidRPr="00151141">
        <w:rPr>
          <w:rFonts w:ascii="Book Antiqua" w:hAnsi="Book Antiqua"/>
        </w:rPr>
        <w:t xml:space="preserve">, </w:t>
      </w:r>
      <w:proofErr w:type="spellStart"/>
      <w:r w:rsidRPr="00151141">
        <w:rPr>
          <w:rFonts w:ascii="Book Antiqua" w:hAnsi="Book Antiqua"/>
        </w:rPr>
        <w:t>Donat</w:t>
      </w:r>
      <w:proofErr w:type="spellEnd"/>
      <w:r w:rsidRPr="00151141">
        <w:rPr>
          <w:rFonts w:ascii="Book Antiqua" w:hAnsi="Book Antiqua"/>
        </w:rPr>
        <w:t xml:space="preserve"> E, </w:t>
      </w:r>
      <w:proofErr w:type="spellStart"/>
      <w:r w:rsidRPr="00151141">
        <w:rPr>
          <w:rFonts w:ascii="Book Antiqua" w:hAnsi="Book Antiqua"/>
        </w:rPr>
        <w:t>Masip</w:t>
      </w:r>
      <w:proofErr w:type="spellEnd"/>
      <w:r w:rsidRPr="00151141">
        <w:rPr>
          <w:rFonts w:ascii="Book Antiqua" w:hAnsi="Book Antiqua"/>
        </w:rPr>
        <w:t xml:space="preserve"> E, Crespo Escobar P, </w:t>
      </w:r>
      <w:proofErr w:type="spellStart"/>
      <w:r w:rsidRPr="00151141">
        <w:rPr>
          <w:rFonts w:ascii="Book Antiqua" w:hAnsi="Book Antiqua"/>
        </w:rPr>
        <w:t>Fornes</w:t>
      </w:r>
      <w:proofErr w:type="spellEnd"/>
      <w:r w:rsidRPr="00151141">
        <w:rPr>
          <w:rFonts w:ascii="Book Antiqua" w:hAnsi="Book Antiqua"/>
        </w:rPr>
        <w:t>-Ferrer V, Polo B, Ribes-</w:t>
      </w:r>
      <w:proofErr w:type="spellStart"/>
      <w:r w:rsidRPr="00151141">
        <w:rPr>
          <w:rFonts w:ascii="Book Antiqua" w:hAnsi="Book Antiqua"/>
        </w:rPr>
        <w:t>Koninckx</w:t>
      </w:r>
      <w:proofErr w:type="spellEnd"/>
      <w:r w:rsidRPr="00151141">
        <w:rPr>
          <w:rFonts w:ascii="Book Antiqua" w:hAnsi="Book Antiqua"/>
        </w:rPr>
        <w:t xml:space="preserve"> C. Detection and quantification of gluten immunogenic peptides in feces of infants and their relationship with diet. </w:t>
      </w:r>
      <w:r w:rsidRPr="00151141">
        <w:rPr>
          <w:rFonts w:ascii="Book Antiqua" w:hAnsi="Book Antiqua"/>
          <w:i/>
          <w:iCs/>
        </w:rPr>
        <w:t xml:space="preserve">Rev </w:t>
      </w:r>
      <w:proofErr w:type="spellStart"/>
      <w:r w:rsidRPr="00151141">
        <w:rPr>
          <w:rFonts w:ascii="Book Antiqua" w:hAnsi="Book Antiqua"/>
          <w:i/>
          <w:iCs/>
        </w:rPr>
        <w:t>Esp</w:t>
      </w:r>
      <w:proofErr w:type="spellEnd"/>
      <w:r w:rsidRPr="00151141">
        <w:rPr>
          <w:rFonts w:ascii="Book Antiqua" w:hAnsi="Book Antiqua"/>
          <w:i/>
          <w:iCs/>
        </w:rPr>
        <w:t xml:space="preserve"> </w:t>
      </w:r>
      <w:proofErr w:type="spellStart"/>
      <w:r w:rsidRPr="00151141">
        <w:rPr>
          <w:rFonts w:ascii="Book Antiqua" w:hAnsi="Book Antiqua"/>
          <w:i/>
          <w:iCs/>
        </w:rPr>
        <w:t>Enferm</w:t>
      </w:r>
      <w:proofErr w:type="spellEnd"/>
      <w:r w:rsidRPr="00151141">
        <w:rPr>
          <w:rFonts w:ascii="Book Antiqua" w:hAnsi="Book Antiqua"/>
          <w:i/>
          <w:iCs/>
        </w:rPr>
        <w:t xml:space="preserve"> Dig</w:t>
      </w:r>
      <w:r w:rsidRPr="00151141">
        <w:rPr>
          <w:rFonts w:ascii="Book Antiqua" w:hAnsi="Book Antiqua"/>
        </w:rPr>
        <w:t xml:space="preserve"> 2019; </w:t>
      </w:r>
      <w:r w:rsidRPr="00151141">
        <w:rPr>
          <w:rFonts w:ascii="Book Antiqua" w:hAnsi="Book Antiqua"/>
          <w:b/>
          <w:bCs/>
        </w:rPr>
        <w:t>111</w:t>
      </w:r>
      <w:r w:rsidRPr="00151141">
        <w:rPr>
          <w:rFonts w:ascii="Book Antiqua" w:hAnsi="Book Antiqua"/>
        </w:rPr>
        <w:t>: 106-110 [PMID: 30318895 DOI: 10.17235/reed.2018.5549/2018]</w:t>
      </w:r>
    </w:p>
    <w:bookmarkEnd w:id="21"/>
    <w:p w14:paraId="6E6C9810" w14:textId="77777777" w:rsidR="00A77B3E" w:rsidRPr="00872E1D" w:rsidRDefault="00A77B3E" w:rsidP="00F10C3B">
      <w:pPr>
        <w:spacing w:line="360" w:lineRule="auto"/>
        <w:jc w:val="both"/>
        <w:rPr>
          <w:color w:val="000000" w:themeColor="text1"/>
        </w:rPr>
        <w:sectPr w:rsidR="00A77B3E" w:rsidRPr="00872E1D">
          <w:pgSz w:w="12240" w:h="15840"/>
          <w:pgMar w:top="1440" w:right="1440" w:bottom="1440" w:left="1440" w:header="720" w:footer="720" w:gutter="0"/>
          <w:cols w:space="720"/>
          <w:docGrid w:linePitch="360"/>
        </w:sectPr>
      </w:pPr>
    </w:p>
    <w:p w14:paraId="571295EC"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color w:val="000000" w:themeColor="text1"/>
        </w:rPr>
        <w:lastRenderedPageBreak/>
        <w:t>Footnotes</w:t>
      </w:r>
    </w:p>
    <w:p w14:paraId="7F0E5F2A"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bCs/>
          <w:color w:val="000000" w:themeColor="text1"/>
        </w:rPr>
        <w:t xml:space="preserve">Conflict-of-interest statement: </w:t>
      </w:r>
      <w:r w:rsidRPr="00872E1D">
        <w:rPr>
          <w:rFonts w:ascii="Book Antiqua" w:eastAsia="Book Antiqua" w:hAnsi="Book Antiqua" w:cs="Book Antiqua"/>
          <w:color w:val="000000" w:themeColor="text1"/>
        </w:rPr>
        <w:t>Angel Cebolla is the founder and current CEO of Biomedal S.L., Angel Cebolla and Carolina Sousa are inventors of the patent "Detecting gluten peptides in human fluids" (</w:t>
      </w:r>
      <w:r w:rsidRPr="002420DA">
        <w:rPr>
          <w:rFonts w:ascii="Book Antiqua" w:eastAsia="Book Antiqua" w:hAnsi="Book Antiqua" w:cs="Book Antiqua"/>
          <w:caps/>
          <w:color w:val="000000" w:themeColor="text1"/>
        </w:rPr>
        <w:t>n</w:t>
      </w:r>
      <w:r w:rsidRPr="00872E1D">
        <w:rPr>
          <w:rFonts w:ascii="Book Antiqua" w:eastAsia="Book Antiqua" w:hAnsi="Book Antiqua" w:cs="Book Antiqua"/>
          <w:color w:val="000000" w:themeColor="text1"/>
        </w:rPr>
        <w:t>o. WO/2016/005643), Laura Coto and Irati Mendia are employees at Biomedal S.L., Julio César Bai declares no conflict of interest.</w:t>
      </w:r>
    </w:p>
    <w:p w14:paraId="6565C5B1" w14:textId="77777777" w:rsidR="00A77B3E" w:rsidRPr="00872E1D" w:rsidRDefault="00A77B3E" w:rsidP="00F10C3B">
      <w:pPr>
        <w:spacing w:line="360" w:lineRule="auto"/>
        <w:jc w:val="both"/>
        <w:rPr>
          <w:color w:val="000000" w:themeColor="text1"/>
        </w:rPr>
      </w:pPr>
    </w:p>
    <w:p w14:paraId="0C5E05D3"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bCs/>
          <w:color w:val="000000" w:themeColor="text1"/>
        </w:rPr>
        <w:t xml:space="preserve">PRISMA 2009 Checklist statement: </w:t>
      </w:r>
      <w:r w:rsidRPr="00872E1D">
        <w:rPr>
          <w:rFonts w:ascii="Book Antiqua" w:eastAsia="Book Antiqua" w:hAnsi="Book Antiqua" w:cs="Book Antiqua"/>
          <w:color w:val="000000" w:themeColor="text1"/>
        </w:rPr>
        <w:t>The authors have read the PRISMA 2009 Checklist, and the manuscript was prepared and revised according to the PRISMA 2009 Checklist.</w:t>
      </w:r>
    </w:p>
    <w:p w14:paraId="0E12200F" w14:textId="77777777" w:rsidR="00A77B3E" w:rsidRPr="00872E1D" w:rsidRDefault="00A77B3E" w:rsidP="00F10C3B">
      <w:pPr>
        <w:spacing w:line="360" w:lineRule="auto"/>
        <w:jc w:val="both"/>
        <w:rPr>
          <w:color w:val="000000" w:themeColor="text1"/>
        </w:rPr>
      </w:pPr>
    </w:p>
    <w:p w14:paraId="68649FF6"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bCs/>
          <w:color w:val="000000" w:themeColor="text1"/>
        </w:rPr>
        <w:t xml:space="preserve">Open-Access: </w:t>
      </w:r>
      <w:r w:rsidRPr="00872E1D">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w:t>
      </w:r>
      <w:r w:rsidR="007C663B" w:rsidRPr="00872E1D">
        <w:rPr>
          <w:rFonts w:ascii="Book Antiqua" w:eastAsia="Book Antiqua" w:hAnsi="Book Antiqua" w:cs="Book Antiqua"/>
          <w:color w:val="000000" w:themeColor="text1"/>
        </w:rPr>
        <w:t>-</w:t>
      </w:r>
      <w:proofErr w:type="spellStart"/>
      <w:r w:rsidRPr="00872E1D">
        <w:rPr>
          <w:rFonts w:ascii="Book Antiqua" w:eastAsia="Book Antiqua" w:hAnsi="Book Antiqua" w:cs="Book Antiqua"/>
          <w:color w:val="000000" w:themeColor="text1"/>
        </w:rPr>
        <w:t>NonCommercial</w:t>
      </w:r>
      <w:proofErr w:type="spellEnd"/>
      <w:r w:rsidRPr="00872E1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598944" w14:textId="77777777" w:rsidR="00A77B3E" w:rsidRPr="00872E1D" w:rsidRDefault="00A77B3E" w:rsidP="00F10C3B">
      <w:pPr>
        <w:spacing w:line="360" w:lineRule="auto"/>
        <w:jc w:val="both"/>
        <w:rPr>
          <w:color w:val="000000" w:themeColor="text1"/>
        </w:rPr>
      </w:pPr>
    </w:p>
    <w:p w14:paraId="40F3DAEE"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color w:val="000000" w:themeColor="text1"/>
        </w:rPr>
        <w:t xml:space="preserve">Manuscript source: </w:t>
      </w:r>
      <w:r w:rsidRPr="00872E1D">
        <w:rPr>
          <w:rFonts w:ascii="Book Antiqua" w:eastAsia="Book Antiqua" w:hAnsi="Book Antiqua" w:cs="Book Antiqua"/>
          <w:color w:val="000000" w:themeColor="text1"/>
        </w:rPr>
        <w:t xml:space="preserve">Invited </w:t>
      </w:r>
      <w:r w:rsidR="002420DA" w:rsidRPr="00872E1D">
        <w:rPr>
          <w:rFonts w:ascii="Book Antiqua" w:eastAsia="Book Antiqua" w:hAnsi="Book Antiqua" w:cs="Book Antiqua"/>
          <w:color w:val="000000" w:themeColor="text1"/>
        </w:rPr>
        <w:t>ma</w:t>
      </w:r>
      <w:r w:rsidRPr="00872E1D">
        <w:rPr>
          <w:rFonts w:ascii="Book Antiqua" w:eastAsia="Book Antiqua" w:hAnsi="Book Antiqua" w:cs="Book Antiqua"/>
          <w:color w:val="000000" w:themeColor="text1"/>
        </w:rPr>
        <w:t>nuscript</w:t>
      </w:r>
    </w:p>
    <w:p w14:paraId="6622C595" w14:textId="77777777" w:rsidR="00A77B3E" w:rsidRPr="00872E1D" w:rsidRDefault="00A77B3E" w:rsidP="00F10C3B">
      <w:pPr>
        <w:spacing w:line="360" w:lineRule="auto"/>
        <w:jc w:val="both"/>
        <w:rPr>
          <w:color w:val="000000" w:themeColor="text1"/>
        </w:rPr>
      </w:pPr>
    </w:p>
    <w:p w14:paraId="5F02DF43"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color w:val="000000" w:themeColor="text1"/>
        </w:rPr>
        <w:t xml:space="preserve">Peer-review started: </w:t>
      </w:r>
      <w:r w:rsidRPr="00872E1D">
        <w:rPr>
          <w:rFonts w:ascii="Book Antiqua" w:eastAsia="Book Antiqua" w:hAnsi="Book Antiqua" w:cs="Book Antiqua"/>
          <w:color w:val="000000" w:themeColor="text1"/>
        </w:rPr>
        <w:t>March 22, 2021</w:t>
      </w:r>
    </w:p>
    <w:p w14:paraId="0C3BEA08"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color w:val="000000" w:themeColor="text1"/>
        </w:rPr>
        <w:t xml:space="preserve">First decision: </w:t>
      </w:r>
      <w:r w:rsidRPr="00872E1D">
        <w:rPr>
          <w:rFonts w:ascii="Book Antiqua" w:eastAsia="Book Antiqua" w:hAnsi="Book Antiqua" w:cs="Book Antiqua"/>
          <w:color w:val="000000" w:themeColor="text1"/>
        </w:rPr>
        <w:t>June 14, 2021</w:t>
      </w:r>
    </w:p>
    <w:p w14:paraId="718DDC77"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color w:val="000000" w:themeColor="text1"/>
        </w:rPr>
        <w:t xml:space="preserve">Article in press: </w:t>
      </w:r>
    </w:p>
    <w:p w14:paraId="6A4FBDD5" w14:textId="77777777" w:rsidR="00A77B3E" w:rsidRPr="00872E1D" w:rsidRDefault="00A77B3E" w:rsidP="00C104B4">
      <w:pPr>
        <w:pStyle w:val="MDPI14history"/>
      </w:pPr>
    </w:p>
    <w:p w14:paraId="10329748"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color w:val="000000" w:themeColor="text1"/>
        </w:rPr>
        <w:t xml:space="preserve">Specialty type: </w:t>
      </w:r>
      <w:r w:rsidRPr="00872E1D">
        <w:rPr>
          <w:rFonts w:ascii="Book Antiqua" w:eastAsia="Book Antiqua" w:hAnsi="Book Antiqua" w:cs="Book Antiqua"/>
          <w:color w:val="000000" w:themeColor="text1"/>
        </w:rPr>
        <w:t xml:space="preserve">Gastroenterology and </w:t>
      </w:r>
      <w:r w:rsidR="002420DA" w:rsidRPr="00872E1D">
        <w:rPr>
          <w:rFonts w:ascii="Book Antiqua" w:eastAsia="Book Antiqua" w:hAnsi="Book Antiqua" w:cs="Book Antiqua"/>
          <w:color w:val="000000" w:themeColor="text1"/>
        </w:rPr>
        <w:t>he</w:t>
      </w:r>
      <w:r w:rsidRPr="00872E1D">
        <w:rPr>
          <w:rFonts w:ascii="Book Antiqua" w:eastAsia="Book Antiqua" w:hAnsi="Book Antiqua" w:cs="Book Antiqua"/>
          <w:color w:val="000000" w:themeColor="text1"/>
        </w:rPr>
        <w:t>patology</w:t>
      </w:r>
    </w:p>
    <w:p w14:paraId="7FE26524" w14:textId="36FA6846"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color w:val="000000" w:themeColor="text1"/>
        </w:rPr>
        <w:t xml:space="preserve">Country/Territory of origin: </w:t>
      </w:r>
      <w:r w:rsidR="00FE3E31" w:rsidRPr="00FE3E31">
        <w:rPr>
          <w:rFonts w:ascii="Book Antiqua" w:eastAsia="Book Antiqua" w:hAnsi="Book Antiqua" w:cs="Book Antiqua"/>
          <w:color w:val="000000" w:themeColor="text1"/>
        </w:rPr>
        <w:t>Argentina</w:t>
      </w:r>
    </w:p>
    <w:p w14:paraId="2B4F1AED"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b/>
          <w:color w:val="000000" w:themeColor="text1"/>
        </w:rPr>
        <w:t>Peer-review report’s scientific quality classification</w:t>
      </w:r>
    </w:p>
    <w:p w14:paraId="14C8D1E3"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color w:val="000000" w:themeColor="text1"/>
        </w:rPr>
        <w:t>Grade A (Excellent): 0</w:t>
      </w:r>
    </w:p>
    <w:p w14:paraId="7728B87E"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color w:val="000000" w:themeColor="text1"/>
        </w:rPr>
        <w:lastRenderedPageBreak/>
        <w:t>Grade B (Very good): B, B</w:t>
      </w:r>
    </w:p>
    <w:p w14:paraId="703AC177"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color w:val="000000" w:themeColor="text1"/>
        </w:rPr>
        <w:t>Grade C (Good): 0</w:t>
      </w:r>
    </w:p>
    <w:p w14:paraId="191CF0A3"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color w:val="000000" w:themeColor="text1"/>
        </w:rPr>
        <w:t>Grade D (Fair): 0</w:t>
      </w:r>
    </w:p>
    <w:p w14:paraId="0648612E" w14:textId="77777777" w:rsidR="00A77B3E" w:rsidRPr="00872E1D" w:rsidRDefault="00B34737" w:rsidP="00F10C3B">
      <w:pPr>
        <w:spacing w:line="360" w:lineRule="auto"/>
        <w:jc w:val="both"/>
        <w:rPr>
          <w:color w:val="000000" w:themeColor="text1"/>
        </w:rPr>
      </w:pPr>
      <w:r w:rsidRPr="00872E1D">
        <w:rPr>
          <w:rFonts w:ascii="Book Antiqua" w:eastAsia="Book Antiqua" w:hAnsi="Book Antiqua" w:cs="Book Antiqua"/>
          <w:color w:val="000000" w:themeColor="text1"/>
        </w:rPr>
        <w:t>Grade E (Poor): 0</w:t>
      </w:r>
    </w:p>
    <w:p w14:paraId="21C4CB86" w14:textId="77777777" w:rsidR="00A77B3E" w:rsidRPr="00872E1D" w:rsidRDefault="00A77B3E" w:rsidP="00F10C3B">
      <w:pPr>
        <w:spacing w:line="360" w:lineRule="auto"/>
        <w:jc w:val="both"/>
        <w:rPr>
          <w:color w:val="000000" w:themeColor="text1"/>
        </w:rPr>
      </w:pPr>
    </w:p>
    <w:p w14:paraId="15C094CC" w14:textId="166EE7E2" w:rsidR="00A77B3E" w:rsidRDefault="00B34737" w:rsidP="00F10C3B">
      <w:pPr>
        <w:spacing w:line="360" w:lineRule="auto"/>
        <w:jc w:val="both"/>
        <w:rPr>
          <w:rFonts w:ascii="Book Antiqua" w:hAnsi="Book Antiqua" w:cs="Book Antiqua"/>
          <w:b/>
          <w:color w:val="000000" w:themeColor="text1"/>
          <w:lang w:eastAsia="zh-CN"/>
        </w:rPr>
      </w:pPr>
      <w:r w:rsidRPr="00872E1D">
        <w:rPr>
          <w:rFonts w:ascii="Book Antiqua" w:eastAsia="Book Antiqua" w:hAnsi="Book Antiqua" w:cs="Book Antiqua"/>
          <w:b/>
          <w:color w:val="000000" w:themeColor="text1"/>
        </w:rPr>
        <w:t xml:space="preserve">P-Reviewer: </w:t>
      </w:r>
      <w:proofErr w:type="spellStart"/>
      <w:r w:rsidRPr="00872E1D">
        <w:rPr>
          <w:rFonts w:ascii="Book Antiqua" w:eastAsia="Book Antiqua" w:hAnsi="Book Antiqua" w:cs="Book Antiqua"/>
          <w:color w:val="000000" w:themeColor="text1"/>
        </w:rPr>
        <w:t>Ciacci</w:t>
      </w:r>
      <w:proofErr w:type="spellEnd"/>
      <w:r w:rsidRPr="00872E1D">
        <w:rPr>
          <w:rFonts w:ascii="Book Antiqua" w:eastAsia="Book Antiqua" w:hAnsi="Book Antiqua" w:cs="Book Antiqua"/>
          <w:color w:val="000000" w:themeColor="text1"/>
        </w:rPr>
        <w:t xml:space="preserve"> C, Stein J</w:t>
      </w:r>
      <w:r w:rsidRPr="00872E1D">
        <w:rPr>
          <w:rFonts w:ascii="Book Antiqua" w:eastAsia="Book Antiqua" w:hAnsi="Book Antiqua" w:cs="Book Antiqua"/>
          <w:b/>
          <w:color w:val="000000" w:themeColor="text1"/>
        </w:rPr>
        <w:t xml:space="preserve"> S-Editor: </w:t>
      </w:r>
      <w:r w:rsidR="00FE3E31">
        <w:rPr>
          <w:rFonts w:ascii="Book Antiqua" w:eastAsia="Book Antiqua" w:hAnsi="Book Antiqua" w:cs="Book Antiqua"/>
          <w:color w:val="000000" w:themeColor="text1"/>
        </w:rPr>
        <w:t>Ma YJ</w:t>
      </w:r>
      <w:r w:rsidRPr="00872E1D">
        <w:rPr>
          <w:rFonts w:ascii="Book Antiqua" w:eastAsia="Book Antiqua" w:hAnsi="Book Antiqua" w:cs="Book Antiqua"/>
          <w:b/>
          <w:color w:val="000000" w:themeColor="text1"/>
        </w:rPr>
        <w:t xml:space="preserve"> L-Editor:  P-Editor: </w:t>
      </w:r>
    </w:p>
    <w:p w14:paraId="181903AB" w14:textId="77777777" w:rsidR="002420DA" w:rsidRDefault="002420DA" w:rsidP="00F10C3B">
      <w:pPr>
        <w:spacing w:line="360" w:lineRule="auto"/>
        <w:jc w:val="both"/>
        <w:rPr>
          <w:rFonts w:ascii="Book Antiqua" w:hAnsi="Book Antiqua" w:cs="Book Antiqua"/>
          <w:b/>
          <w:color w:val="000000" w:themeColor="text1"/>
          <w:lang w:eastAsia="zh-CN"/>
        </w:rPr>
      </w:pPr>
      <w:r>
        <w:rPr>
          <w:rFonts w:ascii="Book Antiqua" w:hAnsi="Book Antiqua" w:cs="Book Antiqua"/>
          <w:b/>
          <w:color w:val="000000" w:themeColor="text1"/>
          <w:lang w:eastAsia="zh-CN"/>
        </w:rPr>
        <w:br w:type="page"/>
      </w:r>
    </w:p>
    <w:p w14:paraId="12AE7B62" w14:textId="77777777" w:rsidR="002420DA" w:rsidRDefault="002420DA" w:rsidP="00F10C3B">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AC02449" w14:textId="77777777" w:rsidR="002420DA" w:rsidRDefault="002420DA" w:rsidP="00F10C3B">
      <w:pPr>
        <w:spacing w:line="360" w:lineRule="auto"/>
        <w:jc w:val="both"/>
        <w:rPr>
          <w:b/>
          <w:color w:val="000000" w:themeColor="text1"/>
          <w:lang w:eastAsia="zh-CN"/>
        </w:rPr>
      </w:pPr>
      <w:r>
        <w:rPr>
          <w:noProof/>
          <w:lang w:eastAsia="zh-CN"/>
        </w:rPr>
        <w:drawing>
          <wp:inline distT="0" distB="0" distL="0" distR="0" wp14:anchorId="0183ACDE" wp14:editId="338B7B8B">
            <wp:extent cx="5486400" cy="2495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486400" cy="2495550"/>
                    </a:xfrm>
                    <a:prstGeom prst="rect">
                      <a:avLst/>
                    </a:prstGeom>
                  </pic:spPr>
                </pic:pic>
              </a:graphicData>
            </a:graphic>
          </wp:inline>
        </w:drawing>
      </w:r>
    </w:p>
    <w:p w14:paraId="483CDB83" w14:textId="77777777" w:rsidR="007129C1" w:rsidRPr="003228FF" w:rsidRDefault="007129C1" w:rsidP="00F10C3B">
      <w:pPr>
        <w:spacing w:line="360" w:lineRule="auto"/>
        <w:jc w:val="both"/>
        <w:rPr>
          <w:rFonts w:ascii="Book Antiqua" w:hAnsi="Book Antiqua"/>
          <w:b/>
          <w:color w:val="000000" w:themeColor="text1"/>
          <w:lang w:eastAsia="zh-CN"/>
        </w:rPr>
      </w:pPr>
      <w:bookmarkStart w:id="24" w:name="OLE_LINK325"/>
      <w:bookmarkStart w:id="25" w:name="OLE_LINK326"/>
      <w:r w:rsidRPr="003228FF">
        <w:rPr>
          <w:rFonts w:ascii="Book Antiqua" w:hAnsi="Book Antiqua"/>
          <w:b/>
          <w:color w:val="000000" w:themeColor="text1"/>
          <w:lang w:eastAsia="zh-CN"/>
        </w:rPr>
        <w:t xml:space="preserve">Figure 1 </w:t>
      </w:r>
      <w:r w:rsidR="006336DF" w:rsidRPr="003228FF">
        <w:rPr>
          <w:rFonts w:ascii="Book Antiqua" w:hAnsi="Book Antiqua"/>
          <w:b/>
          <w:color w:val="000000" w:themeColor="text1"/>
          <w:lang w:eastAsia="zh-CN"/>
        </w:rPr>
        <w:t>Flow-chart of the publications search and selection.</w:t>
      </w:r>
    </w:p>
    <w:bookmarkEnd w:id="24"/>
    <w:bookmarkEnd w:id="25"/>
    <w:p w14:paraId="61BE0602" w14:textId="77777777" w:rsidR="003228FF" w:rsidRPr="003228FF" w:rsidRDefault="003228FF" w:rsidP="00F10C3B">
      <w:pPr>
        <w:spacing w:line="360" w:lineRule="auto"/>
        <w:jc w:val="both"/>
        <w:rPr>
          <w:rFonts w:ascii="Book Antiqua" w:hAnsi="Book Antiqua"/>
          <w:b/>
          <w:color w:val="000000" w:themeColor="text1"/>
          <w:lang w:eastAsia="zh-CN"/>
        </w:rPr>
      </w:pPr>
    </w:p>
    <w:p w14:paraId="51F95743" w14:textId="77777777" w:rsidR="003228FF" w:rsidRDefault="003228FF" w:rsidP="00F10C3B">
      <w:pPr>
        <w:spacing w:line="360" w:lineRule="auto"/>
        <w:jc w:val="both"/>
        <w:rPr>
          <w:b/>
          <w:color w:val="000000" w:themeColor="text1"/>
          <w:lang w:eastAsia="zh-CN"/>
        </w:rPr>
        <w:sectPr w:rsidR="003228FF" w:rsidSect="00C21EB5">
          <w:pgSz w:w="12242" w:h="15842" w:code="9"/>
          <w:pgMar w:top="1531" w:right="1418" w:bottom="1531" w:left="1077" w:header="1021" w:footer="851" w:gutter="0"/>
          <w:cols w:space="425"/>
          <w:docGrid w:type="linesAndChars" w:linePitch="326"/>
        </w:sectPr>
      </w:pPr>
    </w:p>
    <w:p w14:paraId="65958BB1" w14:textId="51115AC9" w:rsidR="007129C1" w:rsidRPr="007129C1" w:rsidRDefault="007129C1" w:rsidP="00F10C3B">
      <w:pPr>
        <w:spacing w:line="360" w:lineRule="auto"/>
        <w:jc w:val="both"/>
        <w:rPr>
          <w:b/>
          <w:color w:val="000000" w:themeColor="text1"/>
          <w:lang w:eastAsia="zh-CN"/>
        </w:rPr>
      </w:pPr>
      <w:r w:rsidRPr="00D275F9">
        <w:rPr>
          <w:rFonts w:ascii="Book Antiqua" w:hAnsi="Book Antiqua" w:cs="Arial"/>
          <w:b/>
          <w:bCs/>
        </w:rPr>
        <w:lastRenderedPageBreak/>
        <w:t>Table 1 Studies that have used gluten immunogenic peptides determination in stool and/or urine for gluten-free diet monitoring</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006"/>
        <w:gridCol w:w="1719"/>
        <w:gridCol w:w="1715"/>
        <w:gridCol w:w="3007"/>
        <w:gridCol w:w="6037"/>
      </w:tblGrid>
      <w:tr w:rsidR="007129C1" w:rsidRPr="00D275F9" w14:paraId="14312D89" w14:textId="77777777" w:rsidTr="007129C1">
        <w:trPr>
          <w:trHeight w:val="345"/>
        </w:trPr>
        <w:tc>
          <w:tcPr>
            <w:tcW w:w="692" w:type="pct"/>
            <w:tcBorders>
              <w:top w:val="single" w:sz="4" w:space="0" w:color="auto"/>
              <w:bottom w:val="single" w:sz="4" w:space="0" w:color="auto"/>
            </w:tcBorders>
            <w:shd w:val="clear" w:color="auto" w:fill="auto"/>
            <w:vAlign w:val="center"/>
            <w:hideMark/>
          </w:tcPr>
          <w:p w14:paraId="351CE3C9" w14:textId="77777777" w:rsidR="007129C1" w:rsidRPr="00D275F9" w:rsidRDefault="007129C1" w:rsidP="00F10C3B">
            <w:pPr>
              <w:spacing w:line="360" w:lineRule="auto"/>
              <w:jc w:val="both"/>
              <w:rPr>
                <w:rFonts w:ascii="Book Antiqua" w:hAnsi="Book Antiqua" w:cs="Calibri"/>
                <w:b/>
                <w:bCs/>
                <w:lang w:eastAsia="zh-CN"/>
              </w:rPr>
            </w:pPr>
            <w:r w:rsidRPr="00D275F9">
              <w:rPr>
                <w:rFonts w:ascii="Book Antiqua" w:hAnsi="Book Antiqua" w:cs="Arial"/>
                <w:b/>
                <w:bCs/>
                <w:lang w:eastAsia="zh-CN"/>
              </w:rPr>
              <w:t>Ref.</w:t>
            </w:r>
          </w:p>
        </w:tc>
        <w:tc>
          <w:tcPr>
            <w:tcW w:w="593" w:type="pct"/>
            <w:tcBorders>
              <w:top w:val="single" w:sz="4" w:space="0" w:color="auto"/>
              <w:bottom w:val="single" w:sz="4" w:space="0" w:color="auto"/>
            </w:tcBorders>
            <w:shd w:val="clear" w:color="auto" w:fill="auto"/>
            <w:vAlign w:val="center"/>
            <w:hideMark/>
          </w:tcPr>
          <w:p w14:paraId="305B71BC" w14:textId="77777777" w:rsidR="007129C1" w:rsidRPr="00D275F9" w:rsidRDefault="007129C1" w:rsidP="00F10C3B">
            <w:pPr>
              <w:spacing w:line="360" w:lineRule="auto"/>
              <w:jc w:val="both"/>
              <w:rPr>
                <w:rFonts w:ascii="Book Antiqua" w:hAnsi="Book Antiqua" w:cs="Arial"/>
                <w:b/>
                <w:bCs/>
                <w:lang w:eastAsia="es-ES"/>
              </w:rPr>
            </w:pPr>
            <w:r w:rsidRPr="00D275F9">
              <w:rPr>
                <w:rFonts w:ascii="Book Antiqua" w:hAnsi="Book Antiqua" w:cs="Arial"/>
                <w:b/>
                <w:bCs/>
                <w:lang w:eastAsia="es-ES"/>
              </w:rPr>
              <w:t>Design</w:t>
            </w:r>
          </w:p>
        </w:tc>
        <w:tc>
          <w:tcPr>
            <w:tcW w:w="592" w:type="pct"/>
            <w:tcBorders>
              <w:top w:val="single" w:sz="4" w:space="0" w:color="auto"/>
              <w:bottom w:val="single" w:sz="4" w:space="0" w:color="auto"/>
            </w:tcBorders>
            <w:shd w:val="clear" w:color="auto" w:fill="auto"/>
            <w:vAlign w:val="center"/>
            <w:hideMark/>
          </w:tcPr>
          <w:p w14:paraId="3F26F95C" w14:textId="77777777" w:rsidR="007129C1" w:rsidRPr="00D275F9" w:rsidRDefault="007129C1" w:rsidP="00F10C3B">
            <w:pPr>
              <w:spacing w:line="360" w:lineRule="auto"/>
              <w:jc w:val="both"/>
              <w:rPr>
                <w:rFonts w:ascii="Book Antiqua" w:hAnsi="Book Antiqua" w:cs="Arial"/>
                <w:b/>
                <w:bCs/>
                <w:lang w:eastAsia="es-ES"/>
              </w:rPr>
            </w:pPr>
            <w:r w:rsidRPr="00D275F9">
              <w:rPr>
                <w:rFonts w:ascii="Book Antiqua" w:hAnsi="Book Antiqua" w:cs="Arial"/>
                <w:b/>
                <w:bCs/>
                <w:lang w:eastAsia="es-ES"/>
              </w:rPr>
              <w:t>Study population</w:t>
            </w:r>
          </w:p>
        </w:tc>
        <w:tc>
          <w:tcPr>
            <w:tcW w:w="1038" w:type="pct"/>
            <w:tcBorders>
              <w:top w:val="single" w:sz="4" w:space="0" w:color="auto"/>
              <w:bottom w:val="single" w:sz="4" w:space="0" w:color="auto"/>
            </w:tcBorders>
            <w:shd w:val="clear" w:color="auto" w:fill="auto"/>
            <w:vAlign w:val="center"/>
            <w:hideMark/>
          </w:tcPr>
          <w:p w14:paraId="553923E0" w14:textId="77777777" w:rsidR="007129C1" w:rsidRPr="00D275F9" w:rsidRDefault="007129C1" w:rsidP="00F10C3B">
            <w:pPr>
              <w:spacing w:line="360" w:lineRule="auto"/>
              <w:jc w:val="both"/>
              <w:rPr>
                <w:rFonts w:ascii="Book Antiqua" w:hAnsi="Book Antiqua" w:cs="Arial"/>
                <w:b/>
                <w:bCs/>
                <w:lang w:eastAsia="es-ES"/>
              </w:rPr>
            </w:pPr>
            <w:r w:rsidRPr="00D275F9">
              <w:rPr>
                <w:rFonts w:ascii="Book Antiqua" w:hAnsi="Book Antiqua" w:cs="Arial"/>
                <w:b/>
                <w:bCs/>
                <w:lang w:eastAsia="es-ES"/>
              </w:rPr>
              <w:t>Intervention</w:t>
            </w:r>
          </w:p>
        </w:tc>
        <w:tc>
          <w:tcPr>
            <w:tcW w:w="2084" w:type="pct"/>
            <w:tcBorders>
              <w:top w:val="single" w:sz="4" w:space="0" w:color="auto"/>
              <w:bottom w:val="single" w:sz="4" w:space="0" w:color="auto"/>
            </w:tcBorders>
            <w:shd w:val="clear" w:color="auto" w:fill="auto"/>
            <w:vAlign w:val="center"/>
            <w:hideMark/>
          </w:tcPr>
          <w:p w14:paraId="0C221FF8" w14:textId="77777777" w:rsidR="007129C1" w:rsidRPr="00D275F9" w:rsidRDefault="007129C1" w:rsidP="00F10C3B">
            <w:pPr>
              <w:spacing w:line="360" w:lineRule="auto"/>
              <w:jc w:val="both"/>
              <w:rPr>
                <w:rFonts w:ascii="Book Antiqua" w:hAnsi="Book Antiqua" w:cs="Arial"/>
                <w:b/>
                <w:bCs/>
                <w:lang w:eastAsia="es-ES"/>
              </w:rPr>
            </w:pPr>
            <w:r w:rsidRPr="00D275F9">
              <w:rPr>
                <w:rFonts w:ascii="Book Antiqua" w:hAnsi="Book Antiqua" w:cs="Arial"/>
                <w:b/>
                <w:bCs/>
                <w:lang w:eastAsia="es-ES"/>
              </w:rPr>
              <w:t>Main results</w:t>
            </w:r>
          </w:p>
        </w:tc>
      </w:tr>
      <w:tr w:rsidR="007129C1" w:rsidRPr="00D275F9" w14:paraId="7FF5B139" w14:textId="77777777" w:rsidTr="007129C1">
        <w:trPr>
          <w:trHeight w:val="1130"/>
        </w:trPr>
        <w:tc>
          <w:tcPr>
            <w:tcW w:w="692" w:type="pct"/>
            <w:tcBorders>
              <w:top w:val="single" w:sz="4" w:space="0" w:color="auto"/>
            </w:tcBorders>
            <w:shd w:val="clear" w:color="auto" w:fill="auto"/>
            <w:vAlign w:val="center"/>
            <w:hideMark/>
          </w:tcPr>
          <w:p w14:paraId="3DAC9C57"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Arial"/>
                <w:lang w:eastAsia="es-ES"/>
              </w:rPr>
              <w:t xml:space="preserve">Comino </w:t>
            </w:r>
            <w:r w:rsidR="006E5332" w:rsidRPr="006E5332">
              <w:rPr>
                <w:rFonts w:ascii="Book Antiqua" w:hAnsi="Book Antiqua" w:cs="Arial"/>
                <w:i/>
                <w:lang w:eastAsia="es-ES"/>
              </w:rPr>
              <w:t>et al</w:t>
            </w:r>
            <w:r w:rsidR="00C3458C" w:rsidRPr="00D275F9">
              <w:rPr>
                <w:rFonts w:ascii="Book Antiqua" w:hAnsi="Book Antiqua" w:cs="Arial"/>
                <w:lang w:eastAsia="es-ES"/>
              </w:rPr>
              <w:fldChar w:fldCharType="begin" w:fldLock="1"/>
            </w:r>
            <w:r w:rsidRPr="00D275F9">
              <w:rPr>
                <w:rFonts w:ascii="Book Antiqua" w:hAnsi="Book Antiqua" w:cs="Arial"/>
                <w:lang w:eastAsia="es-ES"/>
              </w:rPr>
              <w:instrText>ADDIN CSL_CITATION {"citationItems":[{"id":"ITEM-1","itemData":{"DOI":"10.1038/ajg.2016.439","ISBN":"0002-9270","ISSN":"0002-9270","PMID":"27644734","abstract":"OBJECTIVES Treatment for celiac disease (CD) is a lifelong strict gluten-free diet (GFD). Patients should be followed-up with dietary interviews and serology as CD markers to ensure adherence to the diet. However, none of these methods offer an accurate measure of dietary compliance. Our aim was to evaluate the measurement of gluten immunogenic peptides (GIP) in stools as a marker of GFD adherence in CD patients and compare it with traditional methods of GFD monitoring. METHODS We performed a prospective, nonrandomized, multicenter study including 188 CD patients on GFD and 84 healthy controls. Subjects were given a dietary questionnaire and fecal GIP quantified by enzyme-linked immunosorbent assay (ELISA). Serological anti-tissue transglutaminase (anti-tTG) IgA and anti-deamidated gliadin peptide (anti-DGP) IgA antibodies were measured simultaneously. RESULTS Of the 188 celiac patients, 56 (29.8%) had detectable GIP levels in stools. There was significant association between age and GIP in stools that revealed increasing dietary transgressions with advancing age (39.2% in subjects ≥13 years old) and with gender in certain age groups (60% in men ≥13 years old). No association was found between fecal GIP and dietary questionnaire or anti-tTG antibodies. However, association was detected between GIP and anti-DGP antibodies, although 46 of the 53 GIP stool-positive patients were negative for anti-DGP. CONCLUSIONS Detection of gluten peptides in stools reveals limitations of traditional methods for monitoring GFD in celiac patients. The GIP ELISA enables direct and quantitative assessment of gluten exposure early after ingestion and could aid in the diagnosis and clinical management of nonresponsive CD and refractory CD. Trial registration number NCT02711397.Am J Gastroenterol advance online publication, 20 September 2016; doi:10.1038/ajg.2016.439.","author":[{"dropping-particle":"","family":"Comino","given":"Isabel","non-dropping-particle":"","parse-names":false,"suffix":""},{"dropping-particle":"","family":"Fernández-Bañares","given":"Fernando","non-dropping-particle":"","parse-names":false,"suffix":""},{"dropping-particle":"","family":"Esteve","given":"María","non-dropping-particle":"","parse-names":false,"suffix":""},{"dropping-particle":"","family":"Ortigosa","given":"Luís","non-dropping-particle":"","parse-names":false,"suffix":""},{"dropping-particle":"","family":"Castillejo","given":"Gemma","non-dropping-particle":"","parse-names":false,"suffix":""},{"dropping-particle":"","family":"Fambuena","given":"Blanca","non-dropping-particle":"","parse-names":false,"suffix":""},{"dropping-particle":"","family":"Ribes-Koninckx","given":"Carmen","non-dropping-particle":"","parse-names":false,"suffix":""},{"dropping-particle":"","family":"Sierra","given":"Carlos","non-dropping-particle":"","parse-names":false,"suffix":""},{"dropping-particle":"","family":"Rodríguez-Herrera","given":"Alfonso","non-dropping-particle":"","parse-names":false,"suffix":""},{"dropping-particle":"","family":"Salazar","given":"José Carlos","non-dropping-particle":"","parse-names":false,"suffix":""},{"dropping-particle":"","family":"Caunedo","given":"Ángel","non-dropping-particle":"","parse-names":false,"suffix":""},{"dropping-particle":"","family":"Marugán-Miguelsanz","given":"J. M.","non-dropping-particle":"","parse-names":false,"suffix":""},{"dropping-particle":"","family":"Garrote","given":"José Antonio","non-dropping-particle":"","parse-names":false,"suffix":""},{"dropping-particle":"","family":"Vivas","given":"Santiago","non-dropping-particle":"","parse-names":false,"suffix":""},{"dropping-particle":"","family":"Iacono","given":"Oreste","non-dropping-particle":"lo","parse-names":false,"suffix":""},{"dropping-particle":"","family":"Nuñez","given":"Alejandro","non-dropping-particle":"","parse-names":false,"suffix":""},{"dropping-particle":"","family":"Vaquero","given":"Luis","non-dropping-particle":"","parse-names":false,"suffix":""},{"dropping-particle":"","family":"Vegas","given":"Ana María","non-dropping-particle":"","parse-names":false,"suffix":""},{"dropping-particle":"","family":"Crespo","given":"Laura","non-dropping-particle":"","parse-names":false,"suffix":""},{"dropping-particle":"","family":"Fernández-Salazar","given":"Luis","non-dropping-particle":"","parse-names":false,"suffix":""},{"dropping-particle":"","family":"Arranz","given":"Eduardo","non-dropping-particle":"","parse-names":false,"suffix":""},{"dropping-particle":"","family":"Jiménez-García","given":"Victoria Alejandra","non-dropping-particle":"","parse-names":false,"suffix":""},{"dropping-particle":"","family":"Montes-Cano","given":"Marco Antonio","non-dropping-particle":"","parse-names":false,"suffix":""},{"dropping-particle":"","family":"Espín","given":"Beatriz","non-dropping-particle":"","parse-names":false,"suffix":""},{"dropping-particle":"","family":"Galera","given":"Ana","non-dropping-particle":"","parse-names":false,"suffix":""},{"dropping-particle":"","family":"Valverde","given":"Justo","non-dropping-particle":"","parse-names":false,"suffix":""},{"dropping-particle":"","family":"Girón","given":"Francisco José","non-dropping-particle":"","parse-names":false,"suffix":""},{"dropping-particle":"","family":"Bolonio","given":"Miguel","non-dropping-particle":"","parse-names":false,"suffix":""},{"dropping-particle":"","family":"Millán","given":"Antonio","non-dropping-particle":"","parse-names":false,"suffix":""},{"dropping-particle":"","family":"Cerezo","given":"Francesc Martínez","non-dropping-particle":"","parse-names":false,"suffix":""},{"dropping-particle":"","family":"Guajardo","given":"César","non-dropping-particle":"","parse-names":false,"suffix":""},{"dropping-particle":"","family":"Alberto","given":"José Ramón","non-dropping-particle":"","parse-names":false,"suffix":""},{"dropping-particle":"","family":"Rosinach","given":"Mercé","non-dropping-particle":"","parse-names":false,"suffix":""},{"dropping-particle":"","family":"Segura","given":"Verónica","non-dropping-particle":"","parse-names":false,"suffix":""},{"dropping-particle":"","family":"León","given":"Francisco","non-dropping-particle":"","parse-names":false,"suffix":""},{"dropping-particle":"","family":"Marinich","given":"Jorge","non-dropping-particle":"","parse-names":false,"suffix":""},{"dropping-particle":"","family":"Muñoz-Suano","given":"Alba","non-dropping-particle":"","parse-names":false,"suffix":""},{"dropping-particle":"","family":"Romero-Gómez","given":"Manuel","non-dropping-particle":"","parse-names":false,"suffix":""},{"dropping-particle":"","family":"Cebolla","given":"Ángel","non-dropping-particle":"","parse-names":false,"suffix":""},{"dropping-particle":"","family":"Sousa","given":"Carolina","non-dropping-particle":"","parse-names":false,"suffix":""}],"container-title":"American Journal of Gastroenterology","id":"ITEM-1","issue":"10","issued":{"date-parts":[["2016","10"]]},"page":"1456-1465","publisher":"Nature Publishing Group","title":"Fecal Gluten Peptides Reveal Limitations of Serological Tests and Food Questionnaires for Monitoring Gluten-Free Diet in Celiac Disease Patients","type":"article-journal","volume":"111"},"uris":["http://www.mendeley.com/documents/?uuid=3478f07b-4c40-4439-8743-ee974ac0b3b9"]}],"mendeley":{"formattedCitation":"&lt;sup&gt;[8]&lt;/sup&gt;","plainTextFormattedCitation":"[8]","previouslyFormattedCitation":"&lt;sup&gt;[8]&lt;/sup&gt;"},"properties":{"noteIndex":0},"schema":"https://github.com/citation-style-language/schema/raw/master/csl-citation.json"}</w:instrText>
            </w:r>
            <w:r w:rsidR="00C3458C" w:rsidRPr="00D275F9">
              <w:rPr>
                <w:rFonts w:ascii="Book Antiqua" w:hAnsi="Book Antiqua" w:cs="Arial"/>
                <w:lang w:eastAsia="es-ES"/>
              </w:rPr>
              <w:fldChar w:fldCharType="separate"/>
            </w:r>
            <w:r w:rsidRPr="00D275F9">
              <w:rPr>
                <w:rFonts w:ascii="Book Antiqua" w:hAnsi="Book Antiqua" w:cs="Arial"/>
                <w:noProof/>
                <w:vertAlign w:val="superscript"/>
                <w:lang w:eastAsia="es-ES"/>
              </w:rPr>
              <w:t>[8]</w:t>
            </w:r>
            <w:r w:rsidR="00C3458C" w:rsidRPr="00D275F9">
              <w:rPr>
                <w:rFonts w:ascii="Book Antiqua" w:hAnsi="Book Antiqua" w:cs="Arial"/>
                <w:lang w:eastAsia="es-ES"/>
              </w:rPr>
              <w:fldChar w:fldCharType="end"/>
            </w:r>
          </w:p>
        </w:tc>
        <w:tc>
          <w:tcPr>
            <w:tcW w:w="593" w:type="pct"/>
            <w:tcBorders>
              <w:top w:val="single" w:sz="4" w:space="0" w:color="auto"/>
            </w:tcBorders>
            <w:shd w:val="clear" w:color="auto" w:fill="auto"/>
            <w:vAlign w:val="center"/>
            <w:hideMark/>
          </w:tcPr>
          <w:p w14:paraId="21F67898"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Prospective, multicenter, observational study</w:t>
            </w:r>
          </w:p>
        </w:tc>
        <w:tc>
          <w:tcPr>
            <w:tcW w:w="592" w:type="pct"/>
            <w:tcBorders>
              <w:top w:val="single" w:sz="4" w:space="0" w:color="auto"/>
            </w:tcBorders>
            <w:shd w:val="clear" w:color="auto" w:fill="auto"/>
            <w:vAlign w:val="center"/>
            <w:hideMark/>
          </w:tcPr>
          <w:p w14:paraId="077D2189"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Arial"/>
                <w:lang w:eastAsia="es-ES"/>
              </w:rPr>
              <w:t>184 adult and pediatric CeD patients</w:t>
            </w:r>
          </w:p>
        </w:tc>
        <w:tc>
          <w:tcPr>
            <w:tcW w:w="1038" w:type="pct"/>
            <w:tcBorders>
              <w:top w:val="single" w:sz="4" w:space="0" w:color="auto"/>
            </w:tcBorders>
            <w:shd w:val="clear" w:color="auto" w:fill="auto"/>
            <w:vAlign w:val="center"/>
            <w:hideMark/>
          </w:tcPr>
          <w:p w14:paraId="667C2EBA"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Arial"/>
                <w:lang w:eastAsia="es-ES"/>
              </w:rPr>
              <w:t xml:space="preserve">Fecal GIP ELISA, serology, questionnaires, and symptoms to evaluate adherence to the GFD </w:t>
            </w:r>
          </w:p>
        </w:tc>
        <w:tc>
          <w:tcPr>
            <w:tcW w:w="2084" w:type="pct"/>
            <w:tcBorders>
              <w:top w:val="single" w:sz="4" w:space="0" w:color="auto"/>
            </w:tcBorders>
            <w:shd w:val="clear" w:color="auto" w:fill="auto"/>
            <w:vAlign w:val="center"/>
            <w:hideMark/>
          </w:tcPr>
          <w:p w14:paraId="45198AFC" w14:textId="77777777" w:rsidR="007129C1" w:rsidRPr="00D275F9" w:rsidRDefault="007129C1" w:rsidP="00F10C3B">
            <w:pPr>
              <w:spacing w:line="360" w:lineRule="auto"/>
              <w:jc w:val="both"/>
              <w:rPr>
                <w:rFonts w:ascii="Book Antiqua" w:hAnsi="Book Antiqua" w:cs="Calibri"/>
                <w:lang w:eastAsia="zh-CN"/>
              </w:rPr>
            </w:pPr>
            <w:r w:rsidRPr="00D275F9">
              <w:rPr>
                <w:rFonts w:ascii="Book Antiqua" w:hAnsi="Book Antiqua" w:cs="Arial"/>
                <w:lang w:eastAsia="es-ES"/>
              </w:rPr>
              <w:t>GIP-positive results were found in 12</w:t>
            </w:r>
            <w:r>
              <w:rPr>
                <w:rFonts w:ascii="Book Antiqua" w:hAnsi="Book Antiqua" w:cs="Arial" w:hint="eastAsia"/>
                <w:lang w:eastAsia="zh-CN"/>
              </w:rPr>
              <w:t>%</w:t>
            </w:r>
            <w:r w:rsidRPr="00D275F9">
              <w:rPr>
                <w:rFonts w:ascii="Book Antiqua" w:hAnsi="Book Antiqua" w:cs="Arial"/>
                <w:lang w:eastAsia="es-ES"/>
              </w:rPr>
              <w:t>-28% of children &lt;</w:t>
            </w:r>
            <w:r>
              <w:rPr>
                <w:rFonts w:ascii="Book Antiqua" w:hAnsi="Book Antiqua" w:cs="Arial" w:hint="eastAsia"/>
                <w:lang w:eastAsia="zh-CN"/>
              </w:rPr>
              <w:t xml:space="preserve"> </w:t>
            </w:r>
            <w:r w:rsidRPr="00D275F9">
              <w:rPr>
                <w:rFonts w:ascii="Book Antiqua" w:hAnsi="Book Antiqua" w:cs="Arial"/>
                <w:lang w:eastAsia="es-ES"/>
              </w:rPr>
              <w:t>12 years-old), 30% in &gt;</w:t>
            </w:r>
            <w:r>
              <w:rPr>
                <w:rFonts w:ascii="Book Antiqua" w:hAnsi="Book Antiqua" w:cs="Arial" w:hint="eastAsia"/>
                <w:lang w:eastAsia="zh-CN"/>
              </w:rPr>
              <w:t xml:space="preserve"> </w:t>
            </w:r>
            <w:r w:rsidRPr="00D275F9">
              <w:rPr>
                <w:rFonts w:ascii="Book Antiqua" w:hAnsi="Book Antiqua" w:cs="Arial"/>
                <w:lang w:eastAsia="es-ES"/>
              </w:rPr>
              <w:t>13 years-old females and 60% in &gt;</w:t>
            </w:r>
            <w:r>
              <w:rPr>
                <w:rFonts w:ascii="Book Antiqua" w:hAnsi="Book Antiqua" w:cs="Arial" w:hint="eastAsia"/>
                <w:lang w:eastAsia="zh-CN"/>
              </w:rPr>
              <w:t xml:space="preserve"> </w:t>
            </w:r>
            <w:r w:rsidRPr="00D275F9">
              <w:rPr>
                <w:rFonts w:ascii="Book Antiqua" w:hAnsi="Book Antiqua" w:cs="Arial"/>
                <w:lang w:eastAsia="es-ES"/>
              </w:rPr>
              <w:t>13 years-old males. Low correlation of anti-tTG and anti-DGP markers and poor adherence to the GFD</w:t>
            </w:r>
          </w:p>
        </w:tc>
      </w:tr>
      <w:tr w:rsidR="007129C1" w:rsidRPr="00D275F9" w14:paraId="51112317" w14:textId="77777777" w:rsidTr="007129C1">
        <w:trPr>
          <w:trHeight w:val="1474"/>
        </w:trPr>
        <w:tc>
          <w:tcPr>
            <w:tcW w:w="692" w:type="pct"/>
            <w:shd w:val="clear" w:color="auto" w:fill="auto"/>
            <w:vAlign w:val="center"/>
            <w:hideMark/>
          </w:tcPr>
          <w:p w14:paraId="0F9CC315"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Arial"/>
                <w:lang w:eastAsia="es-ES"/>
              </w:rPr>
              <w:t xml:space="preserve">Moreno </w:t>
            </w:r>
            <w:r w:rsidR="006E5332" w:rsidRPr="006E5332">
              <w:rPr>
                <w:rFonts w:ascii="Book Antiqua" w:hAnsi="Book Antiqua" w:cs="Arial"/>
                <w:i/>
                <w:lang w:eastAsia="es-ES"/>
              </w:rPr>
              <w:t>et al</w:t>
            </w:r>
            <w:r w:rsidR="00C3458C" w:rsidRPr="00D275F9">
              <w:rPr>
                <w:rFonts w:ascii="Book Antiqua" w:hAnsi="Book Antiqua" w:cs="Arial"/>
                <w:lang w:eastAsia="es-ES"/>
              </w:rPr>
              <w:fldChar w:fldCharType="begin" w:fldLock="1"/>
            </w:r>
            <w:r w:rsidRPr="00D275F9">
              <w:rPr>
                <w:rFonts w:ascii="Book Antiqua" w:hAnsi="Book Antiqua" w:cs="Arial"/>
                <w:lang w:eastAsia="es-ES"/>
              </w:rPr>
              <w:instrText>ADDIN CSL_CITATION {"citationItems":[{"id":"ITEM-1","itemData":{"DOI":"10.1136/gutjnl-2015-310148","ISBN":"1468-3288 (Electronic)\\r0017-5749 (Linking)","ISSN":"1468-3288","PMID":"26608460","abstract":"OBJECTIVE Gluten-free diet (GFD) is the only management for coeliac disease (CD). Available methods to assess GFD compliance are insufficiently sensitive to detect occasional dietary transgressions that may cause gut mucosal damage. We aimed to develop a method to determine gluten intake and monitor GFD compliance in patients with CD and to evaluate its correlation with mucosal damage. DESIGN Urine samples of 76 healthy subjects and 58 patients with CD subjected to different gluten dietary conditions were collected. A lateral flow test (LFT) with the highly sensitive and specific G12 monoclonal antibody for the most dominant gluten immunogenic peptides (GIP) and a LFT reader were used to quantify GIP in solid-phase extracted urines. RESULTS GIP were detectable in concentrated urines from healthy individuals previously subjected to GFD as early as 4-6 h after single gluten intake, and remained detectable for 1-2 days. The urine assay revealed infringement of the GFD in about 50% of the patients. Analysis of duodenal biopsies revealed that most of patients with CD (89%) with no villous atrophy had no detectable GIP in urine, while all patients with quantifiable GIP in urine showed incomplete intestinal mucosa recovery. CONCLUSION GIP are detected in urine after gluten consumption, enabling a new and non-invasive method to monitor GFD compliance and transgressions. The method was sensitive, specific and simple enough to be convenient for clinical monitoring of patients with CD as well as for basic and clinical research applications including drug development. TRIAL REGISTRATION NUMBER NCT02344758.","author":[{"dropping-particle":"","family":"Moreno","given":"María De Lourdes","non-dropping-particle":"","parse-names":false,"suffix":""},{"dropping-particle":"","family":"Cebolla","given":"Ángel","non-dropping-particle":"","parse-names":false,"suffix":""},{"dropping-particle":"","family":"Muñoz-Suano","given":"Alba","non-dropping-particle":"","parse-names":false,"suffix":""},{"dropping-particle":"","family":"Carrillo-Carrion","given":"Carolina","non-dropping-particle":"","parse-names":false,"suffix":""},{"dropping-particle":"","family":"Comino","given":"Isabel","non-dropping-particle":"","parse-names":false,"suffix":""},{"dropping-particle":"","family":"Pizarro","given":"Ángeles","non-dropping-particle":"","parse-names":false,"suffix":""},{"dropping-particle":"","family":"León","given":"Francisco","non-dropping-particle":"","parse-names":false,"suffix":""},{"dropping-particle":"","family":"Rodríguez-Herrera","given":"Alfonso","non-dropping-particle":"","parse-names":false,"suffix":""},{"dropping-particle":"","family":"Sousa","given":"Carolina","non-dropping-particle":"","parse-names":false,"suffix":""}],"container-title":"Gut","id":"ITEM-1","issue":"2","issued":{"date-parts":[["2017","2"]]},"page":"250-257","title":"Detection of gluten immunogenic peptides in the urine of patients with coeliac disease reveals transgressions in the gluten-free diet and incomplete mucosal healing.","type":"article-journal","volume":"66"},"uris":["http://www.mendeley.com/documents/?uuid=cd06bb39-9fca-4ef3-b4f8-ca582b130e91"]}],"mendeley":{"formattedCitation":"&lt;sup&gt;[9]&lt;/sup&gt;","plainTextFormattedCitation":"[9]","previouslyFormattedCitation":"&lt;sup&gt;[9]&lt;/sup&gt;"},"properties":{"noteIndex":0},"schema":"https://github.com/citation-style-language/schema/raw/master/csl-citation.json"}</w:instrText>
            </w:r>
            <w:r w:rsidR="00C3458C" w:rsidRPr="00D275F9">
              <w:rPr>
                <w:rFonts w:ascii="Book Antiqua" w:hAnsi="Book Antiqua" w:cs="Arial"/>
                <w:lang w:eastAsia="es-ES"/>
              </w:rPr>
              <w:fldChar w:fldCharType="separate"/>
            </w:r>
            <w:r w:rsidRPr="00D275F9">
              <w:rPr>
                <w:rFonts w:ascii="Book Antiqua" w:hAnsi="Book Antiqua" w:cs="Arial"/>
                <w:noProof/>
                <w:vertAlign w:val="superscript"/>
                <w:lang w:eastAsia="es-ES"/>
              </w:rPr>
              <w:t>[9]</w:t>
            </w:r>
            <w:r w:rsidR="00C3458C" w:rsidRPr="00D275F9">
              <w:rPr>
                <w:rFonts w:ascii="Book Antiqua" w:hAnsi="Book Antiqua" w:cs="Arial"/>
                <w:lang w:eastAsia="es-ES"/>
              </w:rPr>
              <w:fldChar w:fldCharType="end"/>
            </w:r>
          </w:p>
        </w:tc>
        <w:tc>
          <w:tcPr>
            <w:tcW w:w="593" w:type="pct"/>
            <w:shd w:val="clear" w:color="auto" w:fill="auto"/>
            <w:vAlign w:val="center"/>
            <w:hideMark/>
          </w:tcPr>
          <w:p w14:paraId="0BF4BB59"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Randomized controlled study</w:t>
            </w:r>
          </w:p>
        </w:tc>
        <w:tc>
          <w:tcPr>
            <w:tcW w:w="592" w:type="pct"/>
            <w:shd w:val="clear" w:color="auto" w:fill="auto"/>
            <w:vAlign w:val="center"/>
            <w:hideMark/>
          </w:tcPr>
          <w:p w14:paraId="46C3FA15" w14:textId="77777777" w:rsidR="007129C1" w:rsidRPr="00D275F9" w:rsidRDefault="007129C1" w:rsidP="00F10C3B">
            <w:pPr>
              <w:spacing w:line="360" w:lineRule="auto"/>
              <w:jc w:val="both"/>
              <w:rPr>
                <w:rFonts w:ascii="Book Antiqua" w:hAnsi="Book Antiqua" w:cs="Arial"/>
                <w:highlight w:val="yellow"/>
                <w:lang w:eastAsia="es-ES"/>
              </w:rPr>
            </w:pPr>
            <w:r w:rsidRPr="00D275F9">
              <w:rPr>
                <w:rFonts w:ascii="Book Antiqua" w:hAnsi="Book Antiqua" w:cs="Arial"/>
                <w:lang w:eastAsia="es-ES"/>
              </w:rPr>
              <w:t>58 adult and pediatric CeD patients and 76 healthy controls</w:t>
            </w:r>
          </w:p>
        </w:tc>
        <w:tc>
          <w:tcPr>
            <w:tcW w:w="1038" w:type="pct"/>
            <w:shd w:val="clear" w:color="auto" w:fill="auto"/>
            <w:vAlign w:val="center"/>
            <w:hideMark/>
          </w:tcPr>
          <w:p w14:paraId="675DCCAC"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Arial"/>
                <w:lang w:eastAsia="es-ES"/>
              </w:rPr>
              <w:t>Urine GIP LFIA test, serology, and duodenal biopsy to evaluate adherence to the GFD</w:t>
            </w:r>
          </w:p>
        </w:tc>
        <w:tc>
          <w:tcPr>
            <w:tcW w:w="2084" w:type="pct"/>
            <w:shd w:val="clear" w:color="auto" w:fill="auto"/>
            <w:vAlign w:val="center"/>
            <w:hideMark/>
          </w:tcPr>
          <w:p w14:paraId="1481C28C" w14:textId="77777777" w:rsidR="007129C1" w:rsidRPr="00D275F9" w:rsidRDefault="007129C1" w:rsidP="00F10C3B">
            <w:pPr>
              <w:spacing w:line="360" w:lineRule="auto"/>
              <w:jc w:val="both"/>
              <w:rPr>
                <w:rFonts w:ascii="Book Antiqua" w:hAnsi="Book Antiqua" w:cs="Calibri"/>
                <w:lang w:eastAsia="zh-CN"/>
              </w:rPr>
            </w:pPr>
            <w:r w:rsidRPr="00D275F9">
              <w:rPr>
                <w:rFonts w:ascii="Book Antiqua" w:hAnsi="Book Antiqua" w:cs="Arial"/>
                <w:lang w:eastAsia="es-ES"/>
              </w:rPr>
              <w:t>About 50% CeD patients were GIP-positive. High correlation of GIP quantifiable concentration in urine with persistent villus atrophy in treated CeD patients (</w:t>
            </w:r>
            <w:r w:rsidRPr="007129C1">
              <w:rPr>
                <w:rFonts w:ascii="Book Antiqua" w:hAnsi="Book Antiqua" w:cs="Arial"/>
                <w:i/>
                <w:lang w:eastAsia="es-ES"/>
              </w:rPr>
              <w:t>n</w:t>
            </w:r>
            <w:r>
              <w:rPr>
                <w:rFonts w:ascii="Book Antiqua" w:hAnsi="Book Antiqua" w:cs="Arial" w:hint="eastAsia"/>
                <w:lang w:eastAsia="zh-CN"/>
              </w:rPr>
              <w:t xml:space="preserve"> </w:t>
            </w:r>
            <w:r w:rsidRPr="00D275F9">
              <w:rPr>
                <w:rFonts w:ascii="Book Antiqua" w:hAnsi="Book Antiqua" w:cs="Arial"/>
                <w:lang w:eastAsia="es-ES"/>
              </w:rPr>
              <w:t>=</w:t>
            </w:r>
            <w:r>
              <w:rPr>
                <w:rFonts w:ascii="Book Antiqua" w:hAnsi="Book Antiqua" w:cs="Arial" w:hint="eastAsia"/>
                <w:lang w:eastAsia="zh-CN"/>
              </w:rPr>
              <w:t xml:space="preserve"> </w:t>
            </w:r>
            <w:r w:rsidRPr="00D275F9">
              <w:rPr>
                <w:rFonts w:ascii="Book Antiqua" w:hAnsi="Book Antiqua" w:cs="Arial"/>
                <w:lang w:eastAsia="es-ES"/>
              </w:rPr>
              <w:t>25). No correlation between serology and mucosal damage</w:t>
            </w:r>
          </w:p>
        </w:tc>
      </w:tr>
      <w:tr w:rsidR="007129C1" w:rsidRPr="00D275F9" w14:paraId="5C474DD5" w14:textId="77777777" w:rsidTr="007129C1">
        <w:trPr>
          <w:trHeight w:val="1282"/>
        </w:trPr>
        <w:tc>
          <w:tcPr>
            <w:tcW w:w="692" w:type="pct"/>
            <w:shd w:val="clear" w:color="auto" w:fill="auto"/>
            <w:vAlign w:val="center"/>
            <w:hideMark/>
          </w:tcPr>
          <w:p w14:paraId="197C05F8"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Arial"/>
                <w:lang w:eastAsia="es-ES"/>
              </w:rPr>
              <w:t xml:space="preserve">Gerasimidis </w:t>
            </w:r>
            <w:r w:rsidR="006E5332" w:rsidRPr="006E5332">
              <w:rPr>
                <w:rFonts w:ascii="Book Antiqua" w:hAnsi="Book Antiqua" w:cs="Arial"/>
                <w:i/>
                <w:lang w:eastAsia="es-ES"/>
              </w:rPr>
              <w:t>et al</w:t>
            </w:r>
            <w:r w:rsidR="00C3458C" w:rsidRPr="00D275F9">
              <w:rPr>
                <w:rFonts w:ascii="Book Antiqua" w:hAnsi="Book Antiqua" w:cs="Arial"/>
                <w:lang w:eastAsia="es-ES"/>
              </w:rPr>
              <w:fldChar w:fldCharType="begin" w:fldLock="1"/>
            </w:r>
            <w:r w:rsidRPr="00D275F9">
              <w:rPr>
                <w:rFonts w:ascii="Book Antiqua" w:hAnsi="Book Antiqua" w:cs="Arial"/>
                <w:lang w:eastAsia="es-ES"/>
              </w:rPr>
              <w:instrText>ADDIN CSL_CITATION {"citationItems":[{"id":"ITEM-1","itemData":{"DOI":"10.1097/MPG.0000000000002062","ISSN":"0277-2116","PMID":"29916953","abstract":"OBJECTIVES: Detection of faecal gluten immunogenic peptides (GIP) is a biomarker of recent gluten consumption. GIP levels can be used to monitor gluten intake and compliment clinical methods to evaluate compliance to gluten-free diet (GFD). In the present study, recent gluten intake was measured by GIP in children with coeliac disease (CD) and compared to routine clinical measures to evaluate GFD compliance. METHODS: GIP was measured in 90 samples from 63 CD children (44 previously and 19 newly diagnosed with follow-up samples at 6 and 12 months on GFD). Compliance to GFD was evaluated based on clinical assessment, tissue transglutaminase (tTG) levels, and Biagi score. RESULTS: GIP was detectable in 16% of patients with previous CD diagnosis on GFD. Body mass index z score (P = 0.774), height z score (P = 0.723), haemoglobin concentration (P = 0.233), age (P = 0.448), sex (P = 0.734), or disease duration (P = 0.488) did not differ between those with detectable and nondetectable GIP. In newly diagnosed patients, on gluten-containing diet, GIP was detectable in 95% of them. Following GFD initiation, GIP decreased (P &lt; 0.001); 17% and 27% had detectable levels at 6 and 12 months, respectively. Compared to GIP, the Biagi score, tTG, and clinical assessment presented sensitivity of 17%, 42%, and 17%, respectively. Likewise, GIP was detectable in 16%, 16%, and 14% of patients evaluated as GFD compliant according to the Biagi score, tTG, and clinical assessment, respectively. A combination of methods did not improve identification of patients who were noncompliant. CONCLUSIONS: Inclusion of faecal GIP measurements is likely to improve identification of GFD recent noncompliance in CD management and could be incorporated into current follow-up strategies.","author":[{"dropping-particle":"","family":"Gerasimidis","given":"Konstantinos","non-dropping-particle":"","parse-names":false,"suffix":""},{"dropping-particle":"","family":"Zafeiropoulou","given":"Konstantina","non-dropping-particle":"","parse-names":false,"suffix":""},{"dropping-particle":"","family":"Mackinder","given":"Mary","non-dropping-particle":"","parse-names":false,"suffix":""},{"dropping-particle":"","family":"Ijaz","given":"Umer Z","non-dropping-particle":"","parse-names":false,"suffix":""},{"dropping-particle":"","family":"Duncan","given":"Hazel","non-dropping-particle":"","parse-names":false,"suffix":""},{"dropping-particle":"","family":"Buchanan","given":"Elaine","non-dropping-particle":"","parse-names":false,"suffix":""},{"dropping-particle":"","family":"Cardigan","given":"Tracey","non-dropping-particle":"","parse-names":false,"suffix":""},{"dropping-particle":"","family":"Edwards","given":"Christine A.","non-dropping-particle":"","parse-names":false,"suffix":""},{"dropping-particle":"","family":"McGrogan","given":"Paraic","non-dropping-particle":"","parse-names":false,"suffix":""},{"dropping-particle":"","family":"Russell","given":"Richard K.","non-dropping-particle":"","parse-names":false,"suffix":""}],"container-title":"Journal of Pediatric Gastroenterology and Nutrition","id":"ITEM-1","issue":"3","issued":{"date-parts":[["2018","9"]]},"page":"356-360","title":"Comparison of Clinical Methods With the Faecal Gluten Immunogenic Peptide to Assess Gluten Intake in Coeliac Disease","type":"article-journal","volume":"67"},"uris":["http://www.mendeley.com/documents/?uuid=08a5d069-e32e-30a6-ba4f-7870a7ff4c03"]}],"mendeley":{"formattedCitation":"&lt;sup&gt;[39]&lt;/sup&gt;","plainTextFormattedCitation":"[39]","previouslyFormattedCitation":"&lt;sup&gt;[39]&lt;/sup&gt;"},"properties":{"noteIndex":0},"schema":"https://github.com/citation-style-language/schema/raw/master/csl-citation.json"}</w:instrText>
            </w:r>
            <w:r w:rsidR="00C3458C" w:rsidRPr="00D275F9">
              <w:rPr>
                <w:rFonts w:ascii="Book Antiqua" w:hAnsi="Book Antiqua" w:cs="Arial"/>
                <w:lang w:eastAsia="es-ES"/>
              </w:rPr>
              <w:fldChar w:fldCharType="separate"/>
            </w:r>
            <w:r w:rsidRPr="00D275F9">
              <w:rPr>
                <w:rFonts w:ascii="Book Antiqua" w:hAnsi="Book Antiqua" w:cs="Arial"/>
                <w:noProof/>
                <w:vertAlign w:val="superscript"/>
                <w:lang w:eastAsia="es-ES"/>
              </w:rPr>
              <w:t>[39]</w:t>
            </w:r>
            <w:r w:rsidR="00C3458C" w:rsidRPr="00D275F9">
              <w:rPr>
                <w:rFonts w:ascii="Book Antiqua" w:hAnsi="Book Antiqua" w:cs="Arial"/>
                <w:lang w:eastAsia="es-ES"/>
              </w:rPr>
              <w:fldChar w:fldCharType="end"/>
            </w:r>
          </w:p>
        </w:tc>
        <w:tc>
          <w:tcPr>
            <w:tcW w:w="593" w:type="pct"/>
            <w:shd w:val="clear" w:color="auto" w:fill="auto"/>
            <w:vAlign w:val="center"/>
            <w:hideMark/>
          </w:tcPr>
          <w:p w14:paraId="45FDC20D"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Cross-sectional study Cohort for a subgroup</w:t>
            </w:r>
          </w:p>
        </w:tc>
        <w:tc>
          <w:tcPr>
            <w:tcW w:w="592" w:type="pct"/>
            <w:shd w:val="clear" w:color="auto" w:fill="auto"/>
            <w:vAlign w:val="center"/>
            <w:hideMark/>
          </w:tcPr>
          <w:p w14:paraId="330A4716"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Arial"/>
                <w:lang w:eastAsia="es-ES"/>
              </w:rPr>
              <w:t>63 pediatric CeD patients</w:t>
            </w:r>
          </w:p>
        </w:tc>
        <w:tc>
          <w:tcPr>
            <w:tcW w:w="1038" w:type="pct"/>
            <w:shd w:val="clear" w:color="auto" w:fill="auto"/>
            <w:vAlign w:val="center"/>
            <w:hideMark/>
          </w:tcPr>
          <w:p w14:paraId="2C55F315"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Arial"/>
                <w:lang w:eastAsia="es-ES"/>
              </w:rPr>
              <w:t>Fecal ELISA GIP test, serology, and questionnaires to evaluate gluten intake during diagnosis and adherence to the GFD after diagnosis</w:t>
            </w:r>
          </w:p>
        </w:tc>
        <w:tc>
          <w:tcPr>
            <w:tcW w:w="2084" w:type="pct"/>
            <w:shd w:val="clear" w:color="auto" w:fill="auto"/>
            <w:vAlign w:val="center"/>
            <w:hideMark/>
          </w:tcPr>
          <w:p w14:paraId="785B292B" w14:textId="77777777" w:rsidR="007129C1" w:rsidRPr="00D275F9" w:rsidRDefault="007129C1" w:rsidP="00F10C3B">
            <w:pPr>
              <w:spacing w:line="360" w:lineRule="auto"/>
              <w:jc w:val="both"/>
              <w:rPr>
                <w:rFonts w:ascii="Book Antiqua" w:hAnsi="Book Antiqua" w:cs="Calibri"/>
                <w:lang w:eastAsia="zh-CN"/>
              </w:rPr>
            </w:pPr>
            <w:r w:rsidRPr="00D275F9">
              <w:rPr>
                <w:rFonts w:ascii="Book Antiqua" w:hAnsi="Book Antiqua" w:cs="Arial"/>
                <w:lang w:eastAsia="es-ES"/>
              </w:rPr>
              <w:t>GIP-positive results in 95% of de novo patients with CeD during diagnosis. GIP-positive results were found in 17% and 27% of patients after 6 and 12 months of the beginning of the GFD, respectively. GIP-positive results were found in 16%, 16%, and 14% of patients considered compliant according to the Biagi score, tTG, and clinical assessment, respectively</w:t>
            </w:r>
          </w:p>
        </w:tc>
      </w:tr>
      <w:tr w:rsidR="007129C1" w:rsidRPr="00D275F9" w14:paraId="7BA12338" w14:textId="77777777" w:rsidTr="007129C1">
        <w:trPr>
          <w:trHeight w:val="1915"/>
        </w:trPr>
        <w:tc>
          <w:tcPr>
            <w:tcW w:w="692" w:type="pct"/>
            <w:shd w:val="clear" w:color="auto" w:fill="auto"/>
            <w:vAlign w:val="center"/>
            <w:hideMark/>
          </w:tcPr>
          <w:p w14:paraId="3681BDEB"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Arial"/>
                <w:lang w:eastAsia="es-ES"/>
              </w:rPr>
              <w:lastRenderedPageBreak/>
              <w:t xml:space="preserve">Comino </w:t>
            </w:r>
            <w:r w:rsidR="006E5332" w:rsidRPr="006E5332">
              <w:rPr>
                <w:rFonts w:ascii="Book Antiqua" w:hAnsi="Book Antiqua" w:cs="Arial"/>
                <w:i/>
                <w:lang w:eastAsia="es-ES"/>
              </w:rPr>
              <w:t>et al</w:t>
            </w:r>
            <w:r w:rsidR="00C3458C" w:rsidRPr="00D275F9">
              <w:rPr>
                <w:rFonts w:ascii="Book Antiqua" w:hAnsi="Book Antiqua" w:cs="Arial"/>
                <w:lang w:eastAsia="es-ES"/>
              </w:rPr>
              <w:fldChar w:fldCharType="begin" w:fldLock="1"/>
            </w:r>
            <w:r w:rsidRPr="00D275F9">
              <w:rPr>
                <w:rFonts w:ascii="Book Antiqua" w:hAnsi="Book Antiqua" w:cs="Arial"/>
                <w:lang w:eastAsia="es-ES"/>
              </w:rPr>
              <w:instrText>ADDIN CSL_CITATION {"citationItems":[{"id":"ITEM-1","itemData":{"DOI":"10.1111/apt.15277","ISSN":"13652036","PMID":"31074004","abstract":"© 2019 The Authors. Alimentary Pharmacology &amp; Therapeutics Published by John Wiley &amp; Sons Ltd. Background: Treatment for coeliac disease is a lifelong strict gluten-free diet. Although guidelines recommend regular follow-up with dietary interviews and coeliac serology, these methods may be inaccurate. Aim: To evaluate the usefulness of faecal gluten immunogenic peptides to support the diagnosis and to determine the adherence to the gluten-free diet in coeliac children. Methods: Multicentre prospective observational study including 64 coeliac children. Faecal gluten peptides, and tissue transglutaminase and deamidated gliadin peptide antibodies were analyzed at diagnosis, and 6, 12 and 24 months thereafter. Gluten consumption was estimated from gluten peptide levels. Results: Most children (97%) had detectable gluten peptides at diagnosis. On a gluten-free diet, the rate of gluten peptides increased from 13% at 6 months to 25% at 24 months. Mean estimated gluten exposure dropped from 5543 mg/d at diagnosis to 144 mg/d at 6 months, then increased to 606 mg/d by 24 months. In contrast, deamidated gliadin peptide antibodies normalised and only 20% had elevated tissue transglutaminase antibody by 24 months. The elevation of tissue transglutaminase antibody was more prolonged in patients with detectable gluten peptides (P &lt; 0.05). Nevertheless, absolute levels of tissue transglutaminase antibody had low sensitivity to identify patients with detectable gluten peptides (P &gt; 0.1). Dietitian assessment was only moderately correlated with gluten peptide detection (κ = 0.5). Conclusions: Faecal gluten peptides testing may guide treatment of coeliac disease prior to diagnosis and during the assessment diet adherence. Further studies could determine if early identification of gluten exposure reduces the need for expensive/invasive investigations for non-responsive coeliac disease. ClinicalTrials.gov Number: NCT02711397.","author":[{"dropping-particle":"","family":"Comino","given":"Isabel","non-dropping-particle":"","parse-names":false,"suffix":""},{"dropping-particle":"","family":"Segura","given":"Verónica","non-dropping-particle":"","parse-names":false,"suffix":""},{"dropping-particle":"","family":"Ortigosa","given":"Luis","non-dropping-particle":"","parse-names":false,"suffix":""},{"dropping-particle":"","family":"Espín","given":"Beatríz","non-dropping-particle":"","parse-names":false,"suffix":""},{"dropping-particle":"","family":"Castillejo","given":"Gemma","non-dropping-particle":"","parse-names":false,"suffix":""},{"dropping-particle":"","family":"Garrote","given":"José Antonio","non-dropping-particle":"","parse-names":false,"suffix":""},{"dropping-particle":"","family":"Sierra","given":"Carlos","non-dropping-particle":"","parse-names":false,"suffix":""},{"dropping-particle":"","family":"Millán","given":"Antonio","non-dropping-particle":"","parse-names":false,"suffix":""},{"dropping-particle":"","family":"Ribes-Koninckx","given":"Carmen","non-dropping-particle":"","parse-names":false,"suffix":""},{"dropping-particle":"","family":"Román","given":"Enriqueta","non-dropping-particle":"","parse-names":false,"suffix":""},{"dropping-particle":"","family":"Rodríguez-Herrera","given":"Alfonso","non-dropping-particle":"","parse-names":false,"suffix":""},{"dropping-particle":"","family":"Díaz","given":"Jacobo","non-dropping-particle":"","parse-names":false,"suffix":""},{"dropping-particle":"","family":"Silvester","given":"Jocelyn Anne","non-dropping-particle":"","parse-names":false,"suffix":""},{"dropping-particle":"","family":"Cebolla","given":"Ángel","non-dropping-particle":"","parse-names":false,"suffix":""},{"dropping-particle":"","family":"Sousa","given":"Carolina","non-dropping-particle":"","parse-names":false,"suffix":""}],"container-title":"Alimentary Pharmacology and Therapeutics","id":"ITEM-1","issue":"12","issued":{"date-parts":[["2019"]]},"page":"1484-1492","title":"Prospective longitudinal study: use of faecal gluten immunogenic peptides to monitor children diagnosed with coeliac disease during transition to a gluten-free diet","type":"article-journal","volume":"49"},"uris":["http://www.mendeley.com/documents/?uuid=6d445176-70b5-438b-ae4c-f981bee81913"]}],"mendeley":{"formattedCitation":"&lt;sup&gt;[40]&lt;/sup&gt;","plainTextFormattedCitation":"[40]","previouslyFormattedCitation":"&lt;sup&gt;[40]&lt;/sup&gt;"},"properties":{"noteIndex":0},"schema":"https://github.com/citation-style-language/schema/raw/master/csl-citation.json"}</w:instrText>
            </w:r>
            <w:r w:rsidR="00C3458C" w:rsidRPr="00D275F9">
              <w:rPr>
                <w:rFonts w:ascii="Book Antiqua" w:hAnsi="Book Antiqua" w:cs="Arial"/>
                <w:lang w:eastAsia="es-ES"/>
              </w:rPr>
              <w:fldChar w:fldCharType="separate"/>
            </w:r>
            <w:r w:rsidRPr="00D275F9">
              <w:rPr>
                <w:rFonts w:ascii="Book Antiqua" w:hAnsi="Book Antiqua" w:cs="Arial"/>
                <w:noProof/>
                <w:vertAlign w:val="superscript"/>
                <w:lang w:eastAsia="es-ES"/>
              </w:rPr>
              <w:t>[40]</w:t>
            </w:r>
            <w:r w:rsidR="00C3458C" w:rsidRPr="00D275F9">
              <w:rPr>
                <w:rFonts w:ascii="Book Antiqua" w:hAnsi="Book Antiqua" w:cs="Arial"/>
                <w:lang w:eastAsia="es-ES"/>
              </w:rPr>
              <w:fldChar w:fldCharType="end"/>
            </w:r>
            <w:r w:rsidRPr="00D275F9">
              <w:rPr>
                <w:rFonts w:ascii="Book Antiqua" w:hAnsi="Book Antiqua" w:cs="Arial"/>
                <w:lang w:eastAsia="es-ES"/>
              </w:rPr>
              <w:t xml:space="preserve"> </w:t>
            </w:r>
          </w:p>
        </w:tc>
        <w:tc>
          <w:tcPr>
            <w:tcW w:w="593" w:type="pct"/>
            <w:shd w:val="clear" w:color="auto" w:fill="auto"/>
            <w:vAlign w:val="center"/>
            <w:hideMark/>
          </w:tcPr>
          <w:p w14:paraId="2A5FBC89"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Prospective, multicenter, observational study</w:t>
            </w:r>
          </w:p>
        </w:tc>
        <w:tc>
          <w:tcPr>
            <w:tcW w:w="592" w:type="pct"/>
            <w:shd w:val="clear" w:color="auto" w:fill="auto"/>
            <w:vAlign w:val="center"/>
            <w:hideMark/>
          </w:tcPr>
          <w:p w14:paraId="35D09748"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Arial"/>
                <w:lang w:eastAsia="es-ES"/>
              </w:rPr>
              <w:t>64 pediatric CeD patients</w:t>
            </w:r>
          </w:p>
        </w:tc>
        <w:tc>
          <w:tcPr>
            <w:tcW w:w="1038" w:type="pct"/>
            <w:shd w:val="clear" w:color="auto" w:fill="auto"/>
            <w:vAlign w:val="center"/>
            <w:hideMark/>
          </w:tcPr>
          <w:p w14:paraId="1E4871E3"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Arial"/>
                <w:lang w:eastAsia="es-ES"/>
              </w:rPr>
              <w:t>Fecal GIP ELISA, serology, questionnaires, and symptoms to evaluate adherence to the GFD after diagnosis</w:t>
            </w:r>
          </w:p>
        </w:tc>
        <w:tc>
          <w:tcPr>
            <w:tcW w:w="2084" w:type="pct"/>
            <w:shd w:val="clear" w:color="auto" w:fill="auto"/>
            <w:vAlign w:val="center"/>
            <w:hideMark/>
          </w:tcPr>
          <w:p w14:paraId="5C45C4F0" w14:textId="77777777" w:rsidR="007129C1" w:rsidRPr="00D275F9" w:rsidRDefault="007129C1" w:rsidP="00F10C3B">
            <w:pPr>
              <w:spacing w:line="360" w:lineRule="auto"/>
              <w:jc w:val="both"/>
              <w:rPr>
                <w:rFonts w:ascii="Book Antiqua" w:hAnsi="Book Antiqua" w:cs="Calibri"/>
                <w:lang w:eastAsia="zh-CN"/>
              </w:rPr>
            </w:pPr>
            <w:r w:rsidRPr="00D275F9">
              <w:rPr>
                <w:rFonts w:ascii="Book Antiqua" w:hAnsi="Book Antiqua" w:cs="Arial"/>
                <w:lang w:eastAsia="es-ES"/>
              </w:rPr>
              <w:t>Most children (97%) were GIP-positive at diagnosis. Decrease of the on a GFD, the rate of GIP-positive results increased from 13% at 6 months to 25% at 24 months. Anti-tTG antibody levels showed low sensitivity to identify patients with GIP-positive results. Dietitian assessment was only moderately correlated with GIP detection</w:t>
            </w:r>
          </w:p>
        </w:tc>
      </w:tr>
      <w:tr w:rsidR="007129C1" w:rsidRPr="00D275F9" w14:paraId="0EDCDBC1" w14:textId="77777777" w:rsidTr="007129C1">
        <w:trPr>
          <w:trHeight w:val="1106"/>
        </w:trPr>
        <w:tc>
          <w:tcPr>
            <w:tcW w:w="692" w:type="pct"/>
            <w:shd w:val="clear" w:color="auto" w:fill="auto"/>
            <w:vAlign w:val="center"/>
            <w:hideMark/>
          </w:tcPr>
          <w:p w14:paraId="6FD11B18"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Arial"/>
                <w:lang w:eastAsia="es-ES"/>
              </w:rPr>
              <w:t xml:space="preserve">Costa </w:t>
            </w:r>
            <w:r w:rsidR="006E5332" w:rsidRPr="006E5332">
              <w:rPr>
                <w:rFonts w:ascii="Book Antiqua" w:hAnsi="Book Antiqua" w:cs="Arial"/>
                <w:i/>
                <w:lang w:eastAsia="es-ES"/>
              </w:rPr>
              <w:t>et al</w:t>
            </w:r>
            <w:r w:rsidR="00C3458C" w:rsidRPr="00D275F9">
              <w:rPr>
                <w:rFonts w:ascii="Book Antiqua" w:hAnsi="Book Antiqua" w:cs="Arial"/>
                <w:lang w:eastAsia="es-ES"/>
              </w:rPr>
              <w:fldChar w:fldCharType="begin" w:fldLock="1"/>
            </w:r>
            <w:r w:rsidRPr="00D275F9">
              <w:rPr>
                <w:rFonts w:ascii="Book Antiqua" w:hAnsi="Book Antiqua" w:cs="Arial"/>
                <w:lang w:eastAsia="es-ES"/>
              </w:rPr>
              <w:instrText>ADDIN CSL_CITATION {"citationItems":[{"id":"ITEM-1","itemData":{"DOI":"10.3748/wjg.v25.i11.1409","ISSN":"1007-9327","PMID":"30918433","abstract":"© The Author(s) 2019. BACKGROUND Life-long removal of gluten from the diet is currently the only way to manage celiac disease (CeD). Until now, no objective test has proven useful to objectively detect ingested gluten in clinical practice. Recently, tests that determine consumption of gluten by assessing excretion of gluten immunogenic peptides (GIP) in stool and urine have been developed. Their utility, in comparison with conventional dietary and analytical follow-up strategies, has not been fully established. AIM To assess the performance of enzyme-linked immunosorbent assay (ELISA) and point-of-care tests (PoCTs) for GIP excretion in CeD patients on gluten-free diet (GFD). METHODS We conducted an observational, prospective, cross-sectional study in patients following a GFD for at least two years. Using the Gastrointestinal Symptom Rating Scale questionnaire, patients were classified at enrollment as asymptomatic or symptomatic. Gluten consumption was assessed twice by 3-d dietary recall and GIP excretion (by ELISA in stool and PoCTs (commercial kits for stool and urine) in two consecutive samples. These samples and dietary reports were obtained 10 day apart one from the other. Patients were encouraged to follow their usual GFD during the study period. RESULTS Forty-four patients were enrolled, of which 19 (43.2%) were symptomatic despite being on a GFD. Overall, 83 sets of stool and/or urine samples were collected. Eleven out of 44 patients (25.0%) had at least one positive GIP test. The occurrence of at least one positive test was 32% in asymptomatic patients compared with 15.8% in symptomatic patients. GIP was concordant with dietary reports in 65.9% of cases (Cohen's kappa: 0.317). PoCT detected dietary indiscretions. Both ELISA and PoCT in stool were concordant (concomitantly positive or negative) in 67 out of 74 (90.5%) samples. Excretion of GIP was detected in 7 (8.4%) stool and/or urine samples from patients considered to be strictly compliant with the GFD by dietary reports. CONCLUSION GIP detects dietary transgressions in patients on long-term GFD, irrespective of the presence of symptoms. PoCT for GIP detection constitutes a simple homebased method for self-assessment of dietary indiscretions.","author":[{"dropping-particle":"","family":"Costa","given":"Ana Florencia","non-dropping-particle":"","parse-names":false,"suffix":""},{"dropping-particle":"","family":"Sugai","given":"Emilia","non-dropping-particle":"","parse-names":false,"suffix":""},{"dropping-particle":"","family":"Temprano","given":"María de la Paz","non-dropping-particle":"","parse-names":false,"suffix":""},{"dropping-particle":"","family":"Niveloni","given":"Sonia Isabel","non-dropping-particle":"","parse-names":false,"suffix":""},{"dropping-particle":"","family":"Vázquez","given":"Horacio","non-dropping-particle":"","parse-names":false,"suffix":""},{"dropping-particle":"","family":"Moreno","given":"María Laura","non-dropping-particle":"","parse-names":false,"suffix":""},{"dropping-particle":"","family":"Domínguez-Flores","given":"M. Remedios","non-dropping-particle":"","parse-names":false,"suffix":""},{"dropping-particle":"","family":"Muñoz-Suano","given":"Alba","non-dropping-particle":"","parse-names":false,"suffix":""},{"dropping-particle":"","family":"Smecuol","given":"Edgardo","non-dropping-particle":"","parse-names":false,"suffix":""},{"dropping-particle":"","family":"Stefanolo","given":"Juan Pablo","non-dropping-particle":"","parse-names":false,"suffix":""},{"dropping-particle":"","family":"González","given":"Andrea F.","non-dropping-particle":"","parse-names":false,"suffix":""},{"dropping-particle":"","family":"Cebolla-Ramirez","given":"Angel","non-dropping-particle":"","parse-names":false,"suffix":""},{"dropping-particle":"","family":"Mauriño","given":"Eduardo","non-dropping-particle":"","parse-names":false,"suffix":""},{"dropping-particle":"","family":"Verdú","given":"Elena F.","non-dropping-particle":"","parse-names":false,"suffix":""},{"dropping-particle":"","family":"Bai","given":"Julio César","non-dropping-particle":"","parse-names":false,"suffix":""}],"container-title":"World Journal of Gastroenterology","id":"ITEM-1","issue":"11","issued":{"date-parts":[["2019","3","21"]]},"page":"1409-1420","title":"Gluten immunogenic peptide excretion detects dietary transgressions in treated celiac disease patients","type":"article-journal","volume":"25"},"uris":["http://www.mendeley.com/documents/?uuid=c76e24f4-9854-45c1-bf24-8f1728affb2c"]}],"mendeley":{"formattedCitation":"&lt;sup&gt;[41]&lt;/sup&gt;","plainTextFormattedCitation":"[41]","previouslyFormattedCitation":"&lt;sup&gt;[41]&lt;/sup&gt;"},"properties":{"noteIndex":0},"schema":"https://github.com/citation-style-language/schema/raw/master/csl-citation.json"}</w:instrText>
            </w:r>
            <w:r w:rsidR="00C3458C" w:rsidRPr="00D275F9">
              <w:rPr>
                <w:rFonts w:ascii="Book Antiqua" w:hAnsi="Book Antiqua" w:cs="Arial"/>
                <w:lang w:eastAsia="es-ES"/>
              </w:rPr>
              <w:fldChar w:fldCharType="separate"/>
            </w:r>
            <w:r w:rsidRPr="00D275F9">
              <w:rPr>
                <w:rFonts w:ascii="Book Antiqua" w:hAnsi="Book Antiqua" w:cs="Arial"/>
                <w:noProof/>
                <w:vertAlign w:val="superscript"/>
                <w:lang w:eastAsia="es-ES"/>
              </w:rPr>
              <w:t>[41]</w:t>
            </w:r>
            <w:r w:rsidR="00C3458C" w:rsidRPr="00D275F9">
              <w:rPr>
                <w:rFonts w:ascii="Book Antiqua" w:hAnsi="Book Antiqua" w:cs="Arial"/>
                <w:lang w:eastAsia="es-ES"/>
              </w:rPr>
              <w:fldChar w:fldCharType="end"/>
            </w:r>
          </w:p>
        </w:tc>
        <w:tc>
          <w:tcPr>
            <w:tcW w:w="593" w:type="pct"/>
            <w:shd w:val="clear" w:color="auto" w:fill="auto"/>
            <w:vAlign w:val="center"/>
            <w:hideMark/>
          </w:tcPr>
          <w:p w14:paraId="44095C62"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Cross-sectional study and prospective cohort</w:t>
            </w:r>
          </w:p>
        </w:tc>
        <w:tc>
          <w:tcPr>
            <w:tcW w:w="592" w:type="pct"/>
            <w:shd w:val="clear" w:color="auto" w:fill="auto"/>
            <w:vAlign w:val="center"/>
            <w:hideMark/>
          </w:tcPr>
          <w:p w14:paraId="3629EE66"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Arial"/>
                <w:lang w:eastAsia="es-ES"/>
              </w:rPr>
              <w:t>44 adult CeD patients</w:t>
            </w:r>
          </w:p>
        </w:tc>
        <w:tc>
          <w:tcPr>
            <w:tcW w:w="1038" w:type="pct"/>
            <w:shd w:val="clear" w:color="auto" w:fill="auto"/>
            <w:vAlign w:val="center"/>
            <w:hideMark/>
          </w:tcPr>
          <w:p w14:paraId="01AB8DE2"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Arial"/>
                <w:lang w:eastAsia="es-ES"/>
              </w:rPr>
              <w:t>Fecal GIP ELISA, stool and urine LFIA GIP tests, serology, questionnaires, and symptoms to evaluate adherence to the GFD</w:t>
            </w:r>
          </w:p>
        </w:tc>
        <w:tc>
          <w:tcPr>
            <w:tcW w:w="2084" w:type="pct"/>
            <w:shd w:val="clear" w:color="auto" w:fill="auto"/>
            <w:vAlign w:val="center"/>
            <w:hideMark/>
          </w:tcPr>
          <w:p w14:paraId="2D6ECDE0" w14:textId="77777777" w:rsidR="007129C1" w:rsidRPr="00D275F9" w:rsidRDefault="007129C1" w:rsidP="00F10C3B">
            <w:pPr>
              <w:spacing w:line="360" w:lineRule="auto"/>
              <w:jc w:val="both"/>
              <w:rPr>
                <w:rFonts w:ascii="Book Antiqua" w:hAnsi="Book Antiqua" w:cs="Calibri"/>
                <w:lang w:eastAsia="zh-CN"/>
              </w:rPr>
            </w:pPr>
            <w:r w:rsidRPr="00D275F9">
              <w:rPr>
                <w:rFonts w:ascii="Book Antiqua" w:hAnsi="Book Antiqua" w:cs="Arial"/>
                <w:lang w:eastAsia="es-ES"/>
              </w:rPr>
              <w:t>25% of patients had at least one GIP-positive test, 32% in asymptomatic patients and 15.8% in symptomatic patients. Dietary assessment estimated gluten intake in only 50% of GIP-positive samples. Anti-tTG and anti-DGP positive results in 3/12 and 6/12 of GIP-positive cases, respectively</w:t>
            </w:r>
          </w:p>
        </w:tc>
      </w:tr>
      <w:tr w:rsidR="007129C1" w:rsidRPr="00D275F9" w14:paraId="7BDE6C70" w14:textId="77777777" w:rsidTr="007129C1">
        <w:trPr>
          <w:trHeight w:val="1283"/>
        </w:trPr>
        <w:tc>
          <w:tcPr>
            <w:tcW w:w="692" w:type="pct"/>
            <w:shd w:val="clear" w:color="auto" w:fill="auto"/>
            <w:vAlign w:val="center"/>
            <w:hideMark/>
          </w:tcPr>
          <w:p w14:paraId="49E72945"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 xml:space="preserve">Silvester </w:t>
            </w:r>
            <w:r w:rsidR="006E5332" w:rsidRPr="006E5332">
              <w:rPr>
                <w:rFonts w:ascii="Book Antiqua" w:hAnsi="Book Antiqua" w:cs="Calibri"/>
                <w:i/>
                <w:lang w:eastAsia="es-ES"/>
              </w:rPr>
              <w:t>et al</w:t>
            </w:r>
            <w:r w:rsidR="00C3458C" w:rsidRPr="00D275F9">
              <w:rPr>
                <w:rFonts w:ascii="Book Antiqua" w:hAnsi="Book Antiqua" w:cs="Calibri"/>
                <w:lang w:val="es-ES" w:eastAsia="es-ES"/>
              </w:rPr>
              <w:fldChar w:fldCharType="begin" w:fldLock="1"/>
            </w:r>
            <w:r w:rsidRPr="00D275F9">
              <w:rPr>
                <w:rFonts w:ascii="Book Antiqua" w:hAnsi="Book Antiqua" w:cs="Calibri"/>
                <w:lang w:eastAsia="es-ES"/>
              </w:rPr>
              <w:instrText>ADDIN CSL_CITATION {"citationItems":[{"id":"ITEM-1","itemData":{"DOI":"10.1111/apt.16075","ISSN":"13652036","PMID":"32981131","abstract":"Background: A major deficit in understanding and improving treatment in coeliac disease (CD) is the lack of empiric data on real world gluten exposure. Aims: To estimate gluten exposure on a gluten-free diet (GFD) using immunoassays for gluten immunogenic peptides (GIP) and to examine relationships among GIP detection, symptoms and suspected gluten exposures. Methods: Adults with biopsy-confirmed CD on a GFD for 24 months were recruited from a population-based inception cohort. Participants kept a diary and collected urine samples for 10 days and stools on days 4-10. ‘Doggie bags’ containing ¼ portions of foods consumed were saved during the first 7 days. Gluten in food, stool and urine was quantified using A1/G12 ELISA. Results: Eighteen participants with CD (12 female; age 21-70 years) and three participants on a gluten-containing diet enrolled and completed the study. Twelve out of 18 CD participants had a median 2.1 mg gluten per exposure (range 0.2 to &gt;80 mg). Most exposures were asymptomatic and unsuspected. There was high intra-individual variability in the interval between gluten ingestion and excretion. Participants were generally unable to identify the food. Conclusions: Gluten exposure on a GFD is common, intermittent, and usually silent. Excretion kinetics are highly variable among individuals. The amount of gluten varied widely, but was typically in the milligram range, which was 10-100 times less than consumed by those on an unrestricted diet. These findings suggest that a strict GFD is difficult to attain, and specific exposures are difficult to detect due to variable time course of excretion.","author":[{"dropping-particle":"","family":"Silvester","given":"Jocelyn A.","non-dropping-particle":"","parse-names":false,"suffix":""},{"dropping-particle":"","family":"Comino","given":"Isabel","non-dropping-particle":"","parse-names":false,"suffix":""},{"dropping-particle":"","family":"Rigaux","given":"Lisa N.","non-dropping-particle":"","parse-names":false,"suffix":""},{"dropping-particle":"","family":"Segura","given":"Veronica","non-dropping-particle":"","parse-names":false,"suffix":""},{"dropping-particle":"","family":"Green","given":"Kathy H.","non-dropping-particle":"","parse-names":false,"suffix":""},{"dropping-particle":"","family":"Cebolla","given":"Angel","non-dropping-particle":"","parse-names":false,"suffix":""},{"dropping-particle":"","family":"Weiten","given":"Dayna","non-dropping-particle":"","parse-names":false,"suffix":""},{"dropping-particle":"","family":"Dominguez","given":"Remedios","non-dropping-particle":"","parse-names":false,"suffix":""},{"dropping-particle":"","family":"Leffler","given":"Daniel A.","non-dropping-particle":"","parse-names":false,"suffix":""},{"dropping-particle":"","family":"Leon","given":"Francisco","non-dropping-particle":"","parse-names":false,"suffix":""},{"dropping-particle":"","family":"Bernstein","given":"Charles N.","non-dropping-particle":"","parse-names":false,"suffix":""},{"dropping-particle":"","family":"Graff","given":"Lesley A.","non-dropping-particle":"","parse-names":false,"suffix":""},{"dropping-particle":"","family":"Kelly","given":"Ciaran P.","non-dropping-particle":"","parse-names":false,"suffix":""},{"dropping-particle":"","family":"Sousa","given":"Carolina","non-dropping-particle":"","parse-names":false,"suffix":""},{"dropping-particle":"","family":"Duerksen","given":"Donald R.","non-dropping-particle":"","parse-names":false,"suffix":""}],"container-title":"Alimentary Pharmacology and Therapeutics","id":"ITEM-1","issue":"9","issued":{"date-parts":[["2020"]]},"page":"1469-1479","title":"Exposure sources, amounts and time course of gluten ingestion and excretion in patients with coeliac disease on a gluten-free diet","type":"article-journal","volume":"52"},"uris":["http://www.mendeley.com/documents/?uuid=d9faf48b-572c-400d-ba93-a192caac0026"]},{"id":"ITEM-2","itemData":{"DOI":"10.1053/j.gastro.2019.12.016","ISSN":"15280012","PMID":"31866245","author":[{"dropping-particle":"","family":"Silvester","given":"Jocelyn A.","non-dropping-particle":"","parse-names":false,"suffix":""},{"dropping-particle":"","family":"Comino","given":"Isabel","non-dropping-particle":"","parse-names":false,"suffix":""},{"dropping-particle":"","family":"Kelly","given":"Ciarán P.","non-dropping-particle":"","parse-names":false,"suffix":""},{"dropping-particle":"","family":"Sousa","given":"Carolina","non-dropping-particle":"","parse-names":false,"suffix":""},{"dropping-particle":"","family":"Duerksen","given":"Donald R.","non-dropping-particle":"","parse-names":false,"suffix":""},{"dropping-particle":"","family":"Bernstein","given":"Charles N.","non-dropping-particle":"","parse-names":false,"suffix":""},{"dropping-particle":"","family":"Cebolla","given":"Angel","non-dropping-particle":"","parse-names":false,"suffix":""},{"dropping-particle":"","family":"Dominguez","given":"Maria R.","non-dropping-particle":"","parse-names":false,"suffix":""},{"dropping-particle":"","family":"Graff","given":"Lesley A.","non-dropping-particle":"","parse-names":false,"suffix":""},{"dropping-particle":"","family":"Green","given":"Kathy H.","non-dropping-particle":"","parse-names":false,"suffix":""},{"dropping-particle":"","family":"Leffler","given":"Daniel A.","non-dropping-particle":"","parse-names":false,"suffix":""},{"dropping-particle":"","family":"Leon","given":"Francisco","non-dropping-particle":"","parse-names":false,"suffix":""},{"dropping-particle":"","family":"Rigaux","given":"Lisa N.","non-dropping-particle":"","parse-names":false,"suffix":""},{"dropping-particle":"","family":"Segura","given":"Veronica","non-dropping-particle":"","parse-names":false,"suffix":""},{"dropping-particle":"","family":"Weiten","given":"Dayna","non-dropping-particle":"","parse-names":false,"suffix":""}],"container-title":"Gastroenterology","id":"ITEM-2","issue":"5","issued":{"date-parts":[["2020"]]},"page":"1497-1499.e1","publisher":"The American Gastroenterological Association","title":"Most Patients With Celiac Disease on Gluten-Free Diets Consume Measurable Amounts of Gluten","type":"article-journal","volume":"158"},"uris":["http://www.mendeley.com/documents/?uuid=be607d93-1980-4d44-a868-faf949269ff3"]}],"mendeley":{"formattedCitation":"&lt;sup&gt;[29,30]&lt;/sup&gt;","plainTextFormattedCitation":"[29,30]","previouslyFormattedCitation":"&lt;sup&gt;[29,30]&lt;/sup&gt;"},"properties":{"noteIndex":0},"schema":"https://github.com/citation-style-language/schema/raw/master/csl-citation.json"}</w:instrText>
            </w:r>
            <w:r w:rsidR="00C3458C" w:rsidRPr="00D275F9">
              <w:rPr>
                <w:rFonts w:ascii="Book Antiqua" w:hAnsi="Book Antiqua" w:cs="Calibri"/>
                <w:lang w:val="es-ES" w:eastAsia="es-ES"/>
              </w:rPr>
              <w:fldChar w:fldCharType="separate"/>
            </w:r>
            <w:r w:rsidRPr="00D275F9">
              <w:rPr>
                <w:rFonts w:ascii="Book Antiqua" w:hAnsi="Book Antiqua" w:cs="Calibri"/>
                <w:noProof/>
                <w:vertAlign w:val="superscript"/>
                <w:lang w:eastAsia="es-ES"/>
              </w:rPr>
              <w:t>[29,30]</w:t>
            </w:r>
            <w:r w:rsidR="00C3458C" w:rsidRPr="00D275F9">
              <w:rPr>
                <w:rFonts w:ascii="Book Antiqua" w:hAnsi="Book Antiqua" w:cs="Calibri"/>
                <w:lang w:val="es-ES" w:eastAsia="es-ES"/>
              </w:rPr>
              <w:fldChar w:fldCharType="end"/>
            </w:r>
          </w:p>
        </w:tc>
        <w:tc>
          <w:tcPr>
            <w:tcW w:w="593" w:type="pct"/>
            <w:shd w:val="clear" w:color="auto" w:fill="auto"/>
            <w:vAlign w:val="center"/>
            <w:hideMark/>
          </w:tcPr>
          <w:p w14:paraId="442711B6"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Prospective longitudinal study</w:t>
            </w:r>
          </w:p>
        </w:tc>
        <w:tc>
          <w:tcPr>
            <w:tcW w:w="592" w:type="pct"/>
            <w:shd w:val="clear" w:color="auto" w:fill="auto"/>
            <w:vAlign w:val="center"/>
            <w:hideMark/>
          </w:tcPr>
          <w:p w14:paraId="29DF3E32"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18 adult CeD patients</w:t>
            </w:r>
          </w:p>
        </w:tc>
        <w:tc>
          <w:tcPr>
            <w:tcW w:w="1038" w:type="pct"/>
            <w:shd w:val="clear" w:color="auto" w:fill="auto"/>
            <w:vAlign w:val="center"/>
            <w:hideMark/>
          </w:tcPr>
          <w:p w14:paraId="7461DE26"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 xml:space="preserve">Monitoring GFD adherence by collection of daily food, </w:t>
            </w:r>
            <w:r w:rsidR="00A54C4D">
              <w:rPr>
                <w:rFonts w:ascii="Book Antiqua" w:hAnsi="Book Antiqua" w:cs="Calibri"/>
                <w:lang w:eastAsia="es-ES"/>
              </w:rPr>
              <w:t>stool</w:t>
            </w:r>
            <w:r w:rsidRPr="00D275F9">
              <w:rPr>
                <w:rFonts w:ascii="Book Antiqua" w:hAnsi="Book Antiqua" w:cs="Calibri"/>
                <w:lang w:eastAsia="es-ES"/>
              </w:rPr>
              <w:t xml:space="preserve">, and urine samples for the analysis of GIP content, and relationship with </w:t>
            </w:r>
            <w:r w:rsidRPr="00D275F9">
              <w:rPr>
                <w:rFonts w:ascii="Book Antiqua" w:hAnsi="Book Antiqua" w:cs="Calibri"/>
                <w:lang w:eastAsia="es-ES"/>
              </w:rPr>
              <w:lastRenderedPageBreak/>
              <w:t>duodenal biopsy, serology, questionnaires, and symptoms</w:t>
            </w:r>
          </w:p>
        </w:tc>
        <w:tc>
          <w:tcPr>
            <w:tcW w:w="2084" w:type="pct"/>
            <w:shd w:val="clear" w:color="auto" w:fill="auto"/>
            <w:vAlign w:val="center"/>
            <w:hideMark/>
          </w:tcPr>
          <w:p w14:paraId="69945DC6" w14:textId="77777777" w:rsidR="007129C1" w:rsidRPr="00D275F9" w:rsidRDefault="007129C1" w:rsidP="00F10C3B">
            <w:pPr>
              <w:spacing w:line="360" w:lineRule="auto"/>
              <w:jc w:val="both"/>
              <w:rPr>
                <w:rFonts w:ascii="Book Antiqua" w:hAnsi="Book Antiqua" w:cs="Calibri"/>
                <w:lang w:eastAsia="zh-CN"/>
              </w:rPr>
            </w:pPr>
            <w:r w:rsidRPr="00D275F9">
              <w:rPr>
                <w:rFonts w:ascii="Book Antiqua" w:hAnsi="Book Antiqua" w:cs="Calibri"/>
                <w:lang w:eastAsia="es-ES"/>
              </w:rPr>
              <w:lastRenderedPageBreak/>
              <w:t>GIP were detected in 66,7% patients. No significant correlation was found between gluten ingestion and non-invasive measures of GFD adherence. Most patients with normal anti-tTG had ≥</w:t>
            </w:r>
            <w:r>
              <w:rPr>
                <w:rFonts w:ascii="Book Antiqua" w:hAnsi="Book Antiqua" w:cs="Calibri" w:hint="eastAsia"/>
                <w:lang w:eastAsia="zh-CN"/>
              </w:rPr>
              <w:t xml:space="preserve"> </w:t>
            </w:r>
            <w:r w:rsidRPr="00D275F9">
              <w:rPr>
                <w:rFonts w:ascii="Book Antiqua" w:hAnsi="Book Antiqua" w:cs="Calibri"/>
                <w:lang w:eastAsia="es-ES"/>
              </w:rPr>
              <w:t>1 GIP-positive sample (64%), 2/3 of these had persistent villous atrophy (Marsh 3a) and 2/3 of those with all GIP-</w:t>
            </w:r>
            <w:r w:rsidRPr="00D275F9">
              <w:rPr>
                <w:rFonts w:ascii="Book Antiqua" w:hAnsi="Book Antiqua" w:cs="Calibri"/>
                <w:lang w:eastAsia="es-ES"/>
              </w:rPr>
              <w:lastRenderedPageBreak/>
              <w:t>negative samples had normal villous architecture (Marsh 0 or 1) but 4/6 with Marsh 0 had detectable gluten in ≥</w:t>
            </w:r>
            <w:r>
              <w:rPr>
                <w:rFonts w:ascii="Book Antiqua" w:hAnsi="Book Antiqua" w:cs="Calibri" w:hint="eastAsia"/>
                <w:lang w:eastAsia="zh-CN"/>
              </w:rPr>
              <w:t xml:space="preserve"> </w:t>
            </w:r>
            <w:r>
              <w:rPr>
                <w:rFonts w:ascii="Book Antiqua" w:hAnsi="Book Antiqua" w:cs="Calibri"/>
                <w:lang w:eastAsia="es-ES"/>
              </w:rPr>
              <w:t>1 sample</w:t>
            </w:r>
          </w:p>
        </w:tc>
      </w:tr>
      <w:tr w:rsidR="007129C1" w:rsidRPr="00D275F9" w14:paraId="3E3CB564" w14:textId="77777777" w:rsidTr="007129C1">
        <w:trPr>
          <w:trHeight w:val="3744"/>
        </w:trPr>
        <w:tc>
          <w:tcPr>
            <w:tcW w:w="692" w:type="pct"/>
            <w:shd w:val="clear" w:color="auto" w:fill="auto"/>
            <w:vAlign w:val="center"/>
            <w:hideMark/>
          </w:tcPr>
          <w:p w14:paraId="1EF2FA07"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lastRenderedPageBreak/>
              <w:t xml:space="preserve">Ruiz-Carnicer </w:t>
            </w:r>
            <w:r w:rsidR="006E5332"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{"citationItems":[{"id":"ITEM-1","itemData":{"DOI":"10.1093/ajcn/nqaa188","ISSN":"0002-9165","PMID":"32692806","abstract":"Background: The treatment of celiac disease (CD) is a lifelong gluten-free diet (GFD). The current methods for monitoring GFD conformance, such as a dietary questionnaire or serology tests, may be inaccurate in detecting dietary transgressions, and duodenal biopsies are invasive, expensive, and not a routine monitoring technique. Objectives: Our aim was to determine the clinical usefulness of urine gluten immunogenic peptides (GIP) as a biomarker monitoring GFD adherence in celiac patients and to evaluate the concordance of the results with the degree of mucosal damage. Methods: A prospective observational study was conducted involving 22 de novo CD patients, 77 celiac patients consuming a GFD, and 13 nonceliac subjects. On 3 d of the week, urine samples were collected and the GIP concentrations were tested. Simultaneously, anti-tissue transglutaminase antibodies, questionnaire results, clinical manifestations, and histological findings were analyzed. Results: Approximately 24% (18 of 76) of the celiac patients consuming a GFD exhibited Marsh II-III mucosal damage. Among this population, 94% (17 of 18) had detectable urine GIP; however, between 60% and 80% were asymptomatic and exhibited negative serology and appropriate GFD adherence based on the questionnaire. In contrast, 97% (31 of 32) of the celiac patients without duodenal damage had no detectable GIP. These results demonstrated the high sensitivity (94%) and negative predictive value (97%) of GIP measurements in relation to duodenal biopsy findings. In the de novo CD-diagnosed cohort, 82% (18 of 22) of patients had measurable amounts of GIP in the urine. Conclusions: Determining GIP concentrations in several urine samples may be an especially convenient approach to assess recent gluten exposure in celiac patients and appears to accurately predict the absence of histological lesions. The introduction of GIP testing as an assessment technique for GFD adherence may help in ascertaining dietary compliance and to target the most suitable intervention during follow-up. Am J Clin Nutr 2020;00:1-12.","author":[{"dropping-particle":"","family":"Ruiz-Carnicer","given":"Ángela","non-dropping-particle":"","parse-names":false,"suffix":""},{"dropping-particle":"","family":"Garzón-Benavides","given":"Marta","non-dropping-particle":"","parse-names":false,"suffix":""},{"dropping-particle":"","family":"Fombuena","given":"Blanca","non-dropping-particle":"","parse-names":false,"suffix":""},{"dropping-particle":"","family":"Segura","given":"Verónica","non-dropping-particle":"","parse-names":false,"suffix":""},{"dropping-particle":"","family":"García-Fernández","given":"Francisco","non-dropping-particle":"","parse-names":false,"suffix":""},{"dropping-particle":"","family":"Sobrino-Rodríguez","given":"Salvador","non-dropping-particle":"","parse-names":false,"suffix":""},{"dropping-particle":"","family":"Gómez-Izquierdo","given":"Lourdes","non-dropping-particle":"","parse-names":false,"suffix":""},{"dropping-particle":"","family":"Montes-Cano","given":"Marcos A","non-dropping-particle":"","parse-names":false,"suffix":""},{"dropping-particle":"","family":"Rodríguez-Herrera","given":"Alfonso","non-dropping-particle":"","parse-names":false,"suffix":""},{"dropping-particle":"","family":"Millán","given":"Raquel","non-dropping-particle":"","parse-names":false,"suffix":""},{"dropping-particle":"","family":"Rico","given":"María C","non-dropping-particle":"","parse-names":false,"suffix":""},{"dropping-particle":"","family":"González-Naranjo","given":"Carmen","non-dropping-particle":"","parse-names":false,"suffix":""},{"dropping-particle":"","family":"Bozada-García","given":"Juan M","non-dropping-particle":"","parse-names":false,"suffix":""},{"dropping-particle":"","family":"Díaz","given":"Jacobo","non-dropping-particle":"","parse-names":false,"suffix":""},{"dropping-particle":"","family":"Coronel-Rodríguez","given":"Cristóbal","non-dropping-particle":"","parse-names":false,"suffix":""},{"dropping-particle":"","family":"Espín","given":"Beatriz","non-dropping-particle":"","parse-names":false,"suffix":""},{"dropping-particle":"","family":"Romero-Gómez","given":"Manuel","non-dropping-particle":"","parse-names":false,"suffix":""},{"dropping-particle":"","family":"Cebolla","given":"Ángel","non-dropping-particle":"","parse-names":false,"suffix":""},{"dropping-particle":"","family":"Sousa","given":"Carolina","non-dropping-particle":"","parse-names":false,"suffix":""},{"dropping-particle":"","family":"Comino","given":"Isabel","non-dropping-particle":"","parse-names":false,"suffix":""},{"dropping-particle":"","family":"Argüelles","given":"Federico","non-dropping-particle":"","parse-names":false,"suffix":""},{"dropping-particle":"","family":"Pizarro","given":"Ángeles","non-dropping-particle":"","parse-names":false,"suffix":""}],"container-title":"The American Journal of Clinical Nutrition","id":"ITEM-1","issue":"5","issued":{"date-parts":[["2020","11","11"]]},"page":"1240-1251","title":"Negative predictive value of the repeated absence of gluten immunogenic peptides in the urine of treated celiac patients in predicting mucosal healing: new proposals for follow-up in celiac disease","type":"article-journal","volume":"112"},"uris":["http://www.mendeley.com/documents/?uuid=f7b55239-514f-4b56-a25d-6d64e385eedb"]}],"mendeley":{"formattedCitation":"&lt;sup&gt;[23]&lt;/sup&gt;","plainTextFormattedCitation":"[23]","previouslyFormattedCitation":"&lt;sup&gt;[23]&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[23]</w:t>
            </w:r>
            <w:r w:rsidR="00C3458C" w:rsidRPr="00D275F9">
              <w:rPr>
                <w:rFonts w:ascii="Book Antiqua" w:hAnsi="Book Antiqua" w:cs="Calibri"/>
                <w:lang w:eastAsia="es-ES"/>
              </w:rPr>
              <w:fldChar w:fldCharType="end"/>
            </w:r>
          </w:p>
        </w:tc>
        <w:tc>
          <w:tcPr>
            <w:tcW w:w="593" w:type="pct"/>
            <w:shd w:val="clear" w:color="auto" w:fill="auto"/>
            <w:vAlign w:val="center"/>
            <w:hideMark/>
          </w:tcPr>
          <w:p w14:paraId="6A6EA366"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Prospective observational study</w:t>
            </w:r>
          </w:p>
        </w:tc>
        <w:tc>
          <w:tcPr>
            <w:tcW w:w="592" w:type="pct"/>
            <w:shd w:val="clear" w:color="auto" w:fill="auto"/>
            <w:vAlign w:val="center"/>
            <w:hideMark/>
          </w:tcPr>
          <w:p w14:paraId="317F7D7C"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22 newly diagnosed CeD patients, 77 CeD patients following a GFD and 13 healthy volunteers</w:t>
            </w:r>
          </w:p>
        </w:tc>
        <w:tc>
          <w:tcPr>
            <w:tcW w:w="1038" w:type="pct"/>
            <w:shd w:val="clear" w:color="auto" w:fill="auto"/>
            <w:vAlign w:val="center"/>
            <w:hideMark/>
          </w:tcPr>
          <w:p w14:paraId="02FDDA70"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Urine LFIA GIP test to evaluate adherence to the GFD and comparison with serology, clinical manifestations, dietary questionnaire, and histological results</w:t>
            </w:r>
          </w:p>
        </w:tc>
        <w:tc>
          <w:tcPr>
            <w:tcW w:w="2084" w:type="pct"/>
            <w:shd w:val="clear" w:color="auto" w:fill="auto"/>
            <w:vAlign w:val="center"/>
            <w:hideMark/>
          </w:tcPr>
          <w:p w14:paraId="5FB1ACBD" w14:textId="77777777" w:rsidR="007129C1" w:rsidRPr="00D275F9" w:rsidRDefault="007129C1" w:rsidP="00F10C3B">
            <w:pPr>
              <w:spacing w:line="360" w:lineRule="auto"/>
              <w:jc w:val="both"/>
              <w:rPr>
                <w:rFonts w:ascii="Book Antiqua" w:hAnsi="Book Antiqua" w:cs="Calibri"/>
                <w:lang w:eastAsia="zh-CN"/>
              </w:rPr>
            </w:pPr>
            <w:r w:rsidRPr="00D275F9">
              <w:rPr>
                <w:rFonts w:ascii="Book Antiqua" w:hAnsi="Book Antiqua" w:cs="Calibri"/>
                <w:lang w:eastAsia="es-ES"/>
              </w:rPr>
              <w:t>Mucosal damage (Marsh II-III) was found in 24% of CeD patients, 94%of these had ≥</w:t>
            </w:r>
            <w:r>
              <w:rPr>
                <w:rFonts w:ascii="Book Antiqua" w:hAnsi="Book Antiqua" w:cs="Calibri" w:hint="eastAsia"/>
                <w:lang w:eastAsia="zh-CN"/>
              </w:rPr>
              <w:t xml:space="preserve"> </w:t>
            </w:r>
            <w:r w:rsidRPr="00D275F9">
              <w:rPr>
                <w:rFonts w:ascii="Book Antiqua" w:hAnsi="Book Antiqua" w:cs="Calibri"/>
                <w:lang w:eastAsia="es-ES"/>
              </w:rPr>
              <w:t>1 GIP urine sample. 60-80% of these were asymptomatic, had negative serologic results and were compliant with treatment regarding the dietary questionnaire. GIP-negative results were found in 97% of the patients without mucosal damage</w:t>
            </w:r>
          </w:p>
        </w:tc>
      </w:tr>
      <w:tr w:rsidR="007129C1" w:rsidRPr="00D275F9" w14:paraId="17BAD398" w14:textId="77777777" w:rsidTr="007129C1">
        <w:trPr>
          <w:trHeight w:val="1280"/>
        </w:trPr>
        <w:tc>
          <w:tcPr>
            <w:tcW w:w="692" w:type="pct"/>
            <w:shd w:val="clear" w:color="auto" w:fill="auto"/>
            <w:vAlign w:val="center"/>
            <w:hideMark/>
          </w:tcPr>
          <w:p w14:paraId="3A0788EE"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Fernandez-</w:t>
            </w:r>
            <w:proofErr w:type="spellStart"/>
            <w:r w:rsidRPr="00D275F9">
              <w:rPr>
                <w:rFonts w:ascii="Book Antiqua" w:hAnsi="Book Antiqua" w:cs="Calibri"/>
                <w:lang w:eastAsia="es-ES"/>
              </w:rPr>
              <w:t>Miaja</w:t>
            </w:r>
            <w:proofErr w:type="spellEnd"/>
            <w:r w:rsidRPr="00D275F9">
              <w:rPr>
                <w:rFonts w:ascii="Book Antiqua" w:hAnsi="Book Antiqua" w:cs="Calibri"/>
                <w:lang w:eastAsia="es-ES"/>
              </w:rPr>
              <w:t xml:space="preserve"> </w:t>
            </w:r>
            <w:r w:rsidR="006E5332"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{"citationItems":[{"id":"ITEM-1","itemData":{"DOI":"10.1016/j.anpedi.2020.06.017","ISSN":"1695-9531","PMID":"32830086","abstract":"INTRODUCTION The following of a strict gluten-free diet (GFD) is essential in the control of coeliac disease. The aim of this study was to determine the adherence to a GFD in coeliac patients and to evaluate the factors that could influence this adherence. MATERIAL AND METHODS A descriptive observational study was carried out, in which gluten immunogenic peptides (GIP) were determined in faeces using a semi-quantitative method, and the Coeliac Dietary Adherence Test was completed. Sociodemographic and clinical details were collected, and an ad hoc questionnaire was prepared. RESULTS Of the 80 patients included, 92.5% were adherent according to the GIP and 86.3% according to Coeliac Dietary Adherence Test (acceptable agreement; Kappa: 0.31, P=.004). The large majority (83.3%) of patients with positive GIP gave negative anti-transglutaminase antibodies in the latest determination. Current age and time of onset were significantly associated with adherence. Those with a positive GIP had a mean age of 5 years more (P=.0001) and were 52 months more on a GFD (P=.025). One quarter of those surveyed considered the diet difficult to follow. Just under two-thirds (60%) considered that the variability in the eating site was an important factor in leading to infringements, with children's parties being the main area where they occurred (66.7%). The lack of variety (61.4%) and the increased cost (98.6%) of gluten-free foods is highlighted. CONCLUSIONS The adherence to the GFD is generally good. The analysis of GIP helps to detect non-adherent patients that would pass unnoticed in other circumstances. Measures must be established in order to maintain good long-term adherence, taking into account the risk factors and difficulties detected.","author":[{"dropping-particle":"","family":"Fernández Miaja","given":"María","non-dropping-particle":"","parse-names":false,"suffix":""},{"dropping-particle":"","family":"Díaz Martín","given":"Juan José","non-dropping-particle":"","parse-names":false,"suffix":""},{"dropping-particle":"","family":"Jiménez Treviño","given":"Santiago","non-dropping-particle":"","parse-names":false,"suffix":""},{"dropping-particle":"","family":"Suárez González","given":"Marta","non-dropping-particle":"","parse-names":false,"suffix":""},{"dropping-particle":"","family":"Bousoño García","given":"Carlos","non-dropping-particle":"","parse-names":false,"suffix":""}],"container-title":"Anales de pediatria (Barcelona, Spain : 2003)","id":"ITEM-1","issue":"xx","issued":{"date-parts":[["2020","8","20"]]},"page":"4-11","title":"Study of adherence to the gluten-free diet in coeliac patients","type":"article-journal"},"uris":["http://www.mendeley.com/documents/?uuid=80181f68-d1cc-4448-89b4-8cfb26f28c44"]}],"mendeley":{"formattedCitation":"&lt;sup&gt;[22]&lt;/sup&gt;","plainTextFormattedCitation":"[22]","previouslyFormattedCitation":"&lt;sup&gt;[22]&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[22]</w:t>
            </w:r>
            <w:r w:rsidR="00C3458C" w:rsidRPr="00D275F9">
              <w:rPr>
                <w:rFonts w:ascii="Book Antiqua" w:hAnsi="Book Antiqua" w:cs="Calibri"/>
                <w:lang w:eastAsia="es-ES"/>
              </w:rPr>
              <w:fldChar w:fldCharType="end"/>
            </w:r>
          </w:p>
        </w:tc>
        <w:tc>
          <w:tcPr>
            <w:tcW w:w="593" w:type="pct"/>
            <w:shd w:val="clear" w:color="auto" w:fill="auto"/>
            <w:vAlign w:val="center"/>
            <w:hideMark/>
          </w:tcPr>
          <w:p w14:paraId="4E1CF6DD"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Cross-sectional study</w:t>
            </w:r>
          </w:p>
        </w:tc>
        <w:tc>
          <w:tcPr>
            <w:tcW w:w="592" w:type="pct"/>
            <w:shd w:val="clear" w:color="auto" w:fill="auto"/>
            <w:vAlign w:val="center"/>
            <w:hideMark/>
          </w:tcPr>
          <w:p w14:paraId="48376569"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80 pediatric CeD patients</w:t>
            </w:r>
          </w:p>
        </w:tc>
        <w:tc>
          <w:tcPr>
            <w:tcW w:w="1038" w:type="pct"/>
            <w:shd w:val="clear" w:color="auto" w:fill="auto"/>
            <w:vAlign w:val="center"/>
            <w:hideMark/>
          </w:tcPr>
          <w:p w14:paraId="103A40EB"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Relationship of fecal LFIA GIP for GFD monitoring GFD with CDAT, serology and sociodemographic and clinical data</w:t>
            </w:r>
          </w:p>
        </w:tc>
        <w:tc>
          <w:tcPr>
            <w:tcW w:w="2084" w:type="pct"/>
            <w:shd w:val="clear" w:color="auto" w:fill="auto"/>
            <w:vAlign w:val="center"/>
            <w:hideMark/>
          </w:tcPr>
          <w:p w14:paraId="25D92DB2" w14:textId="77777777" w:rsidR="007129C1" w:rsidRPr="00D275F9" w:rsidRDefault="007129C1" w:rsidP="00F10C3B">
            <w:pPr>
              <w:spacing w:line="360" w:lineRule="auto"/>
              <w:jc w:val="both"/>
              <w:rPr>
                <w:rFonts w:ascii="Book Antiqua" w:hAnsi="Book Antiqua" w:cs="Calibri"/>
                <w:lang w:eastAsia="zh-CN"/>
              </w:rPr>
            </w:pPr>
            <w:r w:rsidRPr="00D275F9">
              <w:rPr>
                <w:rFonts w:ascii="Book Antiqua" w:hAnsi="Book Antiqua" w:cs="Calibri"/>
                <w:lang w:eastAsia="es-ES"/>
              </w:rPr>
              <w:t>Acceptable agreement was found between GIP detection and CDAT questionnaire (92.5% and 86.3% adherence rate, respectively). Most patients (83.3%) with GIP-positive results had negative anti-tTG antibodies</w:t>
            </w:r>
          </w:p>
        </w:tc>
      </w:tr>
      <w:tr w:rsidR="007129C1" w:rsidRPr="00D275F9" w14:paraId="51660AB1" w14:textId="77777777" w:rsidTr="007129C1">
        <w:trPr>
          <w:trHeight w:val="1685"/>
        </w:trPr>
        <w:tc>
          <w:tcPr>
            <w:tcW w:w="692" w:type="pct"/>
            <w:shd w:val="clear" w:color="auto" w:fill="auto"/>
            <w:vAlign w:val="center"/>
            <w:hideMark/>
          </w:tcPr>
          <w:p w14:paraId="75541E18" w14:textId="77777777" w:rsidR="007129C1" w:rsidRPr="00D275F9" w:rsidRDefault="007129C1" w:rsidP="00F10C3B">
            <w:pPr>
              <w:spacing w:line="360" w:lineRule="auto"/>
              <w:jc w:val="both"/>
              <w:rPr>
                <w:rFonts w:ascii="Book Antiqua" w:hAnsi="Book Antiqua" w:cs="Calibri"/>
                <w:lang w:eastAsia="es-ES"/>
              </w:rPr>
            </w:pPr>
            <w:proofErr w:type="spellStart"/>
            <w:r w:rsidRPr="00D275F9">
              <w:rPr>
                <w:rFonts w:ascii="Book Antiqua" w:hAnsi="Book Antiqua" w:cs="Calibri"/>
                <w:lang w:eastAsia="es-ES"/>
              </w:rPr>
              <w:lastRenderedPageBreak/>
              <w:t>Porcelli</w:t>
            </w:r>
            <w:proofErr w:type="spellEnd"/>
            <w:r w:rsidRPr="00D275F9">
              <w:rPr>
                <w:rFonts w:ascii="Book Antiqua" w:hAnsi="Book Antiqua" w:cs="Calibri"/>
                <w:lang w:eastAsia="es-ES"/>
              </w:rPr>
              <w:t xml:space="preserve"> </w:t>
            </w:r>
            <w:r w:rsidR="006E5332"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{"citationItems":[{"id":"ITEM-1","itemData":{"DOI":"10.23736/S1121-421X.20.02662-8","ISSN":"18271642","PMID":"32218420","abstract":"BACKGROUND: It is important to have methods for evaluating dietary compliance in patients with celiac disease (CD). Determination of fecal gluten immunogenic peptides (GIPs) was recently proposed as a method of detecting gluten intake. The aim of this study was to evaluate whether determination of GIPs can be used as an indicator of compliance with a gluten-free diet (GFD). METHODS: Twenty-five persons with CD on a gluten-free diet for at least one year were enrolled in the study. Compliance with the diet was assessed by the Biagi questionnaire, evaluation of symptoms and assay of IgA anti-tissue transglutaminase antibodies (IgA anti-tTG). GIPs were determined by iVYLISA GIP-S test (Biomedal S.L., Seville, Spain) on an automated Chorus analyzer (DIESSE Diagnostica Senese, Siena, Italy), after extraction of fecal samples by the method developed by DIESSE. RESULTS. Four patients tested positive for GIPs (GIP+), two of whom complied strictly with the gluten-free diet according to the Biagi questionnaire. None of the four GIP-positive patients manifested symptoms. IgA anti-tTG was significantly higher in GIP+ than in GIP-subjects. CONCLUSIONS. Assay of fecal GIPs identified more patients who were not complying with the diet than the Biagi questionnaire or evaluation of symptoms. The anti-tTG and GIP results agreed perfectly; however, since anti-tTG antibodies remain high for longer and are not a completely reliable marker of GFD intake, detection of fecal GIPs offers a direct, objective, quantitative assessment of exposure, even occasional, to gluten and could be used to check dietary compliance.","author":[{"dropping-particle":"","family":"Porcelli","given":"Brunetta","non-dropping-particle":"","parse-names":false,"suffix":""},{"dropping-particle":"","family":"Ferretti","given":"Fabio","non-dropping-particle":"","parse-names":false,"suffix":""},{"dropping-particle":"","family":"Cinci","given":"Francesca","non-dropping-particle":"","parse-names":false,"suffix":""},{"dropping-particle":"","family":"Biviano","given":"Ivano","non-dropping-particle":"","parse-names":false,"suffix":""},{"dropping-particle":"","family":"Santini","given":"Alessia","non-dropping-particle":"","parse-names":false,"suffix":""},{"dropping-particle":"","family":"Grande","given":"Elisabetta","non-dropping-particle":"","parse-names":false,"suffix":""},{"dropping-particle":"","family":"Quagliarella","given":"Francesco","non-dropping-particle":"","parse-names":false,"suffix":""},{"dropping-particle":"","family":"Terzuoli","given":"Lucia","non-dropping-particle":"","parse-names":false,"suffix":""},{"dropping-particle":"","family":"Bacarelli","given":"Maria R.","non-dropping-particle":"","parse-names":false,"suffix":""},{"dropping-particle":"","family":"Bizzaro","given":"Nicola","non-dropping-particle":"","parse-names":false,"suffix":""},{"dropping-particle":"","family":"Vascotto","given":"Marina","non-dropping-particle":"","parse-names":false,"suffix":""},{"dropping-particle":"","family":"Marini","given":"Mario","non-dropping-particle":"","parse-names":false,"suffix":""}],"container-title":"Minerva Gastroenterologica e Dietologica","id":"ITEM-1","issue":"3","issued":{"date-parts":[["2020","9","1"]]},"page":"201-207","publisher":"Edizioni Minerva Medica","title":"Fecal gluten immunogenic peptides as indicators of dietary compliance in celiac patients","type":"article-journal","volume":"66"},"uris":["http://www.mendeley.com/documents/?uuid=776e5d89-8d3d-31bc-ac5c-5f567ffd5f19"]}],"mendeley":{"formattedCitation":"&lt;sup&gt;[42]&lt;/sup&gt;","plainTextFormattedCitation":"[42]","previouslyFormattedCitation":"&lt;sup&gt;[42]&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[42]</w:t>
            </w:r>
            <w:r w:rsidR="00C3458C" w:rsidRPr="00D275F9">
              <w:rPr>
                <w:rFonts w:ascii="Book Antiqua" w:hAnsi="Book Antiqua" w:cs="Calibri"/>
                <w:lang w:eastAsia="es-ES"/>
              </w:rPr>
              <w:fldChar w:fldCharType="end"/>
            </w:r>
          </w:p>
        </w:tc>
        <w:tc>
          <w:tcPr>
            <w:tcW w:w="593" w:type="pct"/>
            <w:shd w:val="clear" w:color="auto" w:fill="auto"/>
            <w:vAlign w:val="center"/>
            <w:hideMark/>
          </w:tcPr>
          <w:p w14:paraId="3713818B"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Cross-sectional study</w:t>
            </w:r>
          </w:p>
        </w:tc>
        <w:tc>
          <w:tcPr>
            <w:tcW w:w="592" w:type="pct"/>
            <w:shd w:val="clear" w:color="auto" w:fill="auto"/>
            <w:vAlign w:val="center"/>
            <w:hideMark/>
          </w:tcPr>
          <w:p w14:paraId="025D9109"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25 CeD patients</w:t>
            </w:r>
          </w:p>
        </w:tc>
        <w:tc>
          <w:tcPr>
            <w:tcW w:w="1038" w:type="pct"/>
            <w:shd w:val="clear" w:color="auto" w:fill="auto"/>
            <w:vAlign w:val="center"/>
            <w:hideMark/>
          </w:tcPr>
          <w:p w14:paraId="5A91AA15"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Assessment of compliance with the GFD using Fecal GIP ELISA testing, the Biagi questionnaire, evaluation of symptoms and serology</w:t>
            </w:r>
          </w:p>
        </w:tc>
        <w:tc>
          <w:tcPr>
            <w:tcW w:w="2084" w:type="pct"/>
            <w:shd w:val="clear" w:color="auto" w:fill="auto"/>
            <w:vAlign w:val="center"/>
            <w:hideMark/>
          </w:tcPr>
          <w:p w14:paraId="2136E118" w14:textId="77777777" w:rsidR="007129C1" w:rsidRPr="00D275F9" w:rsidRDefault="007129C1" w:rsidP="00F10C3B">
            <w:pPr>
              <w:spacing w:line="360" w:lineRule="auto"/>
              <w:jc w:val="both"/>
              <w:rPr>
                <w:rFonts w:ascii="Book Antiqua" w:hAnsi="Book Antiqua" w:cs="Calibri"/>
                <w:lang w:eastAsia="zh-CN"/>
              </w:rPr>
            </w:pPr>
            <w:r w:rsidRPr="00D275F9">
              <w:rPr>
                <w:rFonts w:ascii="Book Antiqua" w:hAnsi="Book Antiqua" w:cs="Calibri"/>
                <w:lang w:eastAsia="es-ES"/>
              </w:rPr>
              <w:t>GIP-positive results were found in 4 patients, 2 of these complied with the GFD according to the Biagi questionnaire. All GIP-negative patients were asymptomatic. Levels of anti-tTG antibodies were significantly higher in GIP-positive patients than in GIP-negative patients</w:t>
            </w:r>
          </w:p>
        </w:tc>
      </w:tr>
      <w:tr w:rsidR="007129C1" w:rsidRPr="00D275F9" w14:paraId="42DB9138" w14:textId="77777777" w:rsidTr="007129C1">
        <w:trPr>
          <w:trHeight w:val="149"/>
        </w:trPr>
        <w:tc>
          <w:tcPr>
            <w:tcW w:w="692" w:type="pct"/>
            <w:shd w:val="clear" w:color="auto" w:fill="auto"/>
            <w:vAlign w:val="center"/>
            <w:hideMark/>
          </w:tcPr>
          <w:p w14:paraId="52B51240"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 xml:space="preserve">Roca </w:t>
            </w:r>
            <w:r w:rsidR="006E5332"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{"citationItems":[{"id":"ITEM-1","itemData":{"DOI":"10.1007/s00394-020-02404-z","ISBN":"0039402002404","ISSN":"1436-6207","PMID":"33057793","abstract":"Purpose: In celiac disease (CD) there is a need for precise and non-invasive tools to assess dietary compliance to the gluten-free diet (GFD). Our aim is to evaluate the efficacy of the detection of gluten immunogenic peptides (GIP) in feces, to monitor in real life, the adherence to GFD in pediatric patients with CD. Methods: A cross-sectional, prospective study was conducted. Fecal samples from CD children were analyzed by a rapid immunochromatographic (IC) test and by an ELISA method, both based on the antigliadin 33-mer monoclonal antibody. Results: Group 1 comprises 43 children on a GFD. According to the food records (FR), 39/43 patients were compliant with the GFD and gluten consumption was recorded in 4. GIP were detected in 15/43 individuals by the ELISA method and also in 7 by IC strips. Group 2: comprise 18 children at CD diagnosis; GIP levels decreased over time (p &lt; 0.001) in a non-linear way (p = 0.028) after starting a GFD and were below the detection limit on the third day in most individuals. Conclusion: GIP were detected, both by ELISA and by IC strips, in CD patients on a GFD, in which no consumption of gluten had been registered on the FR, confirming GIP detection to be superior to FR discovering involuntary transgressions. Despite a positive correlation between the amount of gluten intake and the concentration of GIP in feces, the interindividual variations observed suggest gastrointestinal factors influencing GIP recovery need to be further investigated.","author":[{"dropping-particle":"","family":"Roca","given":"María","non-dropping-particle":"","parse-names":false,"suffix":""},{"dropping-particle":"","family":"Donat","given":"Ester","non-dropping-particle":"","parse-names":false,"suffix":""},{"dropping-particle":"","family":"Masip","given":"Etna","non-dropping-particle":"","parse-names":false,"suffix":""},{"dropping-particle":"","family":"Crespo-Escobar","given":"Paula","non-dropping-particle":"","parse-names":false,"suffix":""},{"dropping-particle":"","family":"Cañada-Martínez","given":"Antonio José","non-dropping-particle":"","parse-names":false,"suffix":""},{"dropping-particle":"","family":"Polo","given":"Begoña","non-dropping-particle":"","parse-names":false,"suffix":""},{"dropping-particle":"","family":"Ribes-Koninckx","given":"Carmen","non-dropping-particle":"","parse-names":false,"suffix":""}],"container-title":"European Journal of Nutrition","id":"ITEM-1","issue":"0123456789","issued":{"date-parts":[["2020","10","15"]]},"publisher":"Springer Berlin Heidelberg","title":"Analysis of gluten immunogenic peptides in feces to assess adherence to the gluten-free diet in pediatric celiac patients","type":"article-journal"},"uris":["http://www.mendeley.com/documents/?uuid=a895aed8-f108-4aae-bb48-85277444636e"]}],"mendeley":{"formattedCitation":"&lt;sup&gt;[43]&lt;/sup&gt;","plainTextFormattedCitation":"[43]","previouslyFormattedCitation":"&lt;sup&gt;[43]&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[43]</w:t>
            </w:r>
            <w:r w:rsidR="00C3458C" w:rsidRPr="00D275F9">
              <w:rPr>
                <w:rFonts w:ascii="Book Antiqua" w:hAnsi="Book Antiqua" w:cs="Calibri"/>
                <w:lang w:eastAsia="es-ES"/>
              </w:rPr>
              <w:fldChar w:fldCharType="end"/>
            </w:r>
          </w:p>
        </w:tc>
        <w:tc>
          <w:tcPr>
            <w:tcW w:w="593" w:type="pct"/>
            <w:shd w:val="clear" w:color="auto" w:fill="auto"/>
            <w:vAlign w:val="center"/>
            <w:hideMark/>
          </w:tcPr>
          <w:p w14:paraId="0789F4F3"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Prospective, cross-sectional study</w:t>
            </w:r>
          </w:p>
        </w:tc>
        <w:tc>
          <w:tcPr>
            <w:tcW w:w="592" w:type="pct"/>
            <w:shd w:val="clear" w:color="auto" w:fill="auto"/>
            <w:vAlign w:val="center"/>
            <w:hideMark/>
          </w:tcPr>
          <w:p w14:paraId="5286BDA2"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43 pediatric CeD patients at follow-up (Group 1) and 18 at diagnosis (Group 2)</w:t>
            </w:r>
          </w:p>
        </w:tc>
        <w:tc>
          <w:tcPr>
            <w:tcW w:w="1038" w:type="pct"/>
            <w:shd w:val="clear" w:color="auto" w:fill="auto"/>
            <w:vAlign w:val="center"/>
            <w:hideMark/>
          </w:tcPr>
          <w:p w14:paraId="1625C1E7"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Fecal GIP ELISA and LFIA analysis to monitor in real life the adherence to GFD Comparison to food record questionnaire and serology</w:t>
            </w:r>
          </w:p>
        </w:tc>
        <w:tc>
          <w:tcPr>
            <w:tcW w:w="2084" w:type="pct"/>
            <w:shd w:val="clear" w:color="auto" w:fill="auto"/>
            <w:vAlign w:val="center"/>
            <w:hideMark/>
          </w:tcPr>
          <w:p w14:paraId="418C6A6C" w14:textId="77777777" w:rsidR="007129C1" w:rsidRPr="00D275F9" w:rsidRDefault="007129C1" w:rsidP="00F10C3B">
            <w:pPr>
              <w:spacing w:line="360" w:lineRule="auto"/>
              <w:jc w:val="both"/>
              <w:rPr>
                <w:rFonts w:ascii="Book Antiqua" w:hAnsi="Book Antiqua" w:cs="Calibri"/>
                <w:lang w:eastAsia="zh-CN"/>
              </w:rPr>
            </w:pPr>
            <w:r w:rsidRPr="00D275F9">
              <w:rPr>
                <w:rFonts w:ascii="Book Antiqua" w:hAnsi="Book Antiqua" w:cs="Calibri"/>
                <w:lang w:eastAsia="es-ES"/>
              </w:rPr>
              <w:t>Group 1: GIP-positive results were found in of 34.9% patients by ELISA (46,7% also by LFIA). 48.8% of patients had positive anti-tTG antibodies (4 reported symptoms) and 10 of these had GIP-positive results by ELISA (70% also by LFIA) (2 reported symptoms). All the transgressions detected by food record were also detected with GIP</w:t>
            </w:r>
          </w:p>
        </w:tc>
      </w:tr>
      <w:tr w:rsidR="007129C1" w:rsidRPr="00D275F9" w14:paraId="6913E9F8" w14:textId="77777777" w:rsidTr="007129C1">
        <w:trPr>
          <w:trHeight w:val="565"/>
        </w:trPr>
        <w:tc>
          <w:tcPr>
            <w:tcW w:w="692" w:type="pct"/>
            <w:shd w:val="clear" w:color="auto" w:fill="auto"/>
            <w:vAlign w:val="center"/>
            <w:hideMark/>
          </w:tcPr>
          <w:p w14:paraId="7C5EDEF7" w14:textId="77777777" w:rsidR="007129C1" w:rsidRPr="00D275F9" w:rsidRDefault="007129C1" w:rsidP="00F10C3B">
            <w:pPr>
              <w:spacing w:line="360" w:lineRule="auto"/>
              <w:jc w:val="both"/>
              <w:rPr>
                <w:rFonts w:ascii="Book Antiqua" w:hAnsi="Book Antiqua" w:cs="Calibri"/>
                <w:lang w:eastAsia="es-ES"/>
              </w:rPr>
            </w:pPr>
            <w:proofErr w:type="spellStart"/>
            <w:r w:rsidRPr="00D275F9">
              <w:rPr>
                <w:rFonts w:ascii="Book Antiqua" w:hAnsi="Book Antiqua" w:cs="Calibri"/>
                <w:lang w:eastAsia="es-ES"/>
              </w:rPr>
              <w:t>Porcelli</w:t>
            </w:r>
            <w:proofErr w:type="spellEnd"/>
            <w:r w:rsidRPr="00D275F9">
              <w:rPr>
                <w:rFonts w:ascii="Book Antiqua" w:hAnsi="Book Antiqua" w:cs="Calibri"/>
                <w:lang w:eastAsia="es-ES"/>
              </w:rPr>
              <w:t xml:space="preserve"> </w:t>
            </w:r>
            <w:r w:rsidR="006E5332"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{"citationItems":[{"id":"ITEM-1","itemData":{"DOI":"10.20524/aog.2020.0530","ISSN":"1108-7471","PMID":"33162739","abstract":"Background Although experts agree that strict dietary compliance is fundamental for the health of celiac patients, there are no evidence-based recommendations on the best way to assess dietary compliance. Detection of gluten immunogenic peptides (GIPs) in feces was recently proposed as an effective method of assessing the dietary compliance of celiac patients. Methods Fifty-five consecutive celiac patients (27 adults and 28 children, age 6-72 years), who had been on a gluten-free diet for at least 2 years, were enrolled. All patients were evaluated clinically for symptoms, physical parameters and laboratory parameters. Dietary compliance was assessed with the Biagi questionnaire and serum anti-tissue transglutaminase (tTG) IgA antibodies were measured. GIPs were determined by immunoenzymatic assay on an automated Chorus analyzer (DIESSE Diagnostica Senese), after extraction of fecal samples by the method developed by DIESSE. Results Eight patients tested positive for GIPs (GIPs+); 71.4% of GIP-positive patients were asymptomatic; tTG antibodies were detected in 3/8 GIP+ patients. The Biagi score was significantly associated with fecal positivity for GIPs (P=0.02). However, according to the Biagi score, 57.1% of GIP+ patients followed the diet strictly and 5.4% of GIP- subjects did not comply with the diet or made substantial mistakes. Conclusions Assay of fecal GIPs identified more patients who did not comply with the diet than did the Biagi questionnaire, evaluation of symptoms or anti-tTG antibodies. Detection of fecal GIPs offers a direct, objective, quantitative assessment of even occasional exposure to gluten and is confirmed as a practical way to check dietary compliance.","author":[{"dropping-particle":"","family":"Porcelli","given":"Brunetta","non-dropping-particle":"","parse-names":false,"suffix":""},{"dropping-particle":"","family":"Ferretti","given":"Fabio","non-dropping-particle":"","parse-names":false,"suffix":""},{"dropping-particle":"","family":"Biviano","given":"Ivano","non-dropping-particle":"","parse-names":false,"suffix":""},{"dropping-particle":"","family":"Santini","given":"Alessia","non-dropping-particle":"","parse-names":false,"suffix":""},{"dropping-particle":"","family":"Cinci","given":"Francesca","non-dropping-particle":"","parse-names":false,"suffix":""},{"dropping-particle":"","family":"Vascotto","given":"Marina","non-dropping-particle":"","parse-names":false,"suffix":""},{"dropping-particle":"","family":"Grande","given":"Elisabetta","non-dropping-particle":"","parse-names":false,"suffix":""},{"dropping-particle":"","family":"Quagliarella","given":"Francesco","non-dropping-particle":"","parse-names":false,"suffix":""},{"dropping-particle":"","family":"Terzuoli","given":"Lucia","non-dropping-particle":"","parse-names":false,"suffix":""},{"dropping-particle":"","family":"Bizzaro","given":"Nicola","non-dropping-particle":"","parse-names":false,"suffix":""},{"dropping-particle":"","family":"Marini","given":"Mario","non-dropping-particle":"","parse-names":false,"suffix":""},{"dropping-particle":"","family":"Rentini","given":"Silvia","non-dropping-particle":"","parse-names":false,"suffix":""}],"container-title":"Annals of gastroenterology","id":"ITEM-1","issue":"6","issued":{"date-parts":[["2020"]]},"page":"631-637","title":"Testing for fecal gluten immunogenic peptides: a useful tool to evaluate compliance with gluten-free diet by celiacs.","type":"article-journal","volume":"33"},"uris":["http://www.mendeley.com/documents/?uuid=bafd4332-b4e0-4634-99cd-d3172d6ff8c8"]}],"mendeley":{"formattedCitation":"&lt;sup&gt;[44]&lt;/sup&gt;","plainTextFormattedCitation":"[44]","previouslyFormattedCitation":"&lt;sup&gt;[44]&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[44]</w:t>
            </w:r>
            <w:r w:rsidR="00C3458C" w:rsidRPr="00D275F9">
              <w:rPr>
                <w:rFonts w:ascii="Book Antiqua" w:hAnsi="Book Antiqua" w:cs="Calibri"/>
                <w:lang w:eastAsia="es-ES"/>
              </w:rPr>
              <w:fldChar w:fldCharType="end"/>
            </w:r>
          </w:p>
        </w:tc>
        <w:tc>
          <w:tcPr>
            <w:tcW w:w="593" w:type="pct"/>
            <w:shd w:val="clear" w:color="auto" w:fill="auto"/>
            <w:vAlign w:val="center"/>
            <w:hideMark/>
          </w:tcPr>
          <w:p w14:paraId="5E9CB0D3"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Cross-sectional study</w:t>
            </w:r>
          </w:p>
        </w:tc>
        <w:tc>
          <w:tcPr>
            <w:tcW w:w="592" w:type="pct"/>
            <w:shd w:val="clear" w:color="auto" w:fill="auto"/>
            <w:vAlign w:val="center"/>
            <w:hideMark/>
          </w:tcPr>
          <w:p w14:paraId="3C387BAC"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55 CeD patients: 27 adults and 28 children</w:t>
            </w:r>
          </w:p>
        </w:tc>
        <w:tc>
          <w:tcPr>
            <w:tcW w:w="1038" w:type="pct"/>
            <w:shd w:val="clear" w:color="auto" w:fill="auto"/>
            <w:vAlign w:val="center"/>
            <w:hideMark/>
          </w:tcPr>
          <w:p w14:paraId="5DED5A56"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Assessment of compliance with the GFD using Fecal GIP ELISA, the Biagi questionnaire, evaluation of symptoms and serology</w:t>
            </w:r>
          </w:p>
        </w:tc>
        <w:tc>
          <w:tcPr>
            <w:tcW w:w="2084" w:type="pct"/>
            <w:shd w:val="clear" w:color="auto" w:fill="auto"/>
            <w:vAlign w:val="center"/>
            <w:hideMark/>
          </w:tcPr>
          <w:p w14:paraId="75AF81CF" w14:textId="77777777" w:rsidR="007129C1" w:rsidRPr="00D275F9" w:rsidRDefault="007129C1" w:rsidP="00F10C3B">
            <w:pPr>
              <w:spacing w:line="360" w:lineRule="auto"/>
              <w:jc w:val="both"/>
              <w:rPr>
                <w:rFonts w:ascii="Book Antiqua" w:hAnsi="Book Antiqua" w:cs="Calibri"/>
                <w:lang w:eastAsia="zh-CN"/>
              </w:rPr>
            </w:pPr>
            <w:r w:rsidRPr="00D275F9">
              <w:rPr>
                <w:rFonts w:ascii="Book Antiqua" w:hAnsi="Book Antiqua" w:cs="Calibri"/>
                <w:lang w:eastAsia="es-ES"/>
              </w:rPr>
              <w:t>GIP-positive results were found in 8 patients, 71.4% of these were asymptomatic and 37.5% had raised anti-tTG antibodies. A significant association was found between the Biagi score and GIP-positive results but according to the Biagi score, 57.1% of GIP-positive patients followed the diet strictly and 5.4% of GIP-</w:t>
            </w:r>
            <w:r w:rsidRPr="00D275F9">
              <w:rPr>
                <w:rFonts w:ascii="Book Antiqua" w:hAnsi="Book Antiqua" w:cs="Calibri"/>
                <w:lang w:eastAsia="es-ES"/>
              </w:rPr>
              <w:lastRenderedPageBreak/>
              <w:t>negative subjects did not comply with the diet</w:t>
            </w:r>
          </w:p>
        </w:tc>
      </w:tr>
      <w:tr w:rsidR="007129C1" w:rsidRPr="00D275F9" w14:paraId="47B10DCB" w14:textId="77777777" w:rsidTr="007129C1">
        <w:trPr>
          <w:trHeight w:val="2685"/>
        </w:trPr>
        <w:tc>
          <w:tcPr>
            <w:tcW w:w="692" w:type="pct"/>
            <w:shd w:val="clear" w:color="auto" w:fill="auto"/>
            <w:vAlign w:val="center"/>
            <w:hideMark/>
          </w:tcPr>
          <w:p w14:paraId="3C03AE07" w14:textId="77777777" w:rsidR="007129C1" w:rsidRPr="00D275F9" w:rsidRDefault="007129C1" w:rsidP="00F10C3B">
            <w:pPr>
              <w:spacing w:line="360" w:lineRule="auto"/>
              <w:jc w:val="both"/>
              <w:rPr>
                <w:rFonts w:ascii="Book Antiqua" w:hAnsi="Book Antiqua" w:cs="Calibri"/>
                <w:lang w:eastAsia="es-ES"/>
              </w:rPr>
            </w:pPr>
            <w:proofErr w:type="spellStart"/>
            <w:r w:rsidRPr="00D275F9">
              <w:rPr>
                <w:rFonts w:ascii="Book Antiqua" w:hAnsi="Book Antiqua" w:cs="Calibri"/>
                <w:lang w:eastAsia="es-ES"/>
              </w:rPr>
              <w:lastRenderedPageBreak/>
              <w:t>Laserna</w:t>
            </w:r>
            <w:proofErr w:type="spellEnd"/>
            <w:r w:rsidRPr="00D275F9">
              <w:rPr>
                <w:rFonts w:ascii="Book Antiqua" w:hAnsi="Book Antiqua" w:cs="Calibri"/>
                <w:lang w:eastAsia="es-ES"/>
              </w:rPr>
              <w:t xml:space="preserve">-Mendieta </w:t>
            </w:r>
            <w:r w:rsidR="006E5332"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{"citationItems":[{"id":"ITEM-1","itemData":{"DOI":"10.3390/nu13010098","ISSN":"20726643","PMID":"33396719","abstract":"A lifelong gluten-free diet (GFD) is the only current treatment for celiac disease (CD), but strict compliance is complicated. Duodenal biopsies are the “gold standard” method for diagnosing CD, but they are not generally recommended for disease monitoring. We evaluated the sensitivity and specificity of fecal gluten immunogenic peptides (GIPs) to detect duodenal lesions in CD patients on a GFD and compared them with serum anti-tissue transglutaminase (tTG) IgA antibodies. A prospective study was conducted at two tertiary centers in Spain on a consecutive series of adolescents and adults with CD who maintained a long-lasting GFD. Adherence to a GFD and health-related quality of life were scored with validated questionnaires. Mucosal damage graded according to the Marsh–Oberhüber classification (Marsh 1/2/3) was used as the reference standard. Of the 97 patients included, 27 presented duodenal mucosal damage and 70 had normal biopsies (Marsh 0). The sensitivity (33%) and specificity (81%) of GIPs were similar to those provided by the two assays used to measure anti-tTG antibodies. Scores in questionnaires showed no association with GIP, but an association between GIPs and patients’ self-reported gluten consumption was found (p = 0.003). GIP displayed low sensitivity but acceptable specificity for the detection of mucosal damage in CD.","author":[{"dropping-particle":"","family":"Laserna-Mendieta","given":"Emilio J.","non-dropping-particle":"","parse-names":false,"suffix":""},{"dropping-particle":"","family":"Casanova","given":"María José","non-dropping-particle":"","parse-names":false,"suffix":""},{"dropping-particle":"","family":"Arias","given":"Ángel","non-dropping-particle":"","parse-names":false,"suffix":""},{"dropping-particle":"","family":"Arias-González","given":"Laura","non-dropping-particle":"","parse-names":false,"suffix":""},{"dropping-particle":"","family":"Majano","given":"Pedro","non-dropping-particle":"","parse-names":false,"suffix":""},{"dropping-particle":"","family":"Mate","given":"Luis Alberto","non-dropping-particle":"","parse-names":false,"suffix":""},{"dropping-particle":"","family":"Gordillo-Vélez","given":"Carlos Humberto","non-dropping-particle":"","parse-names":false,"suffix":""},{"dropping-particle":"","family":"Jiménez","given":"Mirella","non-dropping-particle":"","parse-names":false,"suffix":""},{"dropping-particle":"","family":"Angueira","given":"Teresa","non-dropping-particle":"","parse-names":false,"suffix":""},{"dropping-particle":"","family":"Tébar-Romero","given":"Emilia","non-dropping-particle":"","parse-names":false,"suffix":""},{"dropping-particle":"","family":"Carrillo-Ramos","given":"María Jesús","non-dropping-particle":"","parse-names":false,"suffix":""},{"dropping-particle":"","family":"Tejero-Bustos","given":"María Ángeles","non-dropping-particle":"","parse-names":false,"suffix":""},{"dropping-particle":"","family":"Gisbert","given":"Javier P.","non-dropping-particle":"","parse-names":false,"suffix":""},{"dropping-particle":"","family":"Santander","given":"Cecilio","non-dropping-particle":"","parse-names":false,"suffix":""},{"dropping-particle":"","family":"Lucendo","given":"Alfredo J.","non-dropping-particle":"","parse-names":false,"suffix":""}],"container-title":"Nutrients","id":"ITEM-1","issue":"1","issued":{"date-parts":[["2021"]]},"page":"1-12","title":"Poor sensitivity of fecal gluten immunogenic peptides and serum antibodies to detect duodenal mucosal damage in celiac disease monitoring","type":"article-journal","volume":"13"},"uris":["http://www.mendeley.com/documents/?uuid=d626c222-c695-4809-b437-4e8f9bbfbbc4"]}],"mendeley":{"formattedCitation":"&lt;sup&gt;[45]&lt;/sup&gt;","plainTextFormattedCitation":"[45]","previouslyFormattedCitation":"&lt;sup&gt;[45]&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[45]</w:t>
            </w:r>
            <w:r w:rsidR="00C3458C" w:rsidRPr="00D275F9">
              <w:rPr>
                <w:rFonts w:ascii="Book Antiqua" w:hAnsi="Book Antiqua" w:cs="Calibri"/>
                <w:lang w:eastAsia="es-ES"/>
              </w:rPr>
              <w:fldChar w:fldCharType="end"/>
            </w:r>
          </w:p>
        </w:tc>
        <w:tc>
          <w:tcPr>
            <w:tcW w:w="593" w:type="pct"/>
            <w:shd w:val="clear" w:color="auto" w:fill="auto"/>
            <w:vAlign w:val="center"/>
            <w:hideMark/>
          </w:tcPr>
          <w:p w14:paraId="743821B3"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Prospective observational study</w:t>
            </w:r>
          </w:p>
        </w:tc>
        <w:tc>
          <w:tcPr>
            <w:tcW w:w="592" w:type="pct"/>
            <w:shd w:val="clear" w:color="auto" w:fill="auto"/>
            <w:vAlign w:val="center"/>
            <w:hideMark/>
          </w:tcPr>
          <w:p w14:paraId="2871C418"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97 adolescent and adult CeD patients</w:t>
            </w:r>
          </w:p>
        </w:tc>
        <w:tc>
          <w:tcPr>
            <w:tcW w:w="1038" w:type="pct"/>
            <w:shd w:val="clear" w:color="auto" w:fill="auto"/>
            <w:vAlign w:val="center"/>
            <w:hideMark/>
          </w:tcPr>
          <w:p w14:paraId="2F7C8E22"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Evaluation of the sensitivity and specificity of fecal GIP LFIA test to detect duodenal lesions in CeD patients on a GFD and comparison to serology and questionnaires</w:t>
            </w:r>
          </w:p>
        </w:tc>
        <w:tc>
          <w:tcPr>
            <w:tcW w:w="2084" w:type="pct"/>
            <w:shd w:val="clear" w:color="auto" w:fill="auto"/>
            <w:vAlign w:val="center"/>
            <w:hideMark/>
          </w:tcPr>
          <w:p w14:paraId="586577C8" w14:textId="77777777" w:rsidR="007129C1" w:rsidRPr="00D275F9" w:rsidRDefault="007129C1" w:rsidP="00F10C3B">
            <w:pPr>
              <w:spacing w:line="360" w:lineRule="auto"/>
              <w:jc w:val="both"/>
              <w:rPr>
                <w:rFonts w:ascii="Book Antiqua" w:hAnsi="Book Antiqua" w:cs="Calibri"/>
                <w:lang w:eastAsia="zh-CN"/>
              </w:rPr>
            </w:pPr>
            <w:r w:rsidRPr="00D275F9">
              <w:rPr>
                <w:rFonts w:ascii="Book Antiqua" w:hAnsi="Book Antiqua" w:cs="Calibri"/>
                <w:lang w:eastAsia="es-ES"/>
              </w:rPr>
              <w:t>Compared to the duodenal histology, GIP LFIA test showed similar sensitivity (33%) and specificity (81%) to anti-tTG antibodies. No relationship was found between GIP and questionnaires but an association between GIP and patients’ self-reported gluten consumption was seen</w:t>
            </w:r>
          </w:p>
        </w:tc>
      </w:tr>
      <w:tr w:rsidR="007129C1" w:rsidRPr="00D275F9" w14:paraId="2DAEDA78" w14:textId="77777777" w:rsidTr="007129C1">
        <w:trPr>
          <w:trHeight w:val="1887"/>
        </w:trPr>
        <w:tc>
          <w:tcPr>
            <w:tcW w:w="692" w:type="pct"/>
            <w:shd w:val="clear" w:color="auto" w:fill="auto"/>
            <w:vAlign w:val="center"/>
          </w:tcPr>
          <w:p w14:paraId="6E6B124A" w14:textId="77777777" w:rsidR="007129C1" w:rsidRPr="00D275F9" w:rsidRDefault="007129C1" w:rsidP="00F10C3B">
            <w:pPr>
              <w:spacing w:line="360" w:lineRule="auto"/>
              <w:jc w:val="both"/>
              <w:rPr>
                <w:rFonts w:ascii="Book Antiqua" w:hAnsi="Book Antiqua" w:cs="Calibri"/>
                <w:lang w:eastAsia="es-ES"/>
              </w:rPr>
            </w:pPr>
            <w:proofErr w:type="spellStart"/>
            <w:r w:rsidRPr="00D275F9">
              <w:rPr>
                <w:rFonts w:ascii="Book Antiqua" w:hAnsi="Book Antiqua" w:cs="Calibri"/>
                <w:lang w:eastAsia="es-ES"/>
              </w:rPr>
              <w:t>Stefanolo</w:t>
            </w:r>
            <w:proofErr w:type="spellEnd"/>
            <w:r w:rsidRPr="00D275F9">
              <w:rPr>
                <w:rFonts w:ascii="Book Antiqua" w:hAnsi="Book Antiqua" w:cs="Calibri"/>
                <w:lang w:eastAsia="es-ES"/>
              </w:rPr>
              <w:t xml:space="preserve"> </w:t>
            </w:r>
            <w:r w:rsidR="006E5332"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{"citationItems":[{"id":"ITEM-1","itemData":{"DOI":"10.1016/j.cgh.2020.03.038","ISSN":"15423565","PMID":"32217152","abstract":"BACKGROUND &amp; AIMS It is not clear how often patients who are on gluten-free diets (GFDs) for treatment celiac disease are still exposed to gluten. We studied levels of gluten immunogenic peptides (GIP) in fecal and urine samples, collected over 4 weeks, from patients with celiac disease following a long-term GFD. METHODS We performed a prospective study of 53 adults with celiac disease who had been on a GFD for more than 2 years (median duration, 8 years; interquartile range, 5-12 years) in Argentina. At baseline, symptoms were assessed by the celiac symptom index questionnaire. Patients collected stool each Friday and Saturday and urine samples each Sunday for 4 weeks. We used a commercial ELISA to measure GIP in stool and point-of-care tests to measure GIP in urine samples. RESULTS Overall, 159 of 420 stool and urine samples (37.9%) were positive for GIP; 88.7% of patients had at least 1 fecal or urine sample that was positive for GIP (median, 3 excretions). On weekends (urine samples), 69.8% of patients excreted GIP at least once, compared with 62.3% during weekdays (stool). The number of patients with a sample that was positive for GIP increased over the 4-week study period (urine samples in week 1 vs week 4, P&lt;.05). Patients with symptoms had more weeks in which GIP was detected in stool than patients without symptoms (P&lt;.05). Numbers of samples that were positive for GIP correlated with titers of deamidated gliadin peptide IgA in patients' blood samples, but not with levels of tissue transglutaminase. CONCLUSIONS Patients with celiac disease on a long-term GFD are still frequently exposed to gluten. Assays to detect GIP in stool and urine might be used to assist dietitians in assessment of GFD compliance.","author":[{"dropping-particle":"","family":"Stefanolo","given":"Juan Pablo","non-dropping-particle":"","parse-names":false,"suffix":""},{"dropping-particle":"","family":"Tálamo","given":"Martín","non-dropping-particle":"","parse-names":false,"suffix":""},{"dropping-particle":"","family":"Dodds","given":"Samanta","non-dropping-particle":"","parse-names":false,"suffix":""},{"dropping-particle":"","family":"la Paz Temprano","given":"María","non-dropping-particle":"de","parse-names":false,"suffix":""},{"dropping-particle":"","family":"Costa","given":"Ana Florencia","non-dropping-particle":"","parse-names":false,"suffix":""},{"dropping-particle":"","family":"Moreno","given":"María Laura","non-dropping-particle":"","parse-names":false,"suffix":""},{"dropping-particle":"","family":"Pinto-Sánchez","given":"María Inés","non-dropping-particle":"","parse-names":false,"suffix":""},{"dropping-particle":"","family":"Smecuol","given":"Edgardo","non-dropping-particle":"","parse-names":false,"suffix":""},{"dropping-particle":"","family":"Vázquez","given":"Horacio","non-dropping-particle":"","parse-names":false,"suffix":""},{"dropping-particle":"","family":"Gonzalez","given":"Andrea","non-dropping-particle":"","parse-names":false,"suffix":""},{"dropping-particle":"","family":"Niveloni","given":"Sonia Isabel","non-dropping-particle":"","parse-names":false,"suffix":""},{"dropping-particle":"","family":"Mauriño","given":"Eduardo","non-dropping-particle":"","parse-names":false,"suffix":""},{"dropping-particle":"","family":"Verdu","given":"Elena F.","non-dropping-particle":"","parse-names":false,"suffix":""},{"dropping-particle":"","family":"Bai","given":"Julio César","non-dropping-particle":"","parse-names":false,"suffix":""}],"container-title":"Clinical Gastroenterology and Hepatology","id":"ITEM-1","issue":"3","issued":{"date-parts":[["2021","3"]]},"page":"484-491.e1","publisher":"Elsevier, Inc","title":"Real-World Gluten Exposure in Patients With Celiac Disease on Gluten-Free Diets, Determined From Gliadin Immunogenic Peptides in Urine and Fecal Samples","type":"article-journal","volume":"19"},"uris":["http://www.mendeley.com/documents/?uuid=a49a217d-b079-4e7b-a5b6-4088aef99e8b"]}],"mendeley":{"formattedCitation":"&lt;sup&gt;[24]&lt;/sup&gt;","plainTextFormattedCitation":"[24]","previouslyFormattedCitation":"&lt;sup&gt;[24]&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[24]</w:t>
            </w:r>
            <w:r w:rsidR="00C3458C" w:rsidRPr="00D275F9">
              <w:rPr>
                <w:rFonts w:ascii="Book Antiqua" w:hAnsi="Book Antiqua" w:cs="Calibri"/>
                <w:lang w:eastAsia="es-ES"/>
              </w:rPr>
              <w:fldChar w:fldCharType="end"/>
            </w:r>
          </w:p>
        </w:tc>
        <w:tc>
          <w:tcPr>
            <w:tcW w:w="593" w:type="pct"/>
            <w:shd w:val="clear" w:color="auto" w:fill="auto"/>
            <w:vAlign w:val="center"/>
          </w:tcPr>
          <w:p w14:paraId="1CA99027"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Prospective observational study</w:t>
            </w:r>
          </w:p>
        </w:tc>
        <w:tc>
          <w:tcPr>
            <w:tcW w:w="592" w:type="pct"/>
            <w:shd w:val="clear" w:color="auto" w:fill="auto"/>
            <w:vAlign w:val="center"/>
          </w:tcPr>
          <w:p w14:paraId="300BF7F8"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53 adult CeD patients</w:t>
            </w:r>
          </w:p>
        </w:tc>
        <w:tc>
          <w:tcPr>
            <w:tcW w:w="1038" w:type="pct"/>
            <w:shd w:val="clear" w:color="auto" w:fill="auto"/>
            <w:vAlign w:val="center"/>
          </w:tcPr>
          <w:p w14:paraId="5634A9BA"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 xml:space="preserve">Fecal GIP ELISA and urine LFIA GIP test, </w:t>
            </w:r>
            <w:r w:rsidRPr="00D275F9">
              <w:rPr>
                <w:rFonts w:ascii="Book Antiqua" w:hAnsi="Book Antiqua" w:cs="Arial"/>
                <w:lang w:eastAsia="es-ES"/>
              </w:rPr>
              <w:t xml:space="preserve">anti-tTG, anti-DGP, and questionnaires </w:t>
            </w:r>
            <w:r w:rsidRPr="00D275F9">
              <w:rPr>
                <w:rFonts w:ascii="Book Antiqua" w:hAnsi="Book Antiqua" w:cs="Calibri"/>
                <w:lang w:eastAsia="es-ES"/>
              </w:rPr>
              <w:t>to evaluate adherence to the GFD in symptomatic and asymptomatic patients</w:t>
            </w:r>
          </w:p>
        </w:tc>
        <w:tc>
          <w:tcPr>
            <w:tcW w:w="2084" w:type="pct"/>
            <w:shd w:val="clear" w:color="auto" w:fill="auto"/>
            <w:vAlign w:val="center"/>
          </w:tcPr>
          <w:p w14:paraId="3D602D19" w14:textId="77777777" w:rsidR="007129C1" w:rsidRPr="00D275F9" w:rsidRDefault="007129C1" w:rsidP="00F10C3B">
            <w:pPr>
              <w:spacing w:line="360" w:lineRule="auto"/>
              <w:jc w:val="both"/>
              <w:rPr>
                <w:rFonts w:ascii="Book Antiqua" w:hAnsi="Book Antiqua" w:cs="Calibri"/>
                <w:lang w:eastAsia="zh-CN"/>
              </w:rPr>
            </w:pPr>
            <w:r w:rsidRPr="00D275F9">
              <w:rPr>
                <w:rFonts w:ascii="Book Antiqua" w:hAnsi="Book Antiqua" w:cs="Calibri"/>
                <w:lang w:eastAsia="es-ES"/>
              </w:rPr>
              <w:t>At least one GIP-positive result in</w:t>
            </w:r>
            <w:r>
              <w:rPr>
                <w:rFonts w:ascii="Book Antiqua" w:hAnsi="Book Antiqua" w:cs="Calibri"/>
                <w:lang w:eastAsia="es-ES"/>
              </w:rPr>
              <w:t xml:space="preserve"> 88.7% of patients for the 4 wk</w:t>
            </w:r>
            <w:r w:rsidRPr="00D275F9">
              <w:rPr>
                <w:rFonts w:ascii="Book Antiqua" w:hAnsi="Book Antiqua" w:cs="Calibri"/>
                <w:lang w:eastAsia="es-ES"/>
              </w:rPr>
              <w:t xml:space="preserve"> period. Patients who had symptoms had elevated GIP levels for more weeks than patients who did not have these symptoms (</w:t>
            </w:r>
            <w:r w:rsidRPr="007129C1">
              <w:rPr>
                <w:rFonts w:ascii="Book Antiqua" w:hAnsi="Book Antiqua" w:cs="Calibri"/>
                <w:i/>
                <w:lang w:eastAsia="es-ES"/>
              </w:rPr>
              <w:t>P</w:t>
            </w:r>
            <w:r>
              <w:rPr>
                <w:rFonts w:ascii="Book Antiqua" w:hAnsi="Book Antiqua" w:cs="Calibri" w:hint="eastAsia"/>
                <w:lang w:eastAsia="zh-CN"/>
              </w:rPr>
              <w:t xml:space="preserve"> </w:t>
            </w:r>
            <w:r w:rsidRPr="00D275F9">
              <w:rPr>
                <w:rFonts w:ascii="Book Antiqua" w:hAnsi="Book Antiqua" w:cs="Calibri"/>
                <w:lang w:eastAsia="es-ES"/>
              </w:rPr>
              <w:t>&lt;</w:t>
            </w:r>
            <w:r>
              <w:rPr>
                <w:rFonts w:ascii="Book Antiqua" w:hAnsi="Book Antiqua" w:cs="Calibri" w:hint="eastAsia"/>
                <w:lang w:eastAsia="zh-CN"/>
              </w:rPr>
              <w:t xml:space="preserve"> </w:t>
            </w:r>
            <w:r w:rsidRPr="00D275F9">
              <w:rPr>
                <w:rFonts w:ascii="Book Antiqua" w:hAnsi="Book Antiqua" w:cs="Calibri"/>
                <w:lang w:eastAsia="es-ES"/>
              </w:rPr>
              <w:t>0.05). Correlation was found between GIP and anti-DGP antibodies but not with levels of anti-tTG antibodies</w:t>
            </w:r>
          </w:p>
        </w:tc>
      </w:tr>
      <w:tr w:rsidR="007129C1" w:rsidRPr="00D275F9" w14:paraId="09B577F3" w14:textId="77777777" w:rsidTr="007129C1">
        <w:trPr>
          <w:trHeight w:val="1069"/>
        </w:trPr>
        <w:tc>
          <w:tcPr>
            <w:tcW w:w="692" w:type="pct"/>
            <w:shd w:val="clear" w:color="auto" w:fill="auto"/>
            <w:vAlign w:val="center"/>
          </w:tcPr>
          <w:p w14:paraId="280004E3"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Fernández-</w:t>
            </w:r>
            <w:proofErr w:type="spellStart"/>
            <w:r w:rsidRPr="00D275F9">
              <w:rPr>
                <w:rFonts w:ascii="Book Antiqua" w:hAnsi="Book Antiqua" w:cs="Calibri"/>
                <w:lang w:eastAsia="es-ES"/>
              </w:rPr>
              <w:t>Bañares</w:t>
            </w:r>
            <w:proofErr w:type="spellEnd"/>
            <w:r w:rsidRPr="00D275F9">
              <w:rPr>
                <w:rFonts w:ascii="Book Antiqua" w:hAnsi="Book Antiqua" w:cs="Calibri"/>
                <w:lang w:eastAsia="es-ES"/>
              </w:rPr>
              <w:t xml:space="preserve"> </w:t>
            </w:r>
            <w:r w:rsidR="006E5332"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10.14309/ajg.0000000000001139","ISBN":"0000000000","ISSN":"0002-9270","author":[{"dropping-particle":"","family":"Fernández-Bañares","given":"Fernando","non-dropping-particle":"","parse-names":false,"suffix":""},{"dropping-particle":"","family":"Beltrán","given":"Belén","non-dropping-particle":"","parse-names":false,"suffix":""},{"dropping-particle":"","family":"Salas","given":"Antonio","non-dropping-particle":"","parse-names":false,"suffix":""},{"dropping-particle":"","family":"Comino","given":"Isabel","non-dropping-particle":"","parse-names":false,"suffix":""},{"dropping-particle":"","family":"Ballester-Clau","given":"Raquel","non-dropping-particle":"","parse-names":false,"suffix":""},{"dropping-particle":"","family":"Ferrer","given":"Carme","non-dropping-particle":"","parse-names":false,"suffix":""},{"dropping-particle":"","family":"Molina-Infante","given":"Javier","non-dropping-particle":"","parse-names":false,"suffix":""},{"dropping-particle":"","family":"Rosinach","given":"Mercé","non-dropping-particle":"","parse-names":false,"suffix":""},{"dropping-particle":"","family":"Modolell","given":"Inés","non-dropping-particle":"","parse-names":false,"suffix":""},{"dropping-particle":"","family":"Rodríguez-Moranta","given":"Francisco","non-dropping-particle":"","parse-names":false,"suffix":""},{"dropping-particle":"","family":"Arau","given":"Beatriz","non-dropping-particle":"","parse-names":false,"suffix":""},{"dropping-particle":"","family":"Segura","given":"Verónica","non-dropping-particle":"","parse-names":false,"suffix":""},{"dropping-particle":"","family":"Fernández-Salazar","given":"Luis","non-dropping-particle":"","parse-names":false,"suffix":""},{"dropping-particle":"","family":"Santolaria","given":"Santos","non-dropping-particle":"","parse-names":false,"suffix":""},{"dropping-particle":"","family":"Esteve","given":"Maria","non-dropping-particle":"","parse-names":false,"suffix":""},{"dropping-particle":"","family":"Sousa","given":"Carolina","non-dropping-particle":"","parse-names":false,"suffix":""}],"container-title":"American Journal of Gastroenterology","id":"ITEM-1","issued":{"date-parts":[["2021"]]},"page":"1-8","title":"Persistent Villous Atrophy in De Novo Adult Patients With Celiac Disease and Strict Control of Gluten-Free Diet Adherence","type":"article-journal","volume":"Publish Ah"},"uris":["http://www.mendeley.com/documents/?uuid=8168b009-0f98-4d4d-954b-b2ab000ff89b"]}],"mendeley":{"formattedCitation":"&lt;sup&gt;[46]&lt;/sup&gt;","plainTextFormattedCitation":"[46]","previouslyFormattedCitation":"&lt;sup&gt;[46]&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[46]</w:t>
            </w:r>
            <w:r w:rsidR="00C3458C" w:rsidRPr="00D275F9">
              <w:rPr>
                <w:rFonts w:ascii="Book Antiqua" w:hAnsi="Book Antiqua" w:cs="Calibri"/>
                <w:lang w:eastAsia="es-ES"/>
              </w:rPr>
              <w:fldChar w:fldCharType="end"/>
            </w:r>
          </w:p>
        </w:tc>
        <w:tc>
          <w:tcPr>
            <w:tcW w:w="593" w:type="pct"/>
            <w:shd w:val="clear" w:color="auto" w:fill="auto"/>
            <w:vAlign w:val="center"/>
          </w:tcPr>
          <w:p w14:paraId="23C84365"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 xml:space="preserve">Multicenter prospective observational </w:t>
            </w:r>
            <w:r w:rsidRPr="00D275F9">
              <w:rPr>
                <w:rFonts w:ascii="Book Antiqua" w:hAnsi="Book Antiqua" w:cs="Calibri"/>
                <w:lang w:eastAsia="es-ES"/>
              </w:rPr>
              <w:lastRenderedPageBreak/>
              <w:t>study</w:t>
            </w:r>
          </w:p>
        </w:tc>
        <w:tc>
          <w:tcPr>
            <w:tcW w:w="592" w:type="pct"/>
            <w:shd w:val="clear" w:color="auto" w:fill="auto"/>
            <w:vAlign w:val="center"/>
          </w:tcPr>
          <w:p w14:paraId="54CE45BE"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lastRenderedPageBreak/>
              <w:t>76 adult CeD patients</w:t>
            </w:r>
          </w:p>
        </w:tc>
        <w:tc>
          <w:tcPr>
            <w:tcW w:w="1038" w:type="pct"/>
            <w:shd w:val="clear" w:color="auto" w:fill="auto"/>
            <w:vAlign w:val="center"/>
          </w:tcPr>
          <w:p w14:paraId="085671E1" w14:textId="77777777" w:rsidR="007129C1" w:rsidRPr="00D275F9" w:rsidRDefault="007129C1" w:rsidP="00F10C3B">
            <w:pPr>
              <w:spacing w:line="360" w:lineRule="auto"/>
              <w:jc w:val="both"/>
              <w:rPr>
                <w:rFonts w:ascii="Book Antiqua" w:hAnsi="Book Antiqua" w:cs="Calibri"/>
                <w:lang w:eastAsia="es-ES"/>
              </w:rPr>
            </w:pPr>
            <w:r w:rsidRPr="00D275F9">
              <w:rPr>
                <w:rFonts w:ascii="Book Antiqua" w:hAnsi="Book Antiqua" w:cs="Calibri"/>
                <w:lang w:eastAsia="es-ES"/>
              </w:rPr>
              <w:t xml:space="preserve">Fecal GIP ELISA, anti-tTG, questionnaires and symptomatology to </w:t>
            </w:r>
            <w:r w:rsidRPr="00D275F9">
              <w:rPr>
                <w:rFonts w:ascii="Book Antiqua" w:hAnsi="Book Antiqua" w:cs="Calibri"/>
                <w:lang w:eastAsia="es-ES"/>
              </w:rPr>
              <w:lastRenderedPageBreak/>
              <w:t>evaluate villous atrophy persistence after 2 years on a GFD.</w:t>
            </w:r>
          </w:p>
        </w:tc>
        <w:tc>
          <w:tcPr>
            <w:tcW w:w="2084" w:type="pct"/>
            <w:shd w:val="clear" w:color="auto" w:fill="auto"/>
            <w:vAlign w:val="center"/>
          </w:tcPr>
          <w:p w14:paraId="775B6EC5" w14:textId="77777777" w:rsidR="007129C1" w:rsidRPr="00D275F9" w:rsidRDefault="007129C1" w:rsidP="00F10C3B">
            <w:pPr>
              <w:spacing w:line="360" w:lineRule="auto"/>
              <w:jc w:val="both"/>
              <w:rPr>
                <w:rFonts w:ascii="Book Antiqua" w:hAnsi="Book Antiqua" w:cs="Calibri"/>
                <w:lang w:eastAsia="zh-CN"/>
              </w:rPr>
            </w:pPr>
            <w:r w:rsidRPr="00D275F9">
              <w:rPr>
                <w:rFonts w:ascii="Book Antiqua" w:hAnsi="Book Antiqua" w:cs="Calibri"/>
                <w:lang w:eastAsia="es-ES"/>
              </w:rPr>
              <w:lastRenderedPageBreak/>
              <w:t xml:space="preserve">Persistent villous atrophy was present in 53% of patients at follow-up, 72% of these were asymptomatic and 75% had negative anti-tTG antibodies. Most </w:t>
            </w:r>
            <w:r w:rsidRPr="00D275F9">
              <w:rPr>
                <w:rFonts w:ascii="Book Antiqua" w:hAnsi="Book Antiqua" w:cs="Calibri"/>
                <w:lang w:eastAsia="es-ES"/>
              </w:rPr>
              <w:lastRenderedPageBreak/>
              <w:t>patients were adherent to the GFD according to the dietary evaluation. In contrast, GIP-positive results were found in ≥</w:t>
            </w:r>
            <w:r>
              <w:rPr>
                <w:rFonts w:ascii="Book Antiqua" w:hAnsi="Book Antiqua" w:cs="Calibri" w:hint="eastAsia"/>
                <w:lang w:eastAsia="zh-CN"/>
              </w:rPr>
              <w:t xml:space="preserve"> </w:t>
            </w:r>
            <w:r w:rsidRPr="00D275F9">
              <w:rPr>
                <w:rFonts w:ascii="Book Antiqua" w:hAnsi="Book Antiqua" w:cs="Calibri"/>
                <w:lang w:eastAsia="es-ES"/>
              </w:rPr>
              <w:t>1 fecal sample of 77% of patients with villous atrophy and in 60% of patients with mucosal recovery</w:t>
            </w:r>
          </w:p>
        </w:tc>
      </w:tr>
    </w:tbl>
    <w:p w14:paraId="11C76CD6" w14:textId="77777777" w:rsidR="007129C1" w:rsidRDefault="007129C1" w:rsidP="00F10C3B">
      <w:pPr>
        <w:spacing w:line="360" w:lineRule="auto"/>
        <w:jc w:val="both"/>
        <w:rPr>
          <w:rFonts w:ascii="Book Antiqua" w:hAnsi="Book Antiqua"/>
          <w:lang w:eastAsia="zh-CN"/>
        </w:rPr>
      </w:pPr>
      <w:r w:rsidRPr="00D275F9">
        <w:rPr>
          <w:rFonts w:ascii="Book Antiqua" w:hAnsi="Book Antiqua"/>
        </w:rPr>
        <w:lastRenderedPageBreak/>
        <w:t>GIP: Gluten immunogenic peptides; LFIA: Lateral flow immunoassay; GFD: Gluten-free diet; CeD: Celiac disease; anti-tTG: Anti-tissue transglutaminase; anti-DGP: Anti-deamidated gluten peptide; CDAT: Celiac disease adherence test.</w:t>
      </w:r>
    </w:p>
    <w:p w14:paraId="2AA71321" w14:textId="77777777" w:rsidR="007129C1" w:rsidRPr="00D275F9" w:rsidRDefault="007129C1" w:rsidP="00F10C3B">
      <w:pPr>
        <w:spacing w:line="360" w:lineRule="auto"/>
        <w:jc w:val="both"/>
        <w:rPr>
          <w:rFonts w:ascii="Book Antiqua" w:eastAsia="宋体" w:hAnsi="Book Antiqua" w:cs="Arial"/>
          <w:lang w:eastAsia="zh-CN"/>
        </w:rPr>
        <w:sectPr w:rsidR="007129C1" w:rsidRPr="00D275F9" w:rsidSect="00C21EB5">
          <w:pgSz w:w="16838" w:h="11906" w:orient="landscape" w:code="9"/>
          <w:pgMar w:top="1531" w:right="1417" w:bottom="1531" w:left="1077" w:header="1020" w:footer="850" w:gutter="0"/>
          <w:cols w:space="425"/>
          <w:docGrid w:type="lines" w:linePitch="326"/>
        </w:sectPr>
      </w:pPr>
    </w:p>
    <w:p w14:paraId="6695941B" w14:textId="77777777" w:rsidR="007129C1" w:rsidRPr="00D275F9" w:rsidRDefault="007129C1" w:rsidP="00F10C3B">
      <w:pPr>
        <w:spacing w:line="360" w:lineRule="auto"/>
        <w:jc w:val="both"/>
        <w:rPr>
          <w:rFonts w:ascii="Book Antiqua" w:hAnsi="Book Antiqua" w:cs="Arial"/>
          <w:lang w:eastAsia="zh-CN"/>
        </w:rPr>
      </w:pPr>
      <w:r w:rsidRPr="00D275F9">
        <w:rPr>
          <w:rFonts w:ascii="Book Antiqua" w:hAnsi="Book Antiqua" w:cs="Arial"/>
          <w:b/>
        </w:rPr>
        <w:lastRenderedPageBreak/>
        <w:t xml:space="preserve">Table 2 </w:t>
      </w:r>
      <w:r w:rsidRPr="00D275F9">
        <w:rPr>
          <w:rFonts w:ascii="Book Antiqua" w:hAnsi="Book Antiqua" w:cs="Arial"/>
          <w:b/>
          <w:bCs/>
        </w:rPr>
        <w:t>Available immunomethods to detect gluten immunogenic peptides in stool and urine</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313"/>
        <w:gridCol w:w="1367"/>
        <w:gridCol w:w="967"/>
        <w:gridCol w:w="2038"/>
        <w:gridCol w:w="1328"/>
        <w:gridCol w:w="1328"/>
        <w:gridCol w:w="643"/>
      </w:tblGrid>
      <w:tr w:rsidR="007129C1" w:rsidRPr="00D275F9" w14:paraId="13FF12A5" w14:textId="77777777" w:rsidTr="007129C1">
        <w:trPr>
          <w:trHeight w:hRule="exact" w:val="870"/>
        </w:trPr>
        <w:tc>
          <w:tcPr>
            <w:tcW w:w="731" w:type="pct"/>
            <w:tcBorders>
              <w:top w:val="single" w:sz="4" w:space="0" w:color="auto"/>
              <w:bottom w:val="single" w:sz="4" w:space="0" w:color="auto"/>
            </w:tcBorders>
            <w:shd w:val="clear" w:color="auto" w:fill="auto"/>
            <w:vAlign w:val="center"/>
            <w:hideMark/>
          </w:tcPr>
          <w:p w14:paraId="135FB5B7" w14:textId="77777777" w:rsidR="007129C1" w:rsidRPr="00D275F9" w:rsidRDefault="007129C1" w:rsidP="00F10C3B">
            <w:pPr>
              <w:spacing w:line="360" w:lineRule="auto"/>
              <w:jc w:val="both"/>
              <w:rPr>
                <w:rFonts w:ascii="Book Antiqua" w:hAnsi="Book Antiqua" w:cs="Arial"/>
                <w:b/>
                <w:lang w:eastAsia="es-ES"/>
              </w:rPr>
            </w:pPr>
            <w:r w:rsidRPr="00D275F9">
              <w:rPr>
                <w:rFonts w:ascii="Book Antiqua" w:hAnsi="Book Antiqua" w:cs="Arial"/>
                <w:b/>
                <w:lang w:eastAsia="es-ES"/>
              </w:rPr>
              <w:t>Technique</w:t>
            </w:r>
          </w:p>
        </w:tc>
        <w:tc>
          <w:tcPr>
            <w:tcW w:w="761" w:type="pct"/>
            <w:tcBorders>
              <w:top w:val="single" w:sz="4" w:space="0" w:color="auto"/>
              <w:bottom w:val="single" w:sz="4" w:space="0" w:color="auto"/>
            </w:tcBorders>
            <w:shd w:val="clear" w:color="auto" w:fill="auto"/>
            <w:vAlign w:val="center"/>
            <w:hideMark/>
          </w:tcPr>
          <w:p w14:paraId="59CAE227" w14:textId="77777777" w:rsidR="007129C1" w:rsidRPr="00D275F9" w:rsidRDefault="007129C1" w:rsidP="00F10C3B">
            <w:pPr>
              <w:spacing w:line="360" w:lineRule="auto"/>
              <w:jc w:val="both"/>
              <w:rPr>
                <w:rFonts w:ascii="Book Antiqua" w:hAnsi="Book Antiqua" w:cs="Arial"/>
                <w:b/>
                <w:lang w:eastAsia="es-ES"/>
              </w:rPr>
            </w:pPr>
            <w:r w:rsidRPr="00D275F9">
              <w:rPr>
                <w:rFonts w:ascii="Book Antiqua" w:hAnsi="Book Antiqua" w:cs="Arial"/>
                <w:b/>
                <w:lang w:eastAsia="es-ES"/>
              </w:rPr>
              <w:t>Antibodies</w:t>
            </w:r>
          </w:p>
        </w:tc>
        <w:tc>
          <w:tcPr>
            <w:tcW w:w="538" w:type="pct"/>
            <w:tcBorders>
              <w:top w:val="single" w:sz="4" w:space="0" w:color="auto"/>
              <w:bottom w:val="single" w:sz="4" w:space="0" w:color="auto"/>
            </w:tcBorders>
            <w:shd w:val="clear" w:color="auto" w:fill="auto"/>
            <w:vAlign w:val="center"/>
            <w:hideMark/>
          </w:tcPr>
          <w:p w14:paraId="5752E69B" w14:textId="77777777" w:rsidR="007129C1" w:rsidRPr="00D275F9" w:rsidRDefault="007129C1" w:rsidP="00F10C3B">
            <w:pPr>
              <w:spacing w:line="360" w:lineRule="auto"/>
              <w:jc w:val="both"/>
              <w:rPr>
                <w:rFonts w:ascii="Book Antiqua" w:hAnsi="Book Antiqua" w:cs="Arial"/>
                <w:b/>
                <w:lang w:eastAsia="es-ES"/>
              </w:rPr>
            </w:pPr>
            <w:r w:rsidRPr="00D275F9">
              <w:rPr>
                <w:rFonts w:ascii="Book Antiqua" w:hAnsi="Book Antiqua" w:cs="Arial"/>
                <w:b/>
                <w:lang w:eastAsia="es-ES"/>
              </w:rPr>
              <w:t>Sample</w:t>
            </w:r>
          </w:p>
        </w:tc>
        <w:tc>
          <w:tcPr>
            <w:tcW w:w="1134" w:type="pct"/>
            <w:tcBorders>
              <w:top w:val="single" w:sz="4" w:space="0" w:color="auto"/>
              <w:bottom w:val="single" w:sz="4" w:space="0" w:color="auto"/>
            </w:tcBorders>
            <w:shd w:val="clear" w:color="auto" w:fill="auto"/>
            <w:vAlign w:val="center"/>
            <w:hideMark/>
          </w:tcPr>
          <w:p w14:paraId="2265AC7D" w14:textId="77777777" w:rsidR="007129C1" w:rsidRPr="00D275F9" w:rsidRDefault="007129C1" w:rsidP="00F10C3B">
            <w:pPr>
              <w:spacing w:line="360" w:lineRule="auto"/>
              <w:jc w:val="both"/>
              <w:rPr>
                <w:rFonts w:ascii="Book Antiqua" w:hAnsi="Book Antiqua" w:cs="Arial"/>
                <w:b/>
                <w:lang w:eastAsia="es-ES"/>
              </w:rPr>
            </w:pPr>
            <w:r w:rsidRPr="00D275F9">
              <w:rPr>
                <w:rFonts w:ascii="Book Antiqua" w:hAnsi="Book Antiqua" w:cs="Arial"/>
                <w:b/>
                <w:lang w:eastAsia="es-ES"/>
              </w:rPr>
              <w:t>Analytical sensitivity</w:t>
            </w:r>
          </w:p>
        </w:tc>
        <w:tc>
          <w:tcPr>
            <w:tcW w:w="739" w:type="pct"/>
            <w:tcBorders>
              <w:top w:val="single" w:sz="4" w:space="0" w:color="auto"/>
              <w:bottom w:val="single" w:sz="4" w:space="0" w:color="auto"/>
            </w:tcBorders>
            <w:shd w:val="clear" w:color="auto" w:fill="auto"/>
            <w:vAlign w:val="center"/>
            <w:hideMark/>
          </w:tcPr>
          <w:p w14:paraId="31970BA1" w14:textId="77777777" w:rsidR="007129C1" w:rsidRPr="00D275F9" w:rsidRDefault="007129C1" w:rsidP="00F10C3B">
            <w:pPr>
              <w:spacing w:line="360" w:lineRule="auto"/>
              <w:jc w:val="both"/>
              <w:rPr>
                <w:rFonts w:ascii="Book Antiqua" w:hAnsi="Book Antiqua" w:cs="Arial"/>
                <w:b/>
                <w:bCs/>
                <w:lang w:eastAsia="es-ES"/>
              </w:rPr>
            </w:pPr>
            <w:r w:rsidRPr="00D275F9">
              <w:rPr>
                <w:rFonts w:ascii="Book Antiqua" w:hAnsi="Book Antiqua" w:cs="Arial"/>
                <w:b/>
                <w:bCs/>
                <w:lang w:eastAsia="es-ES"/>
              </w:rPr>
              <w:t xml:space="preserve">Diagnostic sensitivity </w:t>
            </w:r>
          </w:p>
        </w:tc>
        <w:tc>
          <w:tcPr>
            <w:tcW w:w="739" w:type="pct"/>
            <w:tcBorders>
              <w:top w:val="single" w:sz="4" w:space="0" w:color="auto"/>
              <w:bottom w:val="single" w:sz="4" w:space="0" w:color="auto"/>
            </w:tcBorders>
            <w:vAlign w:val="center"/>
          </w:tcPr>
          <w:p w14:paraId="0AA5FFA0" w14:textId="77777777" w:rsidR="007129C1" w:rsidRPr="00D275F9" w:rsidRDefault="007129C1" w:rsidP="00F10C3B">
            <w:pPr>
              <w:spacing w:line="360" w:lineRule="auto"/>
              <w:jc w:val="both"/>
              <w:rPr>
                <w:rFonts w:ascii="Book Antiqua" w:hAnsi="Book Antiqua" w:cs="Arial"/>
                <w:b/>
                <w:bCs/>
                <w:lang w:eastAsia="es-ES"/>
              </w:rPr>
            </w:pPr>
            <w:r w:rsidRPr="00D275F9">
              <w:rPr>
                <w:rFonts w:ascii="Book Antiqua" w:hAnsi="Book Antiqua" w:cs="Arial"/>
                <w:b/>
                <w:bCs/>
                <w:lang w:eastAsia="es-ES"/>
              </w:rPr>
              <w:t>Diagnostic specificity</w:t>
            </w:r>
          </w:p>
        </w:tc>
        <w:tc>
          <w:tcPr>
            <w:tcW w:w="359" w:type="pct"/>
            <w:tcBorders>
              <w:top w:val="single" w:sz="4" w:space="0" w:color="auto"/>
              <w:bottom w:val="single" w:sz="4" w:space="0" w:color="auto"/>
            </w:tcBorders>
            <w:vAlign w:val="center"/>
          </w:tcPr>
          <w:p w14:paraId="1D4C5254" w14:textId="77777777" w:rsidR="007129C1" w:rsidRPr="007129C1" w:rsidRDefault="007129C1" w:rsidP="00F10C3B">
            <w:pPr>
              <w:spacing w:line="360" w:lineRule="auto"/>
              <w:jc w:val="both"/>
              <w:rPr>
                <w:rFonts w:ascii="Book Antiqua" w:hAnsi="Book Antiqua" w:cs="Arial"/>
                <w:b/>
                <w:bCs/>
                <w:lang w:eastAsia="zh-CN"/>
              </w:rPr>
            </w:pPr>
            <w:r w:rsidRPr="007129C1">
              <w:rPr>
                <w:rFonts w:ascii="Book Antiqua" w:hAnsi="Book Antiqua" w:cs="Arial"/>
                <w:b/>
                <w:lang w:eastAsia="es-ES"/>
              </w:rPr>
              <w:t>Ref</w:t>
            </w:r>
            <w:r w:rsidRPr="007129C1">
              <w:rPr>
                <w:rFonts w:ascii="Book Antiqua" w:hAnsi="Book Antiqua" w:cs="Arial" w:hint="eastAsia"/>
                <w:b/>
                <w:lang w:eastAsia="zh-CN"/>
              </w:rPr>
              <w:t>.</w:t>
            </w:r>
          </w:p>
        </w:tc>
      </w:tr>
      <w:tr w:rsidR="007129C1" w:rsidRPr="00D275F9" w14:paraId="22E90154" w14:textId="77777777" w:rsidTr="007129C1">
        <w:trPr>
          <w:trHeight w:val="500"/>
        </w:trPr>
        <w:tc>
          <w:tcPr>
            <w:tcW w:w="731" w:type="pct"/>
            <w:tcBorders>
              <w:top w:val="single" w:sz="4" w:space="0" w:color="auto"/>
            </w:tcBorders>
            <w:shd w:val="clear" w:color="auto" w:fill="auto"/>
            <w:vAlign w:val="center"/>
            <w:hideMark/>
          </w:tcPr>
          <w:p w14:paraId="3B7B0B46" w14:textId="77777777" w:rsidR="007129C1" w:rsidRPr="00D275F9" w:rsidRDefault="007129C1" w:rsidP="00F10C3B">
            <w:pPr>
              <w:spacing w:line="360" w:lineRule="auto"/>
              <w:jc w:val="both"/>
              <w:rPr>
                <w:rFonts w:ascii="Book Antiqua" w:hAnsi="Book Antiqua" w:cs="Arial"/>
                <w:lang w:eastAsia="es-ES"/>
              </w:rPr>
            </w:pPr>
            <w:r w:rsidRPr="00D275F9">
              <w:rPr>
                <w:rFonts w:ascii="Book Antiqua" w:hAnsi="Book Antiqua" w:cs="Arial"/>
                <w:lang w:eastAsia="es-ES"/>
              </w:rPr>
              <w:t>ELISA</w:t>
            </w:r>
          </w:p>
        </w:tc>
        <w:tc>
          <w:tcPr>
            <w:tcW w:w="761" w:type="pct"/>
            <w:tcBorders>
              <w:top w:val="single" w:sz="4" w:space="0" w:color="auto"/>
            </w:tcBorders>
            <w:shd w:val="clear" w:color="auto" w:fill="auto"/>
            <w:vAlign w:val="center"/>
            <w:hideMark/>
          </w:tcPr>
          <w:p w14:paraId="7A6C5345" w14:textId="77777777" w:rsidR="007129C1" w:rsidRPr="00D275F9" w:rsidRDefault="007129C1" w:rsidP="00F10C3B">
            <w:pPr>
              <w:spacing w:line="360" w:lineRule="auto"/>
              <w:jc w:val="both"/>
              <w:rPr>
                <w:rFonts w:ascii="Book Antiqua" w:hAnsi="Book Antiqua" w:cs="Arial"/>
                <w:lang w:eastAsia="es-ES"/>
              </w:rPr>
            </w:pPr>
            <w:r w:rsidRPr="00D275F9">
              <w:rPr>
                <w:rFonts w:ascii="Book Antiqua" w:hAnsi="Book Antiqua" w:cs="Arial"/>
                <w:lang w:eastAsia="es-ES"/>
              </w:rPr>
              <w:t>G12/G12</w:t>
            </w:r>
          </w:p>
        </w:tc>
        <w:tc>
          <w:tcPr>
            <w:tcW w:w="538" w:type="pct"/>
            <w:tcBorders>
              <w:top w:val="single" w:sz="4" w:space="0" w:color="auto"/>
            </w:tcBorders>
            <w:shd w:val="clear" w:color="auto" w:fill="auto"/>
            <w:vAlign w:val="center"/>
            <w:hideMark/>
          </w:tcPr>
          <w:p w14:paraId="28C36BEA" w14:textId="77777777" w:rsidR="007129C1" w:rsidRPr="00D275F9" w:rsidRDefault="007129C1" w:rsidP="00F10C3B">
            <w:pPr>
              <w:spacing w:line="360" w:lineRule="auto"/>
              <w:jc w:val="both"/>
              <w:rPr>
                <w:rFonts w:ascii="Book Antiqua" w:hAnsi="Book Antiqua" w:cs="Arial"/>
                <w:lang w:eastAsia="es-ES"/>
              </w:rPr>
            </w:pPr>
            <w:r w:rsidRPr="00D275F9">
              <w:rPr>
                <w:rFonts w:ascii="Book Antiqua" w:hAnsi="Book Antiqua" w:cs="Arial"/>
                <w:lang w:eastAsia="es-ES"/>
              </w:rPr>
              <w:t>Stool</w:t>
            </w:r>
          </w:p>
        </w:tc>
        <w:tc>
          <w:tcPr>
            <w:tcW w:w="1134" w:type="pct"/>
            <w:tcBorders>
              <w:top w:val="single" w:sz="4" w:space="0" w:color="auto"/>
            </w:tcBorders>
            <w:shd w:val="clear" w:color="auto" w:fill="auto"/>
            <w:vAlign w:val="center"/>
            <w:hideMark/>
          </w:tcPr>
          <w:p w14:paraId="6C0FAE92" w14:textId="77777777" w:rsidR="007129C1" w:rsidRPr="00D275F9" w:rsidRDefault="007129C1" w:rsidP="00F10C3B">
            <w:pPr>
              <w:spacing w:line="360" w:lineRule="auto"/>
              <w:jc w:val="both"/>
              <w:rPr>
                <w:rFonts w:ascii="Book Antiqua" w:hAnsi="Book Antiqua" w:cs="Arial"/>
                <w:lang w:eastAsia="es-ES"/>
              </w:rPr>
            </w:pPr>
            <w:r w:rsidRPr="00D275F9">
              <w:rPr>
                <w:rFonts w:ascii="Book Antiqua" w:hAnsi="Book Antiqua" w:cs="Arial"/>
                <w:lang w:eastAsia="es-ES"/>
              </w:rPr>
              <w:t>0</w:t>
            </w:r>
            <w:r>
              <w:rPr>
                <w:rFonts w:ascii="Book Antiqua" w:hAnsi="Book Antiqua" w:cs="Arial" w:hint="eastAsia"/>
                <w:lang w:eastAsia="zh-CN"/>
              </w:rPr>
              <w:t>.</w:t>
            </w:r>
            <w:r w:rsidRPr="00D275F9">
              <w:rPr>
                <w:rFonts w:ascii="Book Antiqua" w:hAnsi="Book Antiqua" w:cs="Arial"/>
                <w:lang w:eastAsia="es-ES"/>
              </w:rPr>
              <w:t xml:space="preserve">16 </w:t>
            </w:r>
            <w:r w:rsidRPr="00D275F9">
              <w:rPr>
                <w:rFonts w:ascii="Book Antiqua" w:hAnsi="Book Antiqua" w:cs="Calibri"/>
                <w:lang w:eastAsia="es-ES"/>
              </w:rPr>
              <w:t>µ</w:t>
            </w:r>
            <w:r w:rsidRPr="00D275F9">
              <w:rPr>
                <w:rFonts w:ascii="Book Antiqua" w:hAnsi="Book Antiqua" w:cs="Arial"/>
                <w:lang w:eastAsia="es-ES"/>
              </w:rPr>
              <w:t>g/g</w:t>
            </w:r>
          </w:p>
        </w:tc>
        <w:tc>
          <w:tcPr>
            <w:tcW w:w="739" w:type="pct"/>
            <w:tcBorders>
              <w:top w:val="single" w:sz="4" w:space="0" w:color="auto"/>
            </w:tcBorders>
            <w:shd w:val="clear" w:color="auto" w:fill="auto"/>
            <w:vAlign w:val="center"/>
          </w:tcPr>
          <w:p w14:paraId="30A90A94" w14:textId="77777777" w:rsidR="007129C1" w:rsidRPr="00D275F9" w:rsidRDefault="007129C1" w:rsidP="00F10C3B">
            <w:pPr>
              <w:spacing w:line="360" w:lineRule="auto"/>
              <w:jc w:val="both"/>
              <w:rPr>
                <w:rFonts w:ascii="Book Antiqua" w:hAnsi="Book Antiqua" w:cs="Arial"/>
                <w:lang w:eastAsia="es-ES"/>
              </w:rPr>
            </w:pPr>
            <w:r w:rsidRPr="00D275F9">
              <w:rPr>
                <w:rFonts w:ascii="Book Antiqua" w:hAnsi="Book Antiqua" w:cs="Arial"/>
                <w:lang w:eastAsia="es-ES"/>
              </w:rPr>
              <w:t>98,5%</w:t>
            </w:r>
          </w:p>
        </w:tc>
        <w:tc>
          <w:tcPr>
            <w:tcW w:w="739" w:type="pct"/>
            <w:tcBorders>
              <w:top w:val="single" w:sz="4" w:space="0" w:color="auto"/>
            </w:tcBorders>
            <w:vAlign w:val="center"/>
          </w:tcPr>
          <w:p w14:paraId="6007AD33" w14:textId="77777777" w:rsidR="007129C1" w:rsidRPr="00D275F9" w:rsidRDefault="007129C1" w:rsidP="00F10C3B">
            <w:pPr>
              <w:spacing w:line="360" w:lineRule="auto"/>
              <w:jc w:val="both"/>
              <w:rPr>
                <w:rFonts w:ascii="Book Antiqua" w:hAnsi="Book Antiqua" w:cs="Arial"/>
                <w:lang w:eastAsia="es-ES"/>
              </w:rPr>
            </w:pPr>
            <w:r w:rsidRPr="00D275F9">
              <w:rPr>
                <w:rFonts w:ascii="Book Antiqua" w:hAnsi="Book Antiqua" w:cs="Arial"/>
                <w:lang w:eastAsia="es-ES"/>
              </w:rPr>
              <w:t>100%</w:t>
            </w:r>
          </w:p>
        </w:tc>
        <w:tc>
          <w:tcPr>
            <w:tcW w:w="359" w:type="pct"/>
            <w:tcBorders>
              <w:top w:val="single" w:sz="4" w:space="0" w:color="auto"/>
            </w:tcBorders>
            <w:vAlign w:val="center"/>
          </w:tcPr>
          <w:p w14:paraId="218C6AC6" w14:textId="77777777" w:rsidR="007129C1" w:rsidRPr="007129C1" w:rsidRDefault="00C3458C" w:rsidP="00F10C3B">
            <w:pPr>
              <w:spacing w:line="360" w:lineRule="auto"/>
              <w:jc w:val="both"/>
              <w:rPr>
                <w:rFonts w:ascii="Book Antiqua" w:hAnsi="Book Antiqua" w:cs="Arial"/>
                <w:lang w:eastAsia="es-ES"/>
              </w:rPr>
            </w:pPr>
            <w:r w:rsidRPr="007129C1">
              <w:rPr>
                <w:rFonts w:ascii="Book Antiqua" w:hAnsi="Book Antiqua" w:cs="Arial"/>
                <w:lang w:eastAsia="es-ES"/>
              </w:rPr>
              <w:fldChar w:fldCharType="begin" w:fldLock="1"/>
            </w:r>
            <w:r w:rsidR="007129C1" w:rsidRPr="007129C1">
              <w:rPr>
                <w:rFonts w:ascii="Book Antiqua" w:hAnsi="Book Antiqua" w:cs="Arial"/>
                <w:lang w:eastAsia="es-ES"/>
              </w:rPr>
              <w:instrText>ADDIN CSL_CITATION {"citationItems":[{"id":"ITEM-1","itemData":{"DOI":"10.1038/ajg.2016.439","ISBN":"0002-9270","ISSN":"0002-9270","PMID":"27644734","abstract":"OBJECTIVES Treatment for celiac disease (CD) is a lifelong strict gluten-free diet (GFD). Patients should be followed-up with dietary interviews and serology as CD markers to ensure adherence to the diet. However, none of these methods offer an accurate measure of dietary compliance. Our aim was to evaluate the measurement of gluten immunogenic peptides (GIP) in stools as a marker of GFD adherence in CD patients and compare it with traditional methods of GFD monitoring. METHODS We performed a prospective, nonrandomized, multicenter study including 188 CD patients on GFD and 84 healthy controls. Subjects were given a dietary questionnaire and fecal GIP quantified by enzyme-linked immunosorbent assay (ELISA). Serological anti-tissue transglutaminase (anti-tTG) IgA and anti-deamidated gliadin peptide (anti-DGP) IgA antibodies were measured simultaneously. RESULTS Of the 188 celiac patients, 56 (29.8%) had detectable GIP levels in stools. There was significant association between age and GIP in stools that revealed increasing dietary transgressions with advancing age (39.2% in subjects ≥13 years old) and with gender in certain age groups (60% in men ≥13 years old). No association was found between fecal GIP and dietary questionnaire or anti-tTG antibodies. However, association was detected between GIP and anti-DGP antibodies, although 46 of the 53 GIP stool-positive patients were negative for anti-DGP. CONCLUSIONS Detection of gluten peptides in stools reveals limitations of traditional methods for monitoring GFD in celiac patients. The GIP ELISA enables direct and quantitative assessment of gluten exposure early after ingestion and could aid in the diagnosis and clinical management of nonresponsive CD and refractory CD. Trial registration number NCT02711397.Am J Gastroenterol advance online publication, 20 September 2016; doi:10.1038/ajg.2016.439.","author":[{"dropping-particle":"","family":"Comino","given":"Isabel","non-dropping-particle":"","parse-names":false,"suffix":""},{"dropping-particle":"","family":"Fernández-Bañares","given":"Fernando","non-dropping-particle":"","parse-names":false,"suffix":""},{"dropping-particle":"","family":"Esteve","given":"María","non-dropping-particle":"","parse-names":false,"suffix":""},{"dropping-particle":"","family":"Ortigosa","given":"Luís","non-dropping-particle":"","parse-names":false,"suffix":""},{"dropping-particle":"","family":"Castillejo","given":"Gemma","non-dropping-particle":"","parse-names":false,"suffix":""},{"dropping-particle":"","family":"Fambuena","given":"Blanca","non-dropping-particle":"","parse-names":false,"suffix":""},{"dropping-particle":"","family":"Ribes-Koninckx","given":"Carmen","non-dropping-particle":"","parse-names":false,"suffix":""},{"dropping-particle":"","family":"Sierra","given":"Carlos","non-dropping-particle":"","parse-names":false,"suffix":""},{"dropping-particle":"","family":"Rodríguez-Herrera","given":"Alfonso","non-dropping-particle":"","parse-names":false,"suffix":""},{"dropping-particle":"","family":"Salazar","given":"José Carlos","non-dropping-particle":"","parse-names":false,"suffix":""},{"dropping-particle":"","family":"Caunedo","given":"Ángel","non-dropping-particle":"","parse-names":false,"suffix":""},{"dropping-particle":"","family":"Marugán-Miguelsanz","given":"J. M.","non-dropping-particle":"","parse-names":false,"suffix":""},{"dropping-particle":"","family":"Garrote","given":"José Antonio","non-dropping-particle":"","parse-names":false,"suffix":""},{"dropping-particle":"","family":"Vivas","given":"Santiago","non-dropping-particle":"","parse-names":false,"suffix":""},{"dropping-particle":"","family":"Iacono","given":"Oreste","non-dropping-particle":"lo","parse-names":false,"suffix":""},{"dropping-particle":"","family":"Nuñez","given":"Alejandro","non-dropping-particle":"","parse-names":false,"suffix":""},{"dropping-particle":"","family":"Vaquero","given":"Luis","non-dropping-particle":"","parse-names":false,"suffix":""},{"dropping-particle":"","family":"Vegas","given":"Ana María","non-dropping-particle":"","parse-names":false,"suffix":""},{"dropping-particle":"","family":"Crespo","given":"Laura","non-dropping-particle":"","parse-names":false,"suffix":""},{"dropping-particle":"","family":"Fernández-Salazar","given":"Luis","non-dropping-particle":"","parse-names":false,"suffix":""},{"dropping-particle":"","family":"Arranz","given":"Eduardo","non-dropping-particle":"","parse-names":false,"suffix":""},{"dropping-particle":"","family":"Jiménez-García","given":"Victoria Alejandra","non-dropping-particle":"","parse-names":false,"suffix":""},{"dropping-particle":"","family":"Montes-Cano","given":"Marco Antonio","non-dropping-particle":"","parse-names":false,"suffix":""},{"dropping-particle":"","family":"Espín","given":"Beatriz","non-dropping-particle":"","parse-names":false,"suffix":""},{"dropping-particle":"","family":"Galera","given":"Ana","non-dropping-particle":"","parse-names":false,"suffix":""},{"dropping-particle":"","family":"Valverde","given":"Justo","non-dropping-particle":"","parse-names":false,"suffix":""},{"dropping-particle":"","family":"Girón","given":"Francisco José","non-dropping-particle":"","parse-names":false,"suffix":""},{"dropping-particle":"","family":"Bolonio","given":"Miguel","non-dropping-particle":"","parse-names":false,"suffix":""},{"dropping-particle":"","family":"Millán","given":"Antonio","non-dropping-particle":"","parse-names":false,"suffix":""},{"dropping-particle":"","family":"Cerezo","given":"Francesc Martínez","non-dropping-particle":"","parse-names":false,"suffix":""},{"dropping-particle":"","family":"Guajardo","given":"César","non-dropping-particle":"","parse-names":false,"suffix":""},{"dropping-particle":"","family":"Alberto","given":"José Ramón","non-dropping-particle":"","parse-names":false,"suffix":""},{"dropping-particle":"","family":"Rosinach","given":"Mercé","non-dropping-particle":"","parse-names":false,"suffix":""},{"dropping-particle":"","family":"Segura","given":"Verónica","non-dropping-particle":"","parse-names":false,"suffix":""},{"dropping-particle":"","family":"León","given":"Francisco","non-dropping-particle":"","parse-names":false,"suffix":""},{"dropping-particle":"","family":"Marinich","given":"Jorge","non-dropping-particle":"","parse-names":false,"suffix":""},{"dropping-particle":"","family":"Muñoz-Suano","given":"Alba","non-dropping-particle":"","parse-names":false,"suffix":""},{"dropping-particle":"","family":"Romero-Gómez","given":"Manuel","non-dropping-particle":"","parse-names":false,"suffix":""},{"dropping-particle":"","family":"Cebolla","given":"Ángel","non-dropping-particle":"","parse-names":false,"suffix":""},{"dropping-particle":"","family":"Sousa","given":"Carolina","non-dropping-particle":"","parse-names":false,"suffix":""}],"container-title":"American Journal of Gastroenterology","id":"ITEM-1","issue":"10","issued":{"date-parts":[["2016","10"]]},"page":"1456-1465","publisher":"Nature Publishing Group","title":"Fecal Gluten Peptides Reveal Limitations of Serological Tests and Food Questionnaires for Monitoring Gluten-Free Diet in Celiac Disease Patients","type":"article-journal","volume":"111"},"uris":["http://www.mendeley.com/documents/?uuid=3478f07b-4c40-4439-8743-ee974ac0b3b9"]}],"mendeley":{"formattedCitation":"&lt;sup&gt;[8]&lt;/sup&gt;","plainTextFormattedCitation":"[8]","previouslyFormattedCitation":"&lt;sup&gt;[8]&lt;/sup&gt;"},"properties":{"noteIndex":0},"schema":"https://github.com/citation-style-language/schema/raw/master/csl-citation.json"}</w:instrText>
            </w:r>
            <w:r w:rsidRPr="007129C1">
              <w:rPr>
                <w:rFonts w:ascii="Book Antiqua" w:hAnsi="Book Antiqua" w:cs="Arial"/>
                <w:lang w:eastAsia="es-ES"/>
              </w:rPr>
              <w:fldChar w:fldCharType="separate"/>
            </w:r>
            <w:r w:rsidR="007129C1" w:rsidRPr="007129C1">
              <w:rPr>
                <w:rFonts w:ascii="Book Antiqua" w:hAnsi="Book Antiqua" w:cs="Arial"/>
                <w:noProof/>
                <w:lang w:eastAsia="es-ES"/>
              </w:rPr>
              <w:t>[8]</w:t>
            </w:r>
            <w:r w:rsidRPr="007129C1">
              <w:rPr>
                <w:rFonts w:ascii="Book Antiqua" w:hAnsi="Book Antiqua" w:cs="Arial"/>
                <w:lang w:eastAsia="es-ES"/>
              </w:rPr>
              <w:fldChar w:fldCharType="end"/>
            </w:r>
          </w:p>
        </w:tc>
      </w:tr>
      <w:tr w:rsidR="007129C1" w:rsidRPr="00D275F9" w14:paraId="606EACB4" w14:textId="77777777" w:rsidTr="007129C1">
        <w:trPr>
          <w:trHeight w:val="412"/>
        </w:trPr>
        <w:tc>
          <w:tcPr>
            <w:tcW w:w="731" w:type="pct"/>
            <w:shd w:val="clear" w:color="auto" w:fill="auto"/>
            <w:vAlign w:val="center"/>
            <w:hideMark/>
          </w:tcPr>
          <w:p w14:paraId="5FE4AD5C" w14:textId="77777777" w:rsidR="007129C1" w:rsidRPr="00D275F9" w:rsidRDefault="007129C1" w:rsidP="00F10C3B">
            <w:pPr>
              <w:spacing w:line="360" w:lineRule="auto"/>
              <w:jc w:val="both"/>
              <w:rPr>
                <w:rFonts w:ascii="Book Antiqua" w:hAnsi="Book Antiqua" w:cs="Arial"/>
                <w:lang w:eastAsia="es-ES"/>
              </w:rPr>
            </w:pPr>
            <w:r w:rsidRPr="00D275F9">
              <w:rPr>
                <w:rFonts w:ascii="Book Antiqua" w:hAnsi="Book Antiqua" w:cs="Arial"/>
                <w:lang w:eastAsia="es-ES"/>
              </w:rPr>
              <w:t>LFIA</w:t>
            </w:r>
          </w:p>
        </w:tc>
        <w:tc>
          <w:tcPr>
            <w:tcW w:w="761" w:type="pct"/>
            <w:shd w:val="clear" w:color="auto" w:fill="auto"/>
            <w:vAlign w:val="center"/>
            <w:hideMark/>
          </w:tcPr>
          <w:p w14:paraId="62DB84F3" w14:textId="77777777" w:rsidR="007129C1" w:rsidRPr="00D275F9" w:rsidRDefault="007129C1" w:rsidP="00F10C3B">
            <w:pPr>
              <w:spacing w:line="360" w:lineRule="auto"/>
              <w:jc w:val="both"/>
              <w:rPr>
                <w:rFonts w:ascii="Book Antiqua" w:hAnsi="Book Antiqua" w:cs="Arial"/>
                <w:lang w:eastAsia="es-ES"/>
              </w:rPr>
            </w:pPr>
            <w:r w:rsidRPr="00D275F9">
              <w:rPr>
                <w:rFonts w:ascii="Book Antiqua" w:hAnsi="Book Antiqua" w:cs="Arial"/>
                <w:lang w:eastAsia="es-ES"/>
              </w:rPr>
              <w:t>G12/A1</w:t>
            </w:r>
          </w:p>
        </w:tc>
        <w:tc>
          <w:tcPr>
            <w:tcW w:w="538" w:type="pct"/>
            <w:shd w:val="clear" w:color="auto" w:fill="auto"/>
            <w:vAlign w:val="center"/>
            <w:hideMark/>
          </w:tcPr>
          <w:p w14:paraId="1A885903" w14:textId="77777777" w:rsidR="007129C1" w:rsidRPr="00D275F9" w:rsidRDefault="007129C1" w:rsidP="00F10C3B">
            <w:pPr>
              <w:spacing w:line="360" w:lineRule="auto"/>
              <w:jc w:val="both"/>
              <w:rPr>
                <w:rFonts w:ascii="Book Antiqua" w:hAnsi="Book Antiqua" w:cs="Arial"/>
                <w:lang w:eastAsia="es-ES"/>
              </w:rPr>
            </w:pPr>
            <w:r w:rsidRPr="00D275F9">
              <w:rPr>
                <w:rFonts w:ascii="Book Antiqua" w:hAnsi="Book Antiqua" w:cs="Arial"/>
                <w:lang w:eastAsia="es-ES"/>
              </w:rPr>
              <w:t>Stool</w:t>
            </w:r>
          </w:p>
        </w:tc>
        <w:tc>
          <w:tcPr>
            <w:tcW w:w="1134" w:type="pct"/>
            <w:shd w:val="clear" w:color="auto" w:fill="auto"/>
            <w:vAlign w:val="center"/>
            <w:hideMark/>
          </w:tcPr>
          <w:p w14:paraId="7BCB8FCB" w14:textId="77777777" w:rsidR="007129C1" w:rsidRPr="00D275F9" w:rsidRDefault="007129C1" w:rsidP="00F10C3B">
            <w:pPr>
              <w:spacing w:line="360" w:lineRule="auto"/>
              <w:jc w:val="both"/>
              <w:rPr>
                <w:rFonts w:ascii="Book Antiqua" w:hAnsi="Book Antiqua" w:cs="Arial"/>
                <w:lang w:eastAsia="es-ES"/>
              </w:rPr>
            </w:pPr>
            <w:r w:rsidRPr="00D275F9">
              <w:rPr>
                <w:rFonts w:ascii="Book Antiqua" w:hAnsi="Book Antiqua" w:cs="Arial"/>
                <w:lang w:eastAsia="es-ES"/>
              </w:rPr>
              <w:t>0</w:t>
            </w:r>
            <w:r>
              <w:rPr>
                <w:rFonts w:ascii="Book Antiqua" w:hAnsi="Book Antiqua" w:cs="Arial" w:hint="eastAsia"/>
                <w:lang w:eastAsia="zh-CN"/>
              </w:rPr>
              <w:t>.</w:t>
            </w:r>
            <w:r w:rsidRPr="00D275F9">
              <w:rPr>
                <w:rFonts w:ascii="Book Antiqua" w:hAnsi="Book Antiqua" w:cs="Arial"/>
                <w:lang w:eastAsia="es-ES"/>
              </w:rPr>
              <w:t xml:space="preserve">15 </w:t>
            </w:r>
            <w:r w:rsidRPr="00D275F9">
              <w:rPr>
                <w:rFonts w:ascii="Book Antiqua" w:hAnsi="Book Antiqua" w:cs="Calibri"/>
                <w:lang w:eastAsia="es-ES"/>
              </w:rPr>
              <w:t>µ</w:t>
            </w:r>
            <w:r w:rsidRPr="00D275F9">
              <w:rPr>
                <w:rFonts w:ascii="Book Antiqua" w:hAnsi="Book Antiqua" w:cs="Arial"/>
                <w:lang w:eastAsia="es-ES"/>
              </w:rPr>
              <w:t>g/g</w:t>
            </w:r>
          </w:p>
        </w:tc>
        <w:tc>
          <w:tcPr>
            <w:tcW w:w="739" w:type="pct"/>
            <w:shd w:val="clear" w:color="auto" w:fill="auto"/>
            <w:vAlign w:val="center"/>
          </w:tcPr>
          <w:p w14:paraId="4B58586E" w14:textId="77777777" w:rsidR="007129C1" w:rsidRPr="00D275F9" w:rsidRDefault="007129C1" w:rsidP="00F10C3B">
            <w:pPr>
              <w:spacing w:line="360" w:lineRule="auto"/>
              <w:jc w:val="both"/>
              <w:rPr>
                <w:rFonts w:ascii="Book Antiqua" w:hAnsi="Book Antiqua" w:cs="Arial"/>
                <w:lang w:eastAsia="es-ES"/>
              </w:rPr>
            </w:pPr>
            <w:r w:rsidRPr="00D275F9">
              <w:rPr>
                <w:rFonts w:ascii="Book Antiqua" w:hAnsi="Book Antiqua" w:cs="Arial"/>
                <w:lang w:eastAsia="es-ES"/>
              </w:rPr>
              <w:t>97%</w:t>
            </w:r>
          </w:p>
        </w:tc>
        <w:tc>
          <w:tcPr>
            <w:tcW w:w="739" w:type="pct"/>
            <w:vAlign w:val="center"/>
          </w:tcPr>
          <w:p w14:paraId="17454D34" w14:textId="77777777" w:rsidR="007129C1" w:rsidRPr="00D275F9" w:rsidRDefault="007129C1" w:rsidP="00F10C3B">
            <w:pPr>
              <w:spacing w:line="360" w:lineRule="auto"/>
              <w:jc w:val="both"/>
              <w:rPr>
                <w:rFonts w:ascii="Book Antiqua" w:hAnsi="Book Antiqua" w:cs="Arial"/>
                <w:lang w:eastAsia="es-ES"/>
              </w:rPr>
            </w:pPr>
            <w:r w:rsidRPr="00D275F9">
              <w:rPr>
                <w:rFonts w:ascii="Book Antiqua" w:hAnsi="Book Antiqua" w:cs="Arial"/>
                <w:lang w:eastAsia="es-ES"/>
              </w:rPr>
              <w:t>100%</w:t>
            </w:r>
          </w:p>
        </w:tc>
        <w:tc>
          <w:tcPr>
            <w:tcW w:w="359" w:type="pct"/>
            <w:vAlign w:val="center"/>
          </w:tcPr>
          <w:p w14:paraId="58AF842E" w14:textId="77777777" w:rsidR="007129C1" w:rsidRPr="007129C1" w:rsidRDefault="00C3458C" w:rsidP="00F10C3B">
            <w:pPr>
              <w:spacing w:line="360" w:lineRule="auto"/>
              <w:contextualSpacing/>
              <w:jc w:val="both"/>
              <w:rPr>
                <w:rFonts w:ascii="Book Antiqua" w:hAnsi="Book Antiqua" w:cs="Arial"/>
                <w:lang w:eastAsia="es-ES"/>
              </w:rPr>
            </w:pPr>
            <w:r w:rsidRPr="007129C1">
              <w:rPr>
                <w:rFonts w:ascii="Book Antiqua" w:hAnsi="Book Antiqua" w:cs="Arial"/>
                <w:lang w:eastAsia="es-ES"/>
              </w:rPr>
              <w:fldChar w:fldCharType="begin" w:fldLock="1"/>
            </w:r>
            <w:r w:rsidR="007129C1" w:rsidRPr="007129C1">
              <w:rPr>
                <w:rFonts w:ascii="Book Antiqua" w:hAnsi="Book Antiqua" w:cs="Arial"/>
                <w:lang w:eastAsia="es-ES"/>
              </w:rPr>
              <w:instrText>ADDIN CSL_CITATION {"citationItems":[{"id":"ITEM-1","itemData":{"URL":"https://ivydal.biomedal.com/tests-de-uso-profesional/ivycheck-gip-stool/","accessed":{"date-parts":[["2021","6","15"]]},"author":[{"dropping-particle":"","family":"Biomedal.","given":"","non-dropping-particle":"","parse-names":false,"suffix":""}],"id":"ITEM-1","issued":{"date-parts":[["0"]]},"title":"iVYCHECK GIP Stool","type":"webpage"},"uris":["http://www.mendeley.com/documents/?uuid=a5dd5ca5-6257-356f-9ce5-d2c6f0def214"]}],"mendeley":{"formattedCitation":"&lt;sup&gt;[56]&lt;/sup&gt;","plainTextFormattedCitation":"[56]","previouslyFormattedCitation":"&lt;sup&gt;[56]&lt;/sup&gt;"},"properties":{"noteIndex":0},"schema":"https://github.com/citation-style-language/schema/raw/master/csl-citation.json"}</w:instrText>
            </w:r>
            <w:r w:rsidRPr="007129C1">
              <w:rPr>
                <w:rFonts w:ascii="Book Antiqua" w:hAnsi="Book Antiqua" w:cs="Arial"/>
                <w:lang w:eastAsia="es-ES"/>
              </w:rPr>
              <w:fldChar w:fldCharType="separate"/>
            </w:r>
            <w:r w:rsidR="007129C1" w:rsidRPr="007129C1">
              <w:rPr>
                <w:rFonts w:ascii="Book Antiqua" w:hAnsi="Book Antiqua" w:cs="Arial"/>
                <w:noProof/>
                <w:lang w:eastAsia="es-ES"/>
              </w:rPr>
              <w:t>[56]</w:t>
            </w:r>
            <w:r w:rsidRPr="007129C1">
              <w:rPr>
                <w:rFonts w:ascii="Book Antiqua" w:hAnsi="Book Antiqua" w:cs="Arial"/>
                <w:lang w:eastAsia="es-ES"/>
              </w:rPr>
              <w:fldChar w:fldCharType="end"/>
            </w:r>
          </w:p>
        </w:tc>
      </w:tr>
      <w:tr w:rsidR="007129C1" w:rsidRPr="00D275F9" w14:paraId="12A6C5D0" w14:textId="77777777" w:rsidTr="007129C1">
        <w:trPr>
          <w:trHeight w:hRule="exact" w:val="1863"/>
        </w:trPr>
        <w:tc>
          <w:tcPr>
            <w:tcW w:w="731" w:type="pct"/>
            <w:shd w:val="clear" w:color="auto" w:fill="auto"/>
            <w:vAlign w:val="center"/>
          </w:tcPr>
          <w:p w14:paraId="10E466FC" w14:textId="77777777" w:rsidR="007129C1" w:rsidRPr="00D275F9" w:rsidRDefault="007129C1" w:rsidP="00F10C3B">
            <w:pPr>
              <w:spacing w:line="360" w:lineRule="auto"/>
              <w:jc w:val="both"/>
              <w:rPr>
                <w:rFonts w:ascii="Book Antiqua" w:hAnsi="Book Antiqua" w:cs="Arial"/>
                <w:lang w:eastAsia="es-ES"/>
              </w:rPr>
            </w:pPr>
            <w:r w:rsidRPr="00D275F9">
              <w:rPr>
                <w:rFonts w:ascii="Book Antiqua" w:hAnsi="Book Antiqua" w:cs="Arial"/>
                <w:lang w:eastAsia="es-ES"/>
              </w:rPr>
              <w:t>LFIA</w:t>
            </w:r>
          </w:p>
        </w:tc>
        <w:tc>
          <w:tcPr>
            <w:tcW w:w="761" w:type="pct"/>
            <w:shd w:val="clear" w:color="auto" w:fill="auto"/>
            <w:vAlign w:val="center"/>
          </w:tcPr>
          <w:p w14:paraId="254F931C" w14:textId="77777777" w:rsidR="007129C1" w:rsidRPr="00D275F9" w:rsidRDefault="007129C1" w:rsidP="00F10C3B">
            <w:pPr>
              <w:spacing w:line="360" w:lineRule="auto"/>
              <w:jc w:val="both"/>
              <w:rPr>
                <w:rFonts w:ascii="Book Antiqua" w:hAnsi="Book Antiqua" w:cs="Arial"/>
                <w:lang w:eastAsia="es-ES"/>
              </w:rPr>
            </w:pPr>
            <w:r w:rsidRPr="00D275F9">
              <w:rPr>
                <w:rFonts w:ascii="Book Antiqua" w:hAnsi="Book Antiqua" w:cs="Arial"/>
                <w:lang w:eastAsia="es-ES"/>
              </w:rPr>
              <w:t>G12/A1</w:t>
            </w:r>
          </w:p>
        </w:tc>
        <w:tc>
          <w:tcPr>
            <w:tcW w:w="538" w:type="pct"/>
            <w:shd w:val="clear" w:color="auto" w:fill="auto"/>
            <w:vAlign w:val="center"/>
          </w:tcPr>
          <w:p w14:paraId="78CB7089" w14:textId="77777777" w:rsidR="007129C1" w:rsidRPr="00D275F9" w:rsidRDefault="007129C1" w:rsidP="00F10C3B">
            <w:pPr>
              <w:spacing w:line="360" w:lineRule="auto"/>
              <w:jc w:val="both"/>
              <w:rPr>
                <w:rFonts w:ascii="Book Antiqua" w:hAnsi="Book Antiqua" w:cs="Arial"/>
                <w:lang w:eastAsia="es-ES"/>
              </w:rPr>
            </w:pPr>
            <w:r w:rsidRPr="00D275F9">
              <w:rPr>
                <w:rFonts w:ascii="Book Antiqua" w:hAnsi="Book Antiqua" w:cs="Arial"/>
                <w:lang w:eastAsia="es-ES"/>
              </w:rPr>
              <w:t>Urine</w:t>
            </w:r>
          </w:p>
        </w:tc>
        <w:tc>
          <w:tcPr>
            <w:tcW w:w="1134" w:type="pct"/>
            <w:shd w:val="clear" w:color="auto" w:fill="auto"/>
            <w:vAlign w:val="center"/>
          </w:tcPr>
          <w:p w14:paraId="2FA93008" w14:textId="77777777" w:rsidR="007129C1" w:rsidRPr="00D275F9" w:rsidRDefault="007129C1" w:rsidP="00F10C3B">
            <w:pPr>
              <w:spacing w:line="360" w:lineRule="auto"/>
              <w:jc w:val="both"/>
              <w:rPr>
                <w:rFonts w:ascii="Book Antiqua" w:hAnsi="Book Antiqua" w:cs="Arial"/>
                <w:lang w:eastAsia="es-ES"/>
              </w:rPr>
            </w:pPr>
            <w:r w:rsidRPr="00D275F9">
              <w:rPr>
                <w:rFonts w:ascii="Book Antiqua" w:hAnsi="Book Antiqua" w:cs="Arial"/>
                <w:lang w:eastAsia="es-ES"/>
              </w:rPr>
              <w:t>2.2 ng/mL (LOD)</w:t>
            </w:r>
          </w:p>
          <w:p w14:paraId="08A46AEB" w14:textId="77777777" w:rsidR="007129C1" w:rsidRPr="00D275F9" w:rsidRDefault="007129C1" w:rsidP="00F10C3B">
            <w:pPr>
              <w:spacing w:line="360" w:lineRule="auto"/>
              <w:jc w:val="both"/>
              <w:rPr>
                <w:rFonts w:ascii="Book Antiqua" w:hAnsi="Book Antiqua" w:cs="Arial"/>
                <w:lang w:eastAsia="es-ES"/>
              </w:rPr>
            </w:pPr>
            <w:r w:rsidRPr="00D275F9">
              <w:rPr>
                <w:rFonts w:ascii="Book Antiqua" w:hAnsi="Book Antiqua" w:cs="Arial"/>
                <w:lang w:eastAsia="es-ES"/>
              </w:rPr>
              <w:t>6.25 ng/mL (LOQ)</w:t>
            </w:r>
          </w:p>
        </w:tc>
        <w:tc>
          <w:tcPr>
            <w:tcW w:w="739" w:type="pct"/>
            <w:shd w:val="clear" w:color="auto" w:fill="auto"/>
            <w:vAlign w:val="center"/>
          </w:tcPr>
          <w:p w14:paraId="26A65BD7" w14:textId="77777777" w:rsidR="007129C1" w:rsidRPr="00D275F9" w:rsidRDefault="007129C1" w:rsidP="00F10C3B">
            <w:pPr>
              <w:spacing w:line="360" w:lineRule="auto"/>
              <w:jc w:val="both"/>
              <w:rPr>
                <w:rFonts w:ascii="Book Antiqua" w:hAnsi="Book Antiqua" w:cs="Arial"/>
                <w:lang w:eastAsia="es-ES"/>
              </w:rPr>
            </w:pPr>
            <w:r w:rsidRPr="00D275F9">
              <w:rPr>
                <w:rFonts w:ascii="Book Antiqua" w:hAnsi="Book Antiqua" w:cs="Arial"/>
                <w:lang w:eastAsia="es-ES"/>
              </w:rPr>
              <w:t>91%</w:t>
            </w:r>
          </w:p>
        </w:tc>
        <w:tc>
          <w:tcPr>
            <w:tcW w:w="739" w:type="pct"/>
            <w:vAlign w:val="center"/>
          </w:tcPr>
          <w:p w14:paraId="571E0FDC" w14:textId="77777777" w:rsidR="007129C1" w:rsidRPr="00D275F9" w:rsidRDefault="007129C1" w:rsidP="00F10C3B">
            <w:pPr>
              <w:spacing w:line="360" w:lineRule="auto"/>
              <w:jc w:val="both"/>
              <w:rPr>
                <w:rFonts w:ascii="Book Antiqua" w:hAnsi="Book Antiqua" w:cs="Arial"/>
                <w:lang w:eastAsia="es-ES"/>
              </w:rPr>
            </w:pPr>
            <w:r w:rsidRPr="00D275F9">
              <w:rPr>
                <w:rFonts w:ascii="Book Antiqua" w:hAnsi="Book Antiqua" w:cs="Arial"/>
                <w:lang w:eastAsia="es-ES"/>
              </w:rPr>
              <w:t>99%</w:t>
            </w:r>
          </w:p>
        </w:tc>
        <w:tc>
          <w:tcPr>
            <w:tcW w:w="359" w:type="pct"/>
            <w:vAlign w:val="center"/>
          </w:tcPr>
          <w:p w14:paraId="37535313" w14:textId="77777777" w:rsidR="007129C1" w:rsidRPr="007129C1" w:rsidRDefault="00C3458C" w:rsidP="00F10C3B">
            <w:pPr>
              <w:spacing w:line="360" w:lineRule="auto"/>
              <w:jc w:val="both"/>
              <w:rPr>
                <w:rFonts w:ascii="Book Antiqua" w:hAnsi="Book Antiqua" w:cs="Arial"/>
                <w:lang w:eastAsia="es-ES"/>
              </w:rPr>
            </w:pPr>
            <w:r w:rsidRPr="007129C1">
              <w:rPr>
                <w:rFonts w:ascii="Book Antiqua" w:hAnsi="Book Antiqua" w:cs="Arial"/>
                <w:lang w:eastAsia="es-ES"/>
              </w:rPr>
              <w:fldChar w:fldCharType="begin" w:fldLock="1"/>
            </w:r>
            <w:r w:rsidR="007129C1" w:rsidRPr="007129C1">
              <w:rPr>
                <w:rFonts w:ascii="Book Antiqua" w:hAnsi="Book Antiqua" w:cs="Arial"/>
                <w:lang w:eastAsia="es-ES"/>
              </w:rPr>
              <w:instrText>ADDIN CSL_CITATION {"citationItems":[{"id":"ITEM-1","itemData":{"DOI":"10.1136/gutjnl-2015-310148","ISBN":"1468-3288 (Electronic)\\r0017-5749 (Linking)","ISSN":"1468-3288","PMID":"26608460","abstract":"OBJECTIVE Gluten-free diet (GFD) is the only management for coeliac disease (CD). Available methods to assess GFD compliance are insufficiently sensitive to detect occasional dietary transgressions that may cause gut mucosal damage. We aimed to develop a method to determine gluten intake and monitor GFD compliance in patients with CD and to evaluate its correlation with mucosal damage. DESIGN Urine samples of 76 healthy subjects and 58 patients with CD subjected to different gluten dietary conditions were collected. A lateral flow test (LFT) with the highly sensitive and specific G12 monoclonal antibody for the most dominant gluten immunogenic peptides (GIP) and a LFT reader were used to quantify GIP in solid-phase extracted urines. RESULTS GIP were detectable in concentrated urines from healthy individuals previously subjected to GFD as early as 4-6 h after single gluten intake, and remained detectable for 1-2 days. The urine assay revealed infringement of the GFD in about 50% of the patients. Analysis of duodenal biopsies revealed that most of patients with CD (89%) with no villous atrophy had no detectable GIP in urine, while all patients with quantifiable GIP in urine showed incomplete intestinal mucosa recovery. CONCLUSION GIP are detected in urine after gluten consumption, enabling a new and non-invasive method to monitor GFD compliance and transgressions. The method was sensitive, specific and simple enough to be convenient for clinical monitoring of patients with CD as well as for basic and clinical research applications including drug development. TRIAL REGISTRATION NUMBER NCT02344758.","author":[{"dropping-particle":"","family":"Moreno","given":"María De Lourdes","non-dropping-particle":"","parse-names":false,"suffix":""},{"dropping-particle":"","family":"Cebolla","given":"Ángel","non-dropping-particle":"","parse-names":false,"suffix":""},{"dropping-particle":"","family":"Muñoz-Suano","given":"Alba","non-dropping-particle":"","parse-names":false,"suffix":""},{"dropping-particle":"","family":"Carrillo-Carrion","given":"Carolina","non-dropping-particle":"","parse-names":false,"suffix":""},{"dropping-particle":"","family":"Comino","given":"Isabel","non-dropping-particle":"","parse-names":false,"suffix":""},{"dropping-particle":"","family":"Pizarro","given":"Ángeles","non-dropping-particle":"","parse-names":false,"suffix":""},{"dropping-particle":"","family":"León","given":"Francisco","non-dropping-particle":"","parse-names":false,"suffix":""},{"dropping-particle":"","family":"Rodríguez-Herrera","given":"Alfonso","non-dropping-particle":"","parse-names":false,"suffix":""},{"dropping-particle":"","family":"Sousa","given":"Carolina","non-dropping-particle":"","parse-names":false,"suffix":""}],"container-title":"Gut","id":"ITEM-1","issue":"2","issued":{"date-parts":[["2017","2"]]},"page":"250-257","title":"Detection of gluten immunogenic peptides in the urine of patients with coeliac disease reveals transgressions in the gluten-free diet and incomplete mucosal healing.","type":"article-journal","volume":"66"},"uris":["http://www.mendeley.com/documents/?uuid=cd06bb39-9fca-4ef3-b4f8-ca582b130e91"]}],"mendeley":{"formattedCitation":"&lt;sup&gt;[9]&lt;/sup&gt;","plainTextFormattedCitation":"[9]","previouslyFormattedCitation":"&lt;sup&gt;[9]&lt;/sup&gt;"},"properties":{"noteIndex":0},"schema":"https://github.com/citation-style-language/schema/raw/master/csl-citation.json"}</w:instrText>
            </w:r>
            <w:r w:rsidRPr="007129C1">
              <w:rPr>
                <w:rFonts w:ascii="Book Antiqua" w:hAnsi="Book Antiqua" w:cs="Arial"/>
                <w:lang w:eastAsia="es-ES"/>
              </w:rPr>
              <w:fldChar w:fldCharType="separate"/>
            </w:r>
            <w:r w:rsidR="007129C1" w:rsidRPr="007129C1">
              <w:rPr>
                <w:rFonts w:ascii="Book Antiqua" w:hAnsi="Book Antiqua" w:cs="Arial"/>
                <w:noProof/>
                <w:lang w:eastAsia="es-ES"/>
              </w:rPr>
              <w:t>[9]</w:t>
            </w:r>
            <w:r w:rsidRPr="007129C1">
              <w:rPr>
                <w:rFonts w:ascii="Book Antiqua" w:hAnsi="Book Antiqua" w:cs="Arial"/>
                <w:lang w:eastAsia="es-ES"/>
              </w:rPr>
              <w:fldChar w:fldCharType="end"/>
            </w:r>
          </w:p>
        </w:tc>
      </w:tr>
    </w:tbl>
    <w:p w14:paraId="22FF8219" w14:textId="77777777" w:rsidR="007129C1" w:rsidRDefault="007129C1" w:rsidP="00F10C3B">
      <w:pPr>
        <w:spacing w:line="360" w:lineRule="auto"/>
        <w:jc w:val="both"/>
        <w:rPr>
          <w:rFonts w:ascii="Book Antiqua" w:hAnsi="Book Antiqua" w:cs="Arial"/>
          <w:lang w:eastAsia="zh-CN"/>
        </w:rPr>
      </w:pPr>
      <w:r w:rsidRPr="00D275F9">
        <w:rPr>
          <w:rFonts w:ascii="Book Antiqua" w:hAnsi="Book Antiqua" w:cs="Arial"/>
        </w:rPr>
        <w:t>ELISA</w:t>
      </w:r>
      <w:r>
        <w:rPr>
          <w:rFonts w:ascii="Book Antiqua" w:hAnsi="Book Antiqua" w:cs="Arial" w:hint="eastAsia"/>
          <w:lang w:eastAsia="zh-CN"/>
        </w:rPr>
        <w:t>:</w:t>
      </w:r>
      <w:r w:rsidRPr="00D275F9">
        <w:rPr>
          <w:rFonts w:ascii="Book Antiqua" w:hAnsi="Book Antiqua" w:cs="Arial"/>
        </w:rPr>
        <w:t xml:space="preserve"> Enzyme-like immunosorbent assay</w:t>
      </w:r>
      <w:r>
        <w:rPr>
          <w:rFonts w:ascii="Book Antiqua" w:hAnsi="Book Antiqua" w:cs="Arial" w:hint="eastAsia"/>
          <w:lang w:eastAsia="zh-CN"/>
        </w:rPr>
        <w:t>;</w:t>
      </w:r>
      <w:r w:rsidRPr="00D275F9">
        <w:rPr>
          <w:rFonts w:ascii="Book Antiqua" w:hAnsi="Book Antiqua" w:cs="Arial"/>
        </w:rPr>
        <w:t xml:space="preserve"> LFIA: Lateral flow immunoassay; LOD: Limit of detection; LOQ: Limit of quantification</w:t>
      </w:r>
      <w:r w:rsidRPr="00D275F9">
        <w:rPr>
          <w:rFonts w:ascii="Book Antiqua" w:hAnsi="Book Antiqua" w:cs="Arial"/>
          <w:lang w:eastAsia="es-ES"/>
        </w:rPr>
        <w:t xml:space="preserve">. </w:t>
      </w:r>
    </w:p>
    <w:p w14:paraId="3F2EC223" w14:textId="77777777" w:rsidR="007129C1" w:rsidRDefault="007129C1" w:rsidP="00F10C3B">
      <w:pPr>
        <w:spacing w:line="360" w:lineRule="auto"/>
        <w:jc w:val="both"/>
        <w:rPr>
          <w:rFonts w:ascii="Book Antiqua" w:hAnsi="Book Antiqua" w:cs="Arial"/>
          <w:lang w:eastAsia="zh-CN"/>
        </w:rPr>
      </w:pPr>
      <w:r>
        <w:rPr>
          <w:rFonts w:ascii="Book Antiqua" w:hAnsi="Book Antiqua" w:cs="Arial"/>
          <w:lang w:eastAsia="zh-CN"/>
        </w:rPr>
        <w:br w:type="page"/>
      </w:r>
    </w:p>
    <w:p w14:paraId="7FDA965F" w14:textId="77777777" w:rsidR="007129C1" w:rsidRDefault="007129C1" w:rsidP="00F10C3B">
      <w:pPr>
        <w:spacing w:line="360" w:lineRule="auto"/>
        <w:jc w:val="both"/>
        <w:rPr>
          <w:rFonts w:ascii="Book Antiqua" w:hAnsi="Book Antiqua" w:cs="Arial"/>
          <w:b/>
          <w:bCs/>
          <w:lang w:eastAsia="zh-CN"/>
        </w:rPr>
      </w:pPr>
      <w:r w:rsidRPr="00D275F9">
        <w:rPr>
          <w:rFonts w:ascii="Book Antiqua" w:hAnsi="Book Antiqua" w:cs="Arial"/>
          <w:b/>
        </w:rPr>
        <w:lastRenderedPageBreak/>
        <w:t>Table 3</w:t>
      </w:r>
      <w:r w:rsidRPr="00D275F9">
        <w:rPr>
          <w:rFonts w:ascii="Book Antiqua" w:hAnsi="Book Antiqua" w:cs="Arial"/>
        </w:rPr>
        <w:t xml:space="preserve"> </w:t>
      </w:r>
      <w:r w:rsidRPr="00D275F9">
        <w:rPr>
          <w:rFonts w:ascii="Book Antiqua" w:hAnsi="Book Antiqua" w:cs="Arial"/>
          <w:b/>
          <w:bCs/>
        </w:rPr>
        <w:t xml:space="preserve">Parametrical features of the </w:t>
      </w:r>
      <w:r w:rsidRPr="007129C1">
        <w:rPr>
          <w:rFonts w:ascii="Book Antiqua" w:hAnsi="Book Antiqua" w:cs="Arial"/>
          <w:b/>
          <w:bCs/>
        </w:rPr>
        <w:t xml:space="preserve">gluten immunogenic peptides </w:t>
      </w:r>
      <w:r w:rsidRPr="00D275F9">
        <w:rPr>
          <w:rFonts w:ascii="Book Antiqua" w:hAnsi="Book Antiqua" w:cs="Arial"/>
          <w:b/>
          <w:bCs/>
        </w:rPr>
        <w:t xml:space="preserve">excretion using </w:t>
      </w:r>
      <w:r w:rsidRPr="007129C1">
        <w:rPr>
          <w:rFonts w:ascii="Book Antiqua" w:hAnsi="Book Antiqua" w:cs="Arial"/>
          <w:b/>
          <w:bCs/>
        </w:rPr>
        <w:t xml:space="preserve">lateral flow immunoassay </w:t>
      </w:r>
      <w:r w:rsidRPr="00D275F9">
        <w:rPr>
          <w:rFonts w:ascii="Book Antiqua" w:hAnsi="Book Antiqua" w:cs="Arial"/>
          <w:b/>
          <w:bCs/>
        </w:rPr>
        <w:t xml:space="preserve">and </w:t>
      </w:r>
      <w:r w:rsidRPr="007129C1">
        <w:rPr>
          <w:rFonts w:ascii="Book Antiqua" w:hAnsi="Book Antiqua" w:cs="Arial"/>
          <w:b/>
          <w:bCs/>
        </w:rPr>
        <w:t xml:space="preserve">enzyme-like immunosorbent assay </w:t>
      </w:r>
      <w:r w:rsidRPr="00D275F9">
        <w:rPr>
          <w:rFonts w:ascii="Book Antiqua" w:hAnsi="Book Antiqua" w:cs="Arial"/>
          <w:b/>
          <w:bCs/>
        </w:rPr>
        <w:t>methods</w:t>
      </w:r>
    </w:p>
    <w:tbl>
      <w:tblPr>
        <w:tblW w:w="8946" w:type="dxa"/>
        <w:tblInd w:w="93" w:type="dxa"/>
        <w:tblBorders>
          <w:top w:val="single" w:sz="4" w:space="0" w:color="auto"/>
          <w:bottom w:val="single" w:sz="4" w:space="0" w:color="auto"/>
        </w:tblBorders>
        <w:tblLook w:val="04A0" w:firstRow="1" w:lastRow="0" w:firstColumn="1" w:lastColumn="0" w:noHBand="0" w:noVBand="1"/>
      </w:tblPr>
      <w:tblGrid>
        <w:gridCol w:w="2567"/>
        <w:gridCol w:w="1276"/>
        <w:gridCol w:w="1275"/>
        <w:gridCol w:w="1985"/>
        <w:gridCol w:w="1843"/>
      </w:tblGrid>
      <w:tr w:rsidR="00C21EB5" w:rsidRPr="006E5332" w14:paraId="1A142791" w14:textId="77777777" w:rsidTr="006E5332">
        <w:trPr>
          <w:trHeight w:val="1650"/>
        </w:trPr>
        <w:tc>
          <w:tcPr>
            <w:tcW w:w="2567" w:type="dxa"/>
            <w:tcBorders>
              <w:top w:val="single" w:sz="4" w:space="0" w:color="auto"/>
              <w:bottom w:val="single" w:sz="4" w:space="0" w:color="auto"/>
            </w:tcBorders>
            <w:shd w:val="clear" w:color="auto" w:fill="auto"/>
            <w:vAlign w:val="center"/>
            <w:hideMark/>
          </w:tcPr>
          <w:p w14:paraId="7FC7BCA9" w14:textId="77777777" w:rsidR="006E5332" w:rsidRPr="006E5332" w:rsidRDefault="006E5332" w:rsidP="00F10C3B">
            <w:pPr>
              <w:spacing w:line="360" w:lineRule="auto"/>
              <w:jc w:val="both"/>
              <w:rPr>
                <w:rFonts w:ascii="Book Antiqua" w:eastAsia="宋体" w:hAnsi="Book Antiqua" w:cs="宋体"/>
                <w:b/>
                <w:bCs/>
                <w:color w:val="000000"/>
                <w:lang w:eastAsia="zh-CN"/>
              </w:rPr>
            </w:pPr>
            <w:r w:rsidRPr="006E5332">
              <w:rPr>
                <w:rFonts w:ascii="Book Antiqua" w:eastAsia="宋体" w:hAnsi="Book Antiqua" w:cs="宋体"/>
                <w:b/>
                <w:bCs/>
                <w:color w:val="000000"/>
                <w:lang w:eastAsia="zh-CN"/>
              </w:rPr>
              <w:t>Specifications for the determination of GIP excretion after gluten intake</w:t>
            </w:r>
          </w:p>
        </w:tc>
        <w:tc>
          <w:tcPr>
            <w:tcW w:w="1276" w:type="dxa"/>
            <w:tcBorders>
              <w:top w:val="single" w:sz="4" w:space="0" w:color="auto"/>
              <w:bottom w:val="single" w:sz="4" w:space="0" w:color="auto"/>
            </w:tcBorders>
            <w:shd w:val="clear" w:color="auto" w:fill="auto"/>
            <w:vAlign w:val="center"/>
            <w:hideMark/>
          </w:tcPr>
          <w:p w14:paraId="2C9D8CDE" w14:textId="77777777" w:rsidR="006E5332" w:rsidRPr="006E5332" w:rsidRDefault="006E5332" w:rsidP="00F10C3B">
            <w:pPr>
              <w:spacing w:line="360" w:lineRule="auto"/>
              <w:jc w:val="both"/>
              <w:rPr>
                <w:rFonts w:ascii="Book Antiqua" w:eastAsia="宋体" w:hAnsi="Book Antiqua" w:cs="宋体"/>
                <w:b/>
                <w:bCs/>
                <w:color w:val="000000"/>
                <w:lang w:eastAsia="zh-CN"/>
              </w:rPr>
            </w:pPr>
            <w:r w:rsidRPr="006E5332">
              <w:rPr>
                <w:rFonts w:ascii="Book Antiqua" w:eastAsia="宋体" w:hAnsi="Book Antiqua" w:cs="宋体"/>
                <w:b/>
                <w:bCs/>
                <w:color w:val="000000"/>
                <w:lang w:eastAsia="zh-CN"/>
              </w:rPr>
              <w:t>Sample</w:t>
            </w:r>
          </w:p>
        </w:tc>
        <w:tc>
          <w:tcPr>
            <w:tcW w:w="1275" w:type="dxa"/>
            <w:tcBorders>
              <w:top w:val="single" w:sz="4" w:space="0" w:color="auto"/>
              <w:bottom w:val="single" w:sz="4" w:space="0" w:color="auto"/>
            </w:tcBorders>
            <w:shd w:val="clear" w:color="auto" w:fill="auto"/>
            <w:vAlign w:val="center"/>
            <w:hideMark/>
          </w:tcPr>
          <w:p w14:paraId="3331E2A9" w14:textId="77777777" w:rsidR="006E5332" w:rsidRPr="006E5332" w:rsidRDefault="006E5332" w:rsidP="00F10C3B">
            <w:pPr>
              <w:spacing w:line="360" w:lineRule="auto"/>
              <w:jc w:val="both"/>
              <w:rPr>
                <w:rFonts w:ascii="Book Antiqua" w:eastAsia="宋体" w:hAnsi="Book Antiqua" w:cs="宋体"/>
                <w:b/>
                <w:bCs/>
                <w:color w:val="000000"/>
                <w:lang w:eastAsia="zh-CN"/>
              </w:rPr>
            </w:pPr>
            <w:r w:rsidRPr="006E5332">
              <w:rPr>
                <w:rFonts w:ascii="Book Antiqua" w:eastAsia="宋体" w:hAnsi="Book Antiqua" w:cs="宋体"/>
                <w:b/>
                <w:bCs/>
                <w:color w:val="000000"/>
                <w:lang w:eastAsia="zh-CN"/>
              </w:rPr>
              <w:t>Time ranges (h)</w:t>
            </w:r>
          </w:p>
        </w:tc>
        <w:tc>
          <w:tcPr>
            <w:tcW w:w="1985" w:type="dxa"/>
            <w:tcBorders>
              <w:top w:val="single" w:sz="4" w:space="0" w:color="auto"/>
              <w:bottom w:val="single" w:sz="4" w:space="0" w:color="auto"/>
            </w:tcBorders>
            <w:shd w:val="clear" w:color="auto" w:fill="auto"/>
            <w:vAlign w:val="center"/>
            <w:hideMark/>
          </w:tcPr>
          <w:p w14:paraId="1BD14836" w14:textId="77777777" w:rsidR="006E5332" w:rsidRPr="006E5332" w:rsidRDefault="006E5332" w:rsidP="00F10C3B">
            <w:pPr>
              <w:spacing w:line="360" w:lineRule="auto"/>
              <w:jc w:val="both"/>
              <w:rPr>
                <w:rFonts w:ascii="Book Antiqua" w:eastAsia="宋体" w:hAnsi="Book Antiqua" w:cs="宋体"/>
                <w:b/>
                <w:bCs/>
                <w:color w:val="000000"/>
                <w:lang w:eastAsia="zh-CN"/>
              </w:rPr>
            </w:pPr>
            <w:r w:rsidRPr="006E5332">
              <w:rPr>
                <w:rFonts w:ascii="Book Antiqua" w:eastAsia="宋体" w:hAnsi="Book Antiqua" w:cs="宋体"/>
                <w:b/>
                <w:bCs/>
                <w:color w:val="000000"/>
                <w:lang w:eastAsia="zh-CN"/>
              </w:rPr>
              <w:t>Gluten source (amount)</w:t>
            </w:r>
          </w:p>
        </w:tc>
        <w:tc>
          <w:tcPr>
            <w:tcW w:w="1843" w:type="dxa"/>
            <w:tcBorders>
              <w:top w:val="single" w:sz="4" w:space="0" w:color="auto"/>
              <w:bottom w:val="single" w:sz="4" w:space="0" w:color="auto"/>
            </w:tcBorders>
            <w:shd w:val="clear" w:color="auto" w:fill="auto"/>
            <w:vAlign w:val="center"/>
            <w:hideMark/>
          </w:tcPr>
          <w:p w14:paraId="46CBF8CA" w14:textId="77777777" w:rsidR="006E5332" w:rsidRPr="006E5332" w:rsidRDefault="006E5332" w:rsidP="00F10C3B">
            <w:pPr>
              <w:spacing w:line="360" w:lineRule="auto"/>
              <w:jc w:val="both"/>
              <w:rPr>
                <w:rFonts w:ascii="Book Antiqua" w:eastAsia="宋体" w:hAnsi="Book Antiqua" w:cs="宋体"/>
                <w:b/>
                <w:bCs/>
                <w:color w:val="000000"/>
                <w:lang w:eastAsia="zh-CN"/>
              </w:rPr>
            </w:pPr>
            <w:r w:rsidRPr="006E5332">
              <w:rPr>
                <w:rFonts w:ascii="Book Antiqua" w:eastAsia="宋体" w:hAnsi="Book Antiqua" w:cs="宋体"/>
                <w:b/>
                <w:bCs/>
                <w:color w:val="000000"/>
                <w:lang w:eastAsia="zh-CN"/>
              </w:rPr>
              <w:t>Method</w:t>
            </w:r>
          </w:p>
        </w:tc>
      </w:tr>
      <w:tr w:rsidR="00C21EB5" w:rsidRPr="006E5332" w14:paraId="4556DC9B" w14:textId="77777777" w:rsidTr="006E5332">
        <w:trPr>
          <w:trHeight w:val="680"/>
        </w:trPr>
        <w:tc>
          <w:tcPr>
            <w:tcW w:w="2567" w:type="dxa"/>
            <w:vMerge w:val="restart"/>
            <w:tcBorders>
              <w:top w:val="single" w:sz="4" w:space="0" w:color="auto"/>
            </w:tcBorders>
            <w:shd w:val="clear" w:color="auto" w:fill="auto"/>
            <w:vAlign w:val="center"/>
            <w:hideMark/>
          </w:tcPr>
          <w:p w14:paraId="123E9269"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Shortest time to detect GIP</w:t>
            </w:r>
          </w:p>
        </w:tc>
        <w:tc>
          <w:tcPr>
            <w:tcW w:w="1276" w:type="dxa"/>
            <w:vMerge w:val="restart"/>
            <w:tcBorders>
              <w:top w:val="single" w:sz="4" w:space="0" w:color="auto"/>
            </w:tcBorders>
            <w:shd w:val="clear" w:color="auto" w:fill="auto"/>
            <w:vAlign w:val="center"/>
            <w:hideMark/>
          </w:tcPr>
          <w:p w14:paraId="05838A7C"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Urine</w:t>
            </w:r>
          </w:p>
        </w:tc>
        <w:tc>
          <w:tcPr>
            <w:tcW w:w="1275" w:type="dxa"/>
            <w:vMerge w:val="restart"/>
            <w:tcBorders>
              <w:top w:val="single" w:sz="4" w:space="0" w:color="auto"/>
            </w:tcBorders>
            <w:shd w:val="clear" w:color="auto" w:fill="auto"/>
            <w:vAlign w:val="center"/>
            <w:hideMark/>
          </w:tcPr>
          <w:p w14:paraId="22645D56"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3</w:t>
            </w:r>
            <w:r>
              <w:rPr>
                <w:rFonts w:ascii="Book Antiqua" w:eastAsia="宋体" w:hAnsi="Book Antiqua" w:cs="宋体" w:hint="eastAsia"/>
                <w:color w:val="000000"/>
                <w:lang w:eastAsia="zh-CN"/>
              </w:rPr>
              <w:t>-</w:t>
            </w:r>
            <w:r w:rsidRPr="006E5332">
              <w:rPr>
                <w:rFonts w:ascii="Book Antiqua" w:eastAsia="宋体" w:hAnsi="Book Antiqua" w:cs="宋体"/>
                <w:color w:val="000000"/>
                <w:lang w:eastAsia="zh-CN"/>
              </w:rPr>
              <w:t>9</w:t>
            </w:r>
          </w:p>
        </w:tc>
        <w:tc>
          <w:tcPr>
            <w:tcW w:w="1985" w:type="dxa"/>
            <w:tcBorders>
              <w:top w:val="single" w:sz="4" w:space="0" w:color="auto"/>
            </w:tcBorders>
            <w:shd w:val="clear" w:color="auto" w:fill="auto"/>
            <w:vAlign w:val="center"/>
            <w:hideMark/>
          </w:tcPr>
          <w:p w14:paraId="7F5D7F1C"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GCD (&gt; 2 g)</w:t>
            </w:r>
          </w:p>
        </w:tc>
        <w:tc>
          <w:tcPr>
            <w:tcW w:w="1843" w:type="dxa"/>
            <w:tcBorders>
              <w:top w:val="single" w:sz="4" w:space="0" w:color="auto"/>
            </w:tcBorders>
            <w:shd w:val="clear" w:color="auto" w:fill="auto"/>
            <w:vAlign w:val="center"/>
            <w:hideMark/>
          </w:tcPr>
          <w:p w14:paraId="40E25154"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 xml:space="preserve">LFIA </w:t>
            </w:r>
            <w:r w:rsidRPr="006E5332">
              <w:rPr>
                <w:rFonts w:ascii="Book Antiqua" w:eastAsia="宋体" w:hAnsi="Book Antiqua" w:cs="宋体"/>
                <w:color w:val="000000"/>
                <w:vertAlign w:val="superscript"/>
                <w:lang w:eastAsia="zh-CN"/>
              </w:rPr>
              <w:t>[9,29,30]</w:t>
            </w:r>
          </w:p>
        </w:tc>
      </w:tr>
      <w:tr w:rsidR="006E5332" w:rsidRPr="006E5332" w14:paraId="3AA01497" w14:textId="77777777" w:rsidTr="006E5332">
        <w:trPr>
          <w:trHeight w:val="1060"/>
        </w:trPr>
        <w:tc>
          <w:tcPr>
            <w:tcW w:w="2567" w:type="dxa"/>
            <w:vMerge/>
            <w:vAlign w:val="center"/>
            <w:hideMark/>
          </w:tcPr>
          <w:p w14:paraId="3059FF06" w14:textId="77777777" w:rsidR="006E5332" w:rsidRPr="006E5332" w:rsidRDefault="006E5332" w:rsidP="00F10C3B">
            <w:pPr>
              <w:spacing w:line="360" w:lineRule="auto"/>
              <w:rPr>
                <w:rFonts w:ascii="Book Antiqua" w:eastAsia="宋体" w:hAnsi="Book Antiqua" w:cs="宋体"/>
                <w:color w:val="000000"/>
                <w:lang w:eastAsia="zh-CN"/>
              </w:rPr>
            </w:pPr>
          </w:p>
        </w:tc>
        <w:tc>
          <w:tcPr>
            <w:tcW w:w="1276" w:type="dxa"/>
            <w:vMerge/>
            <w:vAlign w:val="center"/>
            <w:hideMark/>
          </w:tcPr>
          <w:p w14:paraId="0799656C" w14:textId="77777777" w:rsidR="006E5332" w:rsidRPr="006E5332" w:rsidRDefault="006E5332" w:rsidP="00F10C3B">
            <w:pPr>
              <w:spacing w:line="360" w:lineRule="auto"/>
              <w:rPr>
                <w:rFonts w:ascii="Book Antiqua" w:eastAsia="宋体" w:hAnsi="Book Antiqua" w:cs="宋体"/>
                <w:color w:val="000000"/>
                <w:lang w:eastAsia="zh-CN"/>
              </w:rPr>
            </w:pPr>
          </w:p>
        </w:tc>
        <w:tc>
          <w:tcPr>
            <w:tcW w:w="1275" w:type="dxa"/>
            <w:vMerge/>
            <w:vAlign w:val="center"/>
            <w:hideMark/>
          </w:tcPr>
          <w:p w14:paraId="22D4845A" w14:textId="77777777" w:rsidR="006E5332" w:rsidRPr="006E5332" w:rsidRDefault="006E5332" w:rsidP="00F10C3B">
            <w:pPr>
              <w:spacing w:line="360" w:lineRule="auto"/>
              <w:rPr>
                <w:rFonts w:ascii="Book Antiqua" w:eastAsia="宋体" w:hAnsi="Book Antiqua" w:cs="宋体"/>
                <w:color w:val="000000"/>
                <w:lang w:eastAsia="zh-CN"/>
              </w:rPr>
            </w:pPr>
          </w:p>
        </w:tc>
        <w:tc>
          <w:tcPr>
            <w:tcW w:w="1985" w:type="dxa"/>
            <w:shd w:val="clear" w:color="auto" w:fill="auto"/>
            <w:vAlign w:val="center"/>
            <w:hideMark/>
          </w:tcPr>
          <w:p w14:paraId="4DE6394D"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GCD (&gt;</w:t>
            </w:r>
            <w:r>
              <w:rPr>
                <w:rFonts w:ascii="Book Antiqua" w:eastAsia="宋体" w:hAnsi="Book Antiqua" w:cs="宋体" w:hint="eastAsia"/>
                <w:color w:val="000000"/>
                <w:lang w:eastAsia="zh-CN"/>
              </w:rPr>
              <w:t xml:space="preserve"> </w:t>
            </w:r>
            <w:r w:rsidRPr="006E5332">
              <w:rPr>
                <w:rFonts w:ascii="Book Antiqua" w:eastAsia="宋体" w:hAnsi="Book Antiqua" w:cs="宋体"/>
                <w:color w:val="000000"/>
                <w:lang w:eastAsia="zh-CN"/>
              </w:rPr>
              <w:t>2 g)</w:t>
            </w:r>
          </w:p>
        </w:tc>
        <w:tc>
          <w:tcPr>
            <w:tcW w:w="1843" w:type="dxa"/>
            <w:shd w:val="clear" w:color="auto" w:fill="auto"/>
            <w:vAlign w:val="center"/>
            <w:hideMark/>
          </w:tcPr>
          <w:p w14:paraId="14311930"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LFIA; ELISA</w:t>
            </w:r>
            <w:r w:rsidRPr="006E5332">
              <w:rPr>
                <w:rFonts w:ascii="Book Antiqua" w:eastAsia="宋体" w:hAnsi="Book Antiqua" w:cs="宋体"/>
                <w:color w:val="000000"/>
                <w:vertAlign w:val="superscript"/>
                <w:lang w:eastAsia="zh-CN"/>
              </w:rPr>
              <w:t>[43]</w:t>
            </w:r>
          </w:p>
        </w:tc>
      </w:tr>
      <w:tr w:rsidR="006E5332" w:rsidRPr="006E5332" w14:paraId="57EDD296" w14:textId="77777777" w:rsidTr="006E5332">
        <w:trPr>
          <w:trHeight w:val="320"/>
        </w:trPr>
        <w:tc>
          <w:tcPr>
            <w:tcW w:w="2567" w:type="dxa"/>
            <w:vMerge/>
            <w:vAlign w:val="center"/>
            <w:hideMark/>
          </w:tcPr>
          <w:p w14:paraId="2A42A9A4" w14:textId="77777777" w:rsidR="006E5332" w:rsidRPr="006E5332" w:rsidRDefault="006E5332" w:rsidP="00F10C3B">
            <w:pPr>
              <w:spacing w:line="360" w:lineRule="auto"/>
              <w:rPr>
                <w:rFonts w:ascii="Book Antiqua" w:eastAsia="宋体" w:hAnsi="Book Antiqua" w:cs="宋体"/>
                <w:color w:val="000000"/>
                <w:lang w:eastAsia="zh-CN"/>
              </w:rPr>
            </w:pPr>
          </w:p>
        </w:tc>
        <w:tc>
          <w:tcPr>
            <w:tcW w:w="1276" w:type="dxa"/>
            <w:shd w:val="clear" w:color="auto" w:fill="auto"/>
            <w:vAlign w:val="center"/>
            <w:hideMark/>
          </w:tcPr>
          <w:p w14:paraId="5A72C8AD"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Stool</w:t>
            </w:r>
          </w:p>
        </w:tc>
        <w:tc>
          <w:tcPr>
            <w:tcW w:w="1275" w:type="dxa"/>
            <w:shd w:val="clear" w:color="auto" w:fill="auto"/>
            <w:vAlign w:val="center"/>
            <w:hideMark/>
          </w:tcPr>
          <w:p w14:paraId="0089755C"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&lt; 24</w:t>
            </w:r>
          </w:p>
        </w:tc>
        <w:tc>
          <w:tcPr>
            <w:tcW w:w="1985" w:type="dxa"/>
            <w:shd w:val="clear" w:color="auto" w:fill="auto"/>
            <w:vAlign w:val="center"/>
            <w:hideMark/>
          </w:tcPr>
          <w:p w14:paraId="3467FC1A" w14:textId="77777777" w:rsidR="006E5332" w:rsidRPr="006E5332" w:rsidRDefault="006E5332" w:rsidP="00F10C3B">
            <w:pPr>
              <w:spacing w:line="360" w:lineRule="auto"/>
              <w:jc w:val="both"/>
              <w:rPr>
                <w:rFonts w:ascii="Book Antiqua" w:eastAsia="宋体" w:hAnsi="Book Antiqua" w:cs="宋体"/>
                <w:color w:val="000000"/>
                <w:lang w:eastAsia="zh-CN"/>
              </w:rPr>
            </w:pPr>
          </w:p>
        </w:tc>
        <w:tc>
          <w:tcPr>
            <w:tcW w:w="1843" w:type="dxa"/>
            <w:shd w:val="clear" w:color="auto" w:fill="auto"/>
            <w:vAlign w:val="center"/>
            <w:hideMark/>
          </w:tcPr>
          <w:p w14:paraId="143F3556" w14:textId="77777777" w:rsidR="006E5332" w:rsidRPr="006E5332" w:rsidRDefault="006E5332" w:rsidP="00F10C3B">
            <w:pPr>
              <w:spacing w:line="360" w:lineRule="auto"/>
              <w:jc w:val="both"/>
              <w:rPr>
                <w:rFonts w:ascii="Book Antiqua" w:eastAsia="宋体" w:hAnsi="Book Antiqua" w:cs="宋体"/>
                <w:color w:val="000000"/>
                <w:lang w:eastAsia="zh-CN"/>
              </w:rPr>
            </w:pPr>
          </w:p>
        </w:tc>
      </w:tr>
      <w:tr w:rsidR="006E5332" w:rsidRPr="006E5332" w14:paraId="43B4AA1E" w14:textId="77777777" w:rsidTr="006E5332">
        <w:trPr>
          <w:trHeight w:val="750"/>
        </w:trPr>
        <w:tc>
          <w:tcPr>
            <w:tcW w:w="2567" w:type="dxa"/>
            <w:vMerge w:val="restart"/>
            <w:shd w:val="clear" w:color="auto" w:fill="auto"/>
            <w:vAlign w:val="center"/>
            <w:hideMark/>
          </w:tcPr>
          <w:p w14:paraId="59B49860"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Longest time to detect GIP</w:t>
            </w:r>
          </w:p>
        </w:tc>
        <w:tc>
          <w:tcPr>
            <w:tcW w:w="1276" w:type="dxa"/>
            <w:shd w:val="clear" w:color="auto" w:fill="auto"/>
            <w:vAlign w:val="center"/>
            <w:hideMark/>
          </w:tcPr>
          <w:p w14:paraId="00466ECD"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Urine</w:t>
            </w:r>
          </w:p>
        </w:tc>
        <w:tc>
          <w:tcPr>
            <w:tcW w:w="1275" w:type="dxa"/>
            <w:shd w:val="clear" w:color="auto" w:fill="auto"/>
            <w:vAlign w:val="center"/>
            <w:hideMark/>
          </w:tcPr>
          <w:p w14:paraId="29154C5F"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36</w:t>
            </w:r>
          </w:p>
        </w:tc>
        <w:tc>
          <w:tcPr>
            <w:tcW w:w="1985" w:type="dxa"/>
            <w:shd w:val="clear" w:color="auto" w:fill="auto"/>
            <w:vAlign w:val="center"/>
            <w:hideMark/>
          </w:tcPr>
          <w:p w14:paraId="311F9E33"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GCD (&gt;</w:t>
            </w:r>
            <w:r>
              <w:rPr>
                <w:rFonts w:ascii="Book Antiqua" w:eastAsia="宋体" w:hAnsi="Book Antiqua" w:cs="宋体" w:hint="eastAsia"/>
                <w:color w:val="000000"/>
                <w:lang w:eastAsia="zh-CN"/>
              </w:rPr>
              <w:t xml:space="preserve"> </w:t>
            </w:r>
            <w:r w:rsidRPr="006E5332">
              <w:rPr>
                <w:rFonts w:ascii="Book Antiqua" w:eastAsia="宋体" w:hAnsi="Book Antiqua" w:cs="宋体"/>
                <w:color w:val="000000"/>
                <w:lang w:eastAsia="zh-CN"/>
              </w:rPr>
              <w:t>2 g)</w:t>
            </w:r>
          </w:p>
        </w:tc>
        <w:tc>
          <w:tcPr>
            <w:tcW w:w="1843" w:type="dxa"/>
            <w:shd w:val="clear" w:color="auto" w:fill="auto"/>
            <w:vAlign w:val="center"/>
            <w:hideMark/>
          </w:tcPr>
          <w:p w14:paraId="2504C98B"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LFIA</w:t>
            </w:r>
            <w:r w:rsidRPr="006E5332">
              <w:rPr>
                <w:rFonts w:ascii="Book Antiqua" w:eastAsia="宋体" w:hAnsi="Book Antiqua" w:cs="宋体"/>
                <w:color w:val="000000"/>
                <w:vertAlign w:val="superscript"/>
                <w:lang w:eastAsia="zh-CN"/>
              </w:rPr>
              <w:t>[9,29,30]</w:t>
            </w:r>
          </w:p>
        </w:tc>
      </w:tr>
      <w:tr w:rsidR="006E5332" w:rsidRPr="006E5332" w14:paraId="2AE418A6" w14:textId="77777777" w:rsidTr="006E5332">
        <w:trPr>
          <w:trHeight w:val="1060"/>
        </w:trPr>
        <w:tc>
          <w:tcPr>
            <w:tcW w:w="2567" w:type="dxa"/>
            <w:vMerge/>
            <w:vAlign w:val="center"/>
            <w:hideMark/>
          </w:tcPr>
          <w:p w14:paraId="04EF2BD3" w14:textId="77777777" w:rsidR="006E5332" w:rsidRPr="006E5332" w:rsidRDefault="006E5332" w:rsidP="00F10C3B">
            <w:pPr>
              <w:spacing w:line="360" w:lineRule="auto"/>
              <w:rPr>
                <w:rFonts w:ascii="Book Antiqua" w:eastAsia="宋体" w:hAnsi="Book Antiqua" w:cs="宋体"/>
                <w:color w:val="000000"/>
                <w:lang w:eastAsia="zh-CN"/>
              </w:rPr>
            </w:pPr>
          </w:p>
        </w:tc>
        <w:tc>
          <w:tcPr>
            <w:tcW w:w="1276" w:type="dxa"/>
            <w:shd w:val="clear" w:color="auto" w:fill="auto"/>
            <w:vAlign w:val="center"/>
            <w:hideMark/>
          </w:tcPr>
          <w:p w14:paraId="6670F8D8"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Stool</w:t>
            </w:r>
          </w:p>
        </w:tc>
        <w:tc>
          <w:tcPr>
            <w:tcW w:w="1275" w:type="dxa"/>
            <w:shd w:val="clear" w:color="auto" w:fill="auto"/>
            <w:vAlign w:val="center"/>
            <w:hideMark/>
          </w:tcPr>
          <w:p w14:paraId="17076358"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&gt; 72</w:t>
            </w:r>
          </w:p>
        </w:tc>
        <w:tc>
          <w:tcPr>
            <w:tcW w:w="1985" w:type="dxa"/>
            <w:shd w:val="clear" w:color="auto" w:fill="auto"/>
            <w:vAlign w:val="center"/>
            <w:hideMark/>
          </w:tcPr>
          <w:p w14:paraId="117AD787"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GCD (&gt;</w:t>
            </w:r>
            <w:r>
              <w:rPr>
                <w:rFonts w:ascii="Book Antiqua" w:eastAsia="宋体" w:hAnsi="Book Antiqua" w:cs="宋体" w:hint="eastAsia"/>
                <w:color w:val="000000"/>
                <w:lang w:eastAsia="zh-CN"/>
              </w:rPr>
              <w:t xml:space="preserve"> </w:t>
            </w:r>
            <w:r w:rsidRPr="006E5332">
              <w:rPr>
                <w:rFonts w:ascii="Book Antiqua" w:eastAsia="宋体" w:hAnsi="Book Antiqua" w:cs="宋体"/>
                <w:color w:val="000000"/>
                <w:lang w:eastAsia="zh-CN"/>
              </w:rPr>
              <w:t>2 g)</w:t>
            </w:r>
          </w:p>
        </w:tc>
        <w:tc>
          <w:tcPr>
            <w:tcW w:w="1843" w:type="dxa"/>
            <w:shd w:val="clear" w:color="auto" w:fill="auto"/>
            <w:vAlign w:val="center"/>
            <w:hideMark/>
          </w:tcPr>
          <w:p w14:paraId="30AAFE22"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LFIA; ELISA</w:t>
            </w:r>
            <w:r w:rsidRPr="006E5332">
              <w:rPr>
                <w:rFonts w:ascii="Book Antiqua" w:eastAsia="宋体" w:hAnsi="Book Antiqua" w:cs="宋体"/>
                <w:color w:val="000000"/>
                <w:vertAlign w:val="superscript"/>
                <w:lang w:eastAsia="zh-CN"/>
              </w:rPr>
              <w:t>[29,30,43]</w:t>
            </w:r>
          </w:p>
        </w:tc>
      </w:tr>
      <w:tr w:rsidR="006E5332" w:rsidRPr="006E5332" w14:paraId="1E195402" w14:textId="77777777" w:rsidTr="006E5332">
        <w:trPr>
          <w:trHeight w:val="620"/>
        </w:trPr>
        <w:tc>
          <w:tcPr>
            <w:tcW w:w="2567" w:type="dxa"/>
            <w:vMerge w:val="restart"/>
            <w:shd w:val="clear" w:color="auto" w:fill="auto"/>
            <w:vAlign w:val="center"/>
            <w:hideMark/>
          </w:tcPr>
          <w:p w14:paraId="0B9257EC"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Minimal gluten intake to detect excreted GIP</w:t>
            </w:r>
          </w:p>
        </w:tc>
        <w:tc>
          <w:tcPr>
            <w:tcW w:w="1276" w:type="dxa"/>
            <w:vMerge w:val="restart"/>
            <w:shd w:val="clear" w:color="auto" w:fill="auto"/>
            <w:vAlign w:val="center"/>
            <w:hideMark/>
          </w:tcPr>
          <w:p w14:paraId="0843B462"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Urine</w:t>
            </w:r>
          </w:p>
        </w:tc>
        <w:tc>
          <w:tcPr>
            <w:tcW w:w="1275" w:type="dxa"/>
            <w:vMerge w:val="restart"/>
            <w:shd w:val="clear" w:color="auto" w:fill="auto"/>
            <w:vAlign w:val="center"/>
            <w:hideMark/>
          </w:tcPr>
          <w:p w14:paraId="286BB732" w14:textId="77777777" w:rsidR="006E5332" w:rsidRPr="006E5332" w:rsidRDefault="006E5332" w:rsidP="00F10C3B">
            <w:pPr>
              <w:spacing w:line="360" w:lineRule="auto"/>
              <w:jc w:val="both"/>
              <w:rPr>
                <w:rFonts w:ascii="Book Antiqua" w:eastAsia="宋体" w:hAnsi="Book Antiqua" w:cs="宋体"/>
                <w:color w:val="000000"/>
                <w:lang w:eastAsia="zh-CN"/>
              </w:rPr>
            </w:pPr>
          </w:p>
        </w:tc>
        <w:tc>
          <w:tcPr>
            <w:tcW w:w="1985" w:type="dxa"/>
            <w:shd w:val="clear" w:color="auto" w:fill="auto"/>
            <w:vAlign w:val="center"/>
            <w:hideMark/>
          </w:tcPr>
          <w:p w14:paraId="475FB75B"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 xml:space="preserve">&gt; 40-500 mg/d; </w:t>
            </w:r>
          </w:p>
        </w:tc>
        <w:tc>
          <w:tcPr>
            <w:tcW w:w="1843" w:type="dxa"/>
            <w:vMerge w:val="restart"/>
            <w:shd w:val="clear" w:color="auto" w:fill="auto"/>
            <w:vAlign w:val="center"/>
            <w:hideMark/>
          </w:tcPr>
          <w:p w14:paraId="3E09EEC2"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LFIA; SPE+LFIA</w:t>
            </w:r>
            <w:r w:rsidRPr="006E5332">
              <w:rPr>
                <w:rFonts w:ascii="Book Antiqua" w:eastAsia="宋体" w:hAnsi="Book Antiqua" w:cs="宋体"/>
                <w:color w:val="000000"/>
                <w:vertAlign w:val="superscript"/>
                <w:lang w:eastAsia="zh-CN"/>
              </w:rPr>
              <w:t>[9,41]</w:t>
            </w:r>
          </w:p>
        </w:tc>
      </w:tr>
      <w:tr w:rsidR="006E5332" w:rsidRPr="006E5332" w14:paraId="07C914A9" w14:textId="77777777" w:rsidTr="006E5332">
        <w:trPr>
          <w:trHeight w:val="630"/>
        </w:trPr>
        <w:tc>
          <w:tcPr>
            <w:tcW w:w="2567" w:type="dxa"/>
            <w:vMerge/>
            <w:vAlign w:val="center"/>
            <w:hideMark/>
          </w:tcPr>
          <w:p w14:paraId="4CB887CC" w14:textId="77777777" w:rsidR="006E5332" w:rsidRPr="006E5332" w:rsidRDefault="006E5332" w:rsidP="00F10C3B">
            <w:pPr>
              <w:spacing w:line="360" w:lineRule="auto"/>
              <w:rPr>
                <w:rFonts w:ascii="Book Antiqua" w:eastAsia="宋体" w:hAnsi="Book Antiqua" w:cs="宋体"/>
                <w:color w:val="000000"/>
                <w:lang w:eastAsia="zh-CN"/>
              </w:rPr>
            </w:pPr>
          </w:p>
        </w:tc>
        <w:tc>
          <w:tcPr>
            <w:tcW w:w="1276" w:type="dxa"/>
            <w:vMerge/>
            <w:vAlign w:val="center"/>
            <w:hideMark/>
          </w:tcPr>
          <w:p w14:paraId="5E3E8A5A" w14:textId="77777777" w:rsidR="006E5332" w:rsidRPr="006E5332" w:rsidRDefault="006E5332" w:rsidP="00F10C3B">
            <w:pPr>
              <w:spacing w:line="360" w:lineRule="auto"/>
              <w:rPr>
                <w:rFonts w:ascii="Book Antiqua" w:eastAsia="宋体" w:hAnsi="Book Antiqua" w:cs="宋体"/>
                <w:color w:val="000000"/>
                <w:lang w:eastAsia="zh-CN"/>
              </w:rPr>
            </w:pPr>
          </w:p>
        </w:tc>
        <w:tc>
          <w:tcPr>
            <w:tcW w:w="1275" w:type="dxa"/>
            <w:vMerge/>
            <w:vAlign w:val="center"/>
            <w:hideMark/>
          </w:tcPr>
          <w:p w14:paraId="204E9875" w14:textId="77777777" w:rsidR="006E5332" w:rsidRPr="006E5332" w:rsidRDefault="006E5332" w:rsidP="00F10C3B">
            <w:pPr>
              <w:spacing w:line="360" w:lineRule="auto"/>
              <w:rPr>
                <w:rFonts w:ascii="Book Antiqua" w:eastAsia="宋体" w:hAnsi="Book Antiqua" w:cs="宋体"/>
                <w:color w:val="000000"/>
                <w:lang w:eastAsia="zh-CN"/>
              </w:rPr>
            </w:pPr>
          </w:p>
        </w:tc>
        <w:tc>
          <w:tcPr>
            <w:tcW w:w="1985" w:type="dxa"/>
            <w:shd w:val="clear" w:color="auto" w:fill="auto"/>
            <w:vAlign w:val="center"/>
            <w:hideMark/>
          </w:tcPr>
          <w:p w14:paraId="023B7A5A"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25-50 mg</w:t>
            </w:r>
          </w:p>
        </w:tc>
        <w:tc>
          <w:tcPr>
            <w:tcW w:w="1843" w:type="dxa"/>
            <w:vMerge/>
            <w:vAlign w:val="center"/>
            <w:hideMark/>
          </w:tcPr>
          <w:p w14:paraId="3ED18ADD" w14:textId="77777777" w:rsidR="006E5332" w:rsidRPr="006E5332" w:rsidRDefault="006E5332" w:rsidP="00F10C3B">
            <w:pPr>
              <w:spacing w:line="360" w:lineRule="auto"/>
              <w:rPr>
                <w:rFonts w:ascii="Book Antiqua" w:eastAsia="宋体" w:hAnsi="Book Antiqua" w:cs="宋体"/>
                <w:color w:val="000000"/>
                <w:lang w:eastAsia="zh-CN"/>
              </w:rPr>
            </w:pPr>
          </w:p>
        </w:tc>
      </w:tr>
      <w:tr w:rsidR="006E5332" w:rsidRPr="006E5332" w14:paraId="200AE63F" w14:textId="77777777" w:rsidTr="006E5332">
        <w:trPr>
          <w:trHeight w:val="1060"/>
        </w:trPr>
        <w:tc>
          <w:tcPr>
            <w:tcW w:w="2567" w:type="dxa"/>
            <w:vMerge/>
            <w:vAlign w:val="center"/>
            <w:hideMark/>
          </w:tcPr>
          <w:p w14:paraId="482A4FBE" w14:textId="77777777" w:rsidR="006E5332" w:rsidRPr="006E5332" w:rsidRDefault="006E5332" w:rsidP="00F10C3B">
            <w:pPr>
              <w:spacing w:line="360" w:lineRule="auto"/>
              <w:rPr>
                <w:rFonts w:ascii="Book Antiqua" w:eastAsia="宋体" w:hAnsi="Book Antiqua" w:cs="宋体"/>
                <w:color w:val="000000"/>
                <w:lang w:eastAsia="zh-CN"/>
              </w:rPr>
            </w:pPr>
          </w:p>
        </w:tc>
        <w:tc>
          <w:tcPr>
            <w:tcW w:w="1276" w:type="dxa"/>
            <w:shd w:val="clear" w:color="auto" w:fill="auto"/>
            <w:vAlign w:val="center"/>
            <w:hideMark/>
          </w:tcPr>
          <w:p w14:paraId="1A41F648"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Stool</w:t>
            </w:r>
          </w:p>
        </w:tc>
        <w:tc>
          <w:tcPr>
            <w:tcW w:w="1275" w:type="dxa"/>
            <w:shd w:val="clear" w:color="auto" w:fill="auto"/>
            <w:vAlign w:val="center"/>
            <w:hideMark/>
          </w:tcPr>
          <w:p w14:paraId="6F91DBDB" w14:textId="77777777" w:rsidR="006E5332" w:rsidRPr="006E5332" w:rsidRDefault="006E5332" w:rsidP="00F10C3B">
            <w:pPr>
              <w:spacing w:line="360" w:lineRule="auto"/>
              <w:jc w:val="both"/>
              <w:rPr>
                <w:rFonts w:ascii="Book Antiqua" w:eastAsia="宋体" w:hAnsi="Book Antiqua" w:cs="宋体"/>
                <w:color w:val="000000"/>
                <w:lang w:eastAsia="zh-CN"/>
              </w:rPr>
            </w:pPr>
          </w:p>
        </w:tc>
        <w:tc>
          <w:tcPr>
            <w:tcW w:w="1985" w:type="dxa"/>
            <w:shd w:val="clear" w:color="auto" w:fill="auto"/>
            <w:vAlign w:val="center"/>
            <w:hideMark/>
          </w:tcPr>
          <w:p w14:paraId="49AC4723"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&gt; 40 mg/d</w:t>
            </w:r>
          </w:p>
        </w:tc>
        <w:tc>
          <w:tcPr>
            <w:tcW w:w="1843" w:type="dxa"/>
            <w:shd w:val="clear" w:color="auto" w:fill="auto"/>
            <w:vAlign w:val="center"/>
            <w:hideMark/>
          </w:tcPr>
          <w:p w14:paraId="7131D6D0" w14:textId="77777777" w:rsidR="006E5332" w:rsidRPr="006E5332" w:rsidRDefault="006E5332" w:rsidP="00F10C3B">
            <w:pPr>
              <w:spacing w:line="360" w:lineRule="auto"/>
              <w:jc w:val="both"/>
              <w:rPr>
                <w:rFonts w:ascii="Book Antiqua" w:eastAsia="宋体" w:hAnsi="Book Antiqua" w:cs="宋体"/>
                <w:color w:val="000000"/>
                <w:lang w:eastAsia="zh-CN"/>
              </w:rPr>
            </w:pPr>
            <w:r w:rsidRPr="006E5332">
              <w:rPr>
                <w:rFonts w:ascii="Book Antiqua" w:eastAsia="宋体" w:hAnsi="Book Antiqua" w:cs="宋体"/>
                <w:color w:val="000000"/>
                <w:lang w:eastAsia="zh-CN"/>
              </w:rPr>
              <w:t>ELISA, LFIA</w:t>
            </w:r>
            <w:r w:rsidRPr="006E5332">
              <w:rPr>
                <w:rFonts w:ascii="Book Antiqua" w:eastAsia="宋体" w:hAnsi="Book Antiqua" w:cs="宋体"/>
                <w:color w:val="000000"/>
                <w:vertAlign w:val="superscript"/>
                <w:lang w:eastAsia="zh-CN"/>
              </w:rPr>
              <w:t>[41,43]</w:t>
            </w:r>
          </w:p>
        </w:tc>
      </w:tr>
    </w:tbl>
    <w:p w14:paraId="5D2FBBF4" w14:textId="77777777" w:rsidR="007129C1" w:rsidRPr="00D275F9" w:rsidRDefault="007129C1" w:rsidP="00F10C3B">
      <w:pPr>
        <w:pStyle w:val="MDPI31text"/>
        <w:spacing w:line="360" w:lineRule="auto"/>
        <w:ind w:firstLine="0"/>
        <w:rPr>
          <w:rFonts w:ascii="Book Antiqua" w:hAnsi="Book Antiqua" w:cs="Arial"/>
          <w:sz w:val="24"/>
          <w:szCs w:val="24"/>
        </w:rPr>
      </w:pPr>
      <w:r w:rsidRPr="00D275F9">
        <w:rPr>
          <w:rFonts w:ascii="Book Antiqua" w:hAnsi="Book Antiqua" w:cs="Arial"/>
          <w:sz w:val="24"/>
          <w:szCs w:val="24"/>
        </w:rPr>
        <w:t xml:space="preserve">GIP: </w:t>
      </w:r>
      <w:r w:rsidRPr="006E5332">
        <w:rPr>
          <w:rFonts w:ascii="Book Antiqua" w:hAnsi="Book Antiqua" w:cs="Arial"/>
          <w:caps/>
          <w:sz w:val="24"/>
          <w:szCs w:val="24"/>
        </w:rPr>
        <w:t>g</w:t>
      </w:r>
      <w:r w:rsidRPr="00D275F9">
        <w:rPr>
          <w:rFonts w:ascii="Book Antiqua" w:hAnsi="Book Antiqua" w:cs="Arial"/>
          <w:sz w:val="24"/>
          <w:szCs w:val="24"/>
        </w:rPr>
        <w:t>luten immunogenic peptides</w:t>
      </w:r>
      <w:r w:rsidR="006E5332">
        <w:rPr>
          <w:rFonts w:ascii="Book Antiqua" w:eastAsiaTheme="minorEastAsia" w:hAnsi="Book Antiqua" w:cs="Arial" w:hint="eastAsia"/>
          <w:sz w:val="24"/>
          <w:szCs w:val="24"/>
          <w:lang w:eastAsia="zh-CN"/>
        </w:rPr>
        <w:t>;</w:t>
      </w:r>
      <w:r w:rsidRPr="00D275F9">
        <w:rPr>
          <w:rFonts w:ascii="Book Antiqua" w:hAnsi="Book Antiqua" w:cs="Arial"/>
          <w:sz w:val="24"/>
          <w:szCs w:val="24"/>
        </w:rPr>
        <w:t xml:space="preserve"> GCD: Gluten containing diet including different food types</w:t>
      </w:r>
      <w:r w:rsidR="006E5332">
        <w:rPr>
          <w:rFonts w:ascii="Book Antiqua" w:eastAsiaTheme="minorEastAsia" w:hAnsi="Book Antiqua" w:cs="Arial" w:hint="eastAsia"/>
          <w:sz w:val="24"/>
          <w:szCs w:val="24"/>
          <w:lang w:eastAsia="zh-CN"/>
        </w:rPr>
        <w:t>;</w:t>
      </w:r>
      <w:r w:rsidRPr="00D275F9">
        <w:rPr>
          <w:rFonts w:ascii="Book Antiqua" w:hAnsi="Book Antiqua" w:cs="Arial"/>
          <w:sz w:val="24"/>
          <w:szCs w:val="24"/>
        </w:rPr>
        <w:t xml:space="preserve"> LFIA: Lateral flow immunoassay</w:t>
      </w:r>
      <w:r w:rsidR="006E5332">
        <w:rPr>
          <w:rFonts w:ascii="Book Antiqua" w:eastAsiaTheme="minorEastAsia" w:hAnsi="Book Antiqua" w:cs="Arial" w:hint="eastAsia"/>
          <w:sz w:val="24"/>
          <w:szCs w:val="24"/>
          <w:lang w:eastAsia="zh-CN"/>
        </w:rPr>
        <w:t>;</w:t>
      </w:r>
      <w:r w:rsidR="006E5332">
        <w:rPr>
          <w:rFonts w:ascii="Book Antiqua" w:hAnsi="Book Antiqua" w:cs="Arial"/>
          <w:sz w:val="24"/>
          <w:szCs w:val="24"/>
        </w:rPr>
        <w:t xml:space="preserve"> ELISA</w:t>
      </w:r>
      <w:r w:rsidR="006E5332">
        <w:rPr>
          <w:rFonts w:ascii="Book Antiqua" w:eastAsiaTheme="minorEastAsia" w:hAnsi="Book Antiqua" w:cs="Arial" w:hint="eastAsia"/>
          <w:sz w:val="24"/>
          <w:szCs w:val="24"/>
          <w:lang w:eastAsia="zh-CN"/>
        </w:rPr>
        <w:t>:</w:t>
      </w:r>
      <w:r w:rsidRPr="00D275F9">
        <w:rPr>
          <w:rFonts w:ascii="Book Antiqua" w:hAnsi="Book Antiqua" w:cs="Arial"/>
          <w:sz w:val="24"/>
          <w:szCs w:val="24"/>
        </w:rPr>
        <w:t xml:space="preserve"> Enzyme-like immunosorbent assay</w:t>
      </w:r>
      <w:r w:rsidR="006E5332">
        <w:rPr>
          <w:rFonts w:ascii="Book Antiqua" w:eastAsiaTheme="minorEastAsia" w:hAnsi="Book Antiqua" w:cs="Arial" w:hint="eastAsia"/>
          <w:sz w:val="24"/>
          <w:szCs w:val="24"/>
          <w:lang w:eastAsia="zh-CN"/>
        </w:rPr>
        <w:t>;</w:t>
      </w:r>
      <w:r w:rsidR="006E5332">
        <w:rPr>
          <w:rFonts w:ascii="Book Antiqua" w:hAnsi="Book Antiqua" w:cs="Arial"/>
          <w:sz w:val="24"/>
          <w:szCs w:val="24"/>
        </w:rPr>
        <w:t xml:space="preserve"> SPE</w:t>
      </w:r>
      <w:r w:rsidR="006E5332">
        <w:rPr>
          <w:rFonts w:ascii="Book Antiqua" w:eastAsiaTheme="minorEastAsia" w:hAnsi="Book Antiqua" w:cs="Arial" w:hint="eastAsia"/>
          <w:sz w:val="24"/>
          <w:szCs w:val="24"/>
          <w:lang w:eastAsia="zh-CN"/>
        </w:rPr>
        <w:t>:</w:t>
      </w:r>
      <w:r w:rsidRPr="00D275F9">
        <w:rPr>
          <w:rFonts w:ascii="Book Antiqua" w:hAnsi="Book Antiqua" w:cs="Arial"/>
          <w:sz w:val="24"/>
          <w:szCs w:val="24"/>
        </w:rPr>
        <w:t xml:space="preserve"> Solid </w:t>
      </w:r>
      <w:r w:rsidR="006E5332" w:rsidRPr="00D275F9">
        <w:rPr>
          <w:rFonts w:ascii="Book Antiqua" w:hAnsi="Book Antiqua" w:cs="Arial"/>
          <w:sz w:val="24"/>
          <w:szCs w:val="24"/>
        </w:rPr>
        <w:t>phase extracti</w:t>
      </w:r>
      <w:r w:rsidRPr="00D275F9">
        <w:rPr>
          <w:rFonts w:ascii="Book Antiqua" w:hAnsi="Book Antiqua" w:cs="Arial"/>
          <w:sz w:val="24"/>
          <w:szCs w:val="24"/>
        </w:rPr>
        <w:t>on.</w:t>
      </w:r>
    </w:p>
    <w:p w14:paraId="0B4A5AE8" w14:textId="77777777" w:rsidR="007129C1" w:rsidRPr="00D275F9" w:rsidRDefault="007129C1" w:rsidP="00F10C3B">
      <w:pPr>
        <w:pStyle w:val="MDPI21heading1"/>
        <w:spacing w:before="0" w:after="0" w:line="360" w:lineRule="auto"/>
        <w:jc w:val="both"/>
        <w:rPr>
          <w:rFonts w:ascii="Book Antiqua" w:eastAsia="宋体" w:hAnsi="Book Antiqua" w:cs="Arial"/>
          <w:sz w:val="24"/>
          <w:szCs w:val="24"/>
        </w:rPr>
        <w:sectPr w:rsidR="007129C1" w:rsidRPr="00D275F9" w:rsidSect="00C21EB5">
          <w:pgSz w:w="11906" w:h="16838" w:code="9"/>
          <w:pgMar w:top="1417" w:right="1531" w:bottom="1077" w:left="1531" w:header="1020" w:footer="850" w:gutter="0"/>
          <w:cols w:space="425"/>
          <w:docGrid w:type="lines" w:linePitch="326"/>
        </w:sectPr>
      </w:pPr>
    </w:p>
    <w:p w14:paraId="3E8E32E6" w14:textId="77777777" w:rsidR="007129C1" w:rsidRPr="009E596D" w:rsidRDefault="007129C1" w:rsidP="00F10C3B">
      <w:pPr>
        <w:pStyle w:val="MDPI31text"/>
        <w:spacing w:line="360" w:lineRule="auto"/>
        <w:ind w:firstLine="0"/>
        <w:rPr>
          <w:rFonts w:ascii="Book Antiqua" w:eastAsiaTheme="minorEastAsia" w:hAnsi="Book Antiqua" w:cs="Arial"/>
          <w:b/>
          <w:bCs/>
          <w:sz w:val="24"/>
          <w:szCs w:val="24"/>
          <w:lang w:eastAsia="zh-CN"/>
        </w:rPr>
      </w:pPr>
      <w:r w:rsidRPr="00D275F9">
        <w:rPr>
          <w:rFonts w:ascii="Book Antiqua" w:hAnsi="Book Antiqua" w:cs="Arial"/>
          <w:b/>
          <w:bCs/>
          <w:sz w:val="24"/>
          <w:szCs w:val="24"/>
        </w:rPr>
        <w:lastRenderedPageBreak/>
        <w:t>Table 4 Determination of gluten-free diet non-</w:t>
      </w:r>
      <w:r w:rsidR="006E5332">
        <w:rPr>
          <w:rFonts w:ascii="Book Antiqua" w:hAnsi="Book Antiqua" w:cs="Arial"/>
          <w:b/>
          <w:bCs/>
          <w:sz w:val="24"/>
          <w:szCs w:val="24"/>
        </w:rPr>
        <w:t>adherence using different tools</w:t>
      </w:r>
      <w:r w:rsidR="009E596D">
        <w:rPr>
          <w:rFonts w:ascii="Book Antiqua" w:eastAsiaTheme="minorEastAsia" w:hAnsi="Book Antiqua" w:cs="Arial" w:hint="eastAsia"/>
          <w:b/>
          <w:bCs/>
          <w:sz w:val="24"/>
          <w:szCs w:val="24"/>
          <w:lang w:eastAsia="zh-CN"/>
        </w:rPr>
        <w:t xml:space="preserve">, </w:t>
      </w:r>
      <w:r w:rsidR="009E596D" w:rsidRPr="009E596D">
        <w:rPr>
          <w:rFonts w:ascii="Book Antiqua" w:eastAsiaTheme="minorEastAsia" w:hAnsi="Book Antiqua" w:cs="Arial" w:hint="eastAsia"/>
          <w:b/>
          <w:bCs/>
          <w:i/>
          <w:sz w:val="24"/>
          <w:szCs w:val="24"/>
          <w:lang w:eastAsia="zh-CN"/>
        </w:rPr>
        <w:t>n</w:t>
      </w:r>
      <w:r w:rsidR="009E596D">
        <w:rPr>
          <w:rFonts w:ascii="Book Antiqua" w:eastAsiaTheme="minorEastAsia" w:hAnsi="Book Antiqua" w:cs="Arial" w:hint="eastAsia"/>
          <w:b/>
          <w:bCs/>
          <w:sz w:val="24"/>
          <w:szCs w:val="24"/>
          <w:lang w:eastAsia="zh-CN"/>
        </w:rPr>
        <w:t xml:space="preserve"> (%)</w:t>
      </w:r>
    </w:p>
    <w:tbl>
      <w:tblPr>
        <w:tblW w:w="4583"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485"/>
        <w:gridCol w:w="1359"/>
        <w:gridCol w:w="1412"/>
        <w:gridCol w:w="1232"/>
        <w:gridCol w:w="1339"/>
        <w:gridCol w:w="1901"/>
        <w:gridCol w:w="1314"/>
        <w:gridCol w:w="1234"/>
      </w:tblGrid>
      <w:tr w:rsidR="0001560F" w:rsidRPr="006E5332" w14:paraId="02FE1A90" w14:textId="77777777" w:rsidTr="009E596D">
        <w:trPr>
          <w:trHeight w:val="678"/>
        </w:trPr>
        <w:tc>
          <w:tcPr>
            <w:tcW w:w="1313" w:type="pct"/>
            <w:tcBorders>
              <w:top w:val="single" w:sz="4" w:space="0" w:color="auto"/>
              <w:bottom w:val="single" w:sz="4" w:space="0" w:color="auto"/>
            </w:tcBorders>
            <w:shd w:val="clear" w:color="000000" w:fill="FFFFFF"/>
            <w:noWrap/>
            <w:vAlign w:val="center"/>
            <w:hideMark/>
          </w:tcPr>
          <w:p w14:paraId="7043795E" w14:textId="77777777" w:rsidR="0001560F" w:rsidRPr="006E5332" w:rsidRDefault="0001560F" w:rsidP="00F10C3B">
            <w:pPr>
              <w:spacing w:line="360" w:lineRule="auto"/>
              <w:jc w:val="both"/>
              <w:rPr>
                <w:rFonts w:ascii="Book Antiqua" w:hAnsi="Book Antiqua" w:cs="Calibri"/>
                <w:b/>
                <w:bCs/>
                <w:lang w:eastAsia="zh-CN"/>
              </w:rPr>
            </w:pPr>
            <w:r w:rsidRPr="006E5332">
              <w:rPr>
                <w:rFonts w:ascii="Book Antiqua" w:hAnsi="Book Antiqua" w:cs="Calibri"/>
                <w:b/>
                <w:bCs/>
                <w:lang w:eastAsia="es-ES"/>
              </w:rPr>
              <w:t>Ref</w:t>
            </w:r>
            <w:r w:rsidRPr="006E5332">
              <w:rPr>
                <w:rFonts w:ascii="Book Antiqua" w:hAnsi="Book Antiqua" w:cs="Calibri" w:hint="eastAsia"/>
                <w:b/>
                <w:bCs/>
                <w:lang w:eastAsia="zh-CN"/>
              </w:rPr>
              <w:t>.</w:t>
            </w:r>
          </w:p>
        </w:tc>
        <w:tc>
          <w:tcPr>
            <w:tcW w:w="512" w:type="pct"/>
            <w:tcBorders>
              <w:top w:val="single" w:sz="4" w:space="0" w:color="auto"/>
              <w:bottom w:val="single" w:sz="4" w:space="0" w:color="auto"/>
            </w:tcBorders>
            <w:shd w:val="clear" w:color="000000" w:fill="FFFFFF"/>
            <w:noWrap/>
            <w:vAlign w:val="center"/>
            <w:hideMark/>
          </w:tcPr>
          <w:p w14:paraId="679406DA" w14:textId="77777777" w:rsidR="0001560F" w:rsidRPr="006E5332" w:rsidRDefault="0001560F" w:rsidP="00F10C3B">
            <w:pPr>
              <w:spacing w:line="360" w:lineRule="auto"/>
              <w:jc w:val="both"/>
              <w:rPr>
                <w:rFonts w:ascii="Book Antiqua" w:hAnsi="Book Antiqua" w:cs="Calibri"/>
                <w:b/>
                <w:lang w:eastAsia="es-ES"/>
              </w:rPr>
            </w:pPr>
            <w:r w:rsidRPr="006E5332">
              <w:rPr>
                <w:rFonts w:ascii="Book Antiqua" w:hAnsi="Book Antiqua" w:cs="Calibri"/>
                <w:b/>
                <w:lang w:eastAsia="es-ES"/>
              </w:rPr>
              <w:t>Stool GIP+</w:t>
            </w:r>
          </w:p>
        </w:tc>
        <w:tc>
          <w:tcPr>
            <w:tcW w:w="532" w:type="pct"/>
            <w:tcBorders>
              <w:top w:val="single" w:sz="4" w:space="0" w:color="auto"/>
              <w:bottom w:val="single" w:sz="4" w:space="0" w:color="auto"/>
            </w:tcBorders>
            <w:shd w:val="clear" w:color="000000" w:fill="FFFFFF"/>
            <w:noWrap/>
            <w:vAlign w:val="center"/>
            <w:hideMark/>
          </w:tcPr>
          <w:p w14:paraId="34D7D534" w14:textId="77777777" w:rsidR="0001560F" w:rsidRPr="006E5332" w:rsidRDefault="0001560F" w:rsidP="00F10C3B">
            <w:pPr>
              <w:spacing w:line="360" w:lineRule="auto"/>
              <w:jc w:val="both"/>
              <w:rPr>
                <w:rFonts w:ascii="Book Antiqua" w:hAnsi="Book Antiqua" w:cs="Calibri"/>
                <w:b/>
                <w:lang w:eastAsia="es-ES"/>
              </w:rPr>
            </w:pPr>
            <w:r w:rsidRPr="006E5332">
              <w:rPr>
                <w:rFonts w:ascii="Book Antiqua" w:hAnsi="Book Antiqua" w:cs="Calibri"/>
                <w:b/>
                <w:lang w:eastAsia="es-ES"/>
              </w:rPr>
              <w:t>Urine GIP+</w:t>
            </w:r>
          </w:p>
        </w:tc>
        <w:tc>
          <w:tcPr>
            <w:tcW w:w="464" w:type="pct"/>
            <w:tcBorders>
              <w:top w:val="single" w:sz="4" w:space="0" w:color="auto"/>
              <w:bottom w:val="single" w:sz="4" w:space="0" w:color="auto"/>
            </w:tcBorders>
            <w:shd w:val="clear" w:color="000000" w:fill="FFFFFF"/>
            <w:noWrap/>
            <w:vAlign w:val="center"/>
            <w:hideMark/>
          </w:tcPr>
          <w:p w14:paraId="571AF6F8" w14:textId="77777777" w:rsidR="0001560F" w:rsidRPr="006E5332" w:rsidRDefault="0001560F" w:rsidP="00F10C3B">
            <w:pPr>
              <w:spacing w:line="360" w:lineRule="auto"/>
              <w:jc w:val="both"/>
              <w:rPr>
                <w:rFonts w:ascii="Book Antiqua" w:hAnsi="Book Antiqua" w:cs="Calibri"/>
                <w:b/>
                <w:lang w:eastAsia="es-ES"/>
              </w:rPr>
            </w:pPr>
            <w:r w:rsidRPr="006E5332">
              <w:rPr>
                <w:rFonts w:ascii="Book Antiqua" w:hAnsi="Book Antiqua" w:cs="Calibri"/>
                <w:b/>
                <w:lang w:eastAsia="es-ES"/>
              </w:rPr>
              <w:t>anti-tTG+</w:t>
            </w:r>
          </w:p>
        </w:tc>
        <w:tc>
          <w:tcPr>
            <w:tcW w:w="504" w:type="pct"/>
            <w:tcBorders>
              <w:top w:val="single" w:sz="4" w:space="0" w:color="auto"/>
              <w:bottom w:val="single" w:sz="4" w:space="0" w:color="auto"/>
            </w:tcBorders>
            <w:shd w:val="clear" w:color="000000" w:fill="FFFFFF"/>
            <w:noWrap/>
            <w:vAlign w:val="center"/>
            <w:hideMark/>
          </w:tcPr>
          <w:p w14:paraId="40816215" w14:textId="77777777" w:rsidR="0001560F" w:rsidRPr="006E5332" w:rsidRDefault="0001560F" w:rsidP="00F10C3B">
            <w:pPr>
              <w:spacing w:line="360" w:lineRule="auto"/>
              <w:jc w:val="both"/>
              <w:rPr>
                <w:rFonts w:ascii="Book Antiqua" w:hAnsi="Book Antiqua" w:cs="Calibri"/>
                <w:b/>
                <w:lang w:eastAsia="es-ES"/>
              </w:rPr>
            </w:pPr>
            <w:r w:rsidRPr="006E5332">
              <w:rPr>
                <w:rFonts w:ascii="Book Antiqua" w:hAnsi="Book Antiqua" w:cs="Calibri"/>
                <w:b/>
                <w:lang w:eastAsia="es-ES"/>
              </w:rPr>
              <w:t>anti-DGP+</w:t>
            </w:r>
          </w:p>
        </w:tc>
        <w:tc>
          <w:tcPr>
            <w:tcW w:w="716" w:type="pct"/>
            <w:tcBorders>
              <w:top w:val="single" w:sz="4" w:space="0" w:color="auto"/>
              <w:bottom w:val="single" w:sz="4" w:space="0" w:color="auto"/>
            </w:tcBorders>
            <w:shd w:val="clear" w:color="000000" w:fill="FFFFFF"/>
            <w:noWrap/>
            <w:vAlign w:val="center"/>
            <w:hideMark/>
          </w:tcPr>
          <w:p w14:paraId="3E9C9F3D" w14:textId="77777777" w:rsidR="0001560F" w:rsidRPr="006E5332" w:rsidRDefault="0001560F" w:rsidP="00F10C3B">
            <w:pPr>
              <w:spacing w:line="360" w:lineRule="auto"/>
              <w:jc w:val="both"/>
              <w:rPr>
                <w:rFonts w:ascii="Book Antiqua" w:hAnsi="Book Antiqua" w:cs="Calibri"/>
                <w:b/>
                <w:lang w:eastAsia="zh-CN"/>
              </w:rPr>
            </w:pPr>
            <w:r w:rsidRPr="006E5332">
              <w:rPr>
                <w:rFonts w:ascii="Book Antiqua" w:hAnsi="Book Antiqua" w:cs="Calibri"/>
                <w:b/>
                <w:lang w:eastAsia="es-ES"/>
              </w:rPr>
              <w:t>Questionnaires</w:t>
            </w:r>
            <w:r w:rsidRPr="006E5332">
              <w:rPr>
                <w:rFonts w:ascii="Book Antiqua" w:hAnsi="Book Antiqua" w:cs="Calibri" w:hint="eastAsia"/>
                <w:b/>
                <w:vertAlign w:val="superscript"/>
                <w:lang w:eastAsia="zh-CN"/>
              </w:rPr>
              <w:t>1</w:t>
            </w:r>
          </w:p>
        </w:tc>
        <w:tc>
          <w:tcPr>
            <w:tcW w:w="495" w:type="pct"/>
            <w:tcBorders>
              <w:top w:val="single" w:sz="4" w:space="0" w:color="auto"/>
              <w:bottom w:val="single" w:sz="4" w:space="0" w:color="auto"/>
            </w:tcBorders>
            <w:shd w:val="clear" w:color="000000" w:fill="FFFFFF"/>
            <w:vAlign w:val="center"/>
            <w:hideMark/>
          </w:tcPr>
          <w:p w14:paraId="1995B84F" w14:textId="77777777" w:rsidR="0001560F" w:rsidRPr="006E5332" w:rsidRDefault="0001560F" w:rsidP="00F10C3B">
            <w:pPr>
              <w:spacing w:line="360" w:lineRule="auto"/>
              <w:jc w:val="both"/>
              <w:rPr>
                <w:rFonts w:ascii="Book Antiqua" w:hAnsi="Book Antiqua" w:cs="Calibri"/>
                <w:b/>
                <w:lang w:eastAsia="es-ES"/>
              </w:rPr>
            </w:pPr>
            <w:r w:rsidRPr="006E5332">
              <w:rPr>
                <w:rFonts w:ascii="Book Antiqua" w:hAnsi="Book Antiqua" w:cs="Calibri"/>
                <w:b/>
                <w:lang w:eastAsia="es-ES"/>
              </w:rPr>
              <w:t>Symptoms</w:t>
            </w:r>
          </w:p>
        </w:tc>
        <w:tc>
          <w:tcPr>
            <w:tcW w:w="465" w:type="pct"/>
            <w:tcBorders>
              <w:top w:val="single" w:sz="4" w:space="0" w:color="auto"/>
              <w:bottom w:val="single" w:sz="4" w:space="0" w:color="auto"/>
            </w:tcBorders>
            <w:shd w:val="clear" w:color="000000" w:fill="FFFFFF"/>
            <w:vAlign w:val="center"/>
            <w:hideMark/>
          </w:tcPr>
          <w:p w14:paraId="1FCC7DAD" w14:textId="77777777" w:rsidR="0001560F" w:rsidRPr="006E5332" w:rsidRDefault="0001560F" w:rsidP="00F10C3B">
            <w:pPr>
              <w:spacing w:line="360" w:lineRule="auto"/>
              <w:jc w:val="both"/>
              <w:rPr>
                <w:rFonts w:ascii="Book Antiqua" w:hAnsi="Book Antiqua" w:cs="Calibri"/>
                <w:b/>
                <w:lang w:eastAsia="es-ES"/>
              </w:rPr>
            </w:pPr>
            <w:r w:rsidRPr="006E5332">
              <w:rPr>
                <w:rFonts w:ascii="Book Antiqua" w:hAnsi="Book Antiqua" w:cs="Calibri"/>
                <w:b/>
                <w:lang w:eastAsia="es-ES"/>
              </w:rPr>
              <w:t>Duodenal biopsy (Marsh II/III)</w:t>
            </w:r>
          </w:p>
        </w:tc>
      </w:tr>
      <w:tr w:rsidR="0001560F" w:rsidRPr="00D275F9" w14:paraId="2ADF4EF8" w14:textId="77777777" w:rsidTr="009E596D">
        <w:trPr>
          <w:trHeight w:val="447"/>
        </w:trPr>
        <w:tc>
          <w:tcPr>
            <w:tcW w:w="1313" w:type="pct"/>
            <w:vMerge w:val="restart"/>
            <w:tcBorders>
              <w:top w:val="single" w:sz="4" w:space="0" w:color="auto"/>
            </w:tcBorders>
            <w:shd w:val="clear" w:color="auto" w:fill="auto"/>
            <w:noWrap/>
            <w:vAlign w:val="center"/>
            <w:hideMark/>
          </w:tcPr>
          <w:p w14:paraId="694DA914" w14:textId="77777777" w:rsidR="0001560F" w:rsidRPr="00D275F9" w:rsidRDefault="0001560F" w:rsidP="00F10C3B">
            <w:pPr>
              <w:spacing w:line="360" w:lineRule="auto"/>
              <w:jc w:val="both"/>
              <w:rPr>
                <w:rFonts w:ascii="Book Antiqua" w:hAnsi="Book Antiqua" w:cs="Calibri"/>
                <w:lang w:val="es-ES" w:eastAsia="es-ES"/>
              </w:rPr>
            </w:pPr>
            <w:r w:rsidRPr="00D275F9">
              <w:rPr>
                <w:rFonts w:ascii="Book Antiqua" w:hAnsi="Book Antiqua" w:cs="Calibri"/>
                <w:lang w:eastAsia="es-ES"/>
              </w:rPr>
              <w:t xml:space="preserve">Comino </w:t>
            </w:r>
            <w:r w:rsidRPr="006E5332">
              <w:rPr>
                <w:rFonts w:ascii="Book Antiqua" w:hAnsi="Book Antiqua" w:cs="Calibri"/>
                <w:i/>
                <w:lang w:eastAsia="es-ES"/>
              </w:rPr>
              <w:t>et al</w:t>
            </w:r>
            <w:r w:rsidR="00C3458C" w:rsidRPr="00D275F9">
              <w:rPr>
                <w:rFonts w:ascii="Book Antiqua" w:hAnsi="Book Antiqua" w:cs="Calibri"/>
                <w:lang w:val="es-ES" w:eastAsia="es-ES"/>
              </w:rPr>
              <w:fldChar w:fldCharType="begin" w:fldLock="1"/>
            </w:r>
            <w:r w:rsidRPr="00D275F9">
              <w:rPr>
                <w:rFonts w:ascii="Book Antiqua" w:hAnsi="Book Antiqua" w:cs="Calibri"/>
                <w:lang w:eastAsia="es-ES"/>
              </w:rPr>
              <w:instrText>ADDIN CSL_CITATION {"citationItems":[{"id":"ITEM-1","itemData":{"DOI":"10.1038/ajg.2016.439","ISBN":"0002-9270","ISSN":"0002-9270","PMID":"27644734","abstract":"OBJECTIVES Treatment for celiac disease (CD) is a lifelong strict gluten-free diet (GFD). Patients should be followed-up with dietary interviews and serology as CD markers to ensure adherence to the diet. However, none of these methods offer an accurate measure of dietary compliance. Our aim was to evaluate the measurement of gluten immunogenic peptides (GIP) in stools as a marker of GFD adherence in CD patients and compare it with traditional methods of GFD monitoring. METHODS We performed a prospective, nonrandomized, multicenter study including 188 CD patients on GFD and 84 healthy controls. Subjects were given a dietary questionnaire and fecal GIP quantified by enzyme-linked immunosorbent assay (ELISA). Serological anti-tissue transglutaminase (anti-tTG) IgA and anti-deamidated gliadin peptide (anti-DGP) IgA antibodies were measured simultaneously. RESULTS Of the 188 celiac patients, 56 (29.8%) had</w:instrText>
            </w:r>
            <w:r w:rsidRPr="00D275F9">
              <w:rPr>
                <w:rFonts w:ascii="Book Antiqua" w:hAnsi="Book Antiqua" w:cs="Calibri"/>
                <w:lang w:val="es-ES" w:eastAsia="es-ES"/>
              </w:rPr>
              <w:instrText xml:space="preserve"> detectable GIP levels in stools. There was significant association between age and GIP in stools that revealed increasing dietary transgressions with advancing age (39.2% in subjects ≥13 years old) and with gender in certain age groups (60% in men ≥13 years old). No association was found between fecal GIP and dietary questionnaire or anti-tTG antibodies. However, association was detected between GIP and anti-DGP antibodies, although 46 of the 53 GIP stool-positive patients were negative for anti-DGP. CONCLUSIONS Detection of gluten peptides in stools reveals limitations of traditional methods for monitoring GFD in celiac patients. The GIP ELISA enables direct and quantitative assessment of gluten exposure early after ingestion and could aid in the diagnosis and clinical management of nonresponsive CD and refractory CD. Trial registration number NCT02711397.Am J Gastroenterol advance online publication, 20 September 2016; doi:10.1038/ajg.2016.439.","author":[{"dropping-particle":"","family":"Comino","given":"Isabel","non-dropping-particle":"","parse-names":false,"suffix":""},{"dropping-particle":"","family":"Fernández-Bañares","given":"Fernando","non-dropping-particle":"","parse-names":false,"suffix":""},{"dropping-particle":"","family":"Esteve","given":"María","non-dropping-particle":"","parse-names":false,"suffix":""},{"dropping-particle":"","family":"Ortigosa","given":"Luís","non-dropping-particle":"","parse-names":false,"suffix":""},{"dropping-particle":"","family":"Castillejo","given":"Gemma","non-dropping-particle":"","parse-names":false,"suffix":""},{"dropping-particle":"","family":"Fambuena","given":"Blanca","non-dropping-particle":"","parse-names":false,"suffix":""},{"dropping-particle":"","family":"Ribes-Koninckx","given":"Carmen","non-dropping-particle":"","parse-names":false,"suffix":""},{"dropping-particle":"","family":"Sierra","given":"Carlos","non-dropping-particle":"","parse-names":false,"suffix":""},{"dropping-particle":"","family":"Rodríguez-Herrera","given":"Alfonso","non-dropping-particle":"","parse-names":false,"suffix":""},{"dropping-particle":"","family":"Salazar","given":"José Carlos","non-dropping-particle":"","parse-names":false,"suffix":""},{"dropping-particle":"","family":"Caunedo","given":"Ángel","non-dropping-particle":"","parse-names":false,"suffix":""},{"dropping-particle":"","family":"Marugán-Miguelsanz","given":"J. M.","non-dropping-particle":"","parse-names":false,"suffix":""},{"dropping-particle":"","family":"Garrote","given":"José Antonio","non-dropping-particle":"","parse-names":false,"suffix":""},{"dropping-particle":"","family":"Vivas","given":"Santiago","non-dropping-particle":"","parse-names":false,"suffix":""},{"dropping-particle":"","family":"Iacono","given":"Oreste","non-dropping-particle":"lo","parse-names":false,"suffix":""},{"dropping-particle":"","family":"Nuñez","given":"Alejandro","non-dropping-particle":"","parse-names":false,"suffix":""},{"dropping-particle":"","family":"Vaquero","given":"Luis","non-dropping-particle":"","parse-names":false,"suffix":""},{"dropping-particle":"","family":"Vegas","given":"Ana María","non-dropping-particle":"","parse-names":false,"suffix":""},{"dropping-particle":"","family":"Crespo","given":"Laura","non-dropping-particle":"","parse-names":false,"suffix":""},{"dropping-particle":"","family":"Fernández-Salazar","given":"Luis","non-dropping-particle":"","parse-names":false,"suffix":""},{"dropping-particle":"","family":"Arranz","given":"Eduardo","non-dropping-particle":"","parse-names":false,"suffix":""},{"dropping-particle":"","family":"Jiménez-García","given":"Victoria Alejandra","non-dropping-particle":"","parse-names":false,"suffix":""},{"dropping-particle":"","family":"Montes-Cano","given":"Marco Antonio","non-dropping-particle":"","parse-names":false,"suffix":""},{"dropping-particle":"","family":"Espín","given":"Beatriz","non-dropping-particle":"","parse-names":false,"suffix":""},{"dropping-particle":"","family":"Galera","given":"Ana","non-dropping-particle":"","parse-names":false,"suffix":""},{"dropping-particle":"","family":"Valverde","given":"Justo","non-dropping-particle":"","parse-names":false,"suffix":""},{"dropping-particle":"","family":"Girón","given":"Francisco José","non-dropping-particle":"","parse-names":false,"suffix":""},{"dropping-particle":"","family":"Bolonio","given":"Miguel","non-dropping-particle":"","parse-names":false,"suffix":""},{"dropping-particle":"","family":"Millán","given":"Antonio","non-dropping-particle":"","parse-names":false,"suffix":""},{"dropping-particle":"","family":"Cerezo","given":"Francesc Martínez","non-dropping-particle":"","parse-names":false,"suffix":""},{"dropping-particle":"","family":"Guajardo","given":"César","non-dropping-particle":"","parse-names":false,"suffix":""},{"dropping-particle":"","family":"Alberto","given":"José Ramón","non-dropping-particle":"","parse-names":false,"suffix":""},{"dropping-particle":"","family":"Rosinach","given":"Mercé","non-dropping-particle":"","parse-names":false,"suffix":""},{"dropping-particle":"","family":"Segura","given":"Verónica","non-dropping-particle":"","parse-names":false,"suffix":""},{"dropping-particle":"","family":"León","given":"Francisco","non-dropping-particle":"","parse-names":false,"suffix":""},{"dropping-particle":"","family":"Marinich","given":"Jorge","non-dropping-particle":"","parse-names":false,"suffix":""},{"dropping-particle":"","family":"Muñoz-Suano","given":"Alba","non-dropping-particle":"","parse-names":false,"suffix":""},{"dropping-particle":"","family":"Romero-Gómez","given":"Manuel","non-dropping-particle":"","parse-names":false,"suffix":""},{"dropping-particle":"","family":"Cebolla","given":"Ángel","non-dropping-particle":"","parse-names":false,"suffix":""},{"dropping-particle":"","family":"Sousa","given":"Carolina","non-dropping-particle":"","parse-names":false,"suffix":""}],"container-title":"American Journal of Gastroenterology","id":"ITEM-1","issue":"10","issued":{"date-parts":[["2016","10"]]},"page":"1456-1465","publisher":"Nature Publishing Group","title":"Fecal Gluten Peptides Reveal Limitations of Serological Tests and Food Questionnaires for Monitoring Gluten-Free Diet in Celiac Disease Patients","type":"article-journal","volume":"111"},"uris":["http://www.mendeley.com/documents/?uuid=3478f07b-4c40-4439-8743-ee974ac0b3b9"]}],"mendeley":{"formattedCitation":"&lt;sup&gt;[8]&lt;/sup&gt;","plainTextFormattedCitation":"[8]","previouslyFormattedCitation":"&lt;sup&gt;[8]&lt;/sup&gt;"},"properties":{"noteIndex":0},"schema":"https://github.com/citation-style-language/schema/raw/master/csl-citation.json"}</w:instrText>
            </w:r>
            <w:r w:rsidR="00C3458C" w:rsidRPr="00D275F9">
              <w:rPr>
                <w:rFonts w:ascii="Book Antiqua" w:hAnsi="Book Antiqua" w:cs="Calibri"/>
                <w:lang w:val="es-ES" w:eastAsia="es-ES"/>
              </w:rPr>
              <w:fldChar w:fldCharType="separate"/>
            </w:r>
            <w:r w:rsidRPr="00D275F9">
              <w:rPr>
                <w:rFonts w:ascii="Book Antiqua" w:hAnsi="Book Antiqua" w:cs="Calibri"/>
                <w:noProof/>
                <w:vertAlign w:val="superscript"/>
                <w:lang w:val="es-ES" w:eastAsia="es-ES"/>
              </w:rPr>
              <w:t>[8]</w:t>
            </w:r>
            <w:r w:rsidR="00C3458C" w:rsidRPr="00D275F9">
              <w:rPr>
                <w:rFonts w:ascii="Book Antiqua" w:hAnsi="Book Antiqua" w:cs="Calibri"/>
                <w:lang w:val="es-ES" w:eastAsia="es-ES"/>
              </w:rPr>
              <w:fldChar w:fldCharType="end"/>
            </w:r>
          </w:p>
        </w:tc>
        <w:tc>
          <w:tcPr>
            <w:tcW w:w="512" w:type="pct"/>
            <w:vMerge w:val="restart"/>
            <w:tcBorders>
              <w:top w:val="single" w:sz="4" w:space="0" w:color="auto"/>
            </w:tcBorders>
            <w:shd w:val="clear" w:color="auto" w:fill="auto"/>
            <w:noWrap/>
            <w:vAlign w:val="bottom"/>
            <w:hideMark/>
          </w:tcPr>
          <w:p w14:paraId="635C48E5" w14:textId="77777777" w:rsidR="0001560F" w:rsidRPr="009E596D" w:rsidRDefault="0001560F" w:rsidP="00F10C3B">
            <w:pPr>
              <w:spacing w:line="360" w:lineRule="auto"/>
              <w:jc w:val="both"/>
              <w:rPr>
                <w:rFonts w:ascii="Book Antiqua" w:hAnsi="Book Antiqua" w:cs="Calibri"/>
                <w:lang w:val="es-ES" w:eastAsia="zh-CN"/>
              </w:rPr>
            </w:pPr>
            <w:r w:rsidRPr="009E596D">
              <w:rPr>
                <w:rFonts w:ascii="Book Antiqua" w:hAnsi="Book Antiqua" w:cs="Calibri"/>
                <w:lang w:val="es-ES" w:eastAsia="es-ES"/>
              </w:rPr>
              <w:t>56</w:t>
            </w:r>
            <w:r w:rsidRPr="009E596D">
              <w:rPr>
                <w:rFonts w:ascii="Book Antiqua" w:hAnsi="Book Antiqua" w:cs="Calibri" w:hint="eastAsia"/>
                <w:lang w:val="es-ES" w:eastAsia="zh-CN"/>
              </w:rPr>
              <w:t xml:space="preserve"> (</w:t>
            </w:r>
            <w:r w:rsidRPr="009E596D">
              <w:rPr>
                <w:rFonts w:ascii="Book Antiqua" w:hAnsi="Book Antiqua" w:cs="Calibri"/>
                <w:bCs/>
                <w:lang w:val="es-ES" w:eastAsia="es-ES"/>
              </w:rPr>
              <w:t>30</w:t>
            </w:r>
            <w:r w:rsidRPr="009E596D">
              <w:rPr>
                <w:rFonts w:ascii="Book Antiqua" w:hAnsi="Book Antiqua" w:cs="Calibri" w:hint="eastAsia"/>
                <w:bCs/>
                <w:lang w:val="es-ES" w:eastAsia="es-ES"/>
              </w:rPr>
              <w:t>)</w:t>
            </w:r>
          </w:p>
        </w:tc>
        <w:tc>
          <w:tcPr>
            <w:tcW w:w="532" w:type="pct"/>
            <w:vMerge w:val="restart"/>
            <w:tcBorders>
              <w:top w:val="single" w:sz="4" w:space="0" w:color="auto"/>
            </w:tcBorders>
            <w:shd w:val="clear" w:color="auto" w:fill="auto"/>
            <w:noWrap/>
            <w:vAlign w:val="bottom"/>
            <w:hideMark/>
          </w:tcPr>
          <w:p w14:paraId="666567DC" w14:textId="77777777" w:rsidR="0001560F" w:rsidRPr="009E596D" w:rsidRDefault="0001560F" w:rsidP="00F10C3B">
            <w:pPr>
              <w:spacing w:line="360" w:lineRule="auto"/>
              <w:jc w:val="both"/>
              <w:rPr>
                <w:rFonts w:ascii="Book Antiqua" w:hAnsi="Book Antiqua" w:cs="Calibri"/>
                <w:lang w:val="es-ES" w:eastAsia="zh-CN"/>
              </w:rPr>
            </w:pPr>
            <w:r w:rsidRPr="009E596D">
              <w:rPr>
                <w:rFonts w:ascii="Book Antiqua" w:hAnsi="Book Antiqua" w:cs="Calibri"/>
                <w:lang w:val="es-ES" w:eastAsia="es-ES"/>
              </w:rPr>
              <w:t>-</w:t>
            </w:r>
          </w:p>
        </w:tc>
        <w:tc>
          <w:tcPr>
            <w:tcW w:w="464" w:type="pct"/>
            <w:vMerge w:val="restart"/>
            <w:tcBorders>
              <w:top w:val="single" w:sz="4" w:space="0" w:color="auto"/>
            </w:tcBorders>
            <w:shd w:val="clear" w:color="auto" w:fill="auto"/>
            <w:noWrap/>
            <w:vAlign w:val="bottom"/>
            <w:hideMark/>
          </w:tcPr>
          <w:p w14:paraId="5B4E47A0" w14:textId="77777777" w:rsidR="0001560F" w:rsidRPr="009E596D" w:rsidRDefault="0001560F" w:rsidP="00F10C3B">
            <w:pPr>
              <w:spacing w:line="360" w:lineRule="auto"/>
              <w:jc w:val="both"/>
              <w:rPr>
                <w:rFonts w:ascii="Book Antiqua" w:hAnsi="Book Antiqua" w:cs="Calibri"/>
                <w:lang w:val="es-ES" w:eastAsia="zh-CN"/>
              </w:rPr>
            </w:pPr>
            <w:r w:rsidRPr="009E596D">
              <w:rPr>
                <w:rFonts w:ascii="Book Antiqua" w:hAnsi="Book Antiqua" w:cs="Calibri"/>
                <w:lang w:val="es-ES" w:eastAsia="es-ES"/>
              </w:rPr>
              <w:t>32</w:t>
            </w:r>
            <w:r w:rsidRPr="009E596D">
              <w:rPr>
                <w:rFonts w:ascii="Book Antiqua" w:hAnsi="Book Antiqua" w:cs="Calibri" w:hint="eastAsia"/>
                <w:lang w:val="es-ES" w:eastAsia="zh-CN"/>
              </w:rPr>
              <w:t xml:space="preserve"> (</w:t>
            </w:r>
            <w:r w:rsidRPr="009E596D">
              <w:rPr>
                <w:rFonts w:ascii="Book Antiqua" w:hAnsi="Book Antiqua" w:cs="Calibri"/>
                <w:bCs/>
                <w:lang w:val="es-ES" w:eastAsia="es-ES"/>
              </w:rPr>
              <w:t>18</w:t>
            </w:r>
            <w:r w:rsidRPr="009E596D">
              <w:rPr>
                <w:rFonts w:ascii="Book Antiqua" w:hAnsi="Book Antiqua" w:cs="Calibri" w:hint="eastAsia"/>
                <w:bCs/>
                <w:lang w:val="es-ES" w:eastAsia="zh-CN"/>
              </w:rPr>
              <w:t>)</w:t>
            </w:r>
          </w:p>
        </w:tc>
        <w:tc>
          <w:tcPr>
            <w:tcW w:w="504" w:type="pct"/>
            <w:vMerge w:val="restart"/>
            <w:tcBorders>
              <w:top w:val="single" w:sz="4" w:space="0" w:color="auto"/>
            </w:tcBorders>
            <w:shd w:val="clear" w:color="auto" w:fill="auto"/>
            <w:noWrap/>
            <w:vAlign w:val="bottom"/>
            <w:hideMark/>
          </w:tcPr>
          <w:p w14:paraId="651EA3C2" w14:textId="77777777" w:rsidR="0001560F" w:rsidRPr="009E596D" w:rsidRDefault="0001560F" w:rsidP="00F10C3B">
            <w:pPr>
              <w:spacing w:line="360" w:lineRule="auto"/>
              <w:jc w:val="both"/>
              <w:rPr>
                <w:rFonts w:ascii="Book Antiqua" w:hAnsi="Book Antiqua" w:cs="Calibri"/>
                <w:lang w:val="es-ES" w:eastAsia="zh-CN"/>
              </w:rPr>
            </w:pPr>
            <w:r w:rsidRPr="009E596D">
              <w:rPr>
                <w:rFonts w:ascii="Book Antiqua" w:hAnsi="Book Antiqua" w:cs="Calibri"/>
                <w:lang w:val="es-ES" w:eastAsia="es-ES"/>
              </w:rPr>
              <w:t>11</w:t>
            </w:r>
            <w:r w:rsidRPr="009E596D">
              <w:rPr>
                <w:rFonts w:ascii="Book Antiqua" w:hAnsi="Book Antiqua" w:cs="Calibri" w:hint="eastAsia"/>
                <w:lang w:val="es-ES" w:eastAsia="zh-CN"/>
              </w:rPr>
              <w:t xml:space="preserve"> (</w:t>
            </w:r>
            <w:r w:rsidRPr="009E596D">
              <w:rPr>
                <w:rFonts w:ascii="Book Antiqua" w:hAnsi="Book Antiqua" w:cs="Calibri"/>
                <w:bCs/>
                <w:lang w:val="es-ES" w:eastAsia="es-ES"/>
              </w:rPr>
              <w:t>6</w:t>
            </w:r>
            <w:r w:rsidRPr="009E596D">
              <w:rPr>
                <w:rFonts w:ascii="Book Antiqua" w:hAnsi="Book Antiqua" w:cs="Calibri" w:hint="eastAsia"/>
                <w:bCs/>
                <w:lang w:val="es-ES" w:eastAsia="zh-CN"/>
              </w:rPr>
              <w:t>)</w:t>
            </w:r>
          </w:p>
        </w:tc>
        <w:tc>
          <w:tcPr>
            <w:tcW w:w="716" w:type="pct"/>
            <w:vMerge w:val="restart"/>
            <w:tcBorders>
              <w:top w:val="single" w:sz="4" w:space="0" w:color="auto"/>
            </w:tcBorders>
            <w:shd w:val="clear" w:color="auto" w:fill="auto"/>
            <w:noWrap/>
            <w:vAlign w:val="bottom"/>
            <w:hideMark/>
          </w:tcPr>
          <w:p w14:paraId="637D3320" w14:textId="77777777" w:rsidR="0001560F" w:rsidRPr="009E596D" w:rsidRDefault="0001560F" w:rsidP="00F10C3B">
            <w:pPr>
              <w:spacing w:line="360" w:lineRule="auto"/>
              <w:jc w:val="both"/>
              <w:rPr>
                <w:rFonts w:ascii="Book Antiqua" w:hAnsi="Book Antiqua" w:cs="Calibri"/>
                <w:lang w:val="es-ES" w:eastAsia="zh-CN"/>
              </w:rPr>
            </w:pPr>
            <w:r w:rsidRPr="009E596D">
              <w:rPr>
                <w:rFonts w:ascii="Book Antiqua" w:hAnsi="Book Antiqua" w:cs="Calibri"/>
                <w:lang w:val="es-ES" w:eastAsia="es-ES"/>
              </w:rPr>
              <w:t>25</w:t>
            </w:r>
            <w:r w:rsidRPr="009E596D">
              <w:rPr>
                <w:rFonts w:ascii="Book Antiqua" w:hAnsi="Book Antiqua" w:cs="Calibri" w:hint="eastAsia"/>
                <w:lang w:val="es-ES" w:eastAsia="zh-CN"/>
              </w:rPr>
              <w:t xml:space="preserve"> (</w:t>
            </w:r>
            <w:r w:rsidRPr="009E596D">
              <w:rPr>
                <w:rFonts w:ascii="Book Antiqua" w:hAnsi="Book Antiqua" w:cs="Calibri"/>
                <w:bCs/>
                <w:lang w:val="es-ES" w:eastAsia="es-ES"/>
              </w:rPr>
              <w:t>18</w:t>
            </w:r>
            <w:r w:rsidRPr="009E596D">
              <w:rPr>
                <w:rFonts w:ascii="Book Antiqua" w:hAnsi="Book Antiqua" w:cs="Calibri" w:hint="eastAsia"/>
                <w:bCs/>
                <w:lang w:val="es-ES" w:eastAsia="zh-CN"/>
              </w:rPr>
              <w:t>)</w:t>
            </w:r>
          </w:p>
        </w:tc>
        <w:tc>
          <w:tcPr>
            <w:tcW w:w="495" w:type="pct"/>
            <w:vMerge w:val="restart"/>
            <w:tcBorders>
              <w:top w:val="single" w:sz="4" w:space="0" w:color="auto"/>
            </w:tcBorders>
            <w:shd w:val="clear" w:color="auto" w:fill="auto"/>
            <w:noWrap/>
            <w:vAlign w:val="bottom"/>
            <w:hideMark/>
          </w:tcPr>
          <w:p w14:paraId="551F30CF" w14:textId="77777777" w:rsidR="0001560F" w:rsidRPr="009E596D" w:rsidRDefault="0001560F" w:rsidP="00F10C3B">
            <w:pPr>
              <w:spacing w:line="360" w:lineRule="auto"/>
              <w:jc w:val="both"/>
              <w:rPr>
                <w:rFonts w:ascii="Book Antiqua" w:hAnsi="Book Antiqua" w:cs="Calibri"/>
                <w:lang w:val="es-ES" w:eastAsia="zh-CN"/>
              </w:rPr>
            </w:pPr>
            <w:r w:rsidRPr="009E596D">
              <w:rPr>
                <w:rFonts w:ascii="Book Antiqua" w:hAnsi="Book Antiqua" w:cs="Calibri"/>
                <w:lang w:val="es-ES" w:eastAsia="es-ES"/>
              </w:rPr>
              <w:t>9</w:t>
            </w:r>
            <w:r w:rsidRPr="009E596D">
              <w:rPr>
                <w:rFonts w:ascii="Book Antiqua" w:hAnsi="Book Antiqua" w:cs="Calibri" w:hint="eastAsia"/>
                <w:lang w:val="es-ES" w:eastAsia="zh-CN"/>
              </w:rPr>
              <w:t xml:space="preserve"> (</w:t>
            </w:r>
            <w:r w:rsidRPr="009E596D">
              <w:rPr>
                <w:rFonts w:ascii="Book Antiqua" w:hAnsi="Book Antiqua" w:cs="Calibri"/>
                <w:bCs/>
                <w:lang w:val="es-ES" w:eastAsia="es-ES"/>
              </w:rPr>
              <w:t>5</w:t>
            </w:r>
            <w:r w:rsidRPr="009E596D">
              <w:rPr>
                <w:rFonts w:ascii="Book Antiqua" w:hAnsi="Book Antiqua" w:cs="Calibri" w:hint="eastAsia"/>
                <w:bCs/>
                <w:lang w:val="es-ES" w:eastAsia="zh-CN"/>
              </w:rPr>
              <w:t>)</w:t>
            </w:r>
          </w:p>
        </w:tc>
        <w:tc>
          <w:tcPr>
            <w:tcW w:w="465" w:type="pct"/>
            <w:vMerge w:val="restart"/>
            <w:tcBorders>
              <w:top w:val="single" w:sz="4" w:space="0" w:color="auto"/>
            </w:tcBorders>
            <w:shd w:val="clear" w:color="auto" w:fill="auto"/>
            <w:noWrap/>
            <w:vAlign w:val="bottom"/>
            <w:hideMark/>
          </w:tcPr>
          <w:p w14:paraId="28A05B67" w14:textId="77777777" w:rsidR="0001560F" w:rsidRPr="009E596D" w:rsidRDefault="0001560F" w:rsidP="00F10C3B">
            <w:pPr>
              <w:spacing w:line="360" w:lineRule="auto"/>
              <w:jc w:val="both"/>
              <w:rPr>
                <w:rFonts w:ascii="Book Antiqua" w:hAnsi="Book Antiqua" w:cs="Calibri"/>
                <w:lang w:val="es-ES" w:eastAsia="zh-CN"/>
              </w:rPr>
            </w:pPr>
            <w:r w:rsidRPr="009E596D">
              <w:rPr>
                <w:rFonts w:ascii="Book Antiqua" w:hAnsi="Book Antiqua" w:cs="Calibri"/>
                <w:lang w:val="es-ES" w:eastAsia="es-ES"/>
              </w:rPr>
              <w:t>-</w:t>
            </w:r>
          </w:p>
        </w:tc>
      </w:tr>
      <w:tr w:rsidR="0001560F" w:rsidRPr="00D275F9" w14:paraId="097291F5" w14:textId="77777777" w:rsidTr="009E596D">
        <w:trPr>
          <w:trHeight w:hRule="exact" w:val="124"/>
        </w:trPr>
        <w:tc>
          <w:tcPr>
            <w:tcW w:w="1313" w:type="pct"/>
            <w:vMerge/>
            <w:shd w:val="clear" w:color="auto" w:fill="auto"/>
            <w:vAlign w:val="center"/>
            <w:hideMark/>
          </w:tcPr>
          <w:p w14:paraId="53E53DAF" w14:textId="77777777" w:rsidR="0001560F" w:rsidRPr="00D275F9" w:rsidRDefault="0001560F" w:rsidP="00F10C3B">
            <w:pPr>
              <w:spacing w:line="360" w:lineRule="auto"/>
              <w:jc w:val="both"/>
              <w:rPr>
                <w:rFonts w:ascii="Book Antiqua" w:hAnsi="Book Antiqua" w:cs="Calibri"/>
                <w:lang w:val="es-ES" w:eastAsia="es-ES"/>
              </w:rPr>
            </w:pPr>
          </w:p>
        </w:tc>
        <w:tc>
          <w:tcPr>
            <w:tcW w:w="512" w:type="pct"/>
            <w:vMerge/>
            <w:shd w:val="clear" w:color="auto" w:fill="auto"/>
            <w:noWrap/>
            <w:vAlign w:val="bottom"/>
            <w:hideMark/>
          </w:tcPr>
          <w:p w14:paraId="1C7C4841" w14:textId="77777777" w:rsidR="0001560F" w:rsidRPr="009E596D" w:rsidRDefault="0001560F" w:rsidP="00F10C3B">
            <w:pPr>
              <w:spacing w:line="360" w:lineRule="auto"/>
              <w:jc w:val="both"/>
              <w:rPr>
                <w:rFonts w:ascii="Book Antiqua" w:hAnsi="Book Antiqua" w:cs="Calibri"/>
                <w:bCs/>
                <w:lang w:val="es-ES" w:eastAsia="es-ES"/>
              </w:rPr>
            </w:pPr>
          </w:p>
        </w:tc>
        <w:tc>
          <w:tcPr>
            <w:tcW w:w="532" w:type="pct"/>
            <w:vMerge/>
            <w:shd w:val="clear" w:color="auto" w:fill="auto"/>
            <w:noWrap/>
            <w:vAlign w:val="bottom"/>
            <w:hideMark/>
          </w:tcPr>
          <w:p w14:paraId="66ECABBE" w14:textId="77777777" w:rsidR="0001560F" w:rsidRPr="009E596D" w:rsidRDefault="0001560F" w:rsidP="00F10C3B">
            <w:pPr>
              <w:spacing w:line="360" w:lineRule="auto"/>
              <w:jc w:val="both"/>
              <w:rPr>
                <w:rFonts w:ascii="Book Antiqua" w:hAnsi="Book Antiqua" w:cs="Calibri"/>
                <w:bCs/>
                <w:lang w:val="es-ES" w:eastAsia="es-ES"/>
              </w:rPr>
            </w:pPr>
          </w:p>
        </w:tc>
        <w:tc>
          <w:tcPr>
            <w:tcW w:w="464" w:type="pct"/>
            <w:vMerge/>
            <w:shd w:val="clear" w:color="auto" w:fill="auto"/>
            <w:noWrap/>
            <w:vAlign w:val="bottom"/>
            <w:hideMark/>
          </w:tcPr>
          <w:p w14:paraId="208598D4" w14:textId="77777777" w:rsidR="0001560F" w:rsidRPr="009E596D" w:rsidRDefault="0001560F" w:rsidP="00F10C3B">
            <w:pPr>
              <w:spacing w:line="360" w:lineRule="auto"/>
              <w:jc w:val="both"/>
              <w:rPr>
                <w:rFonts w:ascii="Book Antiqua" w:hAnsi="Book Antiqua" w:cs="Calibri"/>
                <w:bCs/>
                <w:lang w:val="es-ES" w:eastAsia="es-ES"/>
              </w:rPr>
            </w:pPr>
          </w:p>
        </w:tc>
        <w:tc>
          <w:tcPr>
            <w:tcW w:w="504" w:type="pct"/>
            <w:vMerge/>
            <w:shd w:val="clear" w:color="auto" w:fill="auto"/>
            <w:noWrap/>
            <w:vAlign w:val="bottom"/>
            <w:hideMark/>
          </w:tcPr>
          <w:p w14:paraId="4044B9B5" w14:textId="77777777" w:rsidR="0001560F" w:rsidRPr="009E596D" w:rsidRDefault="0001560F" w:rsidP="00F10C3B">
            <w:pPr>
              <w:spacing w:line="360" w:lineRule="auto"/>
              <w:jc w:val="both"/>
              <w:rPr>
                <w:rFonts w:ascii="Book Antiqua" w:hAnsi="Book Antiqua" w:cs="Calibri"/>
                <w:bCs/>
                <w:lang w:val="es-ES" w:eastAsia="es-ES"/>
              </w:rPr>
            </w:pPr>
          </w:p>
        </w:tc>
        <w:tc>
          <w:tcPr>
            <w:tcW w:w="716" w:type="pct"/>
            <w:vMerge/>
            <w:shd w:val="clear" w:color="auto" w:fill="auto"/>
            <w:noWrap/>
            <w:vAlign w:val="bottom"/>
            <w:hideMark/>
          </w:tcPr>
          <w:p w14:paraId="2795338A" w14:textId="77777777" w:rsidR="0001560F" w:rsidRPr="009E596D" w:rsidRDefault="0001560F" w:rsidP="00F10C3B">
            <w:pPr>
              <w:spacing w:line="360" w:lineRule="auto"/>
              <w:jc w:val="both"/>
              <w:rPr>
                <w:rFonts w:ascii="Book Antiqua" w:hAnsi="Book Antiqua" w:cs="Calibri"/>
                <w:bCs/>
                <w:lang w:val="es-ES" w:eastAsia="es-ES"/>
              </w:rPr>
            </w:pPr>
          </w:p>
        </w:tc>
        <w:tc>
          <w:tcPr>
            <w:tcW w:w="495" w:type="pct"/>
            <w:vMerge/>
            <w:shd w:val="clear" w:color="auto" w:fill="auto"/>
            <w:noWrap/>
            <w:vAlign w:val="bottom"/>
            <w:hideMark/>
          </w:tcPr>
          <w:p w14:paraId="21E7065B" w14:textId="77777777" w:rsidR="0001560F" w:rsidRPr="009E596D" w:rsidRDefault="0001560F" w:rsidP="00F10C3B">
            <w:pPr>
              <w:spacing w:line="360" w:lineRule="auto"/>
              <w:jc w:val="both"/>
              <w:rPr>
                <w:rFonts w:ascii="Book Antiqua" w:hAnsi="Book Antiqua" w:cs="Calibri"/>
                <w:bCs/>
                <w:lang w:val="es-ES" w:eastAsia="es-ES"/>
              </w:rPr>
            </w:pPr>
          </w:p>
        </w:tc>
        <w:tc>
          <w:tcPr>
            <w:tcW w:w="465" w:type="pct"/>
            <w:vMerge/>
            <w:shd w:val="clear" w:color="auto" w:fill="auto"/>
            <w:noWrap/>
            <w:vAlign w:val="bottom"/>
            <w:hideMark/>
          </w:tcPr>
          <w:p w14:paraId="36EBA701" w14:textId="77777777" w:rsidR="0001560F" w:rsidRPr="009E596D" w:rsidRDefault="0001560F" w:rsidP="00F10C3B">
            <w:pPr>
              <w:spacing w:line="360" w:lineRule="auto"/>
              <w:jc w:val="both"/>
              <w:rPr>
                <w:rFonts w:ascii="Book Antiqua" w:hAnsi="Book Antiqua" w:cs="Calibri"/>
                <w:bCs/>
                <w:lang w:val="es-ES" w:eastAsia="es-ES"/>
              </w:rPr>
            </w:pPr>
          </w:p>
        </w:tc>
      </w:tr>
      <w:tr w:rsidR="0001560F" w:rsidRPr="00D275F9" w14:paraId="6506A5A0" w14:textId="77777777" w:rsidTr="009E596D">
        <w:trPr>
          <w:trHeight w:hRule="exact" w:val="397"/>
        </w:trPr>
        <w:tc>
          <w:tcPr>
            <w:tcW w:w="1313" w:type="pct"/>
            <w:vMerge w:val="restart"/>
            <w:shd w:val="clear" w:color="auto" w:fill="auto"/>
            <w:noWrap/>
            <w:vAlign w:val="center"/>
            <w:hideMark/>
          </w:tcPr>
          <w:p w14:paraId="0B560726" w14:textId="77777777" w:rsidR="0001560F" w:rsidRPr="00D275F9" w:rsidRDefault="0001560F" w:rsidP="00F10C3B">
            <w:pPr>
              <w:spacing w:line="360" w:lineRule="auto"/>
              <w:jc w:val="both"/>
              <w:rPr>
                <w:rFonts w:ascii="Book Antiqua" w:hAnsi="Book Antiqua" w:cs="Calibri"/>
                <w:lang w:val="es-ES" w:eastAsia="es-ES"/>
              </w:rPr>
            </w:pPr>
            <w:r w:rsidRPr="00D275F9">
              <w:rPr>
                <w:rFonts w:ascii="Book Antiqua" w:hAnsi="Book Antiqua" w:cs="Calibri"/>
                <w:lang w:val="es-ES" w:eastAsia="es-ES"/>
              </w:rPr>
              <w:t xml:space="preserve">Moreno </w:t>
            </w:r>
            <w:r w:rsidRPr="006E5332">
              <w:rPr>
                <w:rFonts w:ascii="Book Antiqua" w:hAnsi="Book Antiqua" w:cs="Calibri"/>
                <w:i/>
                <w:lang w:val="es-ES" w:eastAsia="es-ES"/>
              </w:rPr>
              <w:t>et al</w:t>
            </w:r>
            <w:r w:rsidR="00C3458C" w:rsidRPr="00D275F9">
              <w:rPr>
                <w:rFonts w:ascii="Book Antiqua" w:hAnsi="Book Antiqua" w:cs="Calibri"/>
                <w:lang w:val="es-ES" w:eastAsia="es-ES"/>
              </w:rPr>
              <w:fldChar w:fldCharType="begin" w:fldLock="1"/>
            </w:r>
            <w:r w:rsidRPr="00D275F9">
              <w:rPr>
                <w:rFonts w:ascii="Book Antiqua" w:hAnsi="Book Antiqua" w:cs="Calibri"/>
                <w:lang w:val="es-ES" w:eastAsia="es-ES"/>
              </w:rPr>
              <w:instrText>ADDIN CSL_CITATION {"citationItems":[{"id":"ITEM-1","itemData":{"DOI":"10.1136/gutjnl-2015-310148","ISBN":"1468-3288 (Electronic)\\r0017-5749 (Linking)","ISSN":"1468-3288","PMID":"26608460","abstract":"OBJECTIVE Gluten-free diet (GFD) is the only management for coeliac disease (CD). Available methods to assess GFD compliance are insufficiently sensitive to detect occasional dietary transgressions that may cause gut mucosal damage. We aimed to develop a method to determine gluten intake and monitor GFD compliance in patients with CD and to evaluate its correlation with mucosal damage. DESIGN Urine samples of 76 healthy subjects and 58 patients with CD subjected to different gluten dietary conditions were collected. A lateral flow test (LFT) with the highly sensitive and specific G12 monoclonal antibody for the most dominant gluten immunogenic peptides (GIP) and a LFT reader were used to quantify GIP in solid-phase extracted urines. RESULTS GIP were detectable in concentrated urines from healthy individuals previously subjected to GFD as early as 4-6 h after single gluten intake, and remained detectable for 1-2 days. The urine assay revealed infringement of the GFD in about 50% of the patients. Analysis of duodenal biopsies revealed that most of patients with CD (89%) with no villous atrophy had no detectable GIP in urine, while all patients with quantifiable GIP in urine showed incomplete intestinal mucosa recovery. CONCLUSION GIP are detected in urine after gluten consumption, enabling a new and non-invasive method to monitor GFD compliance and transgressions. The method was sensitive, specific and simple enough to be convenient for clinical monitoring of patients with CD as well as for basic and clinical research applications including drug development. TRIAL REGISTRATION NUMBER NCT02344758.","author":[{"dropping-particle":"","family":"Moreno","given":"María De Lourdes","non-dropping-particle":"","parse-names":false,"suffix":""},{"dropping-particle":"","family":"Cebolla","given":"Ángel","non-dropping-particle":"","parse-names":false,"suffix":""},{"dropping-particle":"","family":"Muñoz-Suano","given":"Alba","non-dropping-particle":"","parse-names":false,"suffix":""},{"dropping-particle":"","family":"Carrillo-Carrion","given":"Carolina","non-dropping-particle":"","parse-names":false,"suffix":""},{"dropping-particle":"","family":"Comino","given":"Isabel","non-dropping-particle":"","parse-names":false,"suffix":""},{"dropping-particle":"","family":"Pizarro","given":"Ángeles","non-dropping-particle":"","parse-names":false,"suffix":""},{"dropping-particle":"","family":"León","given":"Francisco","non-dropping-particle":"","parse-names":false,"suffix":""},{"dropping-particle":"","family":"Rodríguez-Herrera","given":"Alfonso","non-dropping-particle":"","parse-names":false,"suffix":""},{"dropping-particle":"","family":"Sousa","given":"Carolina","non-dropping-particle":"","parse-names":false,"suffix":""}],"container-title":"Gut","id":"ITEM-1","issue":"2","issued":{"date-parts":[["2017","2"]]},"page":"250-257","title":"Detection of gluten immunogenic peptides in the urine of patients with coeliac disease reveals transgressions in the gluten-free diet and incomplete mucosal healing.","type":"article-journal","volume":"66"},"uris":["http://www.mendeley.com/documents/?uuid=cd06bb39-9fca-4ef3-b4f8-ca582b130e91"]}],"mendeley":{"formattedCitation":"&lt;sup&gt;[9]&lt;/sup&gt;","plainTextFormattedCitation":"[9]","previouslyFormattedCitation":"&lt;sup&gt;[9]&lt;/sup&gt;"},"properties":{"noteIndex":0},"schema":"https://github.com/citation-style-language/schema/raw/master/csl-citation.json"}</w:instrText>
            </w:r>
            <w:r w:rsidR="00C3458C" w:rsidRPr="00D275F9">
              <w:rPr>
                <w:rFonts w:ascii="Book Antiqua" w:hAnsi="Book Antiqua" w:cs="Calibri"/>
                <w:lang w:val="es-ES" w:eastAsia="es-ES"/>
              </w:rPr>
              <w:fldChar w:fldCharType="separate"/>
            </w:r>
            <w:r w:rsidRPr="00D275F9">
              <w:rPr>
                <w:rFonts w:ascii="Book Antiqua" w:hAnsi="Book Antiqua" w:cs="Calibri"/>
                <w:noProof/>
                <w:vertAlign w:val="superscript"/>
                <w:lang w:val="es-ES" w:eastAsia="es-ES"/>
              </w:rPr>
              <w:t>[9]</w:t>
            </w:r>
            <w:r w:rsidR="00C3458C" w:rsidRPr="00D275F9">
              <w:rPr>
                <w:rFonts w:ascii="Book Antiqua" w:hAnsi="Book Antiqua" w:cs="Calibri"/>
                <w:lang w:val="es-ES" w:eastAsia="es-ES"/>
              </w:rPr>
              <w:fldChar w:fldCharType="end"/>
            </w:r>
          </w:p>
        </w:tc>
        <w:tc>
          <w:tcPr>
            <w:tcW w:w="512" w:type="pct"/>
            <w:vMerge w:val="restart"/>
            <w:shd w:val="clear" w:color="auto" w:fill="auto"/>
            <w:noWrap/>
            <w:vAlign w:val="bottom"/>
            <w:hideMark/>
          </w:tcPr>
          <w:p w14:paraId="7E5CF78C" w14:textId="77777777" w:rsidR="0001560F" w:rsidRPr="009E596D" w:rsidRDefault="0001560F" w:rsidP="00F10C3B">
            <w:pPr>
              <w:spacing w:line="360" w:lineRule="auto"/>
              <w:jc w:val="both"/>
              <w:rPr>
                <w:rFonts w:ascii="Book Antiqua" w:hAnsi="Book Antiqua" w:cs="Calibri"/>
                <w:lang w:val="es-ES" w:eastAsia="zh-CN"/>
              </w:rPr>
            </w:pPr>
            <w:r w:rsidRPr="009E596D">
              <w:rPr>
                <w:rFonts w:ascii="Book Antiqua" w:hAnsi="Book Antiqua" w:cs="Calibri"/>
                <w:lang w:val="es-ES" w:eastAsia="es-ES"/>
              </w:rPr>
              <w:t>-</w:t>
            </w:r>
          </w:p>
        </w:tc>
        <w:tc>
          <w:tcPr>
            <w:tcW w:w="532" w:type="pct"/>
            <w:vMerge w:val="restart"/>
            <w:shd w:val="clear" w:color="auto" w:fill="auto"/>
            <w:noWrap/>
            <w:vAlign w:val="bottom"/>
            <w:hideMark/>
          </w:tcPr>
          <w:p w14:paraId="4F919F48" w14:textId="77777777" w:rsidR="0001560F" w:rsidRPr="009E596D" w:rsidRDefault="0001560F" w:rsidP="00F10C3B">
            <w:pPr>
              <w:spacing w:line="360" w:lineRule="auto"/>
              <w:jc w:val="both"/>
              <w:rPr>
                <w:rFonts w:ascii="Book Antiqua" w:hAnsi="Book Antiqua" w:cs="Calibri"/>
                <w:lang w:val="es-ES" w:eastAsia="zh-CN"/>
              </w:rPr>
            </w:pPr>
            <w:r w:rsidRPr="009E596D">
              <w:rPr>
                <w:rFonts w:ascii="Book Antiqua" w:hAnsi="Book Antiqua" w:cs="Calibri"/>
                <w:lang w:val="es-ES" w:eastAsia="es-ES"/>
              </w:rPr>
              <w:t>12</w:t>
            </w:r>
            <w:r w:rsidRPr="009E596D">
              <w:rPr>
                <w:rFonts w:ascii="Book Antiqua" w:hAnsi="Book Antiqua" w:cs="Calibri" w:hint="eastAsia"/>
                <w:lang w:val="es-ES" w:eastAsia="zh-CN"/>
              </w:rPr>
              <w:t xml:space="preserve"> (</w:t>
            </w:r>
            <w:r w:rsidRPr="009E596D">
              <w:rPr>
                <w:rFonts w:ascii="Book Antiqua" w:hAnsi="Book Antiqua" w:cs="Calibri"/>
                <w:bCs/>
                <w:lang w:val="es-ES" w:eastAsia="es-ES"/>
              </w:rPr>
              <w:t>48</w:t>
            </w:r>
            <w:r w:rsidRPr="009E596D">
              <w:rPr>
                <w:rFonts w:ascii="Book Antiqua" w:hAnsi="Book Antiqua" w:cs="Calibri" w:hint="eastAsia"/>
                <w:bCs/>
                <w:lang w:val="es-ES" w:eastAsia="zh-CN"/>
              </w:rPr>
              <w:t>)</w:t>
            </w:r>
          </w:p>
        </w:tc>
        <w:tc>
          <w:tcPr>
            <w:tcW w:w="968" w:type="pct"/>
            <w:gridSpan w:val="2"/>
            <w:vMerge w:val="restart"/>
            <w:shd w:val="clear" w:color="auto" w:fill="auto"/>
            <w:noWrap/>
            <w:vAlign w:val="bottom"/>
            <w:hideMark/>
          </w:tcPr>
          <w:p w14:paraId="20987CE0" w14:textId="77777777" w:rsidR="0001560F" w:rsidRPr="009E596D" w:rsidRDefault="0001560F" w:rsidP="00F10C3B">
            <w:pPr>
              <w:spacing w:line="360" w:lineRule="auto"/>
              <w:jc w:val="both"/>
              <w:rPr>
                <w:rFonts w:ascii="Book Antiqua" w:hAnsi="Book Antiqua" w:cs="Calibri"/>
                <w:lang w:val="es-ES" w:eastAsia="zh-CN"/>
              </w:rPr>
            </w:pPr>
            <w:r w:rsidRPr="009E596D">
              <w:rPr>
                <w:rFonts w:ascii="Book Antiqua" w:hAnsi="Book Antiqua" w:cs="Calibri"/>
                <w:lang w:val="es-ES" w:eastAsia="es-ES"/>
              </w:rPr>
              <w:t>4</w:t>
            </w:r>
            <w:r w:rsidRPr="009E596D">
              <w:rPr>
                <w:rFonts w:ascii="Book Antiqua" w:hAnsi="Book Antiqua" w:cs="Calibri" w:hint="eastAsia"/>
                <w:lang w:val="es-ES" w:eastAsia="zh-CN"/>
              </w:rPr>
              <w:t xml:space="preserve"> (</w:t>
            </w:r>
            <w:r w:rsidRPr="009E596D">
              <w:rPr>
                <w:rFonts w:ascii="Book Antiqua" w:hAnsi="Book Antiqua" w:cs="Calibri"/>
                <w:bCs/>
                <w:lang w:val="es-ES" w:eastAsia="es-ES"/>
              </w:rPr>
              <w:t>16</w:t>
            </w:r>
            <w:r w:rsidRPr="009E596D">
              <w:rPr>
                <w:rFonts w:ascii="Book Antiqua" w:hAnsi="Book Antiqua" w:cs="Calibri" w:hint="eastAsia"/>
                <w:bCs/>
                <w:lang w:val="es-ES" w:eastAsia="zh-CN"/>
              </w:rPr>
              <w:t>)</w:t>
            </w:r>
          </w:p>
        </w:tc>
        <w:tc>
          <w:tcPr>
            <w:tcW w:w="716" w:type="pct"/>
            <w:vMerge w:val="restart"/>
            <w:shd w:val="clear" w:color="auto" w:fill="auto"/>
            <w:noWrap/>
            <w:vAlign w:val="bottom"/>
            <w:hideMark/>
          </w:tcPr>
          <w:p w14:paraId="14FB708C" w14:textId="77777777" w:rsidR="0001560F" w:rsidRPr="009E596D" w:rsidRDefault="0001560F" w:rsidP="00F10C3B">
            <w:pPr>
              <w:spacing w:line="360" w:lineRule="auto"/>
              <w:jc w:val="both"/>
              <w:rPr>
                <w:rFonts w:ascii="Book Antiqua" w:hAnsi="Book Antiqua" w:cs="Calibri"/>
                <w:lang w:val="es-ES" w:eastAsia="zh-CN"/>
              </w:rPr>
            </w:pPr>
            <w:r w:rsidRPr="009E596D">
              <w:rPr>
                <w:rFonts w:ascii="Book Antiqua" w:hAnsi="Book Antiqua" w:cs="Calibri"/>
                <w:lang w:val="es-ES" w:eastAsia="es-ES"/>
              </w:rPr>
              <w:t>-</w:t>
            </w:r>
          </w:p>
        </w:tc>
        <w:tc>
          <w:tcPr>
            <w:tcW w:w="495" w:type="pct"/>
            <w:vMerge w:val="restart"/>
            <w:shd w:val="clear" w:color="auto" w:fill="auto"/>
            <w:noWrap/>
            <w:vAlign w:val="bottom"/>
            <w:hideMark/>
          </w:tcPr>
          <w:p w14:paraId="0D19762A" w14:textId="77777777" w:rsidR="0001560F" w:rsidRPr="009E596D" w:rsidRDefault="0001560F" w:rsidP="00F10C3B">
            <w:pPr>
              <w:spacing w:line="360" w:lineRule="auto"/>
              <w:jc w:val="both"/>
              <w:rPr>
                <w:rFonts w:ascii="Book Antiqua" w:hAnsi="Book Antiqua" w:cs="Calibri"/>
                <w:lang w:val="es-ES" w:eastAsia="zh-CN"/>
              </w:rPr>
            </w:pPr>
            <w:r w:rsidRPr="009E596D">
              <w:rPr>
                <w:rFonts w:ascii="Book Antiqua" w:hAnsi="Book Antiqua" w:cs="Calibri"/>
                <w:lang w:val="es-ES" w:eastAsia="es-ES"/>
              </w:rPr>
              <w:t>-</w:t>
            </w:r>
          </w:p>
        </w:tc>
        <w:tc>
          <w:tcPr>
            <w:tcW w:w="465" w:type="pct"/>
            <w:vMerge w:val="restart"/>
            <w:shd w:val="clear" w:color="auto" w:fill="auto"/>
            <w:noWrap/>
            <w:vAlign w:val="bottom"/>
            <w:hideMark/>
          </w:tcPr>
          <w:p w14:paraId="24D6F1CA" w14:textId="77777777" w:rsidR="0001560F" w:rsidRPr="009E596D" w:rsidRDefault="0001560F" w:rsidP="00F10C3B">
            <w:pPr>
              <w:spacing w:line="360" w:lineRule="auto"/>
              <w:jc w:val="both"/>
              <w:rPr>
                <w:rFonts w:ascii="Book Antiqua" w:hAnsi="Book Antiqua" w:cs="Calibri"/>
                <w:lang w:val="es-ES" w:eastAsia="zh-CN"/>
              </w:rPr>
            </w:pPr>
            <w:r w:rsidRPr="009E596D">
              <w:rPr>
                <w:rFonts w:ascii="Book Antiqua" w:hAnsi="Book Antiqua" w:cs="Calibri"/>
                <w:lang w:val="es-ES" w:eastAsia="es-ES"/>
              </w:rPr>
              <w:t>7</w:t>
            </w:r>
            <w:r w:rsidRPr="009E596D">
              <w:rPr>
                <w:rFonts w:ascii="Book Antiqua" w:hAnsi="Book Antiqua" w:cs="Calibri" w:hint="eastAsia"/>
                <w:lang w:val="es-ES" w:eastAsia="zh-CN"/>
              </w:rPr>
              <w:t xml:space="preserve"> (</w:t>
            </w:r>
            <w:r w:rsidRPr="009E596D">
              <w:rPr>
                <w:rFonts w:ascii="Book Antiqua" w:hAnsi="Book Antiqua" w:cs="Calibri"/>
                <w:bCs/>
                <w:lang w:val="es-ES" w:eastAsia="es-ES"/>
              </w:rPr>
              <w:t>28</w:t>
            </w:r>
            <w:r w:rsidRPr="009E596D">
              <w:rPr>
                <w:rFonts w:ascii="Book Antiqua" w:hAnsi="Book Antiqua" w:cs="Calibri" w:hint="eastAsia"/>
                <w:bCs/>
                <w:lang w:val="es-ES" w:eastAsia="zh-CN"/>
              </w:rPr>
              <w:t>)</w:t>
            </w:r>
          </w:p>
        </w:tc>
      </w:tr>
      <w:tr w:rsidR="0001560F" w:rsidRPr="00D275F9" w14:paraId="2C297442" w14:textId="77777777" w:rsidTr="009E596D">
        <w:trPr>
          <w:trHeight w:val="447"/>
        </w:trPr>
        <w:tc>
          <w:tcPr>
            <w:tcW w:w="1313" w:type="pct"/>
            <w:vMerge/>
            <w:shd w:val="clear" w:color="auto" w:fill="auto"/>
            <w:vAlign w:val="center"/>
            <w:hideMark/>
          </w:tcPr>
          <w:p w14:paraId="4B0CE3C2" w14:textId="77777777" w:rsidR="0001560F" w:rsidRPr="00D275F9" w:rsidRDefault="0001560F" w:rsidP="00F10C3B">
            <w:pPr>
              <w:spacing w:line="360" w:lineRule="auto"/>
              <w:jc w:val="both"/>
              <w:rPr>
                <w:rFonts w:ascii="Book Antiqua" w:hAnsi="Book Antiqua" w:cs="Calibri"/>
                <w:lang w:val="es-ES" w:eastAsia="es-ES"/>
              </w:rPr>
            </w:pPr>
          </w:p>
        </w:tc>
        <w:tc>
          <w:tcPr>
            <w:tcW w:w="512" w:type="pct"/>
            <w:vMerge/>
            <w:shd w:val="clear" w:color="auto" w:fill="auto"/>
            <w:noWrap/>
            <w:vAlign w:val="bottom"/>
            <w:hideMark/>
          </w:tcPr>
          <w:p w14:paraId="488A7440" w14:textId="77777777" w:rsidR="0001560F" w:rsidRPr="009E596D" w:rsidRDefault="0001560F" w:rsidP="00F10C3B">
            <w:pPr>
              <w:spacing w:line="360" w:lineRule="auto"/>
              <w:jc w:val="both"/>
              <w:rPr>
                <w:rFonts w:ascii="Book Antiqua" w:hAnsi="Book Antiqua" w:cs="Calibri"/>
                <w:bCs/>
                <w:lang w:val="es-ES" w:eastAsia="es-ES"/>
              </w:rPr>
            </w:pPr>
          </w:p>
        </w:tc>
        <w:tc>
          <w:tcPr>
            <w:tcW w:w="532" w:type="pct"/>
            <w:vMerge/>
            <w:shd w:val="clear" w:color="auto" w:fill="auto"/>
            <w:noWrap/>
            <w:vAlign w:val="bottom"/>
            <w:hideMark/>
          </w:tcPr>
          <w:p w14:paraId="029A8EE0" w14:textId="77777777" w:rsidR="0001560F" w:rsidRPr="009E596D" w:rsidRDefault="0001560F" w:rsidP="00F10C3B">
            <w:pPr>
              <w:spacing w:line="360" w:lineRule="auto"/>
              <w:jc w:val="both"/>
              <w:rPr>
                <w:rFonts w:ascii="Book Antiqua" w:hAnsi="Book Antiqua" w:cs="Calibri"/>
                <w:bCs/>
                <w:lang w:val="es-ES" w:eastAsia="es-ES"/>
              </w:rPr>
            </w:pPr>
          </w:p>
        </w:tc>
        <w:tc>
          <w:tcPr>
            <w:tcW w:w="968" w:type="pct"/>
            <w:gridSpan w:val="2"/>
            <w:vMerge/>
            <w:shd w:val="clear" w:color="auto" w:fill="auto"/>
            <w:noWrap/>
            <w:vAlign w:val="bottom"/>
            <w:hideMark/>
          </w:tcPr>
          <w:p w14:paraId="7E67CFC2" w14:textId="77777777" w:rsidR="0001560F" w:rsidRPr="009E596D" w:rsidRDefault="0001560F" w:rsidP="00F10C3B">
            <w:pPr>
              <w:spacing w:line="360" w:lineRule="auto"/>
              <w:jc w:val="both"/>
              <w:rPr>
                <w:rFonts w:ascii="Book Antiqua" w:hAnsi="Book Antiqua" w:cs="Calibri"/>
                <w:bCs/>
                <w:lang w:val="es-ES" w:eastAsia="es-ES"/>
              </w:rPr>
            </w:pPr>
          </w:p>
        </w:tc>
        <w:tc>
          <w:tcPr>
            <w:tcW w:w="716" w:type="pct"/>
            <w:vMerge/>
            <w:shd w:val="clear" w:color="auto" w:fill="auto"/>
            <w:noWrap/>
            <w:vAlign w:val="bottom"/>
            <w:hideMark/>
          </w:tcPr>
          <w:p w14:paraId="6F9A4202" w14:textId="77777777" w:rsidR="0001560F" w:rsidRPr="009E596D" w:rsidRDefault="0001560F" w:rsidP="00F10C3B">
            <w:pPr>
              <w:spacing w:line="360" w:lineRule="auto"/>
              <w:jc w:val="both"/>
              <w:rPr>
                <w:rFonts w:ascii="Book Antiqua" w:hAnsi="Book Antiqua" w:cs="Calibri"/>
                <w:bCs/>
                <w:lang w:val="es-ES" w:eastAsia="es-ES"/>
              </w:rPr>
            </w:pPr>
          </w:p>
        </w:tc>
        <w:tc>
          <w:tcPr>
            <w:tcW w:w="495" w:type="pct"/>
            <w:vMerge/>
            <w:shd w:val="clear" w:color="auto" w:fill="auto"/>
            <w:noWrap/>
            <w:vAlign w:val="bottom"/>
            <w:hideMark/>
          </w:tcPr>
          <w:p w14:paraId="0BE3334D" w14:textId="77777777" w:rsidR="0001560F" w:rsidRPr="009E596D" w:rsidRDefault="0001560F" w:rsidP="00F10C3B">
            <w:pPr>
              <w:spacing w:line="360" w:lineRule="auto"/>
              <w:jc w:val="both"/>
              <w:rPr>
                <w:rFonts w:ascii="Book Antiqua" w:hAnsi="Book Antiqua" w:cs="Calibri"/>
                <w:bCs/>
                <w:lang w:val="es-ES" w:eastAsia="es-ES"/>
              </w:rPr>
            </w:pPr>
          </w:p>
        </w:tc>
        <w:tc>
          <w:tcPr>
            <w:tcW w:w="465" w:type="pct"/>
            <w:vMerge/>
            <w:shd w:val="clear" w:color="auto" w:fill="auto"/>
            <w:noWrap/>
            <w:vAlign w:val="bottom"/>
            <w:hideMark/>
          </w:tcPr>
          <w:p w14:paraId="2633CC18" w14:textId="77777777" w:rsidR="0001560F" w:rsidRPr="009E596D" w:rsidRDefault="0001560F" w:rsidP="00F10C3B">
            <w:pPr>
              <w:spacing w:line="360" w:lineRule="auto"/>
              <w:jc w:val="both"/>
              <w:rPr>
                <w:rFonts w:ascii="Book Antiqua" w:hAnsi="Book Antiqua" w:cs="Calibri"/>
                <w:bCs/>
                <w:lang w:val="es-ES" w:eastAsia="es-ES"/>
              </w:rPr>
            </w:pPr>
          </w:p>
        </w:tc>
      </w:tr>
      <w:tr w:rsidR="0001560F" w:rsidRPr="00D275F9" w14:paraId="231594A3" w14:textId="77777777" w:rsidTr="009E596D">
        <w:trPr>
          <w:trHeight w:val="784"/>
        </w:trPr>
        <w:tc>
          <w:tcPr>
            <w:tcW w:w="1313" w:type="pct"/>
            <w:shd w:val="clear" w:color="auto" w:fill="auto"/>
            <w:noWrap/>
            <w:vAlign w:val="center"/>
            <w:hideMark/>
          </w:tcPr>
          <w:p w14:paraId="4D5DE304" w14:textId="77777777" w:rsidR="0001560F" w:rsidRPr="00D275F9" w:rsidRDefault="0001560F" w:rsidP="00F10C3B">
            <w:pPr>
              <w:spacing w:line="360" w:lineRule="auto"/>
              <w:jc w:val="both"/>
              <w:rPr>
                <w:rFonts w:ascii="Book Antiqua" w:hAnsi="Book Antiqua" w:cs="Calibri"/>
                <w:lang w:val="es-ES" w:eastAsia="es-ES"/>
              </w:rPr>
            </w:pPr>
            <w:r w:rsidRPr="00D275F9">
              <w:rPr>
                <w:rFonts w:ascii="Book Antiqua" w:hAnsi="Book Antiqua" w:cs="Calibri"/>
                <w:lang w:val="es-ES" w:eastAsia="es-ES"/>
              </w:rPr>
              <w:t xml:space="preserve">Gerasimidis </w:t>
            </w:r>
            <w:r w:rsidRPr="006E5332">
              <w:rPr>
                <w:rFonts w:ascii="Book Antiqua" w:hAnsi="Book Antiqua" w:cs="Calibri"/>
                <w:i/>
                <w:lang w:val="es-ES" w:eastAsia="es-ES"/>
              </w:rPr>
              <w:t>et al</w:t>
            </w:r>
            <w:r w:rsidR="00C3458C" w:rsidRPr="00D275F9">
              <w:rPr>
                <w:rFonts w:ascii="Book Antiqua" w:hAnsi="Book Antiqua" w:cs="Calibri"/>
                <w:lang w:val="es-ES" w:eastAsia="es-ES"/>
              </w:rPr>
              <w:fldChar w:fldCharType="begin" w:fldLock="1"/>
            </w:r>
            <w:r w:rsidRPr="00D275F9">
              <w:rPr>
                <w:rFonts w:ascii="Book Antiqua" w:hAnsi="Book Antiqua" w:cs="Calibri"/>
                <w:lang w:val="es-ES" w:eastAsia="es-ES"/>
              </w:rPr>
              <w:instrText>ADDIN CSL_CITATION {"citationItems":[{"id":"ITEM-1","itemData":{"DOI":"10.1097/MPG.0000000000002062","ISSN":"0277-2116","PMID":"29916953","abstract":"OBJECTIVES: Detection of faecal gluten immunogenic peptides (GIP) is a biomarker of recent gluten consumption. GIP levels can be used to monitor gluten intake and compliment clinical methods to evaluate compliance to gluten-free diet (GFD). In the present study, recent gluten intake was measured by GIP in children with coeliac disease (CD) and compared to routine clinical measures to evaluate GFD compliance. METHODS: GIP was measured in 90 samples from 63 CD children (44 previously and 19 newly diagnosed with follow-up samples at 6 and 12 months on GFD). Compliance to GFD was evaluated based on clinical assessment, tissue transglutaminase (tTG) levels, and Biagi score. RESULTS: GIP was detectable in 16% of patients with previous CD diagnosis on GFD. Body mass index z score (P = 0.774), height z score (P = 0.723), haemoglobin concentration (P = 0.233), age (P = 0.448), sex (P = 0.734), or disease duration (P = 0.488) did not differ between those with detectable and nondetectable GIP. In newly diagnosed patients, on gluten-containing diet, GIP was detectable in 95% of them. Following GFD initiation, GIP decreased (P &lt; 0.001); 17% and 27% had detectable levels at 6 and 12 months, respectively. Compared to GIP, the Biagi score, tTG, and clinical assessment presented sensitivity of 17%, 42%, and 17%, respectively. Likewise, GIP was detectable in 16%, 16%, and 14% of patients evaluated as GFD compliant according to the Biagi score, tTG, and clinical assessment, respectively. A combination of methods did not improve identification of patients who were noncompliant. CONCLUSIONS: Inclusion of faecal GIP measurements is likely to improve identification of GFD recent noncompliance in CD management and could be incorporated into current follow-up strategies.","author":[{"dropping-particle":"","family":"Gerasimidis","given":"Konstantinos","non-dropping-particle":"","parse-names":false,"suffix":""},{"dropping-particle":"","family":"Zafeiropoulou","given":"Konstantina","non-dropping-particle":"","parse-names":false,"suffix":""},{"dropping-particle":"","family":"Mackinder","given":"Mary","non-dropping-particle":"","parse-names":false,"suffix":""},{"dropping-particle":"","family":"Ijaz","given":"Umer Z","non-dropping-particle":"","parse-names":false,"suffix":""},{"dropping-particle":"","family":"Duncan","given":"Hazel","non-dropping-particle":"","parse-names":false,"suffix":""},{"dropping-particle":"","family":"Buchanan","given":"Elaine","non-dropping-particle":"","parse-names":false,"suffix":""},{"dropping-particle":"","family":"Cardigan","given":"Tracey","non-dropping-particle":"","parse-names":false,"suffix":""},{"dropping-particle":"","family":"Edwards","given":"Christine A.","non-dropping-particle":"","parse-names":false,"suffix":""},{"dropping-particle":"","family":"McGrogan","given":"Paraic","non-dropping-particle":"","parse-names":false,"suffix":""},{"dropping-particle":"","family":"Russell","given":"Richard K.","non-dropping-particle":"","parse-names":false,"suffix":""}],"container-title":"Journal of Pediatric Gastroenterology and Nutrition","id":"ITEM-1","issue":"3","issued":{"date-parts":[["2018","9"]]},"page":"356-360","title":"Comparison of Clinical Methods With the Faecal Gluten Immunogenic Peptide to Assess Gluten Intake in Coeliac Disease","type":"article-journal","volume":"67"},"uris":["http://www.mendeley.com/documents/?uuid=08a5d069-e32e-30a6-ba4f-7870a7ff4c03"]}],"mendeley":{"formattedCitation":"&lt;sup&gt;[39]&lt;/sup&gt;","plainTextFormattedCitation":"[39]","previouslyFormattedCitation":"&lt;sup&gt;[39]&lt;/sup&gt;"},"properties":{"noteIndex":0},"schema":"https://github.com/citation-style-language/schema/raw/master/csl-citation.json"}</w:instrText>
            </w:r>
            <w:r w:rsidR="00C3458C" w:rsidRPr="00D275F9">
              <w:rPr>
                <w:rFonts w:ascii="Book Antiqua" w:hAnsi="Book Antiqua" w:cs="Calibri"/>
                <w:lang w:val="es-ES" w:eastAsia="es-ES"/>
              </w:rPr>
              <w:fldChar w:fldCharType="separate"/>
            </w:r>
            <w:r w:rsidRPr="00D275F9">
              <w:rPr>
                <w:rFonts w:ascii="Book Antiqua" w:hAnsi="Book Antiqua" w:cs="Calibri"/>
                <w:noProof/>
                <w:vertAlign w:val="superscript"/>
                <w:lang w:val="es-ES" w:eastAsia="es-ES"/>
              </w:rPr>
              <w:t>[39]</w:t>
            </w:r>
            <w:r w:rsidR="00C3458C" w:rsidRPr="00D275F9">
              <w:rPr>
                <w:rFonts w:ascii="Book Antiqua" w:hAnsi="Book Antiqua" w:cs="Calibri"/>
                <w:lang w:val="es-ES" w:eastAsia="es-ES"/>
              </w:rPr>
              <w:fldChar w:fldCharType="end"/>
            </w:r>
          </w:p>
        </w:tc>
        <w:tc>
          <w:tcPr>
            <w:tcW w:w="512" w:type="pct"/>
            <w:shd w:val="clear" w:color="auto" w:fill="auto"/>
            <w:noWrap/>
            <w:vAlign w:val="bottom"/>
            <w:hideMark/>
          </w:tcPr>
          <w:p w14:paraId="25DADE88" w14:textId="77777777" w:rsidR="0001560F" w:rsidRPr="009E596D" w:rsidRDefault="0001560F" w:rsidP="00F10C3B">
            <w:pPr>
              <w:spacing w:line="360" w:lineRule="auto"/>
              <w:jc w:val="both"/>
              <w:rPr>
                <w:rFonts w:ascii="Book Antiqua" w:hAnsi="Book Antiqua" w:cs="Calibri"/>
                <w:lang w:val="es-ES" w:eastAsia="zh-CN"/>
              </w:rPr>
            </w:pPr>
            <w:r w:rsidRPr="009E596D">
              <w:rPr>
                <w:rFonts w:ascii="Book Antiqua" w:hAnsi="Book Antiqua" w:cs="Calibri"/>
                <w:lang w:val="es-ES" w:eastAsia="es-ES"/>
              </w:rPr>
              <w:t>11</w:t>
            </w:r>
            <w:r w:rsidRPr="009E596D">
              <w:rPr>
                <w:rFonts w:ascii="Book Antiqua" w:hAnsi="Book Antiqua" w:cs="Calibri" w:hint="eastAsia"/>
                <w:lang w:val="es-ES" w:eastAsia="zh-CN"/>
              </w:rPr>
              <w:t xml:space="preserve"> (</w:t>
            </w:r>
            <w:r w:rsidRPr="009E596D">
              <w:rPr>
                <w:rFonts w:ascii="Book Antiqua" w:hAnsi="Book Antiqua" w:cs="Calibri"/>
                <w:bCs/>
                <w:lang w:val="es-ES" w:eastAsia="es-ES"/>
              </w:rPr>
              <w:t>19</w:t>
            </w:r>
            <w:r w:rsidRPr="009E596D">
              <w:rPr>
                <w:rFonts w:ascii="Book Antiqua" w:hAnsi="Book Antiqua" w:cs="Calibri" w:hint="eastAsia"/>
                <w:bCs/>
                <w:lang w:val="es-ES" w:eastAsia="zh-CN"/>
              </w:rPr>
              <w:t>)</w:t>
            </w:r>
          </w:p>
        </w:tc>
        <w:tc>
          <w:tcPr>
            <w:tcW w:w="532" w:type="pct"/>
            <w:shd w:val="clear" w:color="auto" w:fill="auto"/>
            <w:noWrap/>
            <w:vAlign w:val="bottom"/>
            <w:hideMark/>
          </w:tcPr>
          <w:p w14:paraId="5897C539" w14:textId="77777777" w:rsidR="0001560F" w:rsidRPr="009E596D" w:rsidRDefault="0001560F" w:rsidP="00F10C3B">
            <w:pPr>
              <w:spacing w:line="360" w:lineRule="auto"/>
              <w:jc w:val="both"/>
              <w:rPr>
                <w:rFonts w:ascii="Book Antiqua" w:hAnsi="Book Antiqua" w:cs="Calibri"/>
                <w:lang w:val="es-ES" w:eastAsia="zh-CN"/>
              </w:rPr>
            </w:pPr>
            <w:r w:rsidRPr="009E596D">
              <w:rPr>
                <w:rFonts w:ascii="Book Antiqua" w:hAnsi="Book Antiqua" w:cs="Calibri"/>
                <w:lang w:val="es-ES" w:eastAsia="es-ES"/>
              </w:rPr>
              <w:t>-</w:t>
            </w:r>
          </w:p>
        </w:tc>
        <w:tc>
          <w:tcPr>
            <w:tcW w:w="464" w:type="pct"/>
            <w:shd w:val="clear" w:color="auto" w:fill="auto"/>
            <w:noWrap/>
            <w:vAlign w:val="bottom"/>
            <w:hideMark/>
          </w:tcPr>
          <w:p w14:paraId="5175EFED" w14:textId="77777777" w:rsidR="0001560F" w:rsidRPr="009E596D" w:rsidRDefault="0001560F" w:rsidP="00F10C3B">
            <w:pPr>
              <w:spacing w:line="360" w:lineRule="auto"/>
              <w:jc w:val="both"/>
              <w:rPr>
                <w:rFonts w:ascii="Book Antiqua" w:hAnsi="Book Antiqua" w:cs="Calibri"/>
                <w:lang w:val="es-ES" w:eastAsia="zh-CN"/>
              </w:rPr>
            </w:pPr>
            <w:r w:rsidRPr="009E596D">
              <w:rPr>
                <w:rFonts w:ascii="Book Antiqua" w:hAnsi="Book Antiqua" w:cs="Calibri"/>
                <w:lang w:val="es-ES" w:eastAsia="es-ES"/>
              </w:rPr>
              <w:t>12</w:t>
            </w:r>
            <w:r w:rsidRPr="009E596D">
              <w:rPr>
                <w:rFonts w:ascii="Book Antiqua" w:hAnsi="Book Antiqua" w:cs="Calibri" w:hint="eastAsia"/>
                <w:lang w:val="es-ES" w:eastAsia="zh-CN"/>
              </w:rPr>
              <w:t xml:space="preserve"> (</w:t>
            </w:r>
            <w:r w:rsidRPr="009E596D">
              <w:rPr>
                <w:rFonts w:ascii="Book Antiqua" w:hAnsi="Book Antiqua" w:cs="Calibri"/>
                <w:bCs/>
                <w:lang w:val="es-ES" w:eastAsia="es-ES"/>
              </w:rPr>
              <w:t>20</w:t>
            </w:r>
            <w:r w:rsidRPr="009E596D">
              <w:rPr>
                <w:rFonts w:ascii="Book Antiqua" w:hAnsi="Book Antiqua" w:cs="Calibri" w:hint="eastAsia"/>
                <w:bCs/>
                <w:lang w:val="es-ES" w:eastAsia="zh-CN"/>
              </w:rPr>
              <w:t>)</w:t>
            </w:r>
          </w:p>
        </w:tc>
        <w:tc>
          <w:tcPr>
            <w:tcW w:w="504" w:type="pct"/>
            <w:shd w:val="clear" w:color="auto" w:fill="auto"/>
            <w:noWrap/>
            <w:vAlign w:val="bottom"/>
            <w:hideMark/>
          </w:tcPr>
          <w:p w14:paraId="3482373B" w14:textId="77777777" w:rsidR="0001560F" w:rsidRPr="009E596D" w:rsidRDefault="0001560F" w:rsidP="00F10C3B">
            <w:pPr>
              <w:spacing w:line="360" w:lineRule="auto"/>
              <w:jc w:val="both"/>
              <w:rPr>
                <w:rFonts w:ascii="Book Antiqua" w:hAnsi="Book Antiqua" w:cs="Calibri"/>
                <w:lang w:val="es-ES" w:eastAsia="zh-CN"/>
              </w:rPr>
            </w:pPr>
            <w:r w:rsidRPr="009E596D">
              <w:rPr>
                <w:rFonts w:ascii="Book Antiqua" w:hAnsi="Book Antiqua" w:cs="Calibri"/>
                <w:lang w:val="es-ES" w:eastAsia="es-ES"/>
              </w:rPr>
              <w:t>-</w:t>
            </w:r>
          </w:p>
        </w:tc>
        <w:tc>
          <w:tcPr>
            <w:tcW w:w="716" w:type="pct"/>
            <w:shd w:val="clear" w:color="auto" w:fill="auto"/>
            <w:noWrap/>
            <w:vAlign w:val="bottom"/>
            <w:hideMark/>
          </w:tcPr>
          <w:p w14:paraId="028DAE00" w14:textId="77777777" w:rsidR="0001560F" w:rsidRPr="009E596D" w:rsidRDefault="0001560F" w:rsidP="00F10C3B">
            <w:pPr>
              <w:spacing w:line="360" w:lineRule="auto"/>
              <w:jc w:val="both"/>
              <w:rPr>
                <w:rFonts w:ascii="Book Antiqua" w:hAnsi="Book Antiqua" w:cs="Calibri"/>
                <w:lang w:val="es-ES" w:eastAsia="zh-CN"/>
              </w:rPr>
            </w:pPr>
            <w:r w:rsidRPr="009E596D">
              <w:rPr>
                <w:rFonts w:ascii="Book Antiqua" w:hAnsi="Book Antiqua" w:cs="Calibri"/>
                <w:lang w:val="es-ES" w:eastAsia="es-ES"/>
              </w:rPr>
              <w:t>4</w:t>
            </w:r>
            <w:r w:rsidRPr="009E596D">
              <w:rPr>
                <w:rFonts w:ascii="Book Antiqua" w:hAnsi="Book Antiqua" w:cs="Calibri" w:hint="eastAsia"/>
                <w:lang w:val="es-ES" w:eastAsia="zh-CN"/>
              </w:rPr>
              <w:t xml:space="preserve"> (</w:t>
            </w:r>
            <w:r w:rsidRPr="009E596D">
              <w:rPr>
                <w:rFonts w:ascii="Book Antiqua" w:hAnsi="Book Antiqua" w:cs="Calibri"/>
                <w:bCs/>
                <w:lang w:val="es-ES" w:eastAsia="es-ES"/>
              </w:rPr>
              <w:t>6</w:t>
            </w:r>
            <w:r w:rsidRPr="009E596D">
              <w:rPr>
                <w:rFonts w:ascii="Book Antiqua" w:hAnsi="Book Antiqua" w:cs="Calibri" w:hint="eastAsia"/>
                <w:bCs/>
                <w:lang w:val="es-ES" w:eastAsia="zh-CN"/>
              </w:rPr>
              <w:t>)</w:t>
            </w:r>
          </w:p>
        </w:tc>
        <w:tc>
          <w:tcPr>
            <w:tcW w:w="495" w:type="pct"/>
            <w:shd w:val="clear" w:color="auto" w:fill="auto"/>
            <w:noWrap/>
            <w:vAlign w:val="bottom"/>
            <w:hideMark/>
          </w:tcPr>
          <w:p w14:paraId="1058E821" w14:textId="77777777" w:rsidR="0001560F" w:rsidRPr="009E596D" w:rsidRDefault="0001560F" w:rsidP="00F10C3B">
            <w:pPr>
              <w:spacing w:line="360" w:lineRule="auto"/>
              <w:jc w:val="both"/>
              <w:rPr>
                <w:rFonts w:ascii="Book Antiqua" w:hAnsi="Book Antiqua" w:cs="Calibri"/>
                <w:lang w:val="es-ES" w:eastAsia="zh-CN"/>
              </w:rPr>
            </w:pPr>
            <w:r w:rsidRPr="009E596D">
              <w:rPr>
                <w:rFonts w:ascii="Book Antiqua" w:hAnsi="Book Antiqua" w:cs="Calibri"/>
                <w:lang w:val="es-ES" w:eastAsia="es-ES"/>
              </w:rPr>
              <w:t>-</w:t>
            </w:r>
          </w:p>
        </w:tc>
        <w:tc>
          <w:tcPr>
            <w:tcW w:w="465" w:type="pct"/>
            <w:shd w:val="clear" w:color="auto" w:fill="auto"/>
            <w:noWrap/>
            <w:vAlign w:val="bottom"/>
            <w:hideMark/>
          </w:tcPr>
          <w:p w14:paraId="3DCE0153" w14:textId="77777777" w:rsidR="0001560F" w:rsidRPr="009E596D" w:rsidRDefault="0001560F" w:rsidP="00F10C3B">
            <w:pPr>
              <w:spacing w:line="360" w:lineRule="auto"/>
              <w:jc w:val="both"/>
              <w:rPr>
                <w:rFonts w:ascii="Book Antiqua" w:hAnsi="Book Antiqua" w:cs="Calibri"/>
                <w:lang w:val="es-ES" w:eastAsia="zh-CN"/>
              </w:rPr>
            </w:pPr>
            <w:r w:rsidRPr="009E596D">
              <w:rPr>
                <w:rFonts w:ascii="Book Antiqua" w:hAnsi="Book Antiqua" w:cs="Calibri"/>
                <w:lang w:val="es-ES" w:eastAsia="es-ES"/>
              </w:rPr>
              <w:t>-</w:t>
            </w:r>
          </w:p>
        </w:tc>
      </w:tr>
      <w:tr w:rsidR="0001560F" w:rsidRPr="00D275F9" w14:paraId="52E6FE39" w14:textId="77777777" w:rsidTr="009E596D">
        <w:trPr>
          <w:trHeight w:val="784"/>
        </w:trPr>
        <w:tc>
          <w:tcPr>
            <w:tcW w:w="1313" w:type="pct"/>
            <w:shd w:val="clear" w:color="auto" w:fill="auto"/>
            <w:noWrap/>
            <w:vAlign w:val="center"/>
            <w:hideMark/>
          </w:tcPr>
          <w:p w14:paraId="0DF3EFA2" w14:textId="77777777" w:rsidR="0001560F" w:rsidRPr="00D275F9" w:rsidRDefault="0001560F" w:rsidP="00F10C3B">
            <w:pPr>
              <w:spacing w:line="360" w:lineRule="auto"/>
              <w:jc w:val="both"/>
              <w:rPr>
                <w:rFonts w:ascii="Book Antiqua" w:hAnsi="Book Antiqua" w:cs="Calibri"/>
                <w:lang w:eastAsia="es-ES"/>
              </w:rPr>
            </w:pPr>
            <w:r w:rsidRPr="00D275F9">
              <w:rPr>
                <w:rFonts w:ascii="Book Antiqua" w:hAnsi="Book Antiqua" w:cs="Calibri"/>
                <w:lang w:val="es-ES" w:eastAsia="es-ES"/>
              </w:rPr>
              <w:t xml:space="preserve">Comino </w:t>
            </w:r>
            <w:r w:rsidRPr="006E5332">
              <w:rPr>
                <w:rFonts w:ascii="Book Antiqua" w:hAnsi="Book Antiqua" w:cs="Calibri"/>
                <w:i/>
                <w:lang w:val="es-ES" w:eastAsia="es-ES"/>
              </w:rPr>
              <w:t>et al</w:t>
            </w:r>
            <w:r w:rsidR="00C3458C" w:rsidRPr="00D275F9">
              <w:rPr>
                <w:rFonts w:ascii="Book Antiqua" w:hAnsi="Book Antiqua" w:cs="Calibri"/>
                <w:lang w:val="es-ES" w:eastAsia="es-ES"/>
              </w:rPr>
              <w:fldChar w:fldCharType="begin" w:fldLock="1"/>
            </w:r>
            <w:r w:rsidRPr="00D275F9">
              <w:rPr>
                <w:rFonts w:ascii="Book Antiqua" w:hAnsi="Book Antiqua" w:cs="Calibri"/>
                <w:lang w:val="es-ES" w:eastAsia="es-ES"/>
              </w:rPr>
              <w:instrText>ADDIN CSL_CITATION {"citationItems":[{"id":"ITEM-1","itemData":{"DOI":"10.1111/apt.15277","ISSN":"13652036","PMID":"31074004","abstract":"© 2019 The Authors. Alimentary Pharmacology &amp; Therapeutics Published by John Wiley &amp; Sons Ltd. Background: Treatment for coeliac disease is a lifelong strict gluten-free diet. Although guidelines recommend regular follow-up with dietary interviews and coeliac serology, these methods may be inaccurate. Aim: To evaluate the usefulness of faecal gluten immunogenic peptides to support the diagnosis and to determine the adherence to the gluten-free diet in coeliac children. Methods: Multicentre prospective observational study including 64 coeliac children. Faecal gluten peptides, and tissue transglutaminase and deamidated gliadin peptide antibodies were analyzed at diagnosis, and 6, 12 and 24 months thereafter. Gluten consumption was estimated from gluten peptide levels. Results: Most children (97%) had detectable gluten peptides at diagnosis. On a gluten-free diet, the rate of gluten peptides increased from 13% at 6 months to 25% at 24 months. Mean estimated gluten exposure dropped from 5543 mg/d at diagnosis to 144 mg/d at 6 months, then increased to 606 mg/d by 24 months. In contrast, deamidated gliadin peptide antibodies normalised and only 20% had elevated tissue transglutaminase antibody by 24 months. The elevation of tissue transglutaminase antibody was more prolonged in patients with detectable gluten peptides (P &lt; 0.05). Nevertheless, absolute levels of tissue transglutaminase antibody had low sensitivity to identify patients with detectable gluten peptides (P &gt; 0.1). Dietitian assessment was only moderately correlated with gluten peptide detection (κ = 0.5). Conclusions: Faecal gluten peptides testing may guide treatment of coeliac disease prior to diagnosis and during the assessment diet adherence. Further studies could determine if early identification of gluten exposure reduces the need for expensive/invasive investigations for non-responsive coeliac disease. ClinicalTrials.gov Number: NCT02711397.","author":[{"dropping-particle":"","family":"Comino","given":"Isabel","non-dropping-particle":"","parse-names":false,"suffix":""},{"dropping-particle":"","family":"Segura","given":"Verónica","non-dropping-particle":"","parse-names":false,"suffix":""},{"dropping-particle":"","family":"Ortigosa","given":"Luis","non-dropping-particle":"","parse-names":false,"suffix":""},{"dropping-particle":"","family":"Espín","given":"Beatríz","non-dropping-particle":"","parse-names":false,"suffix":""},{"dropping-particle":"","family":"Castillejo","given":"Gemma","non-dropping-particle":"","parse-names":false,"suffix":""},{"dropping-particle":"","family":"Garrote","given":"José Antonio","non-dropping-particle":"","parse-names":false,"suffix":""},{"dropping-particle":"","family":"Sierra","given":"Carlos","non-dropping-particle":"","parse-names":false,"suffix":""},{"dropping-particle":"","family":"Millán","given":"Antonio","non-dropping-particle":"","parse-names":false,"suffix":""},{"dropping-particle":"","family":"Ribes-Koninckx","given":"Carmen","non-dropping-particle":"","parse-names":false,"suffix":""},{"dropping-particle":"","family":"Román","given":"Enriqueta","non-dropping-particle":"","parse-names":false,"suffix":""},{"dropping-particle":"","family":"Rodríguez-Herrera","given":"Alfonso","non-dropping-particle":"","parse-names":false,"suffix":""},{"dropping-particle":"","family":"Díaz","given":"Jacobo","non-dropping-particle":"","parse-names":false,"suffix":""},{"dropping-particle":"","family":"Silvester","given":"Jocelyn Anne","non-dropping-particle":"","parse-names":false,"suffix":""},{"dropping-particle":"","family":"Cebolla","given":"Ángel","non-dropping-particle":"","parse-names":false,"suffix":""},{"dropping-particle":"","family":"Sousa","given":"Carolina","non-dropping-particle":"","parse-names":false,"suffix":""}],"container-title":"Alimentary Pharmacology and Therapeutics","id":"ITEM-1","issue":"12","issued":{"date-parts":[["2019"]]},"page":"1484-1492","title":"Prospective longitudinal study: use of faecal gluten immunogenic peptides to monitor children diagnosed with coeliac disease during transition to a gluten-free diet","type":"article-journal","volume":"49"},"uris":["http://www.mendeley.com/documents/?uuid=6d445176-70b5-438b-ae4c-f981bee81913"]}],"mendeley":{"formattedCitation":"&lt;sup&gt;[40]&lt;/sup&gt;","plainTextFormattedCitation":"[40]","previouslyFormattedCitation":"&lt;sup&gt;[40]&lt;/sup&gt;"},"properties":{"noteIndex":0},"schema":"https://github.com/citation-style-language/schema/raw/master/csl-citation.json"}</w:instrText>
            </w:r>
            <w:r w:rsidR="00C3458C" w:rsidRPr="00D275F9">
              <w:rPr>
                <w:rFonts w:ascii="Book Antiqua" w:hAnsi="Book Antiqua" w:cs="Calibri"/>
                <w:lang w:val="es-ES" w:eastAsia="es-ES"/>
              </w:rPr>
              <w:fldChar w:fldCharType="separate"/>
            </w:r>
            <w:r w:rsidRPr="00D275F9">
              <w:rPr>
                <w:rFonts w:ascii="Book Antiqua" w:hAnsi="Book Antiqua" w:cs="Calibri"/>
                <w:noProof/>
                <w:vertAlign w:val="superscript"/>
                <w:lang w:eastAsia="es-ES"/>
              </w:rPr>
              <w:t>[40]</w:t>
            </w:r>
            <w:r w:rsidR="00C3458C" w:rsidRPr="00D275F9">
              <w:rPr>
                <w:rFonts w:ascii="Book Antiqua" w:hAnsi="Book Antiqua" w:cs="Calibri"/>
                <w:lang w:val="es-ES" w:eastAsia="es-ES"/>
              </w:rPr>
              <w:fldChar w:fldCharType="end"/>
            </w:r>
          </w:p>
        </w:tc>
        <w:tc>
          <w:tcPr>
            <w:tcW w:w="512" w:type="pct"/>
            <w:shd w:val="clear" w:color="auto" w:fill="auto"/>
            <w:noWrap/>
            <w:vAlign w:val="bottom"/>
            <w:hideMark/>
          </w:tcPr>
          <w:p w14:paraId="623CD917"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6</w:t>
            </w:r>
            <w:r w:rsidRPr="009E596D">
              <w:rPr>
                <w:rFonts w:ascii="Book Antiqua" w:hAnsi="Book Antiqua" w:cs="Calibri" w:hint="eastAsia"/>
                <w:lang w:eastAsia="zh-CN"/>
              </w:rPr>
              <w:t xml:space="preserve"> (</w:t>
            </w:r>
            <w:r w:rsidRPr="009E596D">
              <w:rPr>
                <w:rFonts w:ascii="Book Antiqua" w:hAnsi="Book Antiqua" w:cs="Calibri"/>
                <w:bCs/>
                <w:lang w:eastAsia="es-ES"/>
              </w:rPr>
              <w:t>25</w:t>
            </w:r>
            <w:r w:rsidRPr="009E596D">
              <w:rPr>
                <w:rFonts w:ascii="Book Antiqua" w:hAnsi="Book Antiqua" w:cs="Calibri" w:hint="eastAsia"/>
                <w:bCs/>
                <w:lang w:eastAsia="zh-CN"/>
              </w:rPr>
              <w:t>)</w:t>
            </w:r>
          </w:p>
        </w:tc>
        <w:tc>
          <w:tcPr>
            <w:tcW w:w="532" w:type="pct"/>
            <w:shd w:val="clear" w:color="auto" w:fill="auto"/>
            <w:noWrap/>
            <w:vAlign w:val="bottom"/>
            <w:hideMark/>
          </w:tcPr>
          <w:p w14:paraId="53612CE2"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w:t>
            </w:r>
          </w:p>
        </w:tc>
        <w:tc>
          <w:tcPr>
            <w:tcW w:w="464" w:type="pct"/>
            <w:shd w:val="clear" w:color="auto" w:fill="auto"/>
            <w:noWrap/>
            <w:vAlign w:val="bottom"/>
            <w:hideMark/>
          </w:tcPr>
          <w:p w14:paraId="5203B8A9"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7</w:t>
            </w:r>
            <w:r w:rsidRPr="009E596D">
              <w:rPr>
                <w:rFonts w:ascii="Book Antiqua" w:hAnsi="Book Antiqua" w:cs="Calibri" w:hint="eastAsia"/>
                <w:lang w:eastAsia="zh-CN"/>
              </w:rPr>
              <w:t xml:space="preserve"> (</w:t>
            </w:r>
            <w:r w:rsidRPr="009E596D">
              <w:rPr>
                <w:rFonts w:ascii="Book Antiqua" w:hAnsi="Book Antiqua" w:cs="Calibri"/>
                <w:bCs/>
                <w:lang w:eastAsia="es-ES"/>
              </w:rPr>
              <w:t>20</w:t>
            </w:r>
            <w:r w:rsidRPr="009E596D">
              <w:rPr>
                <w:rFonts w:ascii="Book Antiqua" w:hAnsi="Book Antiqua" w:cs="Calibri" w:hint="eastAsia"/>
                <w:bCs/>
                <w:lang w:eastAsia="zh-CN"/>
              </w:rPr>
              <w:t>)</w:t>
            </w:r>
          </w:p>
        </w:tc>
        <w:tc>
          <w:tcPr>
            <w:tcW w:w="504" w:type="pct"/>
            <w:shd w:val="clear" w:color="auto" w:fill="auto"/>
            <w:noWrap/>
            <w:vAlign w:val="bottom"/>
            <w:hideMark/>
          </w:tcPr>
          <w:p w14:paraId="73D00E12"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0</w:t>
            </w:r>
            <w:r w:rsidRPr="009E596D">
              <w:rPr>
                <w:rFonts w:ascii="Book Antiqua" w:hAnsi="Book Antiqua" w:cs="Calibri" w:hint="eastAsia"/>
                <w:lang w:eastAsia="zh-CN"/>
              </w:rPr>
              <w:t xml:space="preserve"> (</w:t>
            </w:r>
            <w:r w:rsidRPr="009E596D">
              <w:rPr>
                <w:rFonts w:ascii="Book Antiqua" w:hAnsi="Book Antiqua" w:cs="Calibri"/>
                <w:bCs/>
                <w:lang w:eastAsia="es-ES"/>
              </w:rPr>
              <w:t>0</w:t>
            </w:r>
            <w:r w:rsidRPr="009E596D">
              <w:rPr>
                <w:rFonts w:ascii="Book Antiqua" w:hAnsi="Book Antiqua" w:cs="Calibri" w:hint="eastAsia"/>
                <w:bCs/>
                <w:lang w:eastAsia="zh-CN"/>
              </w:rPr>
              <w:t>)</w:t>
            </w:r>
          </w:p>
        </w:tc>
        <w:tc>
          <w:tcPr>
            <w:tcW w:w="716" w:type="pct"/>
            <w:shd w:val="clear" w:color="auto" w:fill="auto"/>
            <w:noWrap/>
            <w:vAlign w:val="bottom"/>
            <w:hideMark/>
          </w:tcPr>
          <w:p w14:paraId="0FB8D136"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w:t>
            </w:r>
          </w:p>
        </w:tc>
        <w:tc>
          <w:tcPr>
            <w:tcW w:w="495" w:type="pct"/>
            <w:shd w:val="clear" w:color="auto" w:fill="auto"/>
            <w:noWrap/>
            <w:vAlign w:val="bottom"/>
            <w:hideMark/>
          </w:tcPr>
          <w:p w14:paraId="403EC415"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w:t>
            </w:r>
          </w:p>
        </w:tc>
        <w:tc>
          <w:tcPr>
            <w:tcW w:w="465" w:type="pct"/>
            <w:shd w:val="clear" w:color="auto" w:fill="auto"/>
            <w:noWrap/>
            <w:vAlign w:val="bottom"/>
            <w:hideMark/>
          </w:tcPr>
          <w:p w14:paraId="42F52DB3"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w:t>
            </w:r>
          </w:p>
        </w:tc>
      </w:tr>
      <w:tr w:rsidR="0001560F" w:rsidRPr="00D275F9" w14:paraId="7280C5DB" w14:textId="77777777" w:rsidTr="009E596D">
        <w:trPr>
          <w:trHeight w:val="784"/>
        </w:trPr>
        <w:tc>
          <w:tcPr>
            <w:tcW w:w="1313" w:type="pct"/>
            <w:shd w:val="clear" w:color="auto" w:fill="auto"/>
            <w:noWrap/>
            <w:vAlign w:val="center"/>
            <w:hideMark/>
          </w:tcPr>
          <w:p w14:paraId="02B3B484" w14:textId="77777777" w:rsidR="0001560F" w:rsidRPr="00D275F9" w:rsidRDefault="0001560F" w:rsidP="00F10C3B">
            <w:pPr>
              <w:spacing w:line="360" w:lineRule="auto"/>
              <w:jc w:val="both"/>
              <w:rPr>
                <w:rFonts w:ascii="Book Antiqua" w:hAnsi="Book Antiqua" w:cs="Calibri"/>
                <w:lang w:eastAsia="es-ES"/>
              </w:rPr>
            </w:pPr>
            <w:r w:rsidRPr="00D275F9">
              <w:rPr>
                <w:rFonts w:ascii="Book Antiqua" w:hAnsi="Book Antiqua" w:cs="Calibri"/>
                <w:lang w:eastAsia="es-ES"/>
              </w:rPr>
              <w:t xml:space="preserve">Costa </w:t>
            </w:r>
            <w:r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{"citationItems":[{"id":"ITEM-1","itemData":{"DOI":"10.3748/wjg.v25.i11.1409","ISSN":"1007-9327","PMID":"30918433","abstract":"© The Author(s) 2019. BACKGROUND Life-long removal of gluten from the diet is currently the only way to manage celiac disease (CeD). Until now, no objective test has proven useful to objectively detect ingested gluten in clinical practice. Recently, tests that determine consumption of gluten by assessing excretion of gluten immunogenic peptides (GIP) in stool and urine have been developed. Their utility, in comparison with conventional dietary and analytical follow-up strategies, has not been fully established. AIM To assess the performance of enzyme-linked immunosorbent assay (ELISA) and point-of-care tests (PoCTs) for GIP excretion in CeD patients on gluten-free diet (GFD). METHODS We conducted an observational, prospective, cross-sectional study in patients following a GFD for at least two years. Using the Gastrointestinal Symptom Rating Scale questionnaire, patients were classified at enrollment as asymptomatic or symptomatic. Gluten consumption was assessed twice by 3-d dietary recall and GIP excretion (by ELISA in stool and PoCTs (commercial kits for stool and urine) in two consecutive samples. These samples and dietary reports were obtained 10 day apart one from the other. Patients were encouraged to follow their usual GFD during the study period. RESULTS Forty-four patients were enrolled, of which 19 (43.2%) were symptomatic despite being on a GFD. Overall, 83 sets of stool and/or urine samples were collected. Eleven out of 44 patients (25.0%) had at least one positive GIP test. The occurrence of at least one positive test was 32% in asymptomatic patients compared with 15.8% in symptomatic patients. GIP was concordant with dietary reports in 65.9% of cases (Cohen's kappa: 0.317). PoCT detected dietary indiscretions. Both ELISA and PoCT in stool were concordant (concomitantly positive or negative) in 67 out of 74 (90.5%) samples. Excretion of GIP was detected in 7 (8.4%) stool and/or urine samples from patients considered to be strictly compliant with the GFD by dietary reports. CONCLUSION GIP detects dietary transgressions in patients on long-term GFD, irrespective of the presence of symptoms. PoCT for GIP detection constitutes a simple homebased method for self-assessment of dietary indiscretions.","author":[{"dropping-particle":"","family":"Costa","given":"Ana Florencia","non-dropping-particle":"","parse-names":false,"suffix":""},{"dropping-particle":"","family":"Sugai","given":"Emilia","non-dropping-particle":"","parse-names":false,"suffix":""},{"dropping-particle":"","family":"Temprano","given":"María de la Paz","non-dropping-particle":"","parse-names":false,"suffix":""},{"dropping-particle":"","family":"Niveloni","given":"Sonia Isabel","non-dropping-particle":"","parse-names":false,"suffix":""},{"dropping-particle":"","family":"Vázquez","given":"Horacio","non-dropping-particle":"","parse-names":false,"suffix":""},{"dropping-particle":"","family":"Moreno","given":"María Laura","non-dropping-particle":"","parse-names":false,"suffix":""},{"dropping-particle":"","family":"Domínguez-Flores","given":"M. Remedios","non-dropping-particle":"","parse-names":false,"suffix":""},{"dropping-particle":"","family":"Muñoz-Suano","given":"Alba","non-dropping-particle":"","parse-names":false,"suffix":""},{"dropping-particle":"","family":"Smecuol","given":"Edgardo","non-dropping-particle":"","parse-names":false,"suffix":""},{"dropping-particle":"","family":"Stefanolo","given":"Juan Pablo","non-dropping-particle":"","parse-names":false,"suffix":""},{"dropping-particle":"","family":"González","given":"Andrea F.","non-dropping-particle":"","parse-names":false,"suffix":""},{"dropping-particle":"","family":"Cebolla-Ramirez","given":"Angel","non-dropping-particle":"","parse-names":false,"suffix":""},{"dropping-particle":"","family":"Mauriño","given":"Eduardo","non-dropping-particle":"","parse-names":false,"suffix":""},{"dropping-particle":"","family":"Verdú","given":"Elena F.","non-dropping-particle":"","parse-names":false,"suffix":""},{"dropping-particle":"","family":"Bai","given":"Julio César","non-dropping-particle":"","parse-names":false,"suffix":""}],"container-title":"World Journal of Gastroenterology","id":"ITEM-1","issue":"11","issued":{"date-parts":[["2019","3","21"]]},"page":"1409-1420","title":"Gluten immunogenic peptide excretion detects dietary transgressions in treated celiac disease patients","type":"article-journal","volume":"25"},"uris":["http://www.mendeley.com/documents/?uuid=c76e24f4-9854-45c1-bf24-8f1728affb2c"]}],"mendeley":{"formattedCitation":"&lt;sup&gt;[41]&lt;/sup&gt;","plainTextFormattedCitation":"[41]","previouslyFormattedCitation":"&lt;sup&gt;[41]&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[41]</w:t>
            </w:r>
            <w:r w:rsidR="00C3458C" w:rsidRPr="00D275F9">
              <w:rPr>
                <w:rFonts w:ascii="Book Antiqua" w:hAnsi="Book Antiqua" w:cs="Calibri"/>
                <w:lang w:eastAsia="es-ES"/>
              </w:rPr>
              <w:fldChar w:fldCharType="end"/>
            </w:r>
          </w:p>
        </w:tc>
        <w:tc>
          <w:tcPr>
            <w:tcW w:w="512" w:type="pct"/>
            <w:shd w:val="clear" w:color="auto" w:fill="auto"/>
            <w:noWrap/>
            <w:vAlign w:val="bottom"/>
            <w:hideMark/>
          </w:tcPr>
          <w:p w14:paraId="4320DD55"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11</w:t>
            </w:r>
            <w:r w:rsidRPr="009E596D">
              <w:rPr>
                <w:rFonts w:ascii="Book Antiqua" w:hAnsi="Book Antiqua" w:cs="Calibri" w:hint="eastAsia"/>
                <w:lang w:eastAsia="zh-CN"/>
              </w:rPr>
              <w:t xml:space="preserve"> (</w:t>
            </w:r>
            <w:r w:rsidRPr="009E596D">
              <w:rPr>
                <w:rFonts w:ascii="Book Antiqua" w:hAnsi="Book Antiqua" w:cs="Calibri"/>
                <w:bCs/>
                <w:lang w:eastAsia="es-ES"/>
              </w:rPr>
              <w:t>25</w:t>
            </w:r>
            <w:r w:rsidRPr="009E596D">
              <w:rPr>
                <w:rFonts w:ascii="Book Antiqua" w:hAnsi="Book Antiqua" w:cs="Calibri" w:hint="eastAsia"/>
                <w:bCs/>
                <w:lang w:eastAsia="zh-CN"/>
              </w:rPr>
              <w:t>)</w:t>
            </w:r>
          </w:p>
        </w:tc>
        <w:tc>
          <w:tcPr>
            <w:tcW w:w="532" w:type="pct"/>
            <w:shd w:val="clear" w:color="auto" w:fill="auto"/>
            <w:noWrap/>
            <w:vAlign w:val="bottom"/>
            <w:hideMark/>
          </w:tcPr>
          <w:p w14:paraId="5ED7D441"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3</w:t>
            </w:r>
            <w:r w:rsidRPr="009E596D">
              <w:rPr>
                <w:rFonts w:ascii="Book Antiqua" w:hAnsi="Book Antiqua" w:cs="Calibri" w:hint="eastAsia"/>
                <w:lang w:eastAsia="zh-CN"/>
              </w:rPr>
              <w:t xml:space="preserve"> (</w:t>
            </w:r>
            <w:r w:rsidRPr="009E596D">
              <w:rPr>
                <w:rFonts w:ascii="Book Antiqua" w:hAnsi="Book Antiqua" w:cs="Calibri"/>
                <w:bCs/>
                <w:lang w:eastAsia="es-ES"/>
              </w:rPr>
              <w:t>7</w:t>
            </w:r>
            <w:r w:rsidRPr="009E596D">
              <w:rPr>
                <w:rFonts w:ascii="Book Antiqua" w:hAnsi="Book Antiqua" w:cs="Calibri" w:hint="eastAsia"/>
                <w:bCs/>
                <w:lang w:eastAsia="zh-CN"/>
              </w:rPr>
              <w:t>)</w:t>
            </w:r>
          </w:p>
        </w:tc>
        <w:tc>
          <w:tcPr>
            <w:tcW w:w="464" w:type="pct"/>
            <w:shd w:val="clear" w:color="auto" w:fill="auto"/>
            <w:noWrap/>
            <w:vAlign w:val="bottom"/>
            <w:hideMark/>
          </w:tcPr>
          <w:p w14:paraId="18F6B24F"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9</w:t>
            </w:r>
            <w:r w:rsidRPr="009E596D">
              <w:rPr>
                <w:rFonts w:ascii="Book Antiqua" w:hAnsi="Book Antiqua" w:cs="Calibri" w:hint="eastAsia"/>
                <w:lang w:eastAsia="zh-CN"/>
              </w:rPr>
              <w:t xml:space="preserve"> (</w:t>
            </w:r>
            <w:r w:rsidRPr="009E596D">
              <w:rPr>
                <w:rFonts w:ascii="Book Antiqua" w:hAnsi="Book Antiqua" w:cs="Calibri"/>
                <w:bCs/>
                <w:lang w:eastAsia="es-ES"/>
              </w:rPr>
              <w:t>21</w:t>
            </w:r>
            <w:r w:rsidRPr="009E596D">
              <w:rPr>
                <w:rFonts w:ascii="Book Antiqua" w:hAnsi="Book Antiqua" w:cs="Calibri" w:hint="eastAsia"/>
                <w:bCs/>
                <w:lang w:eastAsia="es-ES"/>
              </w:rPr>
              <w:t>)</w:t>
            </w:r>
          </w:p>
        </w:tc>
        <w:tc>
          <w:tcPr>
            <w:tcW w:w="504" w:type="pct"/>
            <w:shd w:val="clear" w:color="auto" w:fill="auto"/>
            <w:noWrap/>
            <w:vAlign w:val="bottom"/>
            <w:hideMark/>
          </w:tcPr>
          <w:p w14:paraId="4B233B5E"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18</w:t>
            </w:r>
            <w:r w:rsidRPr="009E596D">
              <w:rPr>
                <w:rFonts w:ascii="Book Antiqua" w:hAnsi="Book Antiqua" w:cs="Calibri" w:hint="eastAsia"/>
                <w:lang w:eastAsia="zh-CN"/>
              </w:rPr>
              <w:t xml:space="preserve"> (</w:t>
            </w:r>
            <w:r w:rsidRPr="009E596D">
              <w:rPr>
                <w:rFonts w:ascii="Book Antiqua" w:hAnsi="Book Antiqua" w:cs="Calibri"/>
                <w:bCs/>
                <w:lang w:eastAsia="es-ES"/>
              </w:rPr>
              <w:t>45</w:t>
            </w:r>
            <w:r w:rsidRPr="009E596D">
              <w:rPr>
                <w:rFonts w:ascii="Book Antiqua" w:hAnsi="Book Antiqua" w:cs="Calibri" w:hint="eastAsia"/>
                <w:bCs/>
                <w:lang w:eastAsia="zh-CN"/>
              </w:rPr>
              <w:t>)</w:t>
            </w:r>
          </w:p>
        </w:tc>
        <w:tc>
          <w:tcPr>
            <w:tcW w:w="716" w:type="pct"/>
            <w:shd w:val="clear" w:color="auto" w:fill="auto"/>
            <w:noWrap/>
            <w:vAlign w:val="bottom"/>
            <w:hideMark/>
          </w:tcPr>
          <w:p w14:paraId="21A9679B"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18</w:t>
            </w:r>
            <w:r w:rsidRPr="009E596D">
              <w:rPr>
                <w:rFonts w:ascii="Book Antiqua" w:hAnsi="Book Antiqua" w:cs="Calibri" w:hint="eastAsia"/>
                <w:lang w:eastAsia="zh-CN"/>
              </w:rPr>
              <w:t xml:space="preserve"> (</w:t>
            </w:r>
            <w:r w:rsidRPr="009E596D">
              <w:rPr>
                <w:rFonts w:ascii="Book Antiqua" w:hAnsi="Book Antiqua" w:cs="Calibri"/>
                <w:bCs/>
                <w:lang w:eastAsia="es-ES"/>
              </w:rPr>
              <w:t>41</w:t>
            </w:r>
            <w:r w:rsidRPr="009E596D">
              <w:rPr>
                <w:rFonts w:ascii="Book Antiqua" w:hAnsi="Book Antiqua" w:cs="Calibri" w:hint="eastAsia"/>
                <w:bCs/>
                <w:lang w:eastAsia="zh-CN"/>
              </w:rPr>
              <w:t>)</w:t>
            </w:r>
          </w:p>
        </w:tc>
        <w:tc>
          <w:tcPr>
            <w:tcW w:w="495" w:type="pct"/>
            <w:shd w:val="clear" w:color="auto" w:fill="auto"/>
            <w:noWrap/>
            <w:vAlign w:val="bottom"/>
            <w:hideMark/>
          </w:tcPr>
          <w:p w14:paraId="7AF872B5"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19</w:t>
            </w:r>
            <w:r w:rsidRPr="009E596D">
              <w:rPr>
                <w:rFonts w:ascii="Book Antiqua" w:hAnsi="Book Antiqua" w:cs="Calibri" w:hint="eastAsia"/>
                <w:lang w:eastAsia="zh-CN"/>
              </w:rPr>
              <w:t xml:space="preserve"> (</w:t>
            </w:r>
            <w:r w:rsidRPr="009E596D">
              <w:rPr>
                <w:rFonts w:ascii="Book Antiqua" w:hAnsi="Book Antiqua" w:cs="Calibri"/>
                <w:bCs/>
                <w:lang w:eastAsia="es-ES"/>
              </w:rPr>
              <w:t>43</w:t>
            </w:r>
            <w:r w:rsidRPr="009E596D">
              <w:rPr>
                <w:rFonts w:ascii="Book Antiqua" w:hAnsi="Book Antiqua" w:cs="Calibri" w:hint="eastAsia"/>
                <w:bCs/>
                <w:lang w:eastAsia="zh-CN"/>
              </w:rPr>
              <w:t>)</w:t>
            </w:r>
          </w:p>
        </w:tc>
        <w:tc>
          <w:tcPr>
            <w:tcW w:w="465" w:type="pct"/>
            <w:shd w:val="clear" w:color="auto" w:fill="auto"/>
            <w:noWrap/>
            <w:vAlign w:val="bottom"/>
            <w:hideMark/>
          </w:tcPr>
          <w:p w14:paraId="28557BF2"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w:t>
            </w:r>
          </w:p>
        </w:tc>
      </w:tr>
      <w:tr w:rsidR="0001560F" w:rsidRPr="00D275F9" w14:paraId="19C784C4" w14:textId="77777777" w:rsidTr="009E596D">
        <w:trPr>
          <w:trHeight w:val="784"/>
        </w:trPr>
        <w:tc>
          <w:tcPr>
            <w:tcW w:w="1313" w:type="pct"/>
            <w:shd w:val="clear" w:color="auto" w:fill="auto"/>
            <w:noWrap/>
            <w:vAlign w:val="center"/>
            <w:hideMark/>
          </w:tcPr>
          <w:p w14:paraId="513365AF" w14:textId="77777777" w:rsidR="0001560F" w:rsidRPr="00D275F9" w:rsidRDefault="0001560F" w:rsidP="00F10C3B">
            <w:pPr>
              <w:spacing w:line="360" w:lineRule="auto"/>
              <w:jc w:val="both"/>
              <w:rPr>
                <w:rFonts w:ascii="Book Antiqua" w:hAnsi="Book Antiqua" w:cs="Calibri"/>
                <w:lang w:eastAsia="es-ES"/>
              </w:rPr>
            </w:pPr>
            <w:r w:rsidRPr="00D275F9">
              <w:rPr>
                <w:rFonts w:ascii="Book Antiqua" w:hAnsi="Book Antiqua" w:cs="Calibri"/>
                <w:lang w:eastAsia="es-ES"/>
              </w:rPr>
              <w:t xml:space="preserve">Silvester </w:t>
            </w:r>
            <w:r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{"citationItems":[{"id":"ITEM-1","itemData":{"DOI":"10.1111/apt.16075","ISSN":"13652036","PMID":"32981131","abstract":"Background: A major deficit in understanding and improving treatment in coeliac disease (CD) is the lack of empiric data on real world gluten exposure. Aims: To estimate gluten exposure on a gluten-free diet (GFD) using immunoassays for gluten immunogenic peptides (GIP) and to examine relationships among GIP detection, symptoms and suspected gluten exposures. Methods: Adults with biopsy-confirmed CD on a GFD for 24 months were recruited from a population-based inception cohort. Participants kept a diary and collected urine samples for 10 days and stools on days 4-10. ‘Doggie bags’ containing ¼ portions of foods consumed were saved during the first 7 days. Gluten in food, stool and urine was quantified using A1/G12 ELISA. Results: Eighteen participants with CD (12 female; age 21-70 years) and three participants on a gluten-containing diet enrolled and completed the study. Twelve out of 18 CD participants had a median 2.1 mg gluten per exposure (range 0.2 to &gt;80 mg). Most exposures were asymptomatic and unsuspected. There was high intra-individual variability in the interval between gluten ingestion and excretion. Participants were generally unable to identify the food. Conclusions: Gluten exposure on a GFD is common, intermittent, and usually silent. Excretion kinetics are highly variable among individuals. The amount of gluten varied widely, but was typically in the milligram range, which was 10-100 times less than consumed by those on an unrestricted diet. These findings suggest that a strict GFD is difficult to attain, and specific exposures are difficult to detect due to variable time course of excretion.","author":[{"dropping-particle":"","family":"Silvester","given":"Jocelyn A.","non-dropping-particle":"","parse-names":false,"suffix":""},{"dropping-particle":"","family":"Comino","given":"Isabel","non-dropping-particle":"","parse-names":false,"suffix":""},{"dropping-particle":"","family":"Rigaux","given":"Lisa N.","non-dropping-particle":"","parse-names":false,"suffix":""},{"dropping-particle":"","family":"Segura","given":"Veronica","non-dropping-particle":"","parse-names":false,"suffix":""},{"dropping-particle":"","family":"Green","given":"Kathy H.","non-dropping-particle":"","parse-names":false,"suffix":""},{"dropping-particle":"","family":"Cebolla","given":"Angel","non-dropping-particle":"","parse-names":false,"suffix":""},{"dropping-particle":"","family":"Weiten","given":"Dayna","non-dropping-particle":"","parse-names":false,"suffix":""},{"dropping-particle":"","family":"Dominguez","given":"Remedios","non-dropping-particle":"","parse-names":false,"suffix":""},{"dropping-particle":"","family":"Leffler","given":"Daniel A.","non-dropping-particle":"","parse-names":false,"suffix":""},{"dropping-particle":"","family":"Leon","given":"Francisco","non-dropping-particle":"","parse-names":false,"suffix":""},{"dropping-particle":"","family":"Bernstein","given":"Charles N.","non-dropping-particle":"","parse-names":false,"suffix":""},{"dropping-particle":"","family":"Graff","given":"Lesley A.","non-dropping-particle":"","parse-names":false,"suffix":""},{"dropping-particle":"","family":"Kelly","given":"Ciaran P.","non-dropping-particle":"","parse-names":false,"suffix":""},{"dropping-particle":"","family":"Sousa","given":"Carolina","non-dropping-particle":"","parse-names":false,"suffix":""},{"dropping-particle":"","family":"Duerksen","given":"Donald R.","non-dropping-particle":"","parse-names":false,"suffix":""}],"container-title":"Alimentary Pharmacology and Therapeutics","id":"ITEM-1","issue":"9","issued":{"date-parts":[["2020"]]},"page":"1469-1479","title":"Exposure sources, amounts and time course of gluten ingestion and excretion in patients with coeliac disease on a gluten-free diet","type":"article-journal","volume":"52"},"uris":["http://www.mendeley.com/documents/?uuid=d9faf48b-572c-400d-ba93-a192caac0026"]},{"id":"ITEM-2","itemData":{"DOI":"10.1053/j.gastro.2019.12.016","ISSN":"15280012","PMID":"31866245","author":[{"dropping-particle":"","family":"Silvester","given":"Jocelyn A.","non-dropping-particle":"","parse-names":false,"suffix":""},{"dropping-particle":"","family":"Comino","given":"Isabel","non-dropping-particle":"","parse-names":false,"suffix":""},{"dropping-particle":"","family":"Kelly","given":"Ciarán P.","non-dropping-particle":"","parse-names":false,"suffix":""},{"dropping-particle":"","family":"Sousa","given":"Carolina","non-dropping-particle":"","parse-names":false,"suffix":""},{"dropping-particle":"","family":"Duerksen","given":"Donald R.","non-dropping-particle":"","parse-names":false,"suffix":""},{"dropping-particle":"","family":"Bernstein","given":"Charles N.","non-dropping-particle":"","parse-names":false,"suffix":""},{"dropping-particle":"","family":"Cebolla","given":"Angel","non-dropping-particle":"","parse-names":false,"suffix":""},{"dropping-particle":"","family":"Dominguez","given":"Maria R.","non-dropping-particle":"","parse-names":false,"suffix":""},{"dropping-particle":"","family":"Graff","given":"Lesley A.","non-dropping-particle":"","parse-names":false,"suffix":""},{"dropping-particle":"","family":"Green","given":"Kathy H.","non-dropping-particle":"","parse-names":false,"suffix":""},{"dropping-particle":"","family":"Leffler","given":"Daniel A.","non-dropping-particle":"","parse-names":false,"suffix":""},{"dropping-particle":"","family":"Leon","given":"Francisco","non-dropping-particle":"","parse-names":false,"suffix":""},{"dropping-particle":"","family":"Rigaux","given":"Lisa N.","non-dropping-particle":"","parse-names":false,"suffix":""},{"dropping-particle":"","family":"Segura","given":"Veronica","non-dropping-particle":"","parse-names":false,"suffix":""},{"dropping-particle":"","family":"Weiten","given":"Dayna","non-dropping-particle":"","parse-names":false,"suffix":""}],"container-title":"Gastroenterology","id":"ITEM-2","issue":"5","issued":{"date-parts":[["2020"]]},"page":"1497-1499.e1","publisher":"The American Gastroenterological Association","title":"Most Patients With Celiac Disease on Gluten-Free Diets Consume Measurable Amounts of Gluten","type":"article-journal","volume":"158"},"uris":["http://www.mendeley.com/documents/?uuid=be607d93-1980-4d44-a868-faf949269ff3"]}],"mendeley":{"formattedCitation":"&lt;sup&gt;[29,30]&lt;/sup&gt;","plainTextFormattedCitation":"[29,30]","previouslyFormattedCitation":"&lt;sup&gt;[29,30]&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[29,30]</w:t>
            </w:r>
            <w:r w:rsidR="00C3458C" w:rsidRPr="00D275F9">
              <w:rPr>
                <w:rFonts w:ascii="Book Antiqua" w:hAnsi="Book Antiqua" w:cs="Calibri"/>
                <w:lang w:eastAsia="es-ES"/>
              </w:rPr>
              <w:fldChar w:fldCharType="end"/>
            </w:r>
          </w:p>
        </w:tc>
        <w:tc>
          <w:tcPr>
            <w:tcW w:w="512" w:type="pct"/>
            <w:shd w:val="clear" w:color="auto" w:fill="auto"/>
            <w:noWrap/>
            <w:vAlign w:val="bottom"/>
            <w:hideMark/>
          </w:tcPr>
          <w:p w14:paraId="3BD0BF9E"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5</w:t>
            </w:r>
            <w:r w:rsidRPr="009E596D">
              <w:rPr>
                <w:rFonts w:ascii="Book Antiqua" w:hAnsi="Book Antiqua" w:cs="Calibri" w:hint="eastAsia"/>
                <w:lang w:eastAsia="zh-CN"/>
              </w:rPr>
              <w:t xml:space="preserve"> (</w:t>
            </w:r>
            <w:r w:rsidRPr="009E596D">
              <w:rPr>
                <w:rFonts w:ascii="Book Antiqua" w:hAnsi="Book Antiqua" w:cs="Calibri"/>
                <w:bCs/>
                <w:lang w:eastAsia="es-ES"/>
              </w:rPr>
              <w:t>28</w:t>
            </w:r>
            <w:r w:rsidRPr="009E596D">
              <w:rPr>
                <w:rFonts w:ascii="Book Antiqua" w:hAnsi="Book Antiqua" w:cs="Calibri" w:hint="eastAsia"/>
                <w:bCs/>
                <w:lang w:eastAsia="es-ES"/>
              </w:rPr>
              <w:t>)</w:t>
            </w:r>
          </w:p>
        </w:tc>
        <w:tc>
          <w:tcPr>
            <w:tcW w:w="532" w:type="pct"/>
            <w:shd w:val="clear" w:color="auto" w:fill="auto"/>
            <w:noWrap/>
            <w:vAlign w:val="bottom"/>
            <w:hideMark/>
          </w:tcPr>
          <w:p w14:paraId="5253F075"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8</w:t>
            </w:r>
            <w:r w:rsidRPr="009E596D">
              <w:rPr>
                <w:rFonts w:ascii="Book Antiqua" w:hAnsi="Book Antiqua" w:cs="Calibri" w:hint="eastAsia"/>
                <w:lang w:eastAsia="zh-CN"/>
              </w:rPr>
              <w:t xml:space="preserve"> (</w:t>
            </w:r>
            <w:r w:rsidRPr="009E596D">
              <w:rPr>
                <w:rFonts w:ascii="Book Antiqua" w:hAnsi="Book Antiqua" w:cs="Calibri"/>
                <w:bCs/>
                <w:lang w:eastAsia="es-ES"/>
              </w:rPr>
              <w:t>44</w:t>
            </w:r>
            <w:r w:rsidRPr="009E596D">
              <w:rPr>
                <w:rFonts w:ascii="Book Antiqua" w:hAnsi="Book Antiqua" w:cs="Calibri" w:hint="eastAsia"/>
                <w:bCs/>
                <w:lang w:eastAsia="zh-CN"/>
              </w:rPr>
              <w:t>)</w:t>
            </w:r>
          </w:p>
        </w:tc>
        <w:tc>
          <w:tcPr>
            <w:tcW w:w="464" w:type="pct"/>
            <w:shd w:val="clear" w:color="auto" w:fill="auto"/>
            <w:noWrap/>
            <w:vAlign w:val="bottom"/>
            <w:hideMark/>
          </w:tcPr>
          <w:p w14:paraId="793C8D18"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7</w:t>
            </w:r>
            <w:r w:rsidRPr="009E596D">
              <w:rPr>
                <w:rFonts w:ascii="Book Antiqua" w:hAnsi="Book Antiqua" w:cs="Calibri" w:hint="eastAsia"/>
                <w:lang w:eastAsia="zh-CN"/>
              </w:rPr>
              <w:t xml:space="preserve"> (</w:t>
            </w:r>
            <w:r w:rsidRPr="009E596D">
              <w:rPr>
                <w:rFonts w:ascii="Book Antiqua" w:hAnsi="Book Antiqua" w:cs="Calibri"/>
                <w:bCs/>
                <w:lang w:eastAsia="es-ES"/>
              </w:rPr>
              <w:t>39</w:t>
            </w:r>
            <w:r w:rsidRPr="009E596D">
              <w:rPr>
                <w:rFonts w:ascii="Book Antiqua" w:hAnsi="Book Antiqua" w:cs="Calibri" w:hint="eastAsia"/>
                <w:bCs/>
                <w:lang w:eastAsia="zh-CN"/>
              </w:rPr>
              <w:t>)</w:t>
            </w:r>
          </w:p>
        </w:tc>
        <w:tc>
          <w:tcPr>
            <w:tcW w:w="504" w:type="pct"/>
            <w:shd w:val="clear" w:color="auto" w:fill="auto"/>
            <w:noWrap/>
            <w:vAlign w:val="bottom"/>
            <w:hideMark/>
          </w:tcPr>
          <w:p w14:paraId="22FDD4B2"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w:t>
            </w:r>
          </w:p>
        </w:tc>
        <w:tc>
          <w:tcPr>
            <w:tcW w:w="716" w:type="pct"/>
            <w:shd w:val="clear" w:color="auto" w:fill="auto"/>
            <w:noWrap/>
            <w:vAlign w:val="bottom"/>
            <w:hideMark/>
          </w:tcPr>
          <w:p w14:paraId="7ED5779E"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4</w:t>
            </w:r>
            <w:r w:rsidRPr="009E596D">
              <w:rPr>
                <w:rFonts w:ascii="Book Antiqua" w:hAnsi="Book Antiqua" w:cs="Calibri" w:hint="eastAsia"/>
                <w:lang w:eastAsia="zh-CN"/>
              </w:rPr>
              <w:t xml:space="preserve"> (</w:t>
            </w:r>
            <w:r w:rsidRPr="009E596D">
              <w:rPr>
                <w:rFonts w:ascii="Book Antiqua" w:hAnsi="Book Antiqua" w:cs="Calibri"/>
                <w:bCs/>
                <w:lang w:eastAsia="es-ES"/>
              </w:rPr>
              <w:t>22</w:t>
            </w:r>
            <w:r w:rsidRPr="009E596D">
              <w:rPr>
                <w:rFonts w:ascii="Book Antiqua" w:hAnsi="Book Antiqua" w:cs="Calibri" w:hint="eastAsia"/>
                <w:bCs/>
                <w:lang w:eastAsia="zh-CN"/>
              </w:rPr>
              <w:t>)</w:t>
            </w:r>
          </w:p>
        </w:tc>
        <w:tc>
          <w:tcPr>
            <w:tcW w:w="495" w:type="pct"/>
            <w:shd w:val="clear" w:color="auto" w:fill="auto"/>
            <w:noWrap/>
            <w:vAlign w:val="bottom"/>
            <w:hideMark/>
          </w:tcPr>
          <w:p w14:paraId="5E5AE920"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8</w:t>
            </w:r>
            <w:r w:rsidRPr="009E596D">
              <w:rPr>
                <w:rFonts w:ascii="Book Antiqua" w:hAnsi="Book Antiqua" w:cs="Calibri" w:hint="eastAsia"/>
                <w:lang w:eastAsia="zh-CN"/>
              </w:rPr>
              <w:t xml:space="preserve"> (</w:t>
            </w:r>
            <w:r w:rsidRPr="009E596D">
              <w:rPr>
                <w:rFonts w:ascii="Book Antiqua" w:hAnsi="Book Antiqua" w:cs="Calibri"/>
                <w:bCs/>
                <w:lang w:eastAsia="es-ES"/>
              </w:rPr>
              <w:t>44</w:t>
            </w:r>
            <w:r w:rsidRPr="009E596D">
              <w:rPr>
                <w:rFonts w:ascii="Book Antiqua" w:hAnsi="Book Antiqua" w:cs="Calibri" w:hint="eastAsia"/>
                <w:bCs/>
                <w:lang w:eastAsia="zh-CN"/>
              </w:rPr>
              <w:t>)</w:t>
            </w:r>
          </w:p>
        </w:tc>
        <w:tc>
          <w:tcPr>
            <w:tcW w:w="465" w:type="pct"/>
            <w:shd w:val="clear" w:color="auto" w:fill="auto"/>
            <w:noWrap/>
            <w:vAlign w:val="bottom"/>
            <w:hideMark/>
          </w:tcPr>
          <w:p w14:paraId="60AE4CDC"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10</w:t>
            </w:r>
            <w:r w:rsidRPr="009E596D">
              <w:rPr>
                <w:rFonts w:ascii="Book Antiqua" w:hAnsi="Book Antiqua" w:cs="Calibri" w:hint="eastAsia"/>
                <w:lang w:eastAsia="zh-CN"/>
              </w:rPr>
              <w:t xml:space="preserve"> (</w:t>
            </w:r>
            <w:r w:rsidRPr="009E596D">
              <w:rPr>
                <w:rFonts w:ascii="Book Antiqua" w:hAnsi="Book Antiqua" w:cs="Calibri"/>
                <w:bCs/>
                <w:lang w:eastAsia="es-ES"/>
              </w:rPr>
              <w:t>56</w:t>
            </w:r>
            <w:r w:rsidRPr="009E596D">
              <w:rPr>
                <w:rFonts w:ascii="Book Antiqua" w:hAnsi="Book Antiqua" w:cs="Calibri" w:hint="eastAsia"/>
                <w:bCs/>
                <w:lang w:eastAsia="zh-CN"/>
              </w:rPr>
              <w:t>)</w:t>
            </w:r>
          </w:p>
        </w:tc>
      </w:tr>
      <w:tr w:rsidR="0001560F" w:rsidRPr="00D275F9" w14:paraId="22E1EAD8" w14:textId="77777777" w:rsidTr="009E596D">
        <w:trPr>
          <w:trHeight w:val="784"/>
        </w:trPr>
        <w:tc>
          <w:tcPr>
            <w:tcW w:w="1313" w:type="pct"/>
            <w:shd w:val="clear" w:color="auto" w:fill="auto"/>
            <w:noWrap/>
            <w:vAlign w:val="center"/>
            <w:hideMark/>
          </w:tcPr>
          <w:p w14:paraId="163D1BD0" w14:textId="77777777" w:rsidR="0001560F" w:rsidRPr="00D275F9" w:rsidRDefault="0001560F" w:rsidP="00F10C3B">
            <w:pPr>
              <w:spacing w:line="360" w:lineRule="auto"/>
              <w:jc w:val="both"/>
              <w:rPr>
                <w:rFonts w:ascii="Book Antiqua" w:hAnsi="Book Antiqua" w:cs="Calibri"/>
                <w:lang w:eastAsia="es-ES"/>
              </w:rPr>
            </w:pPr>
            <w:r w:rsidRPr="00D275F9">
              <w:rPr>
                <w:rFonts w:ascii="Book Antiqua" w:hAnsi="Book Antiqua" w:cs="Calibri"/>
                <w:lang w:eastAsia="es-ES"/>
              </w:rPr>
              <w:t xml:space="preserve">Ruiz-Carnicer </w:t>
            </w:r>
            <w:r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{"citationItems":[{"id":"ITEM-1","itemData":{"DOI":"10.1093/ajcn/nqaa188","ISSN":"0002-9165","PMID":"32692806","abstract":"Background: The treatment of celiac disease (CD) is a lifelong gluten-free diet (GFD). The current methods for monitoring GFD conformance, such as a dietary questionnaire or serology tests, may be inaccurate in detecting dietary transgressions, and duodenal biopsies are invasive, expensive, and not a routine monitoring technique. Objectives: Our aim was to determine the clinical usefulness of urine gluten immunogenic peptides (GIP) as a biomarker monitoring GFD adherence in celiac patients and to evaluate the concordance of the results with the degree of mucosal damage. Methods: A prospective observational study was conducted involving 22 de novo CD patients, 77 celiac patients consuming a GFD, and 13 nonceliac subjects. On 3 d of the week, urine samples were collected and the GIP concentrations were tested. Simultaneously, anti-tissue transglutaminase antibodies, questionnaire results, clinical manifestations, and histological findings were analyzed. Results: Approximately 24% (18 of 76) of the celiac patients consuming a GFD exhibited Marsh II-III mucosal damage. Among this population, 94% (17 of 18) had detectable urine GIP; however, between 60% and 80% were asymptomatic and exhibited negative serology and appropriate GFD adherence based on the questionnaire. In contrast, 97% (31 of 32) of the celiac patients without duodenal damage had no detectable GIP. These results demonstrated the high sensitivity (94%) and negative predictive value (97%) of GIP measurements in relation to duodenal biopsy findings. In the de novo CD-diagnosed cohort, 82% (18 of 22) of patients had measurable amounts of GIP in the urine. Conclusions: Determining GIP concentrations in several urine samples may be an especially convenient approach to assess recent gluten exposure in celiac patients and appears to accurately predict the absence of histological lesions. The introduction of GIP testing as an assessment technique for GFD adherence may help in ascertaining dietary compliance and to target the most suitable intervention during follow-up. Am J Clin Nutr 2020;00:1-12.","author":[{"dropping-particle":"","family":"Ruiz-Carnicer","given":"Ángela","non-dropping-particle":"","parse-names":false,"suffix":""},{"dropping-particle":"","family":"Garzón-Benavides","given":"Marta","non-dropping-particle":"","parse-names":false,"suffix":""},{"dropping-particle":"","family":"Fombuena","given":"Blanca","non-dropping-particle":"","parse-names":false,"suffix":""},{"dropping-particle":"","family":"Segura","given":"Verónica","non-dropping-particle":"","parse-names":false,"suffix":""},{"dropping-particle":"","family":"García-Fernández","given":"Francisco","non-dropping-particle":"","parse-names":false,"suffix":""},{"dropping-particle":"","family":"Sobrino-Rodríguez","given":"Salvador","non-dropping-particle":"","parse-names":false,"suffix":""},{"dropping-particle":"","family":"Gómez-Izquierdo","given":"Lourdes","non-dropping-particle":"","parse-names":false,"suffix":""},{"dropping-particle":"","family":"Montes-Cano","given":"Marcos A","non-dropping-particle":"","parse-names":false,"suffix":""},{"dropping-particle":"","family":"Rodríguez-Herrera","given":"Alfonso","non-dropping-particle":"","parse-names":false,"suffix":""},{"dropping-particle":"","family":"Millán","given":"Raquel","non-dropping-particle":"","parse-names":false,"suffix":""},{"dropping-particle":"","family":"Rico","given":"María C","non-dropping-particle":"","parse-names":false,"suffix":""},{"dropping-particle":"","family":"González-Naranjo","given":"Carmen","non-dropping-particle":"","parse-names":false,"suffix":""},{"dropping-particle":"","family":"Bozada-García","given":"Juan M","non-dropping-particle":"","parse-names":false,"suffix":""},{"dropping-particle":"","family":"Díaz","given":"Jacobo","non-dropping-particle":"","parse-names":false,"suffix":""},{"dropping-particle":"","family":"Coronel-Rodríguez","given":"Cristóbal","non-dropping-particle":"","parse-names":false,"suffix":""},{"dropping-particle":"","family":"Espín","given":"Beatriz","non-dropping-particle":"","parse-names":false,"suffix":""},{"dropping-particle":"","family":"Romero-Gómez","given":"Manuel","non-dropping-particle":"","parse-names":false,"suffix":""},{"dropping-particle":"","family":"Cebolla","given":"Ángel","non-dropping-particle":"","parse-names":false,"suffix":""},{"dropping-particle":"","family":"Sousa","given":"Carolina","non-dropping-particle":"","parse-names":false,"suffix":""},{"dropping-particle":"","family":"Comino","given":"Isabel","non-dropping-particle":"","parse-names":false,"suffix":""},{"dropping-particle":"","family":"Argüelles","given":"Federico","non-dropping-particle":"","parse-names":false,"suffix":""},{"dropping-particle":"","family":"Pizarro","given":"Ángeles","non-dropping-particle":"","parse-names":false,"suffix":""}],"container-title":"The American Journal of Clinical Nutrition","id":"ITEM-1","issue":"5","issued":{"date-parts":[["2020","11","11"]]},"page":"1240-1251","title":"Negative predictive value of the repeated absence of gluten immunogenic peptides in the urine of treated celiac patients in predicting mucosal healing: new proposals for follow-up in celiac disease","type":"article-journal","volume":"112"},"uris":["http://www.mendeley.com/documents/?uuid=f7b55239-514f-4b56-a25d-6d64e385eedb"]}],"mendeley":{"formattedCitation":"&lt;sup&gt;[23]&lt;/sup&gt;","plainTextFormattedCitation":"[23]","previouslyFormattedCitation":"&lt;sup&gt;[23]&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[23]</w:t>
            </w:r>
            <w:r w:rsidR="00C3458C" w:rsidRPr="00D275F9">
              <w:rPr>
                <w:rFonts w:ascii="Book Antiqua" w:hAnsi="Book Antiqua" w:cs="Calibri"/>
                <w:lang w:eastAsia="es-ES"/>
              </w:rPr>
              <w:fldChar w:fldCharType="end"/>
            </w:r>
          </w:p>
        </w:tc>
        <w:tc>
          <w:tcPr>
            <w:tcW w:w="512" w:type="pct"/>
            <w:shd w:val="clear" w:color="auto" w:fill="auto"/>
            <w:noWrap/>
            <w:vAlign w:val="bottom"/>
            <w:hideMark/>
          </w:tcPr>
          <w:p w14:paraId="4160AE6A"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w:t>
            </w:r>
          </w:p>
        </w:tc>
        <w:tc>
          <w:tcPr>
            <w:tcW w:w="532" w:type="pct"/>
            <w:shd w:val="clear" w:color="auto" w:fill="auto"/>
            <w:noWrap/>
            <w:vAlign w:val="bottom"/>
            <w:hideMark/>
          </w:tcPr>
          <w:p w14:paraId="350FE6A9"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44</w:t>
            </w:r>
            <w:r w:rsidRPr="009E596D">
              <w:rPr>
                <w:rFonts w:ascii="Book Antiqua" w:hAnsi="Book Antiqua" w:cs="Calibri" w:hint="eastAsia"/>
                <w:lang w:eastAsia="zh-CN"/>
              </w:rPr>
              <w:t xml:space="preserve"> (</w:t>
            </w:r>
            <w:r w:rsidRPr="009E596D">
              <w:rPr>
                <w:rFonts w:ascii="Book Antiqua" w:hAnsi="Book Antiqua" w:cs="Calibri"/>
                <w:bCs/>
                <w:lang w:eastAsia="es-ES"/>
              </w:rPr>
              <w:t>58</w:t>
            </w:r>
            <w:r w:rsidRPr="009E596D">
              <w:rPr>
                <w:rFonts w:ascii="Book Antiqua" w:hAnsi="Book Antiqua" w:cs="Calibri" w:hint="eastAsia"/>
                <w:bCs/>
                <w:lang w:eastAsia="zh-CN"/>
              </w:rPr>
              <w:t>)</w:t>
            </w:r>
          </w:p>
        </w:tc>
        <w:tc>
          <w:tcPr>
            <w:tcW w:w="464" w:type="pct"/>
            <w:shd w:val="clear" w:color="auto" w:fill="auto"/>
            <w:noWrap/>
            <w:vAlign w:val="bottom"/>
            <w:hideMark/>
          </w:tcPr>
          <w:p w14:paraId="3E10A62E"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9</w:t>
            </w:r>
            <w:r w:rsidRPr="009E596D">
              <w:rPr>
                <w:rFonts w:ascii="Book Antiqua" w:hAnsi="Book Antiqua" w:cs="Calibri" w:hint="eastAsia"/>
                <w:lang w:eastAsia="zh-CN"/>
              </w:rPr>
              <w:t xml:space="preserve"> (</w:t>
            </w:r>
            <w:r w:rsidRPr="009E596D">
              <w:rPr>
                <w:rFonts w:ascii="Book Antiqua" w:hAnsi="Book Antiqua" w:cs="Calibri"/>
                <w:bCs/>
                <w:lang w:eastAsia="es-ES"/>
              </w:rPr>
              <w:t>12</w:t>
            </w:r>
            <w:r w:rsidRPr="009E596D">
              <w:rPr>
                <w:rFonts w:ascii="Book Antiqua" w:hAnsi="Book Antiqua" w:cs="Calibri" w:hint="eastAsia"/>
                <w:bCs/>
                <w:lang w:eastAsia="zh-CN"/>
              </w:rPr>
              <w:t>)</w:t>
            </w:r>
          </w:p>
        </w:tc>
        <w:tc>
          <w:tcPr>
            <w:tcW w:w="504" w:type="pct"/>
            <w:shd w:val="clear" w:color="auto" w:fill="auto"/>
            <w:noWrap/>
            <w:vAlign w:val="bottom"/>
            <w:hideMark/>
          </w:tcPr>
          <w:p w14:paraId="1FC402D0"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w:t>
            </w:r>
          </w:p>
        </w:tc>
        <w:tc>
          <w:tcPr>
            <w:tcW w:w="716" w:type="pct"/>
            <w:shd w:val="clear" w:color="auto" w:fill="auto"/>
            <w:noWrap/>
            <w:vAlign w:val="bottom"/>
            <w:hideMark/>
          </w:tcPr>
          <w:p w14:paraId="3DAC9FB5"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14</w:t>
            </w:r>
            <w:r w:rsidRPr="009E596D">
              <w:rPr>
                <w:rFonts w:ascii="Book Antiqua" w:hAnsi="Book Antiqua" w:cs="Calibri" w:hint="eastAsia"/>
                <w:lang w:eastAsia="zh-CN"/>
              </w:rPr>
              <w:t xml:space="preserve"> (</w:t>
            </w:r>
            <w:r w:rsidRPr="009E596D">
              <w:rPr>
                <w:rFonts w:ascii="Book Antiqua" w:hAnsi="Book Antiqua" w:cs="Calibri"/>
                <w:bCs/>
                <w:lang w:eastAsia="es-ES"/>
              </w:rPr>
              <w:t>23</w:t>
            </w:r>
            <w:r w:rsidRPr="009E596D">
              <w:rPr>
                <w:rFonts w:ascii="Book Antiqua" w:hAnsi="Book Antiqua" w:cs="Calibri" w:hint="eastAsia"/>
                <w:bCs/>
                <w:lang w:eastAsia="zh-CN"/>
              </w:rPr>
              <w:t>)</w:t>
            </w:r>
          </w:p>
        </w:tc>
        <w:tc>
          <w:tcPr>
            <w:tcW w:w="495" w:type="pct"/>
            <w:shd w:val="clear" w:color="auto" w:fill="auto"/>
            <w:noWrap/>
            <w:vAlign w:val="bottom"/>
            <w:hideMark/>
          </w:tcPr>
          <w:p w14:paraId="2277BACC"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18</w:t>
            </w:r>
            <w:r w:rsidRPr="009E596D">
              <w:rPr>
                <w:rFonts w:ascii="Book Antiqua" w:hAnsi="Book Antiqua" w:cs="Calibri" w:hint="eastAsia"/>
                <w:lang w:eastAsia="zh-CN"/>
              </w:rPr>
              <w:t xml:space="preserve"> (</w:t>
            </w:r>
            <w:r w:rsidRPr="009E596D">
              <w:rPr>
                <w:rFonts w:ascii="Book Antiqua" w:hAnsi="Book Antiqua" w:cs="Calibri"/>
                <w:bCs/>
                <w:lang w:eastAsia="es-ES"/>
              </w:rPr>
              <w:t>23</w:t>
            </w:r>
            <w:r w:rsidRPr="009E596D">
              <w:rPr>
                <w:rFonts w:ascii="Book Antiqua" w:hAnsi="Book Antiqua" w:cs="Calibri" w:hint="eastAsia"/>
                <w:bCs/>
                <w:lang w:eastAsia="zh-CN"/>
              </w:rPr>
              <w:t>)</w:t>
            </w:r>
          </w:p>
        </w:tc>
        <w:tc>
          <w:tcPr>
            <w:tcW w:w="465" w:type="pct"/>
            <w:shd w:val="clear" w:color="auto" w:fill="auto"/>
            <w:noWrap/>
            <w:vAlign w:val="bottom"/>
            <w:hideMark/>
          </w:tcPr>
          <w:p w14:paraId="6645E7FE"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18</w:t>
            </w:r>
            <w:r w:rsidRPr="009E596D">
              <w:rPr>
                <w:rFonts w:ascii="Book Antiqua" w:hAnsi="Book Antiqua" w:cs="Calibri" w:hint="eastAsia"/>
                <w:lang w:eastAsia="zh-CN"/>
              </w:rPr>
              <w:t xml:space="preserve"> (</w:t>
            </w:r>
            <w:r w:rsidRPr="009E596D">
              <w:rPr>
                <w:rFonts w:ascii="Book Antiqua" w:hAnsi="Book Antiqua" w:cs="Calibri"/>
                <w:bCs/>
                <w:lang w:eastAsia="es-ES"/>
              </w:rPr>
              <w:t>24</w:t>
            </w:r>
            <w:r w:rsidRPr="009E596D">
              <w:rPr>
                <w:rFonts w:ascii="Book Antiqua" w:hAnsi="Book Antiqua" w:cs="Calibri" w:hint="eastAsia"/>
                <w:bCs/>
                <w:lang w:eastAsia="zh-CN"/>
              </w:rPr>
              <w:t>)</w:t>
            </w:r>
          </w:p>
        </w:tc>
      </w:tr>
      <w:tr w:rsidR="0001560F" w:rsidRPr="00D275F9" w14:paraId="6FB5C384" w14:textId="77777777" w:rsidTr="009E596D">
        <w:trPr>
          <w:trHeight w:val="784"/>
        </w:trPr>
        <w:tc>
          <w:tcPr>
            <w:tcW w:w="1313" w:type="pct"/>
            <w:shd w:val="clear" w:color="auto" w:fill="auto"/>
            <w:noWrap/>
            <w:vAlign w:val="center"/>
            <w:hideMark/>
          </w:tcPr>
          <w:p w14:paraId="4FFB25B4" w14:textId="77777777" w:rsidR="0001560F" w:rsidRPr="00D275F9" w:rsidRDefault="0001560F" w:rsidP="00F10C3B">
            <w:pPr>
              <w:spacing w:line="360" w:lineRule="auto"/>
              <w:jc w:val="both"/>
              <w:rPr>
                <w:rFonts w:ascii="Book Antiqua" w:hAnsi="Book Antiqua" w:cs="Calibri"/>
                <w:lang w:eastAsia="es-ES"/>
              </w:rPr>
            </w:pPr>
            <w:r w:rsidRPr="00D275F9">
              <w:rPr>
                <w:rFonts w:ascii="Book Antiqua" w:hAnsi="Book Antiqua" w:cs="Calibri"/>
                <w:lang w:eastAsia="es-ES"/>
              </w:rPr>
              <w:t>Fernández-</w:t>
            </w:r>
            <w:proofErr w:type="spellStart"/>
            <w:r w:rsidRPr="00D275F9">
              <w:rPr>
                <w:rFonts w:ascii="Book Antiqua" w:hAnsi="Book Antiqua" w:cs="Calibri"/>
                <w:lang w:eastAsia="es-ES"/>
              </w:rPr>
              <w:t>Miaja</w:t>
            </w:r>
            <w:proofErr w:type="spellEnd"/>
            <w:r w:rsidRPr="00D275F9">
              <w:rPr>
                <w:rFonts w:ascii="Book Antiqua" w:hAnsi="Book Antiqua" w:cs="Calibri"/>
                <w:lang w:eastAsia="es-ES"/>
              </w:rPr>
              <w:t xml:space="preserve"> </w:t>
            </w:r>
            <w:r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{"citationItems":[{"id":"ITEM-1","itemData":{"DOI":"10.1016/j.anpedi.2020.06.017","ISSN":"1695-9531","PMID":"32830086","abstract":"INTRODUCTION The following of a strict gluten-free diet (GFD) is essential in the control of coeliac disease. The aim of this study was to determine the adherence to a GFD in coeliac patients and to evaluate the factors that could influence this adherence. MATERIAL AND METHODS A descriptive observational study was carried out, in which gluten immunogenic peptides (GIP) were determined in faeces using a semi-quantitative method, and the Coeliac Dietary Adherence Test was completed. Sociodemographic and clinical details were collected, and an ad hoc questionnaire was prepared. RESULTS Of the 80 patients included, 92.5% were adherent according to the GIP and 86.3% according to Coeliac Dietary Adherence Test (acceptable agreement; Kappa: 0.31, P=.004). The large majority (83.3%) of patients with positive GIP gave negative anti-transglutaminase antibodies in the latest determination. Current age and time of onset were significantly associated with adherence. Those with a positive GIP had a mean age of 5 years more (P=.0001) and were 52 months more on a GFD (P=.025). One quarter of those surveyed considered the diet difficult to follow. Just under two-thirds (60%) considered that the variability in the eating site was an important factor in leading to infringements, with children's parties being the main area where they occurred (66.7%). The lack of variety (61.4%) and the increased cost (98.6%) of gluten-free foods is highlighted. CONCLUSIONS The adherence to the GFD is generally good. The analysis of GIP helps to detect non-adherent patients that would pass unnoticed in other circumstances. Measures must be established in order to maintain good long-term adherence, taking into account the risk factors and difficulties detected.","author":[{"dropping-particle":"","family":"Fernández Miaja","given":"María","non-dropping-particle":"","parse-names":false,"suffix":""},{"dropping-particle":"","family":"Díaz Martín","given":"Juan José","non-dropping-particle":"","parse-names":false,"suffix":""},{"dropping-particle":"","family":"Jiménez Treviño","given":"Santiago","non-dropping-particle":"","parse-names":false,"suffix":""},{"dropping-particle":"","family":"Suárez González","given":"Marta","non-dropping-particle":"","parse-names":false,"suffix":""},{"dropping-particle":"","family":"Bousoño García","given":"Carlos","non-dropping-particle":"","parse-names":false,"suffix":""}],"container-title":"Anales de pediatria (Barcelona, Spain : 2003)","id":"ITEM-1","issue":"xx","issued":{"date-parts":[["2020","8","20"]]},"page":"4-11","title":"Study of adherence to the gluten-free diet in coeliac patients","type":"article-journal"},"uris":["http://www.mendeley.com/documents/?uuid=80181f68-d1cc-4448-89b4-8cfb26f28c44"]}],"mendeley":{"formattedCitation":"&lt;sup&gt;[22]&lt;/sup&gt;","plainTextFormattedCitation":"[22]","previouslyFormattedCitation":"&lt;sup&gt;[22]&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[22]</w:t>
            </w:r>
            <w:r w:rsidR="00C3458C" w:rsidRPr="00D275F9">
              <w:rPr>
                <w:rFonts w:ascii="Book Antiqua" w:hAnsi="Book Antiqua" w:cs="Calibri"/>
                <w:lang w:eastAsia="es-ES"/>
              </w:rPr>
              <w:fldChar w:fldCharType="end"/>
            </w:r>
          </w:p>
        </w:tc>
        <w:tc>
          <w:tcPr>
            <w:tcW w:w="512" w:type="pct"/>
            <w:shd w:val="clear" w:color="auto" w:fill="auto"/>
            <w:noWrap/>
            <w:vAlign w:val="bottom"/>
            <w:hideMark/>
          </w:tcPr>
          <w:p w14:paraId="70E23DEF"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6</w:t>
            </w:r>
            <w:r w:rsidRPr="009E596D">
              <w:rPr>
                <w:rFonts w:ascii="Book Antiqua" w:hAnsi="Book Antiqua" w:cs="Calibri" w:hint="eastAsia"/>
                <w:lang w:eastAsia="zh-CN"/>
              </w:rPr>
              <w:t xml:space="preserve"> (</w:t>
            </w:r>
            <w:r w:rsidRPr="009E596D">
              <w:rPr>
                <w:rFonts w:ascii="Book Antiqua" w:hAnsi="Book Antiqua" w:cs="Calibri"/>
                <w:bCs/>
                <w:lang w:eastAsia="es-ES"/>
              </w:rPr>
              <w:t>8</w:t>
            </w:r>
            <w:r w:rsidRPr="009E596D">
              <w:rPr>
                <w:rFonts w:ascii="Book Antiqua" w:hAnsi="Book Antiqua" w:cs="Calibri" w:hint="eastAsia"/>
                <w:bCs/>
                <w:lang w:eastAsia="zh-CN"/>
              </w:rPr>
              <w:t>)</w:t>
            </w:r>
          </w:p>
        </w:tc>
        <w:tc>
          <w:tcPr>
            <w:tcW w:w="532" w:type="pct"/>
            <w:shd w:val="clear" w:color="auto" w:fill="auto"/>
            <w:noWrap/>
            <w:vAlign w:val="bottom"/>
            <w:hideMark/>
          </w:tcPr>
          <w:p w14:paraId="326EE7F8"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w:t>
            </w:r>
          </w:p>
        </w:tc>
        <w:tc>
          <w:tcPr>
            <w:tcW w:w="464" w:type="pct"/>
            <w:shd w:val="clear" w:color="auto" w:fill="auto"/>
            <w:noWrap/>
            <w:vAlign w:val="bottom"/>
            <w:hideMark/>
          </w:tcPr>
          <w:p w14:paraId="63C5EF88"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3</w:t>
            </w:r>
            <w:r w:rsidRPr="009E596D">
              <w:rPr>
                <w:rFonts w:ascii="Book Antiqua" w:hAnsi="Book Antiqua" w:cs="Calibri" w:hint="eastAsia"/>
                <w:lang w:eastAsia="zh-CN"/>
              </w:rPr>
              <w:t xml:space="preserve"> (</w:t>
            </w:r>
            <w:r w:rsidRPr="009E596D">
              <w:rPr>
                <w:rFonts w:ascii="Book Antiqua" w:hAnsi="Book Antiqua" w:cs="Calibri"/>
                <w:bCs/>
                <w:lang w:eastAsia="es-ES"/>
              </w:rPr>
              <w:t>4</w:t>
            </w:r>
            <w:r w:rsidRPr="009E596D">
              <w:rPr>
                <w:rFonts w:ascii="Book Antiqua" w:hAnsi="Book Antiqua" w:cs="Calibri" w:hint="eastAsia"/>
                <w:bCs/>
                <w:lang w:eastAsia="zh-CN"/>
              </w:rPr>
              <w:t>)</w:t>
            </w:r>
          </w:p>
        </w:tc>
        <w:tc>
          <w:tcPr>
            <w:tcW w:w="504" w:type="pct"/>
            <w:shd w:val="clear" w:color="auto" w:fill="auto"/>
            <w:noWrap/>
            <w:vAlign w:val="bottom"/>
            <w:hideMark/>
          </w:tcPr>
          <w:p w14:paraId="3B831776"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w:t>
            </w:r>
          </w:p>
        </w:tc>
        <w:tc>
          <w:tcPr>
            <w:tcW w:w="716" w:type="pct"/>
            <w:shd w:val="clear" w:color="auto" w:fill="auto"/>
            <w:noWrap/>
            <w:vAlign w:val="bottom"/>
            <w:hideMark/>
          </w:tcPr>
          <w:p w14:paraId="2F27E8A7"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10</w:t>
            </w:r>
            <w:r w:rsidRPr="009E596D">
              <w:rPr>
                <w:rFonts w:ascii="Book Antiqua" w:hAnsi="Book Antiqua" w:cs="Calibri" w:hint="eastAsia"/>
                <w:lang w:eastAsia="zh-CN"/>
              </w:rPr>
              <w:t xml:space="preserve"> (</w:t>
            </w:r>
            <w:r w:rsidRPr="009E596D">
              <w:rPr>
                <w:rFonts w:ascii="Book Antiqua" w:hAnsi="Book Antiqua" w:cs="Calibri"/>
                <w:bCs/>
                <w:lang w:eastAsia="es-ES"/>
              </w:rPr>
              <w:t>13</w:t>
            </w:r>
            <w:r w:rsidRPr="009E596D">
              <w:rPr>
                <w:rFonts w:ascii="Book Antiqua" w:hAnsi="Book Antiqua" w:cs="Calibri" w:hint="eastAsia"/>
                <w:bCs/>
                <w:lang w:eastAsia="zh-CN"/>
              </w:rPr>
              <w:t>)</w:t>
            </w:r>
          </w:p>
        </w:tc>
        <w:tc>
          <w:tcPr>
            <w:tcW w:w="495" w:type="pct"/>
            <w:shd w:val="clear" w:color="auto" w:fill="auto"/>
            <w:noWrap/>
            <w:vAlign w:val="bottom"/>
            <w:hideMark/>
          </w:tcPr>
          <w:p w14:paraId="29151FE4"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w:t>
            </w:r>
          </w:p>
        </w:tc>
        <w:tc>
          <w:tcPr>
            <w:tcW w:w="465" w:type="pct"/>
            <w:shd w:val="clear" w:color="auto" w:fill="auto"/>
            <w:noWrap/>
            <w:vAlign w:val="bottom"/>
            <w:hideMark/>
          </w:tcPr>
          <w:p w14:paraId="2A7543C6"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w:t>
            </w:r>
          </w:p>
        </w:tc>
      </w:tr>
      <w:tr w:rsidR="0001560F" w:rsidRPr="00D275F9" w14:paraId="3F8F70F2" w14:textId="77777777" w:rsidTr="009E596D">
        <w:trPr>
          <w:trHeight w:val="784"/>
        </w:trPr>
        <w:tc>
          <w:tcPr>
            <w:tcW w:w="1313" w:type="pct"/>
            <w:shd w:val="clear" w:color="auto" w:fill="auto"/>
            <w:noWrap/>
            <w:vAlign w:val="center"/>
            <w:hideMark/>
          </w:tcPr>
          <w:p w14:paraId="2B1A8ED3" w14:textId="77777777" w:rsidR="0001560F" w:rsidRPr="00D275F9" w:rsidRDefault="0001560F" w:rsidP="00F10C3B">
            <w:pPr>
              <w:spacing w:line="360" w:lineRule="auto"/>
              <w:jc w:val="both"/>
              <w:rPr>
                <w:rFonts w:ascii="Book Antiqua" w:hAnsi="Book Antiqua" w:cs="Calibri"/>
                <w:lang w:eastAsia="es-ES"/>
              </w:rPr>
            </w:pPr>
            <w:r w:rsidRPr="00D275F9">
              <w:rPr>
                <w:rFonts w:ascii="Book Antiqua" w:hAnsi="Book Antiqua" w:cs="Calibri"/>
                <w:lang w:eastAsia="es-ES"/>
              </w:rPr>
              <w:lastRenderedPageBreak/>
              <w:t xml:space="preserve">Roca </w:t>
            </w:r>
            <w:r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{"citationItems":[{"id":"ITEM-1","itemData":{"DOI":"10.1007/s00394-020-02404-z","ISBN":"0039402002404","ISSN":"1436-6207","PMID":"33057793","abstract":"Purpose: In celiac disease (CD) there is a need for precise and non-invasive tools to assess dietary compliance to the gluten-free diet (GFD). Our aim is to evaluate the efficacy of the detection of gluten immunogenic peptides (GIP) in feces, to monitor in real life, the adherence to GFD in pediatric patients with CD. Methods: A cross-sectional, prospective study was conducted. Fecal samples from CD children were analyzed by a rapid immunochromatographic (IC) test and by an ELISA method, both based on the antigliadin 33-mer monoclonal antibody. Results: Group 1 comprises 43 children on a GFD. According to the food records (FR), 39/43 patients were compliant with the GFD and gluten consumption was recorded in 4. GIP were detected in 15/43 individuals by the ELISA method and also in 7 by IC strips. Group 2: comprise 18 children at CD diagnosis; GIP levels decreased over time (p &lt; 0.001) in a non-linear way (p = 0.028) after starting a GFD and were below the detection limit on the third day in most individuals. Conclusion: GIP were detected, both by ELISA and by IC strips, in CD patients on a GFD, in which no consumption of gluten had been registered on the FR, confirming GIP detection to be superior to FR discovering involuntary transgressions. Despite a positive correlation between the amount of gluten intake and the concentration of GIP in feces, the interindividual variations observed suggest gastrointestinal factors influencing GIP recovery need to be further investigated.","author":[{"dropping-particle":"","family":"Roca","given":"María","non-dropping-particle":"","parse-names":false,"suffix":""},{"dropping-particle":"","family":"Donat","given":"Ester","non-dropping-particle":"","parse-names":false,"suffix":""},{"dropping-particle":"","family":"Masip","given":"Etna","non-dropping-particle":"","parse-names":false,"suffix":""},{"dropping-particle":"","family":"Crespo-Escobar","given":"Paula","non-dropping-particle":"","parse-names":false,"suffix":""},{"dropping-particle":"","family":"Cañada-Martínez","given":"Antonio José","non-dropping-particle":"","parse-names":false,"suffix":""},{"dropping-particle":"","family":"Polo","given":"Begoña","non-dropping-particle":"","parse-names":false,"suffix":""},{"dropping-particle":"","family":"Ribes-Koninckx","given":"Carmen","non-dropping-particle":"","parse-names":false,"suffix":""}],"container-title":"European Journal of Nutrition","id":"ITEM-1","issue":"0123456789","issued":{"date-parts":[["2020","10","15"]]},"publisher":"Springer Berlin Heidelberg","title":"Analysis of gluten immunogenic peptides in feces to assess adherence to the gluten-free diet in pediatric celiac patients","type":"article-journal"},"uris":["http://www.mendeley.com/documents/?uuid=a895aed8-f108-4aae-bb48-85277444636e"]}],"mendeley":{"formattedCitation":"&lt;sup&gt;[43]&lt;/sup&gt;","plainTextFormattedCitation":"[43]","previouslyFormattedCitation":"&lt;sup&gt;[43]&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[43]</w:t>
            </w:r>
            <w:r w:rsidR="00C3458C" w:rsidRPr="00D275F9">
              <w:rPr>
                <w:rFonts w:ascii="Book Antiqua" w:hAnsi="Book Antiqua" w:cs="Calibri"/>
                <w:lang w:eastAsia="es-ES"/>
              </w:rPr>
              <w:fldChar w:fldCharType="end"/>
            </w:r>
          </w:p>
        </w:tc>
        <w:tc>
          <w:tcPr>
            <w:tcW w:w="512" w:type="pct"/>
            <w:shd w:val="clear" w:color="auto" w:fill="auto"/>
            <w:noWrap/>
            <w:vAlign w:val="bottom"/>
            <w:hideMark/>
          </w:tcPr>
          <w:p w14:paraId="34E5EF79"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15</w:t>
            </w:r>
            <w:r w:rsidRPr="009E596D">
              <w:rPr>
                <w:rFonts w:ascii="Book Antiqua" w:hAnsi="Book Antiqua" w:cs="Calibri" w:hint="eastAsia"/>
                <w:lang w:eastAsia="zh-CN"/>
              </w:rPr>
              <w:t xml:space="preserve"> (</w:t>
            </w:r>
            <w:r w:rsidRPr="009E596D">
              <w:rPr>
                <w:rFonts w:ascii="Book Antiqua" w:hAnsi="Book Antiqua" w:cs="Calibri"/>
                <w:bCs/>
                <w:lang w:eastAsia="es-ES"/>
              </w:rPr>
              <w:t>35</w:t>
            </w:r>
            <w:r w:rsidRPr="009E596D">
              <w:rPr>
                <w:rFonts w:ascii="Book Antiqua" w:hAnsi="Book Antiqua" w:cs="Calibri" w:hint="eastAsia"/>
                <w:bCs/>
                <w:lang w:eastAsia="zh-CN"/>
              </w:rPr>
              <w:t>)</w:t>
            </w:r>
          </w:p>
        </w:tc>
        <w:tc>
          <w:tcPr>
            <w:tcW w:w="532" w:type="pct"/>
            <w:shd w:val="clear" w:color="auto" w:fill="auto"/>
            <w:noWrap/>
            <w:vAlign w:val="bottom"/>
            <w:hideMark/>
          </w:tcPr>
          <w:p w14:paraId="7420BEFC" w14:textId="77777777" w:rsidR="0001560F" w:rsidRPr="009E596D" w:rsidRDefault="0001560F" w:rsidP="00F10C3B">
            <w:pPr>
              <w:spacing w:line="360" w:lineRule="auto"/>
              <w:jc w:val="both"/>
              <w:rPr>
                <w:rFonts w:ascii="Book Antiqua" w:hAnsi="Book Antiqua" w:cs="Calibri"/>
                <w:lang w:eastAsia="es-ES"/>
              </w:rPr>
            </w:pPr>
            <w:r w:rsidRPr="009E596D">
              <w:rPr>
                <w:rFonts w:ascii="Book Antiqua" w:hAnsi="Book Antiqua" w:cs="Calibri"/>
                <w:bCs/>
                <w:lang w:eastAsia="es-ES"/>
              </w:rPr>
              <w:t>-</w:t>
            </w:r>
          </w:p>
        </w:tc>
        <w:tc>
          <w:tcPr>
            <w:tcW w:w="464" w:type="pct"/>
            <w:shd w:val="clear" w:color="auto" w:fill="auto"/>
            <w:noWrap/>
            <w:vAlign w:val="bottom"/>
            <w:hideMark/>
          </w:tcPr>
          <w:p w14:paraId="274BB512"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22</w:t>
            </w:r>
            <w:r w:rsidRPr="009E596D">
              <w:rPr>
                <w:rFonts w:ascii="Book Antiqua" w:hAnsi="Book Antiqua" w:cs="Calibri" w:hint="eastAsia"/>
                <w:lang w:eastAsia="zh-CN"/>
              </w:rPr>
              <w:t xml:space="preserve"> (</w:t>
            </w:r>
            <w:r w:rsidRPr="009E596D">
              <w:rPr>
                <w:rFonts w:ascii="Book Antiqua" w:hAnsi="Book Antiqua" w:cs="Calibri"/>
                <w:bCs/>
                <w:lang w:eastAsia="es-ES"/>
              </w:rPr>
              <w:t>51</w:t>
            </w:r>
            <w:r w:rsidRPr="009E596D">
              <w:rPr>
                <w:rFonts w:ascii="Book Antiqua" w:hAnsi="Book Antiqua" w:cs="Calibri" w:hint="eastAsia"/>
                <w:bCs/>
                <w:lang w:eastAsia="zh-CN"/>
              </w:rPr>
              <w:t>)</w:t>
            </w:r>
          </w:p>
        </w:tc>
        <w:tc>
          <w:tcPr>
            <w:tcW w:w="504" w:type="pct"/>
            <w:shd w:val="clear" w:color="auto" w:fill="auto"/>
            <w:noWrap/>
            <w:vAlign w:val="bottom"/>
            <w:hideMark/>
          </w:tcPr>
          <w:p w14:paraId="1E6E4031" w14:textId="77777777" w:rsidR="0001560F" w:rsidRPr="009E596D" w:rsidRDefault="0001560F" w:rsidP="00F10C3B">
            <w:pPr>
              <w:spacing w:line="360" w:lineRule="auto"/>
              <w:jc w:val="both"/>
              <w:rPr>
                <w:rFonts w:ascii="Book Antiqua" w:hAnsi="Book Antiqua" w:cs="Calibri"/>
                <w:lang w:eastAsia="es-ES"/>
              </w:rPr>
            </w:pPr>
            <w:r w:rsidRPr="009E596D">
              <w:rPr>
                <w:rFonts w:ascii="Book Antiqua" w:hAnsi="Book Antiqua" w:cs="Calibri"/>
                <w:bCs/>
                <w:lang w:eastAsia="es-ES"/>
              </w:rPr>
              <w:t>-</w:t>
            </w:r>
          </w:p>
        </w:tc>
        <w:tc>
          <w:tcPr>
            <w:tcW w:w="716" w:type="pct"/>
            <w:shd w:val="clear" w:color="auto" w:fill="auto"/>
            <w:noWrap/>
            <w:vAlign w:val="bottom"/>
            <w:hideMark/>
          </w:tcPr>
          <w:p w14:paraId="06A16AAD"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4</w:t>
            </w:r>
            <w:r w:rsidRPr="009E596D">
              <w:rPr>
                <w:rFonts w:ascii="Book Antiqua" w:hAnsi="Book Antiqua" w:cs="Calibri" w:hint="eastAsia"/>
                <w:lang w:eastAsia="zh-CN"/>
              </w:rPr>
              <w:t xml:space="preserve"> (</w:t>
            </w:r>
            <w:r w:rsidRPr="009E596D">
              <w:rPr>
                <w:rFonts w:ascii="Book Antiqua" w:hAnsi="Book Antiqua" w:cs="Calibri"/>
                <w:bCs/>
                <w:lang w:eastAsia="es-ES"/>
              </w:rPr>
              <w:t>9</w:t>
            </w:r>
            <w:r w:rsidRPr="009E596D">
              <w:rPr>
                <w:rFonts w:ascii="Book Antiqua" w:hAnsi="Book Antiqua" w:cs="Calibri" w:hint="eastAsia"/>
                <w:bCs/>
                <w:lang w:eastAsia="zh-CN"/>
              </w:rPr>
              <w:t>)</w:t>
            </w:r>
          </w:p>
        </w:tc>
        <w:tc>
          <w:tcPr>
            <w:tcW w:w="495" w:type="pct"/>
            <w:shd w:val="clear" w:color="auto" w:fill="auto"/>
            <w:noWrap/>
            <w:vAlign w:val="bottom"/>
            <w:hideMark/>
          </w:tcPr>
          <w:p w14:paraId="79861E46"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4</w:t>
            </w:r>
            <w:r w:rsidRPr="009E596D">
              <w:rPr>
                <w:rFonts w:ascii="Book Antiqua" w:hAnsi="Book Antiqua" w:cs="Calibri" w:hint="eastAsia"/>
                <w:lang w:eastAsia="zh-CN"/>
              </w:rPr>
              <w:t xml:space="preserve"> (</w:t>
            </w:r>
            <w:r w:rsidRPr="009E596D">
              <w:rPr>
                <w:rFonts w:ascii="Book Antiqua" w:hAnsi="Book Antiqua" w:cs="Calibri"/>
                <w:bCs/>
                <w:lang w:eastAsia="es-ES"/>
              </w:rPr>
              <w:t>9</w:t>
            </w:r>
            <w:r w:rsidRPr="009E596D">
              <w:rPr>
                <w:rFonts w:ascii="Book Antiqua" w:hAnsi="Book Antiqua" w:cs="Calibri" w:hint="eastAsia"/>
                <w:bCs/>
                <w:lang w:eastAsia="zh-CN"/>
              </w:rPr>
              <w:t>)</w:t>
            </w:r>
          </w:p>
        </w:tc>
        <w:tc>
          <w:tcPr>
            <w:tcW w:w="465" w:type="pct"/>
            <w:shd w:val="clear" w:color="auto" w:fill="auto"/>
            <w:noWrap/>
            <w:vAlign w:val="bottom"/>
            <w:hideMark/>
          </w:tcPr>
          <w:p w14:paraId="294462CF" w14:textId="77777777" w:rsidR="0001560F" w:rsidRPr="009E596D" w:rsidRDefault="0001560F" w:rsidP="00F10C3B">
            <w:pPr>
              <w:spacing w:line="360" w:lineRule="auto"/>
              <w:jc w:val="both"/>
              <w:rPr>
                <w:rFonts w:ascii="Book Antiqua" w:hAnsi="Book Antiqua" w:cs="Calibri"/>
                <w:lang w:eastAsia="zh-CN"/>
              </w:rPr>
            </w:pPr>
            <w:r w:rsidRPr="009E596D">
              <w:rPr>
                <w:rFonts w:ascii="Book Antiqua" w:hAnsi="Book Antiqua" w:cs="Calibri"/>
                <w:lang w:eastAsia="es-ES"/>
              </w:rPr>
              <w:t>-</w:t>
            </w:r>
          </w:p>
        </w:tc>
      </w:tr>
      <w:tr w:rsidR="002E16F2" w:rsidRPr="00D275F9" w14:paraId="7971BD8B" w14:textId="77777777" w:rsidTr="009E596D">
        <w:trPr>
          <w:trHeight w:val="784"/>
        </w:trPr>
        <w:tc>
          <w:tcPr>
            <w:tcW w:w="1313" w:type="pct"/>
            <w:shd w:val="clear" w:color="auto" w:fill="auto"/>
            <w:noWrap/>
            <w:vAlign w:val="center"/>
            <w:hideMark/>
          </w:tcPr>
          <w:p w14:paraId="7CECD445" w14:textId="77777777" w:rsidR="002E16F2" w:rsidRPr="00D275F9" w:rsidRDefault="002E16F2" w:rsidP="00F10C3B">
            <w:pPr>
              <w:spacing w:line="360" w:lineRule="auto"/>
              <w:jc w:val="both"/>
              <w:rPr>
                <w:rFonts w:ascii="Book Antiqua" w:hAnsi="Book Antiqua" w:cs="Calibri"/>
                <w:lang w:eastAsia="es-ES"/>
              </w:rPr>
            </w:pPr>
            <w:proofErr w:type="spellStart"/>
            <w:r w:rsidRPr="00D275F9">
              <w:rPr>
                <w:rFonts w:ascii="Book Antiqua" w:hAnsi="Book Antiqua" w:cs="Calibri"/>
                <w:lang w:eastAsia="es-ES"/>
              </w:rPr>
              <w:t>Porcelli</w:t>
            </w:r>
            <w:proofErr w:type="spellEnd"/>
            <w:r w:rsidRPr="00D275F9">
              <w:rPr>
                <w:rFonts w:ascii="Book Antiqua" w:hAnsi="Book Antiqua" w:cs="Calibri"/>
                <w:lang w:eastAsia="es-ES"/>
              </w:rPr>
              <w:t xml:space="preserve"> </w:t>
            </w:r>
            <w:r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{"citationItems":[{"id":"ITEM-1","itemData":{"DOI":"10.20524/aog.2020.0530","ISSN":"1108-7471","PMID":"33162739","abstract":"Background Although experts agree that strict dietary compliance is fundamental for the health of celiac patients, there are no evidence-based recommendations on the best way to assess dietary compliance. Detection of gluten immunogenic peptides (GIPs) in feces was recently proposed as an effective method of assessing the dietary compliance of celiac patients. Methods Fifty-five consecutive celiac patients (27 adults and 28 children, age 6-72 years), who had been on a gluten-free diet for at least 2 years, were enrolled. All patients were evaluated clinically for symptoms, physical parameters and laboratory parameters. Dietary compliance was assessed with the Biagi questionnaire and serum anti-tissue transglutaminase (tTG) IgA antibodies were measured. GIPs were determined by immunoenzymatic assay on an automated Chorus analyzer (DIESSE Diagnostica Senese), after extraction of fecal samples by the method developed by DIESSE. Results Eight patients tested positive for GIPs (GIPs+); 71.4% of GIP-positive patients were asymptomatic; tTG antibodies were detected in 3/8 GIP+ patients. The Biagi score was significantly associated with fecal positivity for GIPs (P=0.02). However, according to the Biagi score, 57.1% of GIP+ patients followed the diet strictly and 5.4% of GIP- subjects did not comply with the diet or made substantial mistakes. Conclusions Assay of fecal GIPs identified more patients who did not comply with the diet than did the Biagi questionnaire, evaluation of symptoms or anti-tTG antibodies. Detection of fecal GIPs offers a direct, objective, quantitative assessment of even occasional exposure to gluten and is confirmed as a practical way to check dietary compliance.","author":[{"dropping-particle":"","family":"Porcelli","given":"Brunetta","non-dropping-particle":"","parse-names":false,"suffix":""},{"dropping-particle":"","family":"Ferretti","given":"Fabio","non-dropping-particle":"","parse-names":false,"suffix":""},{"dropping-particle":"","family":"Biviano","given":"Ivano","non-dropping-particle":"","parse-names":false,"suffix":""},{"dropping-particle":"","family":"Santini","given":"Alessia","non-dropping-particle":"","parse-names":false,"suffix":""},{"dropping-particle":"","family":"Cinci","given":"Francesca","non-dropping-particle":"","parse-names":false,"suffix":""},{"dropping-particle":"","family":"Vascotto","given":"Marina","non-dropping-particle":"","parse-names":false,"suffix":""},{"dropping-particle":"","family":"Grande","given":"Elisabetta","non-dropping-particle":"","parse-names":false,"suffix":""},{"dropping-particle":"","family":"Quagliarella","given":"Francesco","non-dropping-particle":"","parse-names":false,"suffix":""},{"dropping-particle":"","family":"Terzuoli","given":"Lucia","non-dropping-particle":"","parse-names":false,"suffix":""},{"dropping-particle":"","family":"Bizzaro","given":"Nicola","non-dropping-particle":"","parse-names":false,"suffix":""},{"dropping-particle":"","family":"Marini","given":"Mario","non-dropping-particle":"","parse-names":false,"suffix":""},{"dropping-particle":"","family":"Rentini","given":"Silvia","non-dropping-particle":"","parse-names":false,"suffix":""}],"container-title":"Annals of gastroenterology","id":"ITEM-1","issue":"6","issued":{"date-parts":[["2020"]]},"page":"631-637","title":"Testing for fecal gluten immunogenic peptides: a useful tool to evaluate compliance with gluten-free diet by celiacs.","type":"article-journal","volume":"33"},"uris":["http://www.mendeley.com/documents/?uuid=bafd4332-b4e0-4634-99cd-d3172d6ff8c8"]}],"mendeley":{"formattedCitation":"&lt;sup&gt;[44]&lt;/sup&gt;","plainTextFormattedCitation":"[44]","previouslyFormattedCitation":"&lt;sup&gt;[44]&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[44]</w:t>
            </w:r>
            <w:r w:rsidR="00C3458C" w:rsidRPr="00D275F9">
              <w:rPr>
                <w:rFonts w:ascii="Book Antiqua" w:hAnsi="Book Antiqua" w:cs="Calibri"/>
                <w:lang w:eastAsia="es-ES"/>
              </w:rPr>
              <w:fldChar w:fldCharType="end"/>
            </w:r>
          </w:p>
        </w:tc>
        <w:tc>
          <w:tcPr>
            <w:tcW w:w="512" w:type="pct"/>
            <w:shd w:val="clear" w:color="auto" w:fill="auto"/>
            <w:noWrap/>
            <w:vAlign w:val="bottom"/>
            <w:hideMark/>
          </w:tcPr>
          <w:p w14:paraId="24984B89" w14:textId="77777777" w:rsidR="002E16F2" w:rsidRPr="009E596D" w:rsidRDefault="002E16F2" w:rsidP="00F10C3B">
            <w:pPr>
              <w:spacing w:line="360" w:lineRule="auto"/>
              <w:jc w:val="both"/>
              <w:rPr>
                <w:rFonts w:ascii="Book Antiqua" w:hAnsi="Book Antiqua" w:cs="Calibri"/>
                <w:lang w:eastAsia="zh-CN"/>
              </w:rPr>
            </w:pPr>
            <w:r w:rsidRPr="009E596D">
              <w:rPr>
                <w:rFonts w:ascii="Book Antiqua" w:hAnsi="Book Antiqua" w:cs="Calibri"/>
                <w:lang w:eastAsia="es-ES"/>
              </w:rPr>
              <w:t>8</w:t>
            </w:r>
            <w:r w:rsidR="009E596D" w:rsidRPr="009E596D">
              <w:rPr>
                <w:rFonts w:ascii="Book Antiqua" w:hAnsi="Book Antiqua" w:cs="Calibri" w:hint="eastAsia"/>
                <w:lang w:eastAsia="zh-CN"/>
              </w:rPr>
              <w:t xml:space="preserve"> (</w:t>
            </w:r>
            <w:r w:rsidRPr="009E596D">
              <w:rPr>
                <w:rFonts w:ascii="Book Antiqua" w:hAnsi="Book Antiqua" w:cs="Calibri"/>
                <w:bCs/>
                <w:lang w:eastAsia="es-ES"/>
              </w:rPr>
              <w:t>15</w:t>
            </w:r>
            <w:r w:rsidR="009E596D" w:rsidRPr="009E596D">
              <w:rPr>
                <w:rFonts w:ascii="Book Antiqua" w:hAnsi="Book Antiqua" w:cs="Calibri" w:hint="eastAsia"/>
                <w:bCs/>
                <w:lang w:eastAsia="zh-CN"/>
              </w:rPr>
              <w:t>)</w:t>
            </w:r>
          </w:p>
        </w:tc>
        <w:tc>
          <w:tcPr>
            <w:tcW w:w="532" w:type="pct"/>
            <w:shd w:val="clear" w:color="auto" w:fill="auto"/>
            <w:noWrap/>
            <w:vAlign w:val="bottom"/>
            <w:hideMark/>
          </w:tcPr>
          <w:p w14:paraId="019692FA" w14:textId="77777777" w:rsidR="002E16F2" w:rsidRPr="009E596D" w:rsidRDefault="002E16F2" w:rsidP="00F10C3B">
            <w:pPr>
              <w:spacing w:line="360" w:lineRule="auto"/>
              <w:jc w:val="both"/>
              <w:rPr>
                <w:rFonts w:ascii="Book Antiqua" w:hAnsi="Book Antiqua" w:cs="Calibri"/>
                <w:lang w:eastAsia="es-ES"/>
              </w:rPr>
            </w:pPr>
            <w:r w:rsidRPr="009E596D">
              <w:rPr>
                <w:rFonts w:ascii="Book Antiqua" w:hAnsi="Book Antiqua" w:cs="Calibri"/>
                <w:bCs/>
                <w:lang w:eastAsia="es-ES"/>
              </w:rPr>
              <w:t>-</w:t>
            </w:r>
          </w:p>
        </w:tc>
        <w:tc>
          <w:tcPr>
            <w:tcW w:w="464" w:type="pct"/>
            <w:shd w:val="clear" w:color="auto" w:fill="auto"/>
            <w:noWrap/>
            <w:vAlign w:val="bottom"/>
            <w:hideMark/>
          </w:tcPr>
          <w:p w14:paraId="089129E2" w14:textId="77777777" w:rsidR="002E16F2" w:rsidRPr="009E596D" w:rsidRDefault="002E16F2" w:rsidP="00F10C3B">
            <w:pPr>
              <w:spacing w:line="360" w:lineRule="auto"/>
              <w:jc w:val="both"/>
              <w:rPr>
                <w:rFonts w:ascii="Book Antiqua" w:hAnsi="Book Antiqua" w:cs="Calibri"/>
                <w:lang w:eastAsia="zh-CN"/>
              </w:rPr>
            </w:pPr>
            <w:r w:rsidRPr="009E596D">
              <w:rPr>
                <w:rFonts w:ascii="Book Antiqua" w:hAnsi="Book Antiqua" w:cs="Calibri"/>
                <w:lang w:eastAsia="es-ES"/>
              </w:rPr>
              <w:t>3</w:t>
            </w:r>
            <w:r w:rsidR="009E596D" w:rsidRPr="009E596D">
              <w:rPr>
                <w:rFonts w:ascii="Book Antiqua" w:hAnsi="Book Antiqua" w:cs="Calibri" w:hint="eastAsia"/>
                <w:lang w:eastAsia="zh-CN"/>
              </w:rPr>
              <w:t xml:space="preserve"> (</w:t>
            </w:r>
            <w:r w:rsidRPr="009E596D">
              <w:rPr>
                <w:rFonts w:ascii="Book Antiqua" w:hAnsi="Book Antiqua" w:cs="Calibri"/>
                <w:bCs/>
                <w:lang w:eastAsia="es-ES"/>
              </w:rPr>
              <w:t>6</w:t>
            </w:r>
            <w:r w:rsidR="009E596D" w:rsidRPr="009E596D">
              <w:rPr>
                <w:rFonts w:ascii="Book Antiqua" w:hAnsi="Book Antiqua" w:cs="Calibri" w:hint="eastAsia"/>
                <w:bCs/>
                <w:lang w:eastAsia="zh-CN"/>
              </w:rPr>
              <w:t>)</w:t>
            </w:r>
          </w:p>
        </w:tc>
        <w:tc>
          <w:tcPr>
            <w:tcW w:w="504" w:type="pct"/>
            <w:shd w:val="clear" w:color="auto" w:fill="auto"/>
            <w:noWrap/>
            <w:vAlign w:val="bottom"/>
            <w:hideMark/>
          </w:tcPr>
          <w:p w14:paraId="44008B42" w14:textId="77777777" w:rsidR="002E16F2" w:rsidRPr="009E596D" w:rsidRDefault="002E16F2" w:rsidP="00F10C3B">
            <w:pPr>
              <w:spacing w:line="360" w:lineRule="auto"/>
              <w:jc w:val="both"/>
              <w:rPr>
                <w:rFonts w:ascii="Book Antiqua" w:hAnsi="Book Antiqua" w:cs="Calibri"/>
                <w:lang w:eastAsia="es-ES"/>
              </w:rPr>
            </w:pPr>
            <w:r w:rsidRPr="009E596D">
              <w:rPr>
                <w:rFonts w:ascii="Book Antiqua" w:hAnsi="Book Antiqua" w:cs="Calibri"/>
                <w:lang w:eastAsia="es-ES"/>
              </w:rPr>
              <w:t>-</w:t>
            </w:r>
          </w:p>
        </w:tc>
        <w:tc>
          <w:tcPr>
            <w:tcW w:w="716" w:type="pct"/>
            <w:shd w:val="clear" w:color="auto" w:fill="auto"/>
            <w:noWrap/>
            <w:vAlign w:val="bottom"/>
            <w:hideMark/>
          </w:tcPr>
          <w:p w14:paraId="63EB453E" w14:textId="77777777" w:rsidR="002E16F2" w:rsidRPr="009E596D" w:rsidRDefault="002E16F2" w:rsidP="00F10C3B">
            <w:pPr>
              <w:spacing w:line="360" w:lineRule="auto"/>
              <w:jc w:val="both"/>
              <w:rPr>
                <w:rFonts w:ascii="Book Antiqua" w:hAnsi="Book Antiqua" w:cs="Calibri"/>
                <w:lang w:eastAsia="zh-CN"/>
              </w:rPr>
            </w:pPr>
            <w:r w:rsidRPr="009E596D">
              <w:rPr>
                <w:rFonts w:ascii="Book Antiqua" w:hAnsi="Book Antiqua" w:cs="Calibri"/>
                <w:lang w:eastAsia="es-ES"/>
              </w:rPr>
              <w:t>5</w:t>
            </w:r>
            <w:r w:rsidR="009E596D" w:rsidRPr="009E596D">
              <w:rPr>
                <w:rFonts w:ascii="Book Antiqua" w:hAnsi="Book Antiqua" w:cs="Calibri" w:hint="eastAsia"/>
                <w:lang w:eastAsia="zh-CN"/>
              </w:rPr>
              <w:t xml:space="preserve"> (</w:t>
            </w:r>
            <w:r w:rsidRPr="009E596D">
              <w:rPr>
                <w:rFonts w:ascii="Book Antiqua" w:hAnsi="Book Antiqua" w:cs="Calibri"/>
                <w:bCs/>
                <w:lang w:eastAsia="es-ES"/>
              </w:rPr>
              <w:t>11</w:t>
            </w:r>
            <w:r w:rsidR="009E596D" w:rsidRPr="009E596D">
              <w:rPr>
                <w:rFonts w:ascii="Book Antiqua" w:hAnsi="Book Antiqua" w:cs="Calibri" w:hint="eastAsia"/>
                <w:bCs/>
                <w:lang w:eastAsia="zh-CN"/>
              </w:rPr>
              <w:t>)</w:t>
            </w:r>
          </w:p>
        </w:tc>
        <w:tc>
          <w:tcPr>
            <w:tcW w:w="495" w:type="pct"/>
            <w:shd w:val="clear" w:color="auto" w:fill="auto"/>
            <w:noWrap/>
            <w:vAlign w:val="bottom"/>
            <w:hideMark/>
          </w:tcPr>
          <w:p w14:paraId="53CC5103" w14:textId="77777777" w:rsidR="002E16F2" w:rsidRPr="009E596D" w:rsidRDefault="002E16F2" w:rsidP="00F10C3B">
            <w:pPr>
              <w:spacing w:line="360" w:lineRule="auto"/>
              <w:jc w:val="both"/>
              <w:rPr>
                <w:rFonts w:ascii="Book Antiqua" w:hAnsi="Book Antiqua" w:cs="Calibri"/>
                <w:lang w:eastAsia="zh-CN"/>
              </w:rPr>
            </w:pPr>
            <w:r w:rsidRPr="009E596D">
              <w:rPr>
                <w:rFonts w:ascii="Book Antiqua" w:hAnsi="Book Antiqua" w:cs="Calibri"/>
                <w:lang w:eastAsia="es-ES"/>
              </w:rPr>
              <w:t>16</w:t>
            </w:r>
            <w:r w:rsidR="009E596D" w:rsidRPr="009E596D">
              <w:rPr>
                <w:rFonts w:ascii="Book Antiqua" w:hAnsi="Book Antiqua" w:cs="Calibri" w:hint="eastAsia"/>
                <w:lang w:eastAsia="zh-CN"/>
              </w:rPr>
              <w:t xml:space="preserve"> (</w:t>
            </w:r>
            <w:r w:rsidRPr="009E596D">
              <w:rPr>
                <w:rFonts w:ascii="Book Antiqua" w:hAnsi="Book Antiqua" w:cs="Calibri"/>
                <w:bCs/>
                <w:lang w:eastAsia="es-ES"/>
              </w:rPr>
              <w:t>34</w:t>
            </w:r>
            <w:r w:rsidR="009E596D" w:rsidRPr="009E596D">
              <w:rPr>
                <w:rFonts w:ascii="Book Antiqua" w:hAnsi="Book Antiqua" w:cs="Calibri" w:hint="eastAsia"/>
                <w:bCs/>
                <w:lang w:eastAsia="zh-CN"/>
              </w:rPr>
              <w:t>)</w:t>
            </w:r>
          </w:p>
        </w:tc>
        <w:tc>
          <w:tcPr>
            <w:tcW w:w="465" w:type="pct"/>
            <w:shd w:val="clear" w:color="auto" w:fill="auto"/>
            <w:noWrap/>
            <w:vAlign w:val="bottom"/>
            <w:hideMark/>
          </w:tcPr>
          <w:p w14:paraId="604CB2BC" w14:textId="77777777" w:rsidR="002E16F2" w:rsidRPr="009E596D" w:rsidRDefault="002E16F2" w:rsidP="00F10C3B">
            <w:pPr>
              <w:spacing w:line="360" w:lineRule="auto"/>
              <w:jc w:val="both"/>
              <w:rPr>
                <w:rFonts w:ascii="Book Antiqua" w:hAnsi="Book Antiqua" w:cs="Calibri"/>
                <w:lang w:eastAsia="zh-CN"/>
              </w:rPr>
            </w:pPr>
            <w:r w:rsidRPr="009E596D">
              <w:rPr>
                <w:rFonts w:ascii="Book Antiqua" w:hAnsi="Book Antiqua" w:cs="Calibri"/>
                <w:lang w:eastAsia="es-ES"/>
              </w:rPr>
              <w:t>-</w:t>
            </w:r>
          </w:p>
        </w:tc>
      </w:tr>
      <w:tr w:rsidR="002E16F2" w:rsidRPr="00D275F9" w14:paraId="564F6431" w14:textId="77777777" w:rsidTr="009E596D">
        <w:trPr>
          <w:trHeight w:val="784"/>
        </w:trPr>
        <w:tc>
          <w:tcPr>
            <w:tcW w:w="1313" w:type="pct"/>
            <w:shd w:val="clear" w:color="auto" w:fill="auto"/>
            <w:noWrap/>
            <w:vAlign w:val="center"/>
            <w:hideMark/>
          </w:tcPr>
          <w:p w14:paraId="1B81893D" w14:textId="77777777" w:rsidR="002E16F2" w:rsidRPr="00D275F9" w:rsidRDefault="002E16F2" w:rsidP="00F10C3B">
            <w:pPr>
              <w:spacing w:line="360" w:lineRule="auto"/>
              <w:jc w:val="both"/>
              <w:rPr>
                <w:rFonts w:ascii="Book Antiqua" w:hAnsi="Book Antiqua" w:cs="Calibri"/>
                <w:lang w:eastAsia="es-ES"/>
              </w:rPr>
            </w:pPr>
            <w:proofErr w:type="spellStart"/>
            <w:r>
              <w:rPr>
                <w:rFonts w:ascii="Book Antiqua" w:hAnsi="Book Antiqua" w:cs="Calibri"/>
                <w:lang w:eastAsia="es-ES"/>
              </w:rPr>
              <w:t>Laserna</w:t>
            </w:r>
            <w:proofErr w:type="spellEnd"/>
            <w:r>
              <w:rPr>
                <w:rFonts w:ascii="Book Antiqua" w:hAnsi="Book Antiqua" w:cs="Calibri"/>
                <w:lang w:eastAsia="es-ES"/>
              </w:rPr>
              <w:t xml:space="preserve">-Mendieta </w:t>
            </w:r>
            <w:r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{"citationItems":[{"id":"ITEM-1","itemData":{"DOI":"10.3390/nu13010098","ISSN":"20726643","PMID":"33396719","abstract":"A lifelong gluten-free diet (GFD) is the only current treatment for celiac disease (CD), but strict compliance is complicated. Duodenal biopsies are the “gold standard” method for diagnosing CD, but they are not generally recommended for disease monitoring. We evaluated the sensitivity and specificity of fecal gluten immunogenic peptides (GIPs) to detect duodenal lesions in CD patients on a GFD and compared them with serum anti-tissue transglutaminase (tTG) IgA antibodies. A prospective study was conducted at two tertiary centers in Spain on a consecutive series of adolescents and adults with CD who maintained a long-lasting GFD. Adherence to a GFD and health-related quality of life were scored with validated questionnaires. Mucosal damage graded according to the Marsh–Oberhüber classification (Marsh 1/2/3) was used as the reference standard. Of the 97 patients included, 27 presented duodenal mucosal damage and 70 had normal biopsies (Marsh 0). The sensitivity (33%) and specificity (81%) of GIPs were similar to those provided by the two assays used to measure anti-tTG antibodies. Scores in questionnaires showed no association with GIP, but an association between GIPs and patients’ self-reported gluten consumption was found (p = 0.003). GIP displayed low sensitivity but acceptable specificity for the detection of mucosal damage in CD.","author":[{"dropping-particle":"","family":"Laserna-Mendieta","given":"Emilio J.","non-dropping-particle":"","parse-names":false,"suffix":""},{"dropping-particle":"","family":"Casanova","given":"María José","non-dropping-particle":"","parse-names":false,"suffix":""},{"dropping-particle":"","family":"Arias","given":"Ángel","non-dropping-particle":"","parse-names":false,"suffix":""},{"dropping-particle":"","family":"Arias-González","given":"Laura","non-dropping-particle":"","parse-names":false,"suffix":""},{"dropping-particle":"","family":"Majano","given":"Pedro","non-dropping-particle":"","parse-names":false,"suffix":""},{"dropping-particle":"","family":"Mate","given":"Luis Alberto","non-dropping-particle":"","parse-names":false,"suffix":""},{"dropping-particle":"","family":"Gordillo-Vélez","given":"Carlos Humberto","non-dropping-particle":"","parse-names":false,"suffix":""},{"dropping-particle":"","family":"Jiménez","given":"Mirella","non-dropping-particle":"","parse-names":false,"suffix":""},{"dropping-particle":"","family":"Angueira","given":"Teresa","non-dropping-particle":"","parse-names":false,"suffix":""},{"dropping-particle":"","family":"Tébar-Romero","given":"Emilia","non-dropping-particle":"","parse-names":false,"suffix":""},{"dropping-particle":"","family":"Carrillo-Ramos","given":"María Jesús","non-dropping-particle":"","parse-names":false,"suffix":""},{"dropping-particle":"","family":"Tejero-Bustos","given":"María Ángeles","non-dropping-particle":"","parse-names":false,"suffix":""},{"dropping-particle":"","family":"Gisbert","given":"Javier P.","non-dropping-particle":"","parse-names":false,"suffix":""},{"dropping-particle":"","family":"Santander","given":"Cecilio","non-dropping-particle":"","parse-names":false,"suffix":""},{"dropping-particle":"","family":"Lucendo","given":"Alfredo J.","non-dropping-particle":"","parse-names":false,"suffix":""}],"container-title":"Nutrients","id":"ITEM-1","issue":"1","issued":{"date-parts":[["2021"]]},"page":"1-12","title":"Poor sensitivity of fecal gluten immunogenic peptides and serum antibodies to detect duodenal mucosal damage in celiac disease monitoring","type":"article-journal","volume":"13"},"uris":["http://www.mendeley.com/documents/?uuid=d626c222-c695-4809-b437-4e8f9bbfbbc4"]}],"mendeley":{"formattedCitation":"&lt;sup&gt;[45]&lt;/sup&gt;","plainTextFormattedCitation":"[45]","previouslyFormattedCitation":"&lt;sup&gt;[45]&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[45]</w:t>
            </w:r>
            <w:r w:rsidR="00C3458C" w:rsidRPr="00D275F9">
              <w:rPr>
                <w:rFonts w:ascii="Book Antiqua" w:hAnsi="Book Antiqua" w:cs="Calibri"/>
                <w:lang w:eastAsia="es-ES"/>
              </w:rPr>
              <w:fldChar w:fldCharType="end"/>
            </w:r>
          </w:p>
        </w:tc>
        <w:tc>
          <w:tcPr>
            <w:tcW w:w="512" w:type="pct"/>
            <w:shd w:val="clear" w:color="auto" w:fill="auto"/>
            <w:noWrap/>
            <w:vAlign w:val="bottom"/>
            <w:hideMark/>
          </w:tcPr>
          <w:p w14:paraId="537AB9DB" w14:textId="77777777" w:rsidR="002E16F2" w:rsidRPr="009E596D" w:rsidRDefault="002E16F2" w:rsidP="00F10C3B">
            <w:pPr>
              <w:spacing w:line="360" w:lineRule="auto"/>
              <w:jc w:val="both"/>
              <w:rPr>
                <w:rFonts w:ascii="Book Antiqua" w:hAnsi="Book Antiqua" w:cs="Calibri"/>
                <w:lang w:eastAsia="zh-CN"/>
              </w:rPr>
            </w:pPr>
            <w:r w:rsidRPr="009E596D">
              <w:rPr>
                <w:rFonts w:ascii="Book Antiqua" w:hAnsi="Book Antiqua" w:cs="Calibri"/>
                <w:lang w:eastAsia="es-ES"/>
              </w:rPr>
              <w:t>22</w:t>
            </w:r>
            <w:r w:rsidR="009E596D" w:rsidRPr="009E596D">
              <w:rPr>
                <w:rFonts w:ascii="Book Antiqua" w:hAnsi="Book Antiqua" w:cs="Calibri" w:hint="eastAsia"/>
                <w:lang w:eastAsia="zh-CN"/>
              </w:rPr>
              <w:t xml:space="preserve"> (</w:t>
            </w:r>
            <w:r w:rsidRPr="009E596D">
              <w:rPr>
                <w:rFonts w:ascii="Book Antiqua" w:hAnsi="Book Antiqua" w:cs="Calibri"/>
                <w:bCs/>
                <w:lang w:eastAsia="es-ES"/>
              </w:rPr>
              <w:t>23</w:t>
            </w:r>
            <w:r w:rsidR="009E596D" w:rsidRPr="009E596D">
              <w:rPr>
                <w:rFonts w:ascii="Book Antiqua" w:hAnsi="Book Antiqua" w:cs="Calibri" w:hint="eastAsia"/>
                <w:bCs/>
                <w:lang w:eastAsia="zh-CN"/>
              </w:rPr>
              <w:t>)</w:t>
            </w:r>
          </w:p>
        </w:tc>
        <w:tc>
          <w:tcPr>
            <w:tcW w:w="532" w:type="pct"/>
            <w:shd w:val="clear" w:color="auto" w:fill="auto"/>
            <w:noWrap/>
            <w:vAlign w:val="bottom"/>
            <w:hideMark/>
          </w:tcPr>
          <w:p w14:paraId="2638F874" w14:textId="77777777" w:rsidR="002E16F2" w:rsidRPr="009E596D" w:rsidRDefault="002E16F2" w:rsidP="00F10C3B">
            <w:pPr>
              <w:spacing w:line="360" w:lineRule="auto"/>
              <w:jc w:val="both"/>
              <w:rPr>
                <w:rFonts w:ascii="Book Antiqua" w:hAnsi="Book Antiqua" w:cs="Calibri"/>
                <w:lang w:eastAsia="es-ES"/>
              </w:rPr>
            </w:pPr>
            <w:r w:rsidRPr="009E596D">
              <w:rPr>
                <w:rFonts w:ascii="Book Antiqua" w:hAnsi="Book Antiqua" w:cs="Calibri"/>
                <w:lang w:eastAsia="es-ES"/>
              </w:rPr>
              <w:t>-</w:t>
            </w:r>
          </w:p>
        </w:tc>
        <w:tc>
          <w:tcPr>
            <w:tcW w:w="464" w:type="pct"/>
            <w:shd w:val="clear" w:color="auto" w:fill="auto"/>
            <w:noWrap/>
            <w:vAlign w:val="bottom"/>
            <w:hideMark/>
          </w:tcPr>
          <w:p w14:paraId="72A03136" w14:textId="77777777" w:rsidR="002E16F2" w:rsidRPr="009E596D" w:rsidRDefault="002E16F2" w:rsidP="00F10C3B">
            <w:pPr>
              <w:spacing w:line="360" w:lineRule="auto"/>
              <w:jc w:val="both"/>
              <w:rPr>
                <w:rFonts w:ascii="Book Antiqua" w:hAnsi="Book Antiqua" w:cs="Calibri"/>
                <w:lang w:eastAsia="zh-CN"/>
              </w:rPr>
            </w:pPr>
            <w:r w:rsidRPr="009E596D">
              <w:rPr>
                <w:rFonts w:ascii="Book Antiqua" w:hAnsi="Book Antiqua" w:cs="Calibri"/>
                <w:lang w:eastAsia="es-ES"/>
              </w:rPr>
              <w:t>11</w:t>
            </w:r>
            <w:r w:rsidR="009E596D" w:rsidRPr="009E596D">
              <w:rPr>
                <w:rFonts w:ascii="Book Antiqua" w:hAnsi="Book Antiqua" w:cs="Calibri" w:hint="eastAsia"/>
                <w:lang w:eastAsia="zh-CN"/>
              </w:rPr>
              <w:t xml:space="preserve"> (</w:t>
            </w:r>
            <w:r w:rsidRPr="009E596D">
              <w:rPr>
                <w:rFonts w:ascii="Book Antiqua" w:hAnsi="Book Antiqua" w:cs="Calibri"/>
                <w:bCs/>
                <w:lang w:eastAsia="es-ES"/>
              </w:rPr>
              <w:t>12</w:t>
            </w:r>
            <w:r w:rsidR="009E596D" w:rsidRPr="009E596D">
              <w:rPr>
                <w:rFonts w:ascii="Book Antiqua" w:hAnsi="Book Antiqua" w:cs="Calibri" w:hint="eastAsia"/>
                <w:bCs/>
                <w:lang w:eastAsia="zh-CN"/>
              </w:rPr>
              <w:t>)</w:t>
            </w:r>
          </w:p>
        </w:tc>
        <w:tc>
          <w:tcPr>
            <w:tcW w:w="504" w:type="pct"/>
            <w:shd w:val="clear" w:color="auto" w:fill="auto"/>
            <w:noWrap/>
            <w:vAlign w:val="bottom"/>
            <w:hideMark/>
          </w:tcPr>
          <w:p w14:paraId="068CD1DE" w14:textId="77777777" w:rsidR="002E16F2" w:rsidRPr="009E596D" w:rsidRDefault="002E16F2" w:rsidP="00F10C3B">
            <w:pPr>
              <w:spacing w:line="360" w:lineRule="auto"/>
              <w:jc w:val="both"/>
              <w:rPr>
                <w:rFonts w:ascii="Book Antiqua" w:hAnsi="Book Antiqua" w:cs="Calibri"/>
                <w:lang w:eastAsia="es-ES"/>
              </w:rPr>
            </w:pPr>
            <w:r w:rsidRPr="009E596D">
              <w:rPr>
                <w:rFonts w:ascii="Book Antiqua" w:hAnsi="Book Antiqua" w:cs="Calibri"/>
                <w:lang w:eastAsia="es-ES"/>
              </w:rPr>
              <w:t>-</w:t>
            </w:r>
          </w:p>
        </w:tc>
        <w:tc>
          <w:tcPr>
            <w:tcW w:w="716" w:type="pct"/>
            <w:shd w:val="clear" w:color="auto" w:fill="auto"/>
            <w:noWrap/>
            <w:vAlign w:val="bottom"/>
            <w:hideMark/>
          </w:tcPr>
          <w:p w14:paraId="635BDED4" w14:textId="77777777" w:rsidR="002E16F2" w:rsidRPr="009E596D" w:rsidRDefault="002E16F2" w:rsidP="00F10C3B">
            <w:pPr>
              <w:spacing w:line="360" w:lineRule="auto"/>
              <w:jc w:val="both"/>
              <w:rPr>
                <w:rFonts w:ascii="Book Antiqua" w:hAnsi="Book Antiqua" w:cs="Calibri"/>
                <w:lang w:eastAsia="zh-CN"/>
              </w:rPr>
            </w:pPr>
            <w:r w:rsidRPr="009E596D">
              <w:rPr>
                <w:rFonts w:ascii="Book Antiqua" w:hAnsi="Book Antiqua" w:cs="Calibri"/>
                <w:lang w:eastAsia="es-ES"/>
              </w:rPr>
              <w:t>17</w:t>
            </w:r>
            <w:r w:rsidR="009E596D" w:rsidRPr="009E596D">
              <w:rPr>
                <w:rFonts w:ascii="Book Antiqua" w:hAnsi="Book Antiqua" w:cs="Calibri" w:hint="eastAsia"/>
                <w:lang w:eastAsia="zh-CN"/>
              </w:rPr>
              <w:t xml:space="preserve"> (</w:t>
            </w:r>
            <w:r w:rsidRPr="009E596D">
              <w:rPr>
                <w:rFonts w:ascii="Book Antiqua" w:hAnsi="Book Antiqua" w:cs="Calibri"/>
                <w:bCs/>
                <w:lang w:eastAsia="es-ES"/>
              </w:rPr>
              <w:t>18</w:t>
            </w:r>
            <w:r w:rsidR="009E596D" w:rsidRPr="009E596D">
              <w:rPr>
                <w:rFonts w:ascii="Book Antiqua" w:hAnsi="Book Antiqua" w:cs="Calibri" w:hint="eastAsia"/>
                <w:bCs/>
                <w:lang w:eastAsia="zh-CN"/>
              </w:rPr>
              <w:t>)</w:t>
            </w:r>
          </w:p>
        </w:tc>
        <w:tc>
          <w:tcPr>
            <w:tcW w:w="495" w:type="pct"/>
            <w:shd w:val="clear" w:color="auto" w:fill="auto"/>
            <w:noWrap/>
            <w:vAlign w:val="bottom"/>
            <w:hideMark/>
          </w:tcPr>
          <w:p w14:paraId="56805929" w14:textId="77777777" w:rsidR="002E16F2" w:rsidRPr="009E596D" w:rsidRDefault="002E16F2" w:rsidP="00F10C3B">
            <w:pPr>
              <w:spacing w:line="360" w:lineRule="auto"/>
              <w:jc w:val="both"/>
              <w:rPr>
                <w:rFonts w:ascii="Book Antiqua" w:hAnsi="Book Antiqua" w:cs="Calibri"/>
                <w:lang w:eastAsia="es-ES"/>
              </w:rPr>
            </w:pPr>
            <w:r w:rsidRPr="009E596D">
              <w:rPr>
                <w:rFonts w:ascii="Book Antiqua" w:hAnsi="Book Antiqua" w:cs="Calibri"/>
                <w:lang w:eastAsia="es-ES"/>
              </w:rPr>
              <w:t>-</w:t>
            </w:r>
          </w:p>
        </w:tc>
        <w:tc>
          <w:tcPr>
            <w:tcW w:w="465" w:type="pct"/>
            <w:shd w:val="clear" w:color="auto" w:fill="auto"/>
            <w:noWrap/>
            <w:vAlign w:val="bottom"/>
            <w:hideMark/>
          </w:tcPr>
          <w:p w14:paraId="14E95430" w14:textId="77777777" w:rsidR="002E16F2" w:rsidRPr="009E596D" w:rsidRDefault="002E16F2" w:rsidP="00F10C3B">
            <w:pPr>
              <w:spacing w:line="360" w:lineRule="auto"/>
              <w:jc w:val="both"/>
              <w:rPr>
                <w:rFonts w:ascii="Book Antiqua" w:hAnsi="Book Antiqua" w:cs="Calibri"/>
                <w:lang w:eastAsia="zh-CN"/>
              </w:rPr>
            </w:pPr>
            <w:r w:rsidRPr="009E596D">
              <w:rPr>
                <w:rFonts w:ascii="Book Antiqua" w:hAnsi="Book Antiqua" w:cs="Calibri"/>
                <w:lang w:eastAsia="es-ES"/>
              </w:rPr>
              <w:t>6</w:t>
            </w:r>
            <w:r w:rsidR="009E596D" w:rsidRPr="009E596D">
              <w:rPr>
                <w:rFonts w:ascii="Book Antiqua" w:hAnsi="Book Antiqua" w:cs="Calibri" w:hint="eastAsia"/>
                <w:lang w:eastAsia="zh-CN"/>
              </w:rPr>
              <w:t xml:space="preserve"> (</w:t>
            </w:r>
            <w:r w:rsidRPr="009E596D">
              <w:rPr>
                <w:rFonts w:ascii="Book Antiqua" w:hAnsi="Book Antiqua" w:cs="Calibri"/>
                <w:bCs/>
                <w:lang w:eastAsia="es-ES"/>
              </w:rPr>
              <w:t>28</w:t>
            </w:r>
            <w:r w:rsidR="009E596D" w:rsidRPr="009E596D">
              <w:rPr>
                <w:rFonts w:ascii="Book Antiqua" w:hAnsi="Book Antiqua" w:cs="Calibri" w:hint="eastAsia"/>
                <w:bCs/>
                <w:lang w:eastAsia="zh-CN"/>
              </w:rPr>
              <w:t>)</w:t>
            </w:r>
          </w:p>
        </w:tc>
      </w:tr>
      <w:tr w:rsidR="002E16F2" w:rsidRPr="00D275F9" w14:paraId="2852D9C8" w14:textId="77777777" w:rsidTr="009E596D">
        <w:trPr>
          <w:trHeight w:val="784"/>
        </w:trPr>
        <w:tc>
          <w:tcPr>
            <w:tcW w:w="1313" w:type="pct"/>
            <w:shd w:val="clear" w:color="auto" w:fill="auto"/>
            <w:noWrap/>
            <w:vAlign w:val="center"/>
            <w:hideMark/>
          </w:tcPr>
          <w:p w14:paraId="3EC392D4" w14:textId="77777777" w:rsidR="002E16F2" w:rsidRPr="00D275F9" w:rsidRDefault="002E16F2" w:rsidP="00F10C3B">
            <w:pPr>
              <w:spacing w:line="360" w:lineRule="auto"/>
              <w:jc w:val="both"/>
              <w:rPr>
                <w:rFonts w:ascii="Book Antiqua" w:hAnsi="Book Antiqua" w:cs="Calibri"/>
                <w:lang w:eastAsia="es-ES"/>
              </w:rPr>
            </w:pPr>
            <w:proofErr w:type="spellStart"/>
            <w:r w:rsidRPr="00D275F9">
              <w:rPr>
                <w:rFonts w:ascii="Book Antiqua" w:hAnsi="Book Antiqua" w:cs="Calibri"/>
                <w:lang w:eastAsia="es-ES"/>
              </w:rPr>
              <w:t>Stefanolo</w:t>
            </w:r>
            <w:proofErr w:type="spellEnd"/>
            <w:r w:rsidRPr="00D275F9">
              <w:rPr>
                <w:rFonts w:ascii="Book Antiqua" w:hAnsi="Book Antiqua" w:cs="Calibri"/>
                <w:lang w:eastAsia="es-ES"/>
              </w:rPr>
              <w:t xml:space="preserve"> </w:t>
            </w:r>
            <w:r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{"citationItems":[{"id":"ITEM-1","itemData":{"DOI":"10.1016/j.cgh.2020.03.038","ISSN":"15423565","PMID":"32217152","abstract":"BACKGROUND &amp; AIMS It is not clear how often patients who are on gluten-free diets (GFDs) for treatment celiac disease are still exposed to gluten. We studied levels of gluten immunogenic peptides (GIP) in fecal and urine samples, collected over 4 weeks, from patients with celiac disease following a long-term GFD. METHODS We performed a prospective study of 53 adults with celiac disease who had been on a GFD for more than 2 years (median duration, 8 years; interquartile range, 5-12 years) in Argentina. At baseline, symptoms were assessed by the celiac symptom index questionnaire. Patients collected stool each Friday and Saturday and urine samples each Sunday for 4 weeks. We used a commercial ELISA to measure GIP in stool and point-of-care tests to measure GIP in urine samples. RESULTS Overall, 159 of 420 stool and urine samples (37.9%) were positive for GIP; 88.7% of patients had at least 1 fecal or urine sample that was positive for GIP (median, 3 excretions). On weekends (urine samples), 69.8% of patients excreted GIP at least once, compared with 62.3% during weekdays (stool). The number of patients with a sample that was positive for GIP increased over the 4-week study period (urine samples in week 1 vs week 4, P&lt;.05). Patients with symptoms had more weeks in which GIP was detected in stool than patients without symptoms (P&lt;.05). Numbers of samples that were positive for GIP correlated with titers of deamidated gliadin peptide IgA in patients' blood samples, but not with levels of tissue transglutaminase. CONCLUSIONS Patients with celiac disease on a long-term GFD are still frequently exposed to gluten. Assays to detect GIP in stool and urine might be used to assist dietitians in assessment of GFD compliance.","author":[{"dropping-particle":"","family":"Stefanolo","given":"Juan Pablo","non-dropping-particle":"","parse-names":false,"suffix":""},{"dropping-particle":"","family":"Tálamo","given":"Martín","non-dropping-particle":"","parse-names":false,"suffix":""},{"dropping-particle":"","family":"Dodds","given":"Samanta","non-dropping-particle":"","parse-names":false,"suffix":""},{"dropping-particle":"","family":"la Paz Temprano","given":"María","non-dropping-particle":"de","parse-names":false,"suffix":""},{"dropping-particle":"","family":"Costa","given":"Ana Florencia","non-dropping-particle":"","parse-names":false,"suffix":""},{"dropping-particle":"","family":"Moreno","given":"María Laura","non-dropping-particle":"","parse-names":false,"suffix":""},{"dropping-particle":"","family":"Pinto-Sánchez","given":"María Inés","non-dropping-particle":"","parse-names":false,"suffix":""},{"dropping-particle":"","family":"Smecuol","given":"Edgardo","non-dropping-particle":"","parse-names":false,"suffix":""},{"dropping-particle":"","family":"Vázquez","given":"Horacio","non-dropping-particle":"","parse-names":false,"suffix":""},{"dropping-particle":"","family":"Gonzalez","given":"Andrea","non-dropping-particle":"","parse-names":false,"suffix":""},{"dropping-particle":"","family":"Niveloni","given":"Sonia Isabel","non-dropping-particle":"","parse-names":false,"suffix":""},{"dropping-particle":"","family":"Mauriño","given":"Eduardo","non-dropping-particle":"","parse-names":false,"suffix":""},{"dropping-particle":"","family":"Verdu","given":"Elena F.","non-dropping-particle":"","parse-names":false,"suffix":""},{"dropping-particle":"","family":"Bai","given":"Julio César","non-dropping-particle":"","parse-names":false,"suffix":""}],"container-title":"Clinical Gastroenterology and Hepatology","id":"ITEM-1","issue":"3","issued":{"date-parts":[["2021","3"]]},"page":"484-491.e1","publisher":"Elsevier, Inc","title":"Real-World Gluten Exposure in Patients With Celiac Disease on Gluten-Free Diets, Determined From Gliadin Immunogenic Peptides in Urine and Fecal Samples","type":"article-journal","volume":"19"},"uris":["http://www.mendeley.com/documents/?uuid=a49a217d-b079-4e7b-a5b6-4088aef99e8b"]}],"mendeley":{"formattedCitation":"&lt;sup&gt;[24]&lt;/sup&gt;","plainTextFormattedCitation":"[24]","previouslyFormattedCitation":"&lt;sup&gt;[24]&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[24]</w:t>
            </w:r>
            <w:r w:rsidR="00C3458C" w:rsidRPr="00D275F9">
              <w:rPr>
                <w:rFonts w:ascii="Book Antiqua" w:hAnsi="Book Antiqua" w:cs="Calibri"/>
                <w:lang w:eastAsia="es-ES"/>
              </w:rPr>
              <w:fldChar w:fldCharType="end"/>
            </w:r>
          </w:p>
        </w:tc>
        <w:tc>
          <w:tcPr>
            <w:tcW w:w="512" w:type="pct"/>
            <w:shd w:val="clear" w:color="auto" w:fill="auto"/>
            <w:noWrap/>
            <w:vAlign w:val="bottom"/>
            <w:hideMark/>
          </w:tcPr>
          <w:p w14:paraId="6FE49F7C" w14:textId="77777777" w:rsidR="002E16F2" w:rsidRPr="009E596D" w:rsidRDefault="002E16F2" w:rsidP="00F10C3B">
            <w:pPr>
              <w:spacing w:line="360" w:lineRule="auto"/>
              <w:jc w:val="both"/>
              <w:rPr>
                <w:rFonts w:ascii="Book Antiqua" w:hAnsi="Book Antiqua" w:cs="Calibri"/>
                <w:lang w:eastAsia="zh-CN"/>
              </w:rPr>
            </w:pPr>
            <w:r w:rsidRPr="009E596D">
              <w:rPr>
                <w:rFonts w:ascii="Book Antiqua" w:hAnsi="Book Antiqua" w:cs="Calibri"/>
                <w:lang w:eastAsia="es-ES"/>
              </w:rPr>
              <w:t>33</w:t>
            </w:r>
            <w:r w:rsidR="009E596D" w:rsidRPr="009E596D">
              <w:rPr>
                <w:rFonts w:ascii="Book Antiqua" w:hAnsi="Book Antiqua" w:cs="Calibri" w:hint="eastAsia"/>
                <w:lang w:eastAsia="zh-CN"/>
              </w:rPr>
              <w:t xml:space="preserve"> (6</w:t>
            </w:r>
            <w:r w:rsidRPr="009E596D">
              <w:rPr>
                <w:rFonts w:ascii="Book Antiqua" w:hAnsi="Book Antiqua" w:cs="Calibri"/>
                <w:bCs/>
                <w:lang w:eastAsia="es-ES"/>
              </w:rPr>
              <w:t>2</w:t>
            </w:r>
            <w:r w:rsidR="009E596D" w:rsidRPr="009E596D">
              <w:rPr>
                <w:rFonts w:ascii="Book Antiqua" w:hAnsi="Book Antiqua" w:cs="Calibri" w:hint="eastAsia"/>
                <w:bCs/>
                <w:lang w:eastAsia="zh-CN"/>
              </w:rPr>
              <w:t>)</w:t>
            </w:r>
          </w:p>
        </w:tc>
        <w:tc>
          <w:tcPr>
            <w:tcW w:w="532" w:type="pct"/>
            <w:shd w:val="clear" w:color="auto" w:fill="auto"/>
            <w:noWrap/>
            <w:vAlign w:val="bottom"/>
            <w:hideMark/>
          </w:tcPr>
          <w:p w14:paraId="30C75B66" w14:textId="77777777" w:rsidR="002E16F2" w:rsidRPr="009E596D" w:rsidRDefault="002E16F2" w:rsidP="00F10C3B">
            <w:pPr>
              <w:spacing w:line="360" w:lineRule="auto"/>
              <w:jc w:val="both"/>
              <w:rPr>
                <w:rFonts w:ascii="Book Antiqua" w:hAnsi="Book Antiqua" w:cs="Calibri"/>
                <w:lang w:eastAsia="zh-CN"/>
              </w:rPr>
            </w:pPr>
            <w:r w:rsidRPr="009E596D">
              <w:rPr>
                <w:rFonts w:ascii="Book Antiqua" w:hAnsi="Book Antiqua" w:cs="Calibri"/>
                <w:lang w:eastAsia="es-ES"/>
              </w:rPr>
              <w:t>37</w:t>
            </w:r>
            <w:r w:rsidR="009E596D" w:rsidRPr="009E596D">
              <w:rPr>
                <w:rFonts w:ascii="Book Antiqua" w:hAnsi="Book Antiqua" w:cs="Calibri" w:hint="eastAsia"/>
                <w:lang w:eastAsia="zh-CN"/>
              </w:rPr>
              <w:t xml:space="preserve"> (</w:t>
            </w:r>
            <w:r w:rsidRPr="009E596D">
              <w:rPr>
                <w:rFonts w:ascii="Book Antiqua" w:hAnsi="Book Antiqua" w:cs="Calibri"/>
                <w:bCs/>
                <w:lang w:eastAsia="es-ES"/>
              </w:rPr>
              <w:t>70</w:t>
            </w:r>
            <w:r w:rsidR="009E596D" w:rsidRPr="009E596D">
              <w:rPr>
                <w:rFonts w:ascii="Book Antiqua" w:hAnsi="Book Antiqua" w:cs="Calibri" w:hint="eastAsia"/>
                <w:bCs/>
                <w:lang w:eastAsia="zh-CN"/>
              </w:rPr>
              <w:t>)</w:t>
            </w:r>
          </w:p>
        </w:tc>
        <w:tc>
          <w:tcPr>
            <w:tcW w:w="464" w:type="pct"/>
            <w:shd w:val="clear" w:color="auto" w:fill="auto"/>
            <w:noWrap/>
            <w:vAlign w:val="bottom"/>
            <w:hideMark/>
          </w:tcPr>
          <w:p w14:paraId="6B0A1B90" w14:textId="77777777" w:rsidR="002E16F2" w:rsidRPr="009E596D" w:rsidRDefault="002E16F2" w:rsidP="00F10C3B">
            <w:pPr>
              <w:spacing w:line="360" w:lineRule="auto"/>
              <w:jc w:val="both"/>
              <w:rPr>
                <w:rFonts w:ascii="Book Antiqua" w:hAnsi="Book Antiqua" w:cs="Calibri"/>
                <w:lang w:eastAsia="zh-CN"/>
              </w:rPr>
            </w:pPr>
            <w:r w:rsidRPr="009E596D">
              <w:rPr>
                <w:rFonts w:ascii="Book Antiqua" w:hAnsi="Book Antiqua" w:cs="Calibri"/>
                <w:lang w:eastAsia="es-ES"/>
              </w:rPr>
              <w:t>22</w:t>
            </w:r>
            <w:r w:rsidR="009E596D" w:rsidRPr="009E596D">
              <w:rPr>
                <w:rFonts w:ascii="Book Antiqua" w:hAnsi="Book Antiqua" w:cs="Calibri" w:hint="eastAsia"/>
                <w:lang w:eastAsia="zh-CN"/>
              </w:rPr>
              <w:t xml:space="preserve"> (</w:t>
            </w:r>
            <w:r w:rsidRPr="009E596D">
              <w:rPr>
                <w:rFonts w:ascii="Book Antiqua" w:hAnsi="Book Antiqua" w:cs="Calibri"/>
                <w:bCs/>
                <w:lang w:eastAsia="es-ES"/>
              </w:rPr>
              <w:t>42</w:t>
            </w:r>
            <w:r w:rsidR="009E596D" w:rsidRPr="009E596D">
              <w:rPr>
                <w:rFonts w:ascii="Book Antiqua" w:hAnsi="Book Antiqua" w:cs="Calibri" w:hint="eastAsia"/>
                <w:bCs/>
                <w:lang w:eastAsia="zh-CN"/>
              </w:rPr>
              <w:t>)</w:t>
            </w:r>
          </w:p>
        </w:tc>
        <w:tc>
          <w:tcPr>
            <w:tcW w:w="504" w:type="pct"/>
            <w:shd w:val="clear" w:color="auto" w:fill="auto"/>
            <w:noWrap/>
            <w:vAlign w:val="bottom"/>
            <w:hideMark/>
          </w:tcPr>
          <w:p w14:paraId="7DD05666" w14:textId="77777777" w:rsidR="002E16F2" w:rsidRPr="009E596D" w:rsidRDefault="002E16F2" w:rsidP="00F10C3B">
            <w:pPr>
              <w:spacing w:line="360" w:lineRule="auto"/>
              <w:jc w:val="both"/>
              <w:rPr>
                <w:rFonts w:ascii="Book Antiqua" w:hAnsi="Book Antiqua" w:cs="Calibri"/>
                <w:lang w:eastAsia="zh-CN"/>
              </w:rPr>
            </w:pPr>
            <w:r w:rsidRPr="009E596D">
              <w:rPr>
                <w:rFonts w:ascii="Book Antiqua" w:hAnsi="Book Antiqua" w:cs="Calibri"/>
                <w:lang w:eastAsia="es-ES"/>
              </w:rPr>
              <w:t>25</w:t>
            </w:r>
            <w:r w:rsidR="009E596D" w:rsidRPr="009E596D">
              <w:rPr>
                <w:rFonts w:ascii="Book Antiqua" w:hAnsi="Book Antiqua" w:cs="Calibri" w:hint="eastAsia"/>
                <w:lang w:eastAsia="zh-CN"/>
              </w:rPr>
              <w:t xml:space="preserve"> (</w:t>
            </w:r>
            <w:r w:rsidRPr="009E596D">
              <w:rPr>
                <w:rFonts w:ascii="Book Antiqua" w:hAnsi="Book Antiqua" w:cs="Calibri"/>
                <w:bCs/>
                <w:lang w:eastAsia="es-ES"/>
              </w:rPr>
              <w:t>47</w:t>
            </w:r>
            <w:r w:rsidR="009E596D" w:rsidRPr="009E596D">
              <w:rPr>
                <w:rFonts w:ascii="Book Antiqua" w:hAnsi="Book Antiqua" w:cs="Calibri" w:hint="eastAsia"/>
                <w:bCs/>
                <w:lang w:eastAsia="zh-CN"/>
              </w:rPr>
              <w:t>)</w:t>
            </w:r>
          </w:p>
        </w:tc>
        <w:tc>
          <w:tcPr>
            <w:tcW w:w="716" w:type="pct"/>
            <w:shd w:val="clear" w:color="auto" w:fill="auto"/>
            <w:noWrap/>
            <w:vAlign w:val="bottom"/>
            <w:hideMark/>
          </w:tcPr>
          <w:p w14:paraId="3C8F8742" w14:textId="77777777" w:rsidR="002E16F2" w:rsidRPr="009E596D" w:rsidRDefault="002E16F2" w:rsidP="00F10C3B">
            <w:pPr>
              <w:spacing w:line="360" w:lineRule="auto"/>
              <w:jc w:val="both"/>
              <w:rPr>
                <w:rFonts w:ascii="Book Antiqua" w:hAnsi="Book Antiqua" w:cs="Calibri"/>
                <w:lang w:eastAsia="es-ES"/>
              </w:rPr>
            </w:pPr>
            <w:r w:rsidRPr="009E596D">
              <w:rPr>
                <w:rFonts w:ascii="Book Antiqua" w:hAnsi="Book Antiqua" w:cs="Calibri"/>
                <w:lang w:eastAsia="es-ES"/>
              </w:rPr>
              <w:t>-</w:t>
            </w:r>
          </w:p>
        </w:tc>
        <w:tc>
          <w:tcPr>
            <w:tcW w:w="495" w:type="pct"/>
            <w:shd w:val="clear" w:color="auto" w:fill="auto"/>
            <w:noWrap/>
            <w:vAlign w:val="bottom"/>
            <w:hideMark/>
          </w:tcPr>
          <w:p w14:paraId="6944C0B9" w14:textId="77777777" w:rsidR="002E16F2" w:rsidRPr="009E596D" w:rsidRDefault="002E16F2" w:rsidP="00F10C3B">
            <w:pPr>
              <w:spacing w:line="360" w:lineRule="auto"/>
              <w:jc w:val="both"/>
              <w:rPr>
                <w:rFonts w:ascii="Book Antiqua" w:hAnsi="Book Antiqua" w:cs="Calibri"/>
                <w:lang w:eastAsia="zh-CN"/>
              </w:rPr>
            </w:pPr>
            <w:r w:rsidRPr="009E596D">
              <w:rPr>
                <w:rFonts w:ascii="Book Antiqua" w:hAnsi="Book Antiqua" w:cs="Calibri"/>
                <w:lang w:eastAsia="es-ES"/>
              </w:rPr>
              <w:t>18</w:t>
            </w:r>
            <w:r w:rsidR="009E596D" w:rsidRPr="009E596D">
              <w:rPr>
                <w:rFonts w:ascii="Book Antiqua" w:hAnsi="Book Antiqua" w:cs="Calibri" w:hint="eastAsia"/>
                <w:lang w:eastAsia="zh-CN"/>
              </w:rPr>
              <w:t xml:space="preserve"> (</w:t>
            </w:r>
            <w:r w:rsidRPr="009E596D">
              <w:rPr>
                <w:rFonts w:ascii="Book Antiqua" w:hAnsi="Book Antiqua" w:cs="Calibri"/>
                <w:bCs/>
                <w:lang w:eastAsia="es-ES"/>
              </w:rPr>
              <w:t>34</w:t>
            </w:r>
            <w:r w:rsidR="009E596D" w:rsidRPr="009E596D">
              <w:rPr>
                <w:rFonts w:ascii="Book Antiqua" w:hAnsi="Book Antiqua" w:cs="Calibri" w:hint="eastAsia"/>
                <w:bCs/>
                <w:lang w:eastAsia="zh-CN"/>
              </w:rPr>
              <w:t>)</w:t>
            </w:r>
          </w:p>
        </w:tc>
        <w:tc>
          <w:tcPr>
            <w:tcW w:w="465" w:type="pct"/>
            <w:shd w:val="clear" w:color="auto" w:fill="auto"/>
            <w:noWrap/>
            <w:vAlign w:val="bottom"/>
            <w:hideMark/>
          </w:tcPr>
          <w:p w14:paraId="0DA25991" w14:textId="77777777" w:rsidR="002E16F2" w:rsidRPr="009E596D" w:rsidRDefault="002E16F2" w:rsidP="00F10C3B">
            <w:pPr>
              <w:spacing w:line="360" w:lineRule="auto"/>
              <w:jc w:val="both"/>
              <w:rPr>
                <w:rFonts w:ascii="Book Antiqua" w:hAnsi="Book Antiqua" w:cs="Calibri"/>
                <w:lang w:eastAsia="es-ES"/>
              </w:rPr>
            </w:pPr>
            <w:r w:rsidRPr="009E596D">
              <w:rPr>
                <w:rFonts w:ascii="Book Antiqua" w:hAnsi="Book Antiqua" w:cs="Calibri"/>
                <w:lang w:eastAsia="es-ES"/>
              </w:rPr>
              <w:t>-</w:t>
            </w:r>
          </w:p>
        </w:tc>
      </w:tr>
      <w:tr w:rsidR="002E16F2" w:rsidRPr="00D275F9" w14:paraId="2CE5682F" w14:textId="77777777" w:rsidTr="009E596D">
        <w:trPr>
          <w:trHeight w:val="784"/>
        </w:trPr>
        <w:tc>
          <w:tcPr>
            <w:tcW w:w="1313" w:type="pct"/>
            <w:shd w:val="clear" w:color="auto" w:fill="auto"/>
            <w:noWrap/>
            <w:vAlign w:val="center"/>
            <w:hideMark/>
          </w:tcPr>
          <w:p w14:paraId="0D7999C9" w14:textId="77777777" w:rsidR="002E16F2" w:rsidRPr="00D275F9" w:rsidRDefault="002E16F2" w:rsidP="00F10C3B">
            <w:pPr>
              <w:spacing w:line="360" w:lineRule="auto"/>
              <w:jc w:val="both"/>
              <w:rPr>
                <w:rFonts w:ascii="Book Antiqua" w:hAnsi="Book Antiqua" w:cs="Calibri"/>
                <w:lang w:eastAsia="es-ES"/>
              </w:rPr>
            </w:pPr>
            <w:r w:rsidRPr="00D275F9">
              <w:rPr>
                <w:rFonts w:ascii="Book Antiqua" w:hAnsi="Book Antiqua" w:cs="Calibri"/>
                <w:lang w:eastAsia="es-ES"/>
              </w:rPr>
              <w:t>Fernández-</w:t>
            </w:r>
            <w:proofErr w:type="spellStart"/>
            <w:r w:rsidRPr="00D275F9">
              <w:rPr>
                <w:rFonts w:ascii="Book Antiqua" w:hAnsi="Book Antiqua" w:cs="Calibri"/>
                <w:lang w:eastAsia="es-ES"/>
              </w:rPr>
              <w:t>Bañares</w:t>
            </w:r>
            <w:proofErr w:type="spellEnd"/>
            <w:r w:rsidRPr="00D275F9">
              <w:rPr>
                <w:rFonts w:ascii="Book Antiqua" w:hAnsi="Book Antiqua" w:cs="Calibri"/>
                <w:lang w:eastAsia="es-ES"/>
              </w:rPr>
              <w:t xml:space="preserve"> </w:t>
            </w:r>
            <w:r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10.14309/ajg.0000000000001139","ISBN":"0000000000","ISSN":"0002-9270","author":[{"dropping-particle":"","family":"Fernández-Bañares","given":"Fernando","non-dropping-particle":"","parse-names":false,"suffix":""},{"dropping-particle":"","family":"Beltrán","given":"Belén","non-dropping-particle":"","parse-names":false,"suffix":""},{"dropping-particle":"","family":"Salas","given":"Antonio","non-dropping-particle":"","parse-names":false,"suffix":""},{"dropping-particle":"","family":"Comino","given":"Isabel","non-dropping-particle":"","parse-names":false,"suffix":""},{"dropping-particle":"","family":"Ballester-Clau","given":"Raquel","non-dropping-particle":"","parse-names":false,"suffix":""},{"dropping-particle":"","family":"Ferrer","given":"Carme","non-dropping-particle":"","parse-names":false,"suffix":""},{"dropping-particle":"","family":"Molina-Infante","given":"Javier","non-dropping-particle":"","parse-names":false,"suffix":""},{"dropping-particle":"","family":"Rosinach","given":"Mercé","non-dropping-particle":"","parse-names":false,"suffix":""},{"dropping-particle":"","family":"Modolell","given":"Inés","non-dropping-particle":"","parse-names":false,"suffix":""},{"dropping-particle":"","family":"Rodríguez-Moranta","given":"Francisco","non-dropping-particle":"","parse-names":false,"suffix":""},{"dropping-particle":"","family":"Arau","given":"Beatriz","non-dropping-particle":"","parse-names":false,"suffix":""},{"dropping-particle":"","family":"Segura","given":"Verónica","non-dropping-particle":"","parse-names":false,"suffix":""},{"dropping-particle":"","family":"Fernández-Salazar","given":"Luis","non-dropping-particle":"","parse-names":false,"suffix":""},{"dropping-particle":"","family":"Santolaria","given":"Santos","non-dropping-particle":"","parse-names":false,"suffix":""},{"dropping-particle":"","family":"Esteve","given":"Maria","non-dropping-particle":"","parse-names":false,"suffix":""},{"dropping-particle":"","family":"Sousa","given":"Carolina","non-dropping-particle":"","parse-names":false,"suffix":""}],"container-title":"American Journal of Gastroenterology","id":"ITEM-1","issued":{"date-parts":[["2021"]]},"page":"1-8","title":"Persistent Villous Atrophy in De Novo Adult Patients With Celiac Disease and Strict Control of Gluten-Free Diet Adherence","type":"article-journal","volume":"Publish Ah"},"uris":["http://www.mendeley.com/documents/?uuid=8168b009-0f98-4d4d-954b-b2ab000ff89b"]}],"mendeley":{"formattedCitation":"&lt;sup&gt;[46]&lt;/sup&gt;","plainTextFormattedCitation":"[46]","previouslyFormattedCitation":"&lt;sup&gt;[46]&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[46]</w:t>
            </w:r>
            <w:r w:rsidR="00C3458C" w:rsidRPr="00D275F9">
              <w:rPr>
                <w:rFonts w:ascii="Book Antiqua" w:hAnsi="Book Antiqua" w:cs="Calibri"/>
                <w:lang w:eastAsia="es-ES"/>
              </w:rPr>
              <w:fldChar w:fldCharType="end"/>
            </w:r>
          </w:p>
        </w:tc>
        <w:tc>
          <w:tcPr>
            <w:tcW w:w="512" w:type="pct"/>
            <w:shd w:val="clear" w:color="auto" w:fill="auto"/>
            <w:noWrap/>
            <w:vAlign w:val="bottom"/>
            <w:hideMark/>
          </w:tcPr>
          <w:p w14:paraId="0D0D7C7B" w14:textId="77777777" w:rsidR="002E16F2" w:rsidRPr="009E596D" w:rsidRDefault="002E16F2" w:rsidP="00F10C3B">
            <w:pPr>
              <w:spacing w:line="360" w:lineRule="auto"/>
              <w:jc w:val="both"/>
              <w:rPr>
                <w:rFonts w:ascii="Book Antiqua" w:hAnsi="Book Antiqua" w:cs="Calibri"/>
                <w:lang w:eastAsia="zh-CN"/>
              </w:rPr>
            </w:pPr>
            <w:r w:rsidRPr="009E596D">
              <w:rPr>
                <w:rFonts w:ascii="Book Antiqua" w:hAnsi="Book Antiqua" w:cs="Calibri"/>
                <w:lang w:eastAsia="es-ES"/>
              </w:rPr>
              <w:t>53</w:t>
            </w:r>
            <w:r w:rsidR="009E596D" w:rsidRPr="009E596D">
              <w:rPr>
                <w:rFonts w:ascii="Book Antiqua" w:hAnsi="Book Antiqua" w:cs="Calibri" w:hint="eastAsia"/>
                <w:lang w:eastAsia="zh-CN"/>
              </w:rPr>
              <w:t xml:space="preserve"> (</w:t>
            </w:r>
            <w:r w:rsidRPr="009E596D">
              <w:rPr>
                <w:rFonts w:ascii="Book Antiqua" w:hAnsi="Book Antiqua" w:cs="Calibri"/>
                <w:bCs/>
                <w:lang w:eastAsia="es-ES"/>
              </w:rPr>
              <w:t>70</w:t>
            </w:r>
            <w:r w:rsidR="009E596D" w:rsidRPr="009E596D">
              <w:rPr>
                <w:rFonts w:ascii="Book Antiqua" w:hAnsi="Book Antiqua" w:cs="Calibri" w:hint="eastAsia"/>
                <w:bCs/>
                <w:lang w:eastAsia="zh-CN"/>
              </w:rPr>
              <w:t>)</w:t>
            </w:r>
          </w:p>
        </w:tc>
        <w:tc>
          <w:tcPr>
            <w:tcW w:w="532" w:type="pct"/>
            <w:shd w:val="clear" w:color="auto" w:fill="auto"/>
            <w:noWrap/>
            <w:vAlign w:val="bottom"/>
            <w:hideMark/>
          </w:tcPr>
          <w:p w14:paraId="596D2099" w14:textId="77777777" w:rsidR="002E16F2" w:rsidRPr="009E596D" w:rsidRDefault="002E16F2" w:rsidP="00F10C3B">
            <w:pPr>
              <w:spacing w:line="360" w:lineRule="auto"/>
              <w:jc w:val="both"/>
              <w:rPr>
                <w:rFonts w:ascii="Book Antiqua" w:hAnsi="Book Antiqua" w:cs="Calibri"/>
                <w:lang w:eastAsia="es-ES"/>
              </w:rPr>
            </w:pPr>
            <w:r w:rsidRPr="009E596D">
              <w:rPr>
                <w:rFonts w:ascii="Book Antiqua" w:hAnsi="Book Antiqua" w:cs="Calibri"/>
                <w:lang w:eastAsia="es-ES"/>
              </w:rPr>
              <w:t>-</w:t>
            </w:r>
          </w:p>
        </w:tc>
        <w:tc>
          <w:tcPr>
            <w:tcW w:w="464" w:type="pct"/>
            <w:shd w:val="clear" w:color="auto" w:fill="auto"/>
            <w:noWrap/>
            <w:vAlign w:val="bottom"/>
            <w:hideMark/>
          </w:tcPr>
          <w:p w14:paraId="4A8863F9" w14:textId="77777777" w:rsidR="002E16F2" w:rsidRPr="009E596D" w:rsidRDefault="002E16F2" w:rsidP="00F10C3B">
            <w:pPr>
              <w:spacing w:line="360" w:lineRule="auto"/>
              <w:jc w:val="both"/>
              <w:rPr>
                <w:rFonts w:ascii="Book Antiqua" w:hAnsi="Book Antiqua" w:cs="Calibri"/>
                <w:lang w:eastAsia="zh-CN"/>
              </w:rPr>
            </w:pPr>
            <w:r w:rsidRPr="009E596D">
              <w:rPr>
                <w:rFonts w:ascii="Book Antiqua" w:hAnsi="Book Antiqua" w:cs="Calibri"/>
                <w:lang w:eastAsia="es-ES"/>
              </w:rPr>
              <w:t>17</w:t>
            </w:r>
            <w:r w:rsidR="009E596D" w:rsidRPr="009E596D">
              <w:rPr>
                <w:rFonts w:ascii="Book Antiqua" w:hAnsi="Book Antiqua" w:cs="Calibri" w:hint="eastAsia"/>
                <w:lang w:eastAsia="zh-CN"/>
              </w:rPr>
              <w:t xml:space="preserve"> (</w:t>
            </w:r>
            <w:r w:rsidRPr="009E596D">
              <w:rPr>
                <w:rFonts w:ascii="Book Antiqua" w:hAnsi="Book Antiqua" w:cs="Calibri"/>
                <w:bCs/>
                <w:lang w:eastAsia="es-ES"/>
              </w:rPr>
              <w:t>22</w:t>
            </w:r>
            <w:r w:rsidR="009E596D" w:rsidRPr="009E596D">
              <w:rPr>
                <w:rFonts w:ascii="Book Antiqua" w:hAnsi="Book Antiqua" w:cs="Calibri" w:hint="eastAsia"/>
                <w:bCs/>
                <w:lang w:eastAsia="zh-CN"/>
              </w:rPr>
              <w:t>)</w:t>
            </w:r>
          </w:p>
        </w:tc>
        <w:tc>
          <w:tcPr>
            <w:tcW w:w="504" w:type="pct"/>
            <w:shd w:val="clear" w:color="auto" w:fill="auto"/>
            <w:noWrap/>
            <w:vAlign w:val="bottom"/>
            <w:hideMark/>
          </w:tcPr>
          <w:p w14:paraId="6D7031DA" w14:textId="77777777" w:rsidR="002E16F2" w:rsidRPr="009E596D" w:rsidRDefault="002E16F2" w:rsidP="00F10C3B">
            <w:pPr>
              <w:spacing w:line="360" w:lineRule="auto"/>
              <w:jc w:val="both"/>
              <w:rPr>
                <w:rFonts w:ascii="Book Antiqua" w:hAnsi="Book Antiqua" w:cs="Calibri"/>
                <w:lang w:eastAsia="es-ES"/>
              </w:rPr>
            </w:pPr>
            <w:r w:rsidRPr="009E596D">
              <w:rPr>
                <w:rFonts w:ascii="Book Antiqua" w:hAnsi="Book Antiqua" w:cs="Calibri"/>
                <w:lang w:eastAsia="es-ES"/>
              </w:rPr>
              <w:t>-</w:t>
            </w:r>
          </w:p>
        </w:tc>
        <w:tc>
          <w:tcPr>
            <w:tcW w:w="716" w:type="pct"/>
            <w:shd w:val="clear" w:color="auto" w:fill="auto"/>
            <w:noWrap/>
            <w:vAlign w:val="bottom"/>
            <w:hideMark/>
          </w:tcPr>
          <w:p w14:paraId="043575B4" w14:textId="77777777" w:rsidR="002E16F2" w:rsidRPr="009E596D" w:rsidRDefault="002E16F2" w:rsidP="00F10C3B">
            <w:pPr>
              <w:spacing w:line="360" w:lineRule="auto"/>
              <w:jc w:val="both"/>
              <w:rPr>
                <w:rFonts w:ascii="Book Antiqua" w:hAnsi="Book Antiqua" w:cs="Calibri"/>
                <w:lang w:eastAsia="zh-CN"/>
              </w:rPr>
            </w:pPr>
            <w:r w:rsidRPr="009E596D">
              <w:rPr>
                <w:rFonts w:ascii="Book Antiqua" w:hAnsi="Book Antiqua" w:cs="Calibri"/>
                <w:lang w:eastAsia="es-ES"/>
              </w:rPr>
              <w:t>6</w:t>
            </w:r>
            <w:r w:rsidR="009E596D" w:rsidRPr="009E596D">
              <w:rPr>
                <w:rFonts w:ascii="Book Antiqua" w:hAnsi="Book Antiqua" w:cs="Calibri" w:hint="eastAsia"/>
                <w:lang w:eastAsia="zh-CN"/>
              </w:rPr>
              <w:t xml:space="preserve"> (</w:t>
            </w:r>
            <w:r w:rsidRPr="009E596D">
              <w:rPr>
                <w:rFonts w:ascii="Book Antiqua" w:hAnsi="Book Antiqua" w:cs="Calibri"/>
                <w:bCs/>
                <w:lang w:eastAsia="es-ES"/>
              </w:rPr>
              <w:t>8</w:t>
            </w:r>
            <w:r w:rsidR="009E596D" w:rsidRPr="009E596D">
              <w:rPr>
                <w:rFonts w:ascii="Book Antiqua" w:hAnsi="Book Antiqua" w:cs="Calibri" w:hint="eastAsia"/>
                <w:bCs/>
                <w:lang w:eastAsia="zh-CN"/>
              </w:rPr>
              <w:t>)</w:t>
            </w:r>
          </w:p>
        </w:tc>
        <w:tc>
          <w:tcPr>
            <w:tcW w:w="495" w:type="pct"/>
            <w:shd w:val="clear" w:color="auto" w:fill="auto"/>
            <w:noWrap/>
            <w:vAlign w:val="bottom"/>
            <w:hideMark/>
          </w:tcPr>
          <w:p w14:paraId="11F13776" w14:textId="77777777" w:rsidR="002E16F2" w:rsidRPr="009E596D" w:rsidRDefault="002E16F2" w:rsidP="00F10C3B">
            <w:pPr>
              <w:spacing w:line="360" w:lineRule="auto"/>
              <w:jc w:val="both"/>
              <w:rPr>
                <w:rFonts w:ascii="Book Antiqua" w:hAnsi="Book Antiqua" w:cs="Calibri"/>
                <w:lang w:eastAsia="zh-CN"/>
              </w:rPr>
            </w:pPr>
            <w:r w:rsidRPr="009E596D">
              <w:rPr>
                <w:rFonts w:ascii="Book Antiqua" w:hAnsi="Book Antiqua" w:cs="Calibri"/>
                <w:lang w:eastAsia="es-ES"/>
              </w:rPr>
              <w:t>15</w:t>
            </w:r>
            <w:r w:rsidR="009E596D" w:rsidRPr="009E596D">
              <w:rPr>
                <w:rFonts w:ascii="Book Antiqua" w:hAnsi="Book Antiqua" w:cs="Calibri" w:hint="eastAsia"/>
                <w:lang w:eastAsia="zh-CN"/>
              </w:rPr>
              <w:t xml:space="preserve"> (</w:t>
            </w:r>
            <w:r w:rsidRPr="009E596D">
              <w:rPr>
                <w:rFonts w:ascii="Book Antiqua" w:hAnsi="Book Antiqua" w:cs="Calibri"/>
                <w:bCs/>
                <w:lang w:eastAsia="es-ES"/>
              </w:rPr>
              <w:t>20</w:t>
            </w:r>
            <w:r w:rsidR="009E596D" w:rsidRPr="009E596D">
              <w:rPr>
                <w:rFonts w:ascii="Book Antiqua" w:hAnsi="Book Antiqua" w:cs="Calibri" w:hint="eastAsia"/>
                <w:bCs/>
                <w:lang w:eastAsia="zh-CN"/>
              </w:rPr>
              <w:t>)</w:t>
            </w:r>
          </w:p>
        </w:tc>
        <w:tc>
          <w:tcPr>
            <w:tcW w:w="465" w:type="pct"/>
            <w:shd w:val="clear" w:color="auto" w:fill="auto"/>
            <w:noWrap/>
            <w:vAlign w:val="bottom"/>
            <w:hideMark/>
          </w:tcPr>
          <w:p w14:paraId="6DE95EC4" w14:textId="77777777" w:rsidR="002E16F2" w:rsidRPr="009E596D" w:rsidRDefault="002E16F2" w:rsidP="00F10C3B">
            <w:pPr>
              <w:spacing w:line="360" w:lineRule="auto"/>
              <w:jc w:val="both"/>
              <w:rPr>
                <w:rFonts w:ascii="Book Antiqua" w:hAnsi="Book Antiqua" w:cs="Calibri"/>
                <w:lang w:eastAsia="zh-CN"/>
              </w:rPr>
            </w:pPr>
            <w:r w:rsidRPr="009E596D">
              <w:rPr>
                <w:rFonts w:ascii="Book Antiqua" w:hAnsi="Book Antiqua" w:cs="Calibri"/>
                <w:lang w:eastAsia="es-ES"/>
              </w:rPr>
              <w:t>40</w:t>
            </w:r>
            <w:r w:rsidR="009E596D" w:rsidRPr="009E596D">
              <w:rPr>
                <w:rFonts w:ascii="Book Antiqua" w:hAnsi="Book Antiqua" w:cs="Calibri" w:hint="eastAsia"/>
                <w:lang w:eastAsia="zh-CN"/>
              </w:rPr>
              <w:t xml:space="preserve"> (</w:t>
            </w:r>
            <w:r w:rsidRPr="009E596D">
              <w:rPr>
                <w:rFonts w:ascii="Book Antiqua" w:hAnsi="Book Antiqua" w:cs="Calibri"/>
                <w:bCs/>
                <w:lang w:eastAsia="es-ES"/>
              </w:rPr>
              <w:t>53</w:t>
            </w:r>
            <w:r w:rsidR="009E596D" w:rsidRPr="009E596D">
              <w:rPr>
                <w:rFonts w:ascii="Book Antiqua" w:hAnsi="Book Antiqua" w:cs="Calibri" w:hint="eastAsia"/>
                <w:bCs/>
                <w:lang w:eastAsia="zh-CN"/>
              </w:rPr>
              <w:t>)</w:t>
            </w:r>
          </w:p>
        </w:tc>
      </w:tr>
    </w:tbl>
    <w:p w14:paraId="77DAAAF6" w14:textId="77777777" w:rsidR="007129C1" w:rsidRPr="00D275F9" w:rsidRDefault="006E5332" w:rsidP="00F10C3B">
      <w:pPr>
        <w:pStyle w:val="MDPI31text"/>
        <w:spacing w:line="360" w:lineRule="auto"/>
        <w:ind w:firstLine="0"/>
        <w:rPr>
          <w:rFonts w:ascii="Book Antiqua" w:hAnsi="Book Antiqua" w:cs="Arial"/>
          <w:sz w:val="24"/>
          <w:szCs w:val="24"/>
        </w:rPr>
      </w:pPr>
      <w:r w:rsidRPr="006E5332">
        <w:rPr>
          <w:rFonts w:ascii="Book Antiqua" w:eastAsiaTheme="minorEastAsia" w:hAnsi="Book Antiqua" w:cs="Arial" w:hint="eastAsia"/>
          <w:bCs/>
          <w:sz w:val="24"/>
          <w:szCs w:val="24"/>
          <w:vertAlign w:val="superscript"/>
          <w:lang w:eastAsia="zh-CN"/>
        </w:rPr>
        <w:t>1</w:t>
      </w:r>
      <w:r w:rsidRPr="006E5332">
        <w:rPr>
          <w:rFonts w:ascii="Book Antiqua" w:hAnsi="Book Antiqua" w:cs="Arial"/>
          <w:bCs/>
          <w:sz w:val="24"/>
          <w:szCs w:val="24"/>
        </w:rPr>
        <w:t>Questionnaires used were Celiac Disease Adherence Test (CDAT), Biagi Score and standard food records evaluated by dietitians.</w:t>
      </w:r>
      <w:r w:rsidRPr="006E5332">
        <w:rPr>
          <w:rFonts w:ascii="Book Antiqua" w:eastAsiaTheme="minorEastAsia" w:hAnsi="Book Antiqua" w:cs="Arial" w:hint="eastAsia"/>
          <w:bCs/>
          <w:sz w:val="24"/>
          <w:szCs w:val="24"/>
          <w:lang w:eastAsia="zh-CN"/>
        </w:rPr>
        <w:t xml:space="preserve"> </w:t>
      </w:r>
      <w:r w:rsidR="007129C1" w:rsidRPr="00D275F9">
        <w:rPr>
          <w:rFonts w:ascii="Book Antiqua" w:hAnsi="Book Antiqua" w:cs="Arial"/>
          <w:sz w:val="24"/>
          <w:szCs w:val="24"/>
        </w:rPr>
        <w:t xml:space="preserve">GFD: Gluten-free diet; GIP: Gluten immunogenic peptides; anti-tTG: Anti-tissue transglutaminase; anti-DGP: Anti-deamidated gluten peptide; </w:t>
      </w:r>
      <w:r w:rsidR="009E596D">
        <w:rPr>
          <w:rFonts w:ascii="Book Antiqua" w:eastAsiaTheme="minorEastAsia" w:hAnsi="Book Antiqua" w:cs="Arial" w:hint="eastAsia"/>
          <w:sz w:val="24"/>
          <w:szCs w:val="24"/>
          <w:lang w:eastAsia="zh-CN"/>
        </w:rPr>
        <w:t>-</w:t>
      </w:r>
      <w:r w:rsidR="007129C1" w:rsidRPr="00D275F9">
        <w:rPr>
          <w:rFonts w:ascii="Book Antiqua" w:hAnsi="Book Antiqua" w:cs="Arial"/>
          <w:sz w:val="24"/>
          <w:szCs w:val="24"/>
        </w:rPr>
        <w:t xml:space="preserve">: </w:t>
      </w:r>
      <w:r w:rsidR="007129C1" w:rsidRPr="009E596D">
        <w:rPr>
          <w:rFonts w:ascii="Book Antiqua" w:hAnsi="Book Antiqua" w:cs="Arial"/>
          <w:caps/>
          <w:sz w:val="24"/>
          <w:szCs w:val="24"/>
        </w:rPr>
        <w:t>n</w:t>
      </w:r>
      <w:r w:rsidR="007129C1" w:rsidRPr="00D275F9">
        <w:rPr>
          <w:rFonts w:ascii="Book Antiqua" w:hAnsi="Book Antiqua" w:cs="Arial"/>
          <w:sz w:val="24"/>
          <w:szCs w:val="24"/>
        </w:rPr>
        <w:t>ot available.</w:t>
      </w:r>
    </w:p>
    <w:p w14:paraId="1ADDA20B" w14:textId="77777777" w:rsidR="007129C1" w:rsidRPr="006E5332" w:rsidRDefault="007129C1" w:rsidP="00F10C3B">
      <w:pPr>
        <w:pStyle w:val="MDPI21heading1"/>
        <w:spacing w:before="0" w:after="0" w:line="360" w:lineRule="auto"/>
        <w:jc w:val="both"/>
        <w:rPr>
          <w:rFonts w:ascii="Book Antiqua" w:eastAsiaTheme="minorEastAsia" w:hAnsi="Book Antiqua" w:cs="Arial"/>
          <w:b w:val="0"/>
          <w:bCs/>
          <w:sz w:val="24"/>
          <w:szCs w:val="24"/>
          <w:lang w:eastAsia="zh-CN"/>
        </w:rPr>
      </w:pPr>
    </w:p>
    <w:p w14:paraId="439E5171" w14:textId="77777777" w:rsidR="007129C1" w:rsidRPr="00D275F9" w:rsidRDefault="007129C1" w:rsidP="00F10C3B">
      <w:pPr>
        <w:pStyle w:val="MDPI21heading1"/>
        <w:spacing w:before="0" w:after="0" w:line="360" w:lineRule="auto"/>
        <w:jc w:val="both"/>
        <w:rPr>
          <w:rFonts w:ascii="Book Antiqua" w:eastAsia="宋体" w:hAnsi="Book Antiqua" w:cs="Arial"/>
          <w:sz w:val="24"/>
          <w:szCs w:val="24"/>
        </w:rPr>
      </w:pPr>
    </w:p>
    <w:p w14:paraId="2BA746E6" w14:textId="77777777" w:rsidR="007129C1" w:rsidRPr="00D275F9" w:rsidRDefault="007129C1" w:rsidP="00F10C3B">
      <w:pPr>
        <w:pStyle w:val="MDPI21heading1"/>
        <w:spacing w:before="0" w:after="0" w:line="360" w:lineRule="auto"/>
        <w:jc w:val="both"/>
        <w:rPr>
          <w:rFonts w:ascii="Book Antiqua" w:eastAsia="宋体" w:hAnsi="Book Antiqua" w:cs="Arial"/>
          <w:sz w:val="24"/>
          <w:szCs w:val="24"/>
        </w:rPr>
      </w:pPr>
    </w:p>
    <w:p w14:paraId="4B57C025" w14:textId="77777777" w:rsidR="007129C1" w:rsidRPr="00D275F9" w:rsidRDefault="007129C1" w:rsidP="00F10C3B">
      <w:pPr>
        <w:pStyle w:val="MDPI21heading1"/>
        <w:spacing w:before="0" w:after="0" w:line="360" w:lineRule="auto"/>
        <w:jc w:val="both"/>
        <w:rPr>
          <w:rFonts w:ascii="Book Antiqua" w:eastAsia="宋体" w:hAnsi="Book Antiqua" w:cs="Arial"/>
          <w:sz w:val="24"/>
          <w:szCs w:val="24"/>
        </w:rPr>
        <w:sectPr w:rsidR="007129C1" w:rsidRPr="00D275F9" w:rsidSect="00C21EB5">
          <w:pgSz w:w="16838" w:h="11906" w:orient="landscape" w:code="9"/>
          <w:pgMar w:top="1531" w:right="1417" w:bottom="1531" w:left="1077" w:header="1020" w:footer="850" w:gutter="0"/>
          <w:pgNumType w:chapStyle="1"/>
          <w:cols w:space="425"/>
          <w:titlePg/>
          <w:docGrid w:type="lines" w:linePitch="326"/>
        </w:sectPr>
      </w:pPr>
    </w:p>
    <w:p w14:paraId="00731613" w14:textId="77777777" w:rsidR="007129C1" w:rsidRPr="00C103CC" w:rsidRDefault="007129C1" w:rsidP="00F10C3B">
      <w:pPr>
        <w:pStyle w:val="MDPIfooterfirstpage"/>
        <w:tabs>
          <w:tab w:val="clear" w:pos="8845"/>
        </w:tabs>
        <w:spacing w:before="0" w:line="360" w:lineRule="auto"/>
        <w:jc w:val="both"/>
        <w:rPr>
          <w:rFonts w:ascii="Book Antiqua" w:eastAsiaTheme="minorEastAsia" w:hAnsi="Book Antiqua" w:cs="Arial"/>
          <w:b/>
          <w:bCs/>
          <w:sz w:val="24"/>
          <w:szCs w:val="24"/>
          <w:lang w:eastAsia="zh-CN"/>
        </w:rPr>
      </w:pPr>
      <w:r w:rsidRPr="00D275F9">
        <w:rPr>
          <w:rFonts w:ascii="Book Antiqua" w:hAnsi="Book Antiqua" w:cs="Arial"/>
          <w:b/>
          <w:bCs/>
          <w:sz w:val="24"/>
          <w:szCs w:val="24"/>
        </w:rPr>
        <w:lastRenderedPageBreak/>
        <w:t>Table 5 Rate of transgressions in the gluten-free diet using different tools in presence/absence of muc</w:t>
      </w:r>
      <w:r w:rsidR="00C103CC">
        <w:rPr>
          <w:rFonts w:ascii="Book Antiqua" w:hAnsi="Book Antiqua" w:cs="Arial"/>
          <w:b/>
          <w:bCs/>
          <w:sz w:val="24"/>
          <w:szCs w:val="24"/>
        </w:rPr>
        <w:t>osal atrophy by duodenal biopsy</w:t>
      </w:r>
      <w:r w:rsidR="00C103CC">
        <w:rPr>
          <w:rFonts w:ascii="Book Antiqua" w:eastAsiaTheme="minorEastAsia" w:hAnsi="Book Antiqua" w:cs="Arial" w:hint="eastAsia"/>
          <w:b/>
          <w:bCs/>
          <w:sz w:val="24"/>
          <w:szCs w:val="24"/>
          <w:lang w:eastAsia="zh-CN"/>
        </w:rPr>
        <w:t xml:space="preserve">, </w:t>
      </w:r>
      <w:r w:rsidR="00C103CC" w:rsidRPr="00C103CC">
        <w:rPr>
          <w:rFonts w:ascii="Book Antiqua" w:eastAsiaTheme="minorEastAsia" w:hAnsi="Book Antiqua" w:cs="Arial" w:hint="eastAsia"/>
          <w:b/>
          <w:bCs/>
          <w:i/>
          <w:sz w:val="24"/>
          <w:szCs w:val="24"/>
          <w:lang w:eastAsia="zh-CN"/>
        </w:rPr>
        <w:t>n</w:t>
      </w:r>
      <w:r w:rsidR="00C103CC">
        <w:rPr>
          <w:rFonts w:ascii="Book Antiqua" w:eastAsiaTheme="minorEastAsia" w:hAnsi="Book Antiqua" w:cs="Arial" w:hint="eastAsia"/>
          <w:b/>
          <w:bCs/>
          <w:sz w:val="24"/>
          <w:szCs w:val="24"/>
          <w:lang w:eastAsia="zh-CN"/>
        </w:rPr>
        <w:t xml:space="preserve"> (%)</w:t>
      </w:r>
    </w:p>
    <w:tbl>
      <w:tblPr>
        <w:tblW w:w="4737" w:type="pct"/>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588"/>
        <w:gridCol w:w="1499"/>
        <w:gridCol w:w="1370"/>
        <w:gridCol w:w="2126"/>
        <w:gridCol w:w="1417"/>
      </w:tblGrid>
      <w:tr w:rsidR="009E596D" w:rsidRPr="00D275F9" w14:paraId="0F2EACDD" w14:textId="77777777" w:rsidTr="00FE6601">
        <w:trPr>
          <w:trHeight w:val="850"/>
        </w:trPr>
        <w:tc>
          <w:tcPr>
            <w:tcW w:w="1438" w:type="pct"/>
            <w:tcBorders>
              <w:top w:val="single" w:sz="4" w:space="0" w:color="auto"/>
              <w:bottom w:val="single" w:sz="4" w:space="0" w:color="auto"/>
            </w:tcBorders>
            <w:shd w:val="clear" w:color="000000" w:fill="FFFFFF"/>
            <w:vAlign w:val="center"/>
            <w:hideMark/>
          </w:tcPr>
          <w:p w14:paraId="5A228714" w14:textId="77777777" w:rsidR="009E596D" w:rsidRPr="00D275F9" w:rsidRDefault="00C103CC" w:rsidP="00F10C3B">
            <w:pPr>
              <w:spacing w:line="360" w:lineRule="auto"/>
              <w:jc w:val="both"/>
              <w:rPr>
                <w:rFonts w:ascii="Book Antiqua" w:hAnsi="Book Antiqua" w:cs="Calibri"/>
                <w:b/>
                <w:bCs/>
                <w:lang w:eastAsia="zh-CN"/>
              </w:rPr>
            </w:pPr>
            <w:r>
              <w:rPr>
                <w:rFonts w:ascii="Book Antiqua" w:hAnsi="Book Antiqua" w:cs="Calibri" w:hint="eastAsia"/>
                <w:b/>
                <w:bCs/>
                <w:lang w:eastAsia="zh-CN"/>
              </w:rPr>
              <w:t>Ref.</w:t>
            </w:r>
          </w:p>
        </w:tc>
        <w:tc>
          <w:tcPr>
            <w:tcW w:w="833" w:type="pct"/>
            <w:tcBorders>
              <w:top w:val="single" w:sz="4" w:space="0" w:color="auto"/>
              <w:bottom w:val="single" w:sz="4" w:space="0" w:color="auto"/>
            </w:tcBorders>
            <w:shd w:val="clear" w:color="000000" w:fill="FFFFFF"/>
            <w:vAlign w:val="center"/>
            <w:hideMark/>
          </w:tcPr>
          <w:p w14:paraId="79A50299" w14:textId="77777777" w:rsidR="009E596D" w:rsidRPr="00D275F9" w:rsidRDefault="009E596D" w:rsidP="00F10C3B">
            <w:pPr>
              <w:spacing w:line="360" w:lineRule="auto"/>
              <w:jc w:val="both"/>
              <w:rPr>
                <w:rFonts w:ascii="Book Antiqua" w:hAnsi="Book Antiqua" w:cs="Calibri"/>
                <w:b/>
                <w:bCs/>
                <w:lang w:eastAsia="es-ES"/>
              </w:rPr>
            </w:pPr>
            <w:r w:rsidRPr="00D275F9">
              <w:rPr>
                <w:rFonts w:ascii="Book Antiqua" w:hAnsi="Book Antiqua" w:cs="Calibri"/>
                <w:b/>
                <w:bCs/>
                <w:lang w:eastAsia="es-ES"/>
              </w:rPr>
              <w:t xml:space="preserve">GIP+ </w:t>
            </w:r>
          </w:p>
          <w:p w14:paraId="4A61A84F" w14:textId="77777777" w:rsidR="009E596D" w:rsidRPr="00D275F9" w:rsidRDefault="009E596D" w:rsidP="00F10C3B">
            <w:pPr>
              <w:spacing w:line="360" w:lineRule="auto"/>
              <w:jc w:val="both"/>
              <w:rPr>
                <w:rFonts w:ascii="Book Antiqua" w:hAnsi="Book Antiqua" w:cs="Calibri"/>
                <w:b/>
                <w:bCs/>
                <w:lang w:eastAsia="es-ES"/>
              </w:rPr>
            </w:pPr>
            <w:r w:rsidRPr="00D275F9">
              <w:rPr>
                <w:rFonts w:ascii="Book Antiqua" w:hAnsi="Book Antiqua" w:cs="Calibri"/>
                <w:b/>
                <w:bCs/>
                <w:lang w:eastAsia="es-ES"/>
              </w:rPr>
              <w:t>(Stool and/or urine)</w:t>
            </w:r>
          </w:p>
        </w:tc>
        <w:tc>
          <w:tcPr>
            <w:tcW w:w="761" w:type="pct"/>
            <w:tcBorders>
              <w:top w:val="single" w:sz="4" w:space="0" w:color="auto"/>
              <w:bottom w:val="single" w:sz="4" w:space="0" w:color="auto"/>
            </w:tcBorders>
            <w:shd w:val="clear" w:color="000000" w:fill="FFFFFF"/>
            <w:noWrap/>
            <w:vAlign w:val="center"/>
            <w:hideMark/>
          </w:tcPr>
          <w:p w14:paraId="1F82BAF0" w14:textId="77777777" w:rsidR="009E596D" w:rsidRPr="00D275F9" w:rsidRDefault="009E596D" w:rsidP="00F10C3B">
            <w:pPr>
              <w:spacing w:line="360" w:lineRule="auto"/>
              <w:jc w:val="both"/>
              <w:rPr>
                <w:rFonts w:ascii="Book Antiqua" w:hAnsi="Book Antiqua" w:cs="Calibri"/>
                <w:b/>
                <w:bCs/>
                <w:lang w:eastAsia="es-ES"/>
              </w:rPr>
            </w:pPr>
            <w:r w:rsidRPr="00D275F9">
              <w:rPr>
                <w:rFonts w:ascii="Book Antiqua" w:hAnsi="Book Antiqua" w:cs="Calibri"/>
                <w:b/>
                <w:bCs/>
                <w:lang w:eastAsia="es-ES"/>
              </w:rPr>
              <w:t>Serology+</w:t>
            </w:r>
          </w:p>
        </w:tc>
        <w:tc>
          <w:tcPr>
            <w:tcW w:w="1181" w:type="pct"/>
            <w:tcBorders>
              <w:top w:val="single" w:sz="4" w:space="0" w:color="auto"/>
              <w:bottom w:val="single" w:sz="4" w:space="0" w:color="auto"/>
            </w:tcBorders>
            <w:shd w:val="clear" w:color="000000" w:fill="FFFFFF"/>
            <w:vAlign w:val="center"/>
            <w:hideMark/>
          </w:tcPr>
          <w:p w14:paraId="754A53AA" w14:textId="77777777" w:rsidR="009E596D" w:rsidRPr="00D275F9" w:rsidRDefault="009E596D" w:rsidP="00F10C3B">
            <w:pPr>
              <w:spacing w:line="360" w:lineRule="auto"/>
              <w:jc w:val="both"/>
              <w:rPr>
                <w:rFonts w:ascii="Book Antiqua" w:hAnsi="Book Antiqua" w:cs="Calibri"/>
                <w:b/>
                <w:bCs/>
                <w:lang w:eastAsia="zh-CN"/>
              </w:rPr>
            </w:pPr>
            <w:r w:rsidRPr="00D275F9">
              <w:rPr>
                <w:rFonts w:ascii="Book Antiqua" w:hAnsi="Book Antiqua" w:cs="Calibri"/>
                <w:b/>
                <w:bCs/>
                <w:lang w:eastAsia="es-ES"/>
              </w:rPr>
              <w:t>Questionnaires</w:t>
            </w:r>
            <w:r w:rsidRPr="009E596D">
              <w:rPr>
                <w:rFonts w:ascii="Book Antiqua" w:hAnsi="Book Antiqua" w:cs="Calibri" w:hint="eastAsia"/>
                <w:b/>
                <w:bCs/>
                <w:vertAlign w:val="superscript"/>
                <w:lang w:eastAsia="zh-CN"/>
              </w:rPr>
              <w:t>1</w:t>
            </w:r>
          </w:p>
        </w:tc>
        <w:tc>
          <w:tcPr>
            <w:tcW w:w="787" w:type="pct"/>
            <w:tcBorders>
              <w:top w:val="single" w:sz="4" w:space="0" w:color="auto"/>
              <w:bottom w:val="single" w:sz="4" w:space="0" w:color="auto"/>
            </w:tcBorders>
            <w:shd w:val="clear" w:color="000000" w:fill="FFFFFF"/>
            <w:noWrap/>
            <w:vAlign w:val="center"/>
            <w:hideMark/>
          </w:tcPr>
          <w:p w14:paraId="3F788FBA" w14:textId="77777777" w:rsidR="009E596D" w:rsidRPr="00D275F9" w:rsidRDefault="009E596D" w:rsidP="00F10C3B">
            <w:pPr>
              <w:spacing w:line="360" w:lineRule="auto"/>
              <w:jc w:val="both"/>
              <w:rPr>
                <w:rFonts w:ascii="Book Antiqua" w:hAnsi="Book Antiqua" w:cs="Calibri"/>
                <w:b/>
                <w:bCs/>
                <w:lang w:eastAsia="es-ES"/>
              </w:rPr>
            </w:pPr>
            <w:r w:rsidRPr="00D275F9">
              <w:rPr>
                <w:rFonts w:ascii="Book Antiqua" w:hAnsi="Book Antiqua" w:cs="Calibri"/>
                <w:b/>
                <w:bCs/>
                <w:lang w:eastAsia="es-ES"/>
              </w:rPr>
              <w:t>Symptoms</w:t>
            </w:r>
          </w:p>
        </w:tc>
      </w:tr>
      <w:tr w:rsidR="00C103CC" w:rsidRPr="00D275F9" w14:paraId="4E6F66F6" w14:textId="77777777" w:rsidTr="00FE6601">
        <w:trPr>
          <w:trHeight w:val="784"/>
        </w:trPr>
        <w:tc>
          <w:tcPr>
            <w:tcW w:w="1438" w:type="pct"/>
            <w:tcBorders>
              <w:top w:val="single" w:sz="4" w:space="0" w:color="auto"/>
            </w:tcBorders>
            <w:shd w:val="clear" w:color="000000" w:fill="FFFFFF"/>
            <w:noWrap/>
            <w:vAlign w:val="center"/>
          </w:tcPr>
          <w:p w14:paraId="0CAA490B" w14:textId="77777777" w:rsidR="00C103CC" w:rsidRPr="00D275F9" w:rsidRDefault="00C103CC" w:rsidP="00F10C3B">
            <w:pPr>
              <w:spacing w:line="360" w:lineRule="auto"/>
              <w:rPr>
                <w:rFonts w:ascii="Book Antiqua" w:hAnsi="Book Antiqua" w:cs="Calibri"/>
                <w:b/>
                <w:bCs/>
                <w:lang w:eastAsia="es-ES"/>
              </w:rPr>
            </w:pPr>
            <w:r w:rsidRPr="00D275F9">
              <w:rPr>
                <w:rFonts w:ascii="Book Antiqua" w:hAnsi="Book Antiqua" w:cs="Calibri"/>
                <w:b/>
                <w:bCs/>
                <w:lang w:eastAsia="es-ES"/>
              </w:rPr>
              <w:t xml:space="preserve">Duodenal biopsy </w:t>
            </w:r>
          </w:p>
          <w:p w14:paraId="7BC0EBA8" w14:textId="77777777" w:rsidR="00C103CC" w:rsidRPr="00D275F9" w:rsidRDefault="00C103CC" w:rsidP="00F10C3B">
            <w:pPr>
              <w:spacing w:line="360" w:lineRule="auto"/>
              <w:jc w:val="both"/>
              <w:rPr>
                <w:rFonts w:ascii="Book Antiqua" w:hAnsi="Book Antiqua" w:cs="Calibri"/>
                <w:lang w:eastAsia="es-ES"/>
              </w:rPr>
            </w:pPr>
            <w:r w:rsidRPr="00D275F9">
              <w:rPr>
                <w:rFonts w:ascii="Book Antiqua" w:hAnsi="Book Antiqua" w:cs="Calibri"/>
                <w:b/>
                <w:bCs/>
                <w:lang w:eastAsia="es-ES"/>
              </w:rPr>
              <w:t>(Marsh II/III)</w:t>
            </w:r>
          </w:p>
        </w:tc>
        <w:tc>
          <w:tcPr>
            <w:tcW w:w="833" w:type="pct"/>
            <w:tcBorders>
              <w:top w:val="single" w:sz="4" w:space="0" w:color="auto"/>
            </w:tcBorders>
            <w:shd w:val="clear" w:color="000000" w:fill="FFFFFF"/>
            <w:noWrap/>
            <w:vAlign w:val="bottom"/>
          </w:tcPr>
          <w:p w14:paraId="331D82DE" w14:textId="77777777" w:rsidR="00C103CC" w:rsidRPr="00D275F9" w:rsidRDefault="00C103CC" w:rsidP="00F10C3B">
            <w:pPr>
              <w:spacing w:line="360" w:lineRule="auto"/>
              <w:jc w:val="both"/>
              <w:rPr>
                <w:rFonts w:ascii="Book Antiqua" w:hAnsi="Book Antiqua" w:cs="Calibri"/>
                <w:lang w:eastAsia="es-ES"/>
              </w:rPr>
            </w:pPr>
          </w:p>
        </w:tc>
        <w:tc>
          <w:tcPr>
            <w:tcW w:w="761" w:type="pct"/>
            <w:tcBorders>
              <w:top w:val="single" w:sz="4" w:space="0" w:color="auto"/>
            </w:tcBorders>
            <w:shd w:val="clear" w:color="000000" w:fill="FFFFFF"/>
            <w:noWrap/>
            <w:vAlign w:val="bottom"/>
          </w:tcPr>
          <w:p w14:paraId="0E325BCA" w14:textId="77777777" w:rsidR="00C103CC" w:rsidRPr="00D275F9" w:rsidRDefault="00C103CC" w:rsidP="00F10C3B">
            <w:pPr>
              <w:spacing w:line="360" w:lineRule="auto"/>
              <w:jc w:val="both"/>
              <w:rPr>
                <w:rFonts w:ascii="Book Antiqua" w:hAnsi="Book Antiqua" w:cs="Calibri"/>
                <w:lang w:eastAsia="es-ES"/>
              </w:rPr>
            </w:pPr>
          </w:p>
        </w:tc>
        <w:tc>
          <w:tcPr>
            <w:tcW w:w="1181" w:type="pct"/>
            <w:tcBorders>
              <w:top w:val="single" w:sz="4" w:space="0" w:color="auto"/>
            </w:tcBorders>
            <w:shd w:val="clear" w:color="000000" w:fill="FFFFFF"/>
            <w:noWrap/>
            <w:vAlign w:val="bottom"/>
          </w:tcPr>
          <w:p w14:paraId="3CF7FF64" w14:textId="77777777" w:rsidR="00C103CC" w:rsidRPr="00D275F9" w:rsidRDefault="00C103CC" w:rsidP="00F10C3B">
            <w:pPr>
              <w:spacing w:line="360" w:lineRule="auto"/>
              <w:jc w:val="both"/>
              <w:rPr>
                <w:rFonts w:ascii="Book Antiqua" w:hAnsi="Book Antiqua" w:cs="Calibri"/>
                <w:lang w:eastAsia="es-ES"/>
              </w:rPr>
            </w:pPr>
          </w:p>
        </w:tc>
        <w:tc>
          <w:tcPr>
            <w:tcW w:w="787" w:type="pct"/>
            <w:tcBorders>
              <w:top w:val="single" w:sz="4" w:space="0" w:color="auto"/>
            </w:tcBorders>
            <w:shd w:val="clear" w:color="000000" w:fill="FFFFFF"/>
            <w:noWrap/>
            <w:vAlign w:val="bottom"/>
          </w:tcPr>
          <w:p w14:paraId="110D8336" w14:textId="77777777" w:rsidR="00C103CC" w:rsidRPr="00D275F9" w:rsidRDefault="00C103CC" w:rsidP="00F10C3B">
            <w:pPr>
              <w:spacing w:line="360" w:lineRule="auto"/>
              <w:jc w:val="both"/>
              <w:rPr>
                <w:rFonts w:ascii="Book Antiqua" w:hAnsi="Book Antiqua" w:cs="Calibri"/>
                <w:lang w:eastAsia="es-ES"/>
              </w:rPr>
            </w:pPr>
          </w:p>
        </w:tc>
      </w:tr>
      <w:tr w:rsidR="00C103CC" w:rsidRPr="00D275F9" w14:paraId="2B23E6A1" w14:textId="77777777" w:rsidTr="00FE6601">
        <w:trPr>
          <w:trHeight w:val="784"/>
        </w:trPr>
        <w:tc>
          <w:tcPr>
            <w:tcW w:w="1438" w:type="pct"/>
            <w:shd w:val="clear" w:color="000000" w:fill="FFFFFF"/>
            <w:noWrap/>
            <w:vAlign w:val="center"/>
            <w:hideMark/>
          </w:tcPr>
          <w:p w14:paraId="22CDDBFD" w14:textId="77777777" w:rsidR="00C103CC" w:rsidRPr="00D275F9" w:rsidRDefault="00C103CC" w:rsidP="00F10C3B">
            <w:pPr>
              <w:spacing w:line="360" w:lineRule="auto"/>
              <w:jc w:val="both"/>
              <w:rPr>
                <w:rFonts w:ascii="Book Antiqua" w:hAnsi="Book Antiqua" w:cs="Calibri"/>
                <w:lang w:eastAsia="es-ES"/>
              </w:rPr>
            </w:pPr>
            <w:r w:rsidRPr="00D275F9">
              <w:rPr>
                <w:rFonts w:ascii="Book Antiqua" w:hAnsi="Book Antiqua" w:cs="Calibri"/>
                <w:lang w:eastAsia="es-ES"/>
              </w:rPr>
              <w:t xml:space="preserve">Moreno </w:t>
            </w:r>
            <w:r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{"citationItems":[{"id":"ITEM-1","itemData":{"DOI":"10.1136/gutjnl-2015-310148","ISBN":"1468-3288 (Electronic)\\r0017-5749 (Linking)","ISSN":"1468-3288","PMID":"26608460","abstract":"OBJECTIVE Gluten-free diet (GFD) is the only management for coeliac disease (CD). Available methods to assess GFD compliance are insufficiently sensitive to detect occasional dietary transgressions that may cause gut mucosal damage. We aimed to develop a method to determine gluten intake and monitor GFD compliance in patients with CD and to evaluate its correlation with mucosal damage. DESIGN Urine samples of 76 healthy subjects and 58 patients with CD subjected to different gluten dietary conditions were collected. A lateral flow test (LFT) with the highly sensitive and specific G12 monoclonal antibody for the most dominant gluten immunogenic peptides (GIP) and a LFT reader were used to quantify GIP in solid-phase extracted urines. RESULTS GIP were detectable in concentrated urines from healthy individuals previously subjected to GFD as early as 4-6 h after single gluten intake, and remained detectable for 1-2 days. The urine assay revealed infringement of the GFD in about 50% of the patients. Analysis of duodenal biopsies revealed that most of patients with CD (89%) with no villous atrophy had no detectable GIP in urine, while all patients with quantifiable GIP in urine showed incomplete intestinal mucosa recovery. CONCLUSION GIP are detected in urine after gluten consumption, enabling a new and non-invasive method to monitor GFD compliance and transgressions. The method was sensitive, specific and simple enough to be convenient for clinical monitoring of patients with CD as well as for basic and clinical research applications including drug development. TRIAL REGISTRATION NUMBER NCT02344758.","author":[{"dropping-particle":"","family":"Moreno","given":"María De Lourdes","non-dropping-particle":"","parse-names":false,"suffix":""},{"dropping-particle":"","family":"Cebolla","given":"Ángel","non-dropping-particle":"","parse-names":false,"suffix":""},{"dropping-particle":"","family":"Muñoz-Suano","given":"Alba","non-dropping-particle":"","parse-names":false,"suffix":""},{"dropping-particle":"","family":"Carrillo-Carrion","given":"Carolina","non-dropping-particle":"","parse-names":false,"suffix":""},{"dropping-particle":"","family":"Comino","given":"Isabel","non-dropping-particle":"","parse-names":false,"suffix":""},{"dropping-particle":"","family":"Pizarro","given":"Ángeles","non-dropping-particle":"","parse-names":false,"suffix":""},{"dropping-particle":"","family":"León","given":"Francisco","non-dropping-particle":"","parse-names":false,"suffix":""},{"dropping-particle":"","family":"Rodríguez-Herrera","given":"Alfonso","non-dropping-particle":"","parse-names":false,"suffix":""},{"dropping-particle":"","family":"Sousa","given":"Carolina","non-dropping-particle":"","parse-names":false,"suffix":""}],"container-title":"Gut","id":"ITEM-1","issue":"2","issued":{"date-parts":[["2017","2"]]},"page":"250-257","title":"Detection of gluten immunogenic peptides in the urine of patients with coeliac disease reveals transgressions in the gluten-free diet and incomplete mucosal healing.","type":"article-journal","volume":"66"},"uris":["http://www.mendeley.com/documents/?uuid=cd06bb39-9fca-4ef3-b4f8-ca582b130e91"]}],"mendeley":{"formattedCitation":"&lt;sup&gt;[9]&lt;/sup&gt;","plainTextFormattedCitation":"[9]","previouslyFormattedCitation":"&lt;sup&gt;[9]&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[9]</w:t>
            </w:r>
            <w:r w:rsidR="00C3458C" w:rsidRPr="00D275F9">
              <w:rPr>
                <w:rFonts w:ascii="Book Antiqua" w:hAnsi="Book Antiqua" w:cs="Calibri"/>
                <w:lang w:eastAsia="es-ES"/>
              </w:rPr>
              <w:fldChar w:fldCharType="end"/>
            </w:r>
          </w:p>
        </w:tc>
        <w:tc>
          <w:tcPr>
            <w:tcW w:w="833" w:type="pct"/>
            <w:shd w:val="clear" w:color="000000" w:fill="FFFFFF"/>
            <w:noWrap/>
            <w:vAlign w:val="bottom"/>
            <w:hideMark/>
          </w:tcPr>
          <w:p w14:paraId="4E7D2C9C"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7</w:t>
            </w:r>
            <w:r w:rsidRPr="00FE6601">
              <w:rPr>
                <w:rFonts w:ascii="Book Antiqua" w:hAnsi="Book Antiqua" w:cs="Calibri" w:hint="eastAsia"/>
                <w:lang w:eastAsia="zh-CN"/>
              </w:rPr>
              <w:t xml:space="preserve"> (</w:t>
            </w:r>
            <w:r w:rsidRPr="00FE6601">
              <w:rPr>
                <w:rFonts w:ascii="Book Antiqua" w:hAnsi="Book Antiqua" w:cs="Calibri"/>
                <w:bCs/>
                <w:lang w:eastAsia="es-ES"/>
              </w:rPr>
              <w:t>100</w:t>
            </w:r>
            <w:r w:rsidRPr="00FE6601">
              <w:rPr>
                <w:rFonts w:ascii="Book Antiqua" w:hAnsi="Book Antiqua" w:cs="Calibri" w:hint="eastAsia"/>
                <w:bCs/>
                <w:lang w:eastAsia="zh-CN"/>
              </w:rPr>
              <w:t>)</w:t>
            </w:r>
          </w:p>
        </w:tc>
        <w:tc>
          <w:tcPr>
            <w:tcW w:w="761" w:type="pct"/>
            <w:shd w:val="clear" w:color="000000" w:fill="FFFFFF"/>
            <w:noWrap/>
            <w:vAlign w:val="bottom"/>
            <w:hideMark/>
          </w:tcPr>
          <w:p w14:paraId="33254340"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2</w:t>
            </w:r>
            <w:r w:rsidRPr="00FE6601">
              <w:rPr>
                <w:rFonts w:ascii="Book Antiqua" w:hAnsi="Book Antiqua" w:cs="Calibri" w:hint="eastAsia"/>
                <w:lang w:eastAsia="zh-CN"/>
              </w:rPr>
              <w:t xml:space="preserve"> (</w:t>
            </w:r>
            <w:r w:rsidRPr="00FE6601">
              <w:rPr>
                <w:rFonts w:ascii="Book Antiqua" w:hAnsi="Book Antiqua" w:cs="Calibri"/>
                <w:bCs/>
                <w:lang w:eastAsia="es-ES"/>
              </w:rPr>
              <w:t>29</w:t>
            </w:r>
            <w:r w:rsidRPr="00FE6601">
              <w:rPr>
                <w:rFonts w:ascii="Book Antiqua" w:hAnsi="Book Antiqua" w:cs="Calibri" w:hint="eastAsia"/>
                <w:bCs/>
                <w:lang w:eastAsia="zh-CN"/>
              </w:rPr>
              <w:t>)</w:t>
            </w:r>
          </w:p>
        </w:tc>
        <w:tc>
          <w:tcPr>
            <w:tcW w:w="1181" w:type="pct"/>
            <w:shd w:val="clear" w:color="000000" w:fill="FFFFFF"/>
            <w:noWrap/>
            <w:vAlign w:val="bottom"/>
            <w:hideMark/>
          </w:tcPr>
          <w:p w14:paraId="3791BB47"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w:t>
            </w:r>
          </w:p>
        </w:tc>
        <w:tc>
          <w:tcPr>
            <w:tcW w:w="787" w:type="pct"/>
            <w:shd w:val="clear" w:color="000000" w:fill="FFFFFF"/>
            <w:noWrap/>
            <w:vAlign w:val="bottom"/>
            <w:hideMark/>
          </w:tcPr>
          <w:p w14:paraId="6CCA6224"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w:t>
            </w:r>
          </w:p>
        </w:tc>
      </w:tr>
      <w:tr w:rsidR="00C103CC" w:rsidRPr="00D275F9" w14:paraId="73917329" w14:textId="77777777" w:rsidTr="00FE6601">
        <w:trPr>
          <w:trHeight w:val="784"/>
        </w:trPr>
        <w:tc>
          <w:tcPr>
            <w:tcW w:w="1438" w:type="pct"/>
            <w:shd w:val="clear" w:color="auto" w:fill="auto"/>
            <w:noWrap/>
            <w:vAlign w:val="center"/>
            <w:hideMark/>
          </w:tcPr>
          <w:p w14:paraId="1B538987" w14:textId="77777777" w:rsidR="00C103CC" w:rsidRPr="00D275F9" w:rsidRDefault="00C103CC" w:rsidP="00F10C3B">
            <w:pPr>
              <w:spacing w:line="360" w:lineRule="auto"/>
              <w:jc w:val="both"/>
              <w:rPr>
                <w:rFonts w:ascii="Book Antiqua" w:hAnsi="Book Antiqua" w:cs="Calibri"/>
                <w:lang w:val="es-ES" w:eastAsia="es-ES"/>
              </w:rPr>
            </w:pPr>
            <w:r w:rsidRPr="00D275F9">
              <w:rPr>
                <w:rFonts w:ascii="Book Antiqua" w:hAnsi="Book Antiqua" w:cs="Calibri"/>
                <w:lang w:eastAsia="es-ES"/>
              </w:rPr>
              <w:t xml:space="preserve">Silvester </w:t>
            </w:r>
            <w:r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{"citationItems":[{"id":"ITEM-1","itemData":{"DOI":"10.1053/j.gastro.2019.12.016","ISSN":"15280012","PMID":"31866245","author":[{"dropping-particle":"","family":"Silvester","given":"Jocelyn A.","non-dropping-particle":"","parse-names":false,"suffix":""},{"dropping-particle":"","family":"Comino","given":"Isabel","non-dropping-particle":"","parse-names":false,"suffix":""},{"dropping-particle":"","family":"Kelly","given":"Ciarán P.","non-dropping-particle":"","parse-names":false,"suffix":""},{"dropping-particle":"","family":"Sousa","given":"Carolina","non-dropping-particle":"","parse-names":false,"suffix":""},{"dropping-particle":"","family":"Duerksen","given":"Donald R.","non-dropping-particle":"","parse-names":false,"suffix":""},{"dropping-particle":"","family":"Bernstein","given":"Charles N.","non-dropping-particle":"","parse-names":false,"suffix":""},{"dropping-particle":"","family":"Cebolla","given":"Angel","non-dropping-particle":"","parse-names":false,"suffix":""},{"dropping-particle":"","family":"Dominguez","given":"Maria R.","non-dropping-particle":"","parse-names":false,"suffix":""},{"dropping-particle":"","family":"Graff","given":"Lesley A.","non-dropping-particle":"","parse-names":false,"suffix":""},{"dropping-particle":"","family":"Green","given":"Kathy H.","non-dropping-particle":"","parse-names":false,"suffix":""},{"dropping-particle":"","family":"Leffler","given":"Daniel A.","non-dropping-particle":"","parse-names":false,"suffix":""},{"dropping-particle":"","family":"Leon","given":"Francisco","non-dropping-particle":"","parse-names":false,"suffix":""},{"dropping-particle":"","family":"Rigaux","given":"Lisa N.","non-dropping-particle":"","parse-names":false,"suffix":""},{"dropping-particle":"","family":"Segura","given":"Veronica","non-dropping-particle":"","parse-names":false,"suffix":""},{"dropping-particle":"","family":"Weiten","given":"Dayna","non-dropping-particle":"","parse-names":false,"suffix":""}],"container-title":"Gastroenterology","id":"ITEM-1","issue":"5","issued":{"date-parts":[["2020"]]},"page":"1497-1499.e1","publisher":"The American Gastroenterological Association","title":"Most Patients With Celiac Disease on Gluten-Free Diets Consume Measurable Amounts of Gluten","type":"article-journal","volume":"158"},"uris":["http://www.mendeley.com/documents/?uuid=be607d93-1980-4d44-a868-faf949269ff3"]},{"id":"ITEM-2","itemData":{"DOI":"10.1111/apt.16075","ISSN":"13652036","PMID":"32981131","abstract":"Background: A major deficit in understanding and improving treatment in coeliac disease (CD) is the lack of empiric data on real world gluten exposure. Aims: To estimate gluten exposure on a gluten-free diet (GFD) using immunoassays for gluten immunogenic peptides (GIP) and to examine relationships among GIP detection, symptoms and suspected gluten exposures. Methods: Adults with biopsy-confirmed CD on a GFD for 24 months were recruited from a population-based inception cohort. Participants kept a diary and collected urine samples for 10 days and stools on days 4-10. ‘Doggie bags’ containing ¼ portions of foods consumed were saved during the first 7 days. Gluten in food, stool and urine was quantified using A1/G12 ELISA. Results: Eighteen participants with CD (12 female; age 21-70 years) and three participants on a gluten-containing diet enrolled and completed the study. Twelve out of 18 CD participants had a median 2.1 mg gluten per exposure (range 0.2 to &gt;80 mg). Most exposures were asymptomatic and unsuspected. There was high intra-individual variability in the interval between gluten ingestion and excretion. Participants were generally unable to identify the food. Conclusions: Gluten exposure on a GFD is common, intermittent, and usually silent. Excretion kinetics are highly variable among individuals. The amount of gluten varied widely, but was typically in the milligram range, which was 10-100 times less than consumed by those on an unrestricted diet. These findings suggest that a strict GFD is difficult to attain, and specific exposures are difficult to detect due to variable time course of excretion.","author":[{"dropping-particle":"","family":"Silvester","given":"Jocelyn A.","non-dropping-particle":"","parse-names":false,"suffix":""},{"dropping-particle":"","family":"Comino","given":"Isabel","non-dropping-particle":"","parse-names":false,"suffix":""},{"dropping-particle":"","family":"Rigaux","given":"Lisa N.","non-dropping-particle":"","parse-names":false,"suffix":""},{"dropping-particle":"","family":"Segura","given":"Veronica","non-dropping-particle":"","parse-names":false,"suffix":""},{"dropping-particle":"","family":"Green","given":"Kathy H.","non-dropping-particle":"","parse-names":false,"suffix":""},{"dropping-particle":"","family":"Cebolla","given":"Angel","non-dropping-particle":"","parse-names":false,"suffix":""},{"dropping-particle":"","family":"Weiten","given":"Dayna","non-dropping-particle":"","parse-names":false,"suffix":""},{"dropping-particle":"","family":"Dominguez","given":"Remedios","non-dropping-particle":"","parse-names":false,"suffix":""},{"dropping-particle":"","family"</w:instrText>
            </w:r>
            <w:r w:rsidRPr="00D275F9">
              <w:rPr>
                <w:rFonts w:ascii="Book Antiqua" w:hAnsi="Book Antiqua" w:cs="Calibri"/>
                <w:lang w:val="es-ES" w:eastAsia="es-ES"/>
              </w:rPr>
              <w:instrText>:"Leffler","given":"Daniel A.","non-dropping-particle":"","parse-names":false,"suffix":""},{"dropping-particle":"","family":"Leon","given":"Francisco","non-dropping-particle":"","parse-names":false,"suffix":""},{"dropping-particle":"","family":"Bernstein","given":"Charles N.","non-dropping-particle":"","parse-names":false,"suffix":""},{"dropping-particle":"","family":"Graff","given":"Lesley A.","non-dropping-particle":"","parse-names":false,"suffix":""},{"dropping-particle":"","family":"Kelly","given":"Ciaran P.","non-dropping-particle":"","parse-names":false,"suffix":""},{"dropping-particle":"","family":"Sousa","given":"Carolina","non-dropping-particle":"","parse-names":false,"suffix":""},{"dropping-particle":"","family":"Duerksen","given":"Donald R.","non-dropping-particle":"","parse-names":false,"suffix":""}],"container-title":"Alimentary Pharmacology and Therapeutics","id":"ITEM-2","issue":"9","issued":{"date-parts":[["2020"]]},"page":"1469-1479","title":"Exposure sources, amounts and time course of gluten ingestion and excretion in patients with coeliac disease on a gluten-free diet","type":"article-journal","volume":"52"},"uris":["http://www.mendeley.com/documents/?uuid=d9faf48b-572c-400d-ba93-a192caac0026"]}],"mendeley":{"formattedCitation":"&lt;sup&gt;[29,30]&lt;/sup&gt;","plainTextFormattedCitation":"[29,30]","previouslyFormattedCitation":"&lt;sup&gt;[29,30]&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val="es-ES" w:eastAsia="es-ES"/>
              </w:rPr>
              <w:t>[29,30]</w:t>
            </w:r>
            <w:r w:rsidR="00C3458C" w:rsidRPr="00D275F9">
              <w:rPr>
                <w:rFonts w:ascii="Book Antiqua" w:hAnsi="Book Antiqua" w:cs="Calibri"/>
                <w:lang w:eastAsia="es-ES"/>
              </w:rPr>
              <w:fldChar w:fldCharType="end"/>
            </w:r>
          </w:p>
        </w:tc>
        <w:tc>
          <w:tcPr>
            <w:tcW w:w="833" w:type="pct"/>
            <w:shd w:val="clear" w:color="auto" w:fill="auto"/>
            <w:noWrap/>
            <w:vAlign w:val="bottom"/>
            <w:hideMark/>
          </w:tcPr>
          <w:p w14:paraId="6ECFCE1E" w14:textId="77777777" w:rsidR="00C103CC" w:rsidRPr="00FE6601" w:rsidRDefault="00C103CC" w:rsidP="00F10C3B">
            <w:pPr>
              <w:spacing w:line="360" w:lineRule="auto"/>
              <w:jc w:val="both"/>
              <w:rPr>
                <w:rFonts w:ascii="Book Antiqua" w:hAnsi="Book Antiqua" w:cs="Calibri"/>
                <w:lang w:val="es-ES" w:eastAsia="zh-CN"/>
              </w:rPr>
            </w:pPr>
            <w:r w:rsidRPr="00FE6601">
              <w:rPr>
                <w:rFonts w:ascii="Book Antiqua" w:hAnsi="Book Antiqua" w:cs="Calibri"/>
                <w:lang w:val="es-ES" w:eastAsia="es-ES"/>
              </w:rPr>
              <w:t>8</w:t>
            </w:r>
            <w:r w:rsidRPr="00FE6601">
              <w:rPr>
                <w:rFonts w:ascii="Book Antiqua" w:hAnsi="Book Antiqua" w:cs="Calibri" w:hint="eastAsia"/>
                <w:lang w:val="es-ES" w:eastAsia="zh-CN"/>
              </w:rPr>
              <w:t xml:space="preserve"> (</w:t>
            </w:r>
            <w:r w:rsidRPr="00FE6601">
              <w:rPr>
                <w:rFonts w:ascii="Book Antiqua" w:hAnsi="Book Antiqua" w:cs="Calibri"/>
                <w:bCs/>
                <w:lang w:val="es-ES" w:eastAsia="es-ES"/>
              </w:rPr>
              <w:t>80</w:t>
            </w:r>
            <w:r w:rsidRPr="00FE6601">
              <w:rPr>
                <w:rFonts w:ascii="Book Antiqua" w:hAnsi="Book Antiqua" w:cs="Calibri" w:hint="eastAsia"/>
                <w:bCs/>
                <w:lang w:val="es-ES" w:eastAsia="zh-CN"/>
              </w:rPr>
              <w:t>)</w:t>
            </w:r>
          </w:p>
        </w:tc>
        <w:tc>
          <w:tcPr>
            <w:tcW w:w="761" w:type="pct"/>
            <w:shd w:val="clear" w:color="auto" w:fill="auto"/>
            <w:noWrap/>
            <w:vAlign w:val="bottom"/>
            <w:hideMark/>
          </w:tcPr>
          <w:p w14:paraId="35233914" w14:textId="77777777" w:rsidR="00C103CC" w:rsidRPr="00FE6601" w:rsidRDefault="00FE6601" w:rsidP="00F10C3B">
            <w:pPr>
              <w:spacing w:line="360" w:lineRule="auto"/>
              <w:jc w:val="both"/>
              <w:rPr>
                <w:rFonts w:ascii="Book Antiqua" w:hAnsi="Book Antiqua" w:cs="Calibri"/>
                <w:lang w:val="es-ES" w:eastAsia="zh-CN"/>
              </w:rPr>
            </w:pPr>
            <w:r>
              <w:rPr>
                <w:rFonts w:ascii="Book Antiqua" w:hAnsi="Book Antiqua" w:cs="Calibri" w:hint="eastAsia"/>
                <w:lang w:val="es-ES" w:eastAsia="zh-CN"/>
              </w:rPr>
              <w:t>-</w:t>
            </w:r>
          </w:p>
        </w:tc>
        <w:tc>
          <w:tcPr>
            <w:tcW w:w="1181" w:type="pct"/>
            <w:shd w:val="clear" w:color="auto" w:fill="auto"/>
            <w:noWrap/>
            <w:vAlign w:val="bottom"/>
            <w:hideMark/>
          </w:tcPr>
          <w:p w14:paraId="23518890" w14:textId="77777777" w:rsidR="00C103CC" w:rsidRPr="00FE6601" w:rsidRDefault="00FE6601" w:rsidP="00F10C3B">
            <w:pPr>
              <w:spacing w:line="360" w:lineRule="auto"/>
              <w:jc w:val="both"/>
              <w:rPr>
                <w:rFonts w:ascii="Book Antiqua" w:hAnsi="Book Antiqua" w:cs="Calibri"/>
                <w:lang w:val="es-ES" w:eastAsia="zh-CN"/>
              </w:rPr>
            </w:pPr>
            <w:r>
              <w:rPr>
                <w:rFonts w:ascii="Book Antiqua" w:hAnsi="Book Antiqua" w:cs="Calibri" w:hint="eastAsia"/>
                <w:lang w:val="es-ES" w:eastAsia="zh-CN"/>
              </w:rPr>
              <w:t>-</w:t>
            </w:r>
          </w:p>
        </w:tc>
        <w:tc>
          <w:tcPr>
            <w:tcW w:w="787" w:type="pct"/>
            <w:shd w:val="clear" w:color="auto" w:fill="auto"/>
            <w:noWrap/>
            <w:vAlign w:val="bottom"/>
            <w:hideMark/>
          </w:tcPr>
          <w:p w14:paraId="09F0BD0E" w14:textId="77777777" w:rsidR="00C103CC" w:rsidRPr="00FE6601" w:rsidRDefault="00FE6601" w:rsidP="00F10C3B">
            <w:pPr>
              <w:spacing w:line="360" w:lineRule="auto"/>
              <w:jc w:val="both"/>
              <w:rPr>
                <w:rFonts w:ascii="Book Antiqua" w:hAnsi="Book Antiqua" w:cs="Calibri"/>
                <w:lang w:val="es-ES" w:eastAsia="zh-CN"/>
              </w:rPr>
            </w:pPr>
            <w:r>
              <w:rPr>
                <w:rFonts w:ascii="Book Antiqua" w:hAnsi="Book Antiqua" w:cs="Calibri" w:hint="eastAsia"/>
                <w:lang w:val="es-ES" w:eastAsia="zh-CN"/>
              </w:rPr>
              <w:t>-</w:t>
            </w:r>
          </w:p>
        </w:tc>
      </w:tr>
      <w:tr w:rsidR="00C103CC" w:rsidRPr="00D275F9" w14:paraId="23090CFB" w14:textId="77777777" w:rsidTr="00FE6601">
        <w:trPr>
          <w:trHeight w:val="784"/>
        </w:trPr>
        <w:tc>
          <w:tcPr>
            <w:tcW w:w="1438" w:type="pct"/>
            <w:shd w:val="clear" w:color="auto" w:fill="auto"/>
            <w:noWrap/>
            <w:vAlign w:val="center"/>
            <w:hideMark/>
          </w:tcPr>
          <w:p w14:paraId="2DFBEB20" w14:textId="77777777" w:rsidR="00C103CC" w:rsidRPr="00D275F9" w:rsidRDefault="00C103CC" w:rsidP="00F10C3B">
            <w:pPr>
              <w:spacing w:line="360" w:lineRule="auto"/>
              <w:jc w:val="both"/>
              <w:rPr>
                <w:rFonts w:ascii="Book Antiqua" w:hAnsi="Book Antiqua" w:cs="Calibri"/>
                <w:lang w:eastAsia="es-ES"/>
              </w:rPr>
            </w:pPr>
            <w:r w:rsidRPr="00D275F9">
              <w:rPr>
                <w:rFonts w:ascii="Book Antiqua" w:hAnsi="Book Antiqua" w:cs="Calibri"/>
                <w:lang w:val="es-ES" w:eastAsia="es-ES"/>
              </w:rPr>
              <w:t xml:space="preserve">Ruiz-Carnicer </w:t>
            </w:r>
            <w:r w:rsidRPr="006E5332">
              <w:rPr>
                <w:rFonts w:ascii="Book Antiqua" w:hAnsi="Book Antiqua" w:cs="Calibri"/>
                <w:i/>
                <w:lang w:val="es-ES"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val="es-ES" w:eastAsia="es-ES"/>
              </w:rPr>
              <w:instrText>ADDIN CSL_CITATION {"citationItems":[{"id":"ITEM-1","itemData":{"DOI":"10.1093/ajcn/nqaa188","ISSN":"0002-9165","PMID":"32692806","abstract":"Background: The treatment of celiac disease (CD) is a lifelong gluten-free diet (GFD). The current methods for monitoring GFD conformance, such as a dietary questionnaire or serology tests, may be inaccurate in detecting dietary transgressions, and duodenal biopsies are invasive, expensive, and not a routine monitoring technique. Objectives: Our aim was to determine the clinical usefulness of urine gluten immunogenic peptides (GIP) as a biomarker monitoring GFD adherence in celiac patients and to evaluate the concordance of the results with the degree of mucosal damage. Methods: A prospective observational study was conducted involving 22 de novo CD patients, 77 celiac patients consuming a GFD, and 13 nonceliac subjects. On 3 d of the week, urine samples were collected and the GIP concentrations were tested. Simultaneously, anti-tissue transglutaminase antibodies, questionnaire results, clinical manifestations, and histological findings were analyzed. Results: Approximately 24% (18 of 76) of the celiac patients consuming a GFD exhibited Marsh II-III mucosal damage. Among this population, 94% (17 of 18) had detectable urine GIP; however, between 60% and 80% were asymptomatic and exhibited negative serology and appropriate GFD adherence based on the questionnai</w:instrText>
            </w:r>
            <w:r w:rsidRPr="00D275F9">
              <w:rPr>
                <w:rFonts w:ascii="Book Antiqua" w:hAnsi="Book Antiqua" w:cs="Calibri"/>
                <w:lang w:eastAsia="es-ES"/>
              </w:rPr>
              <w:instrText>re. In contrast, 97% (31 of 32) of the celiac patients without duodenal damage had no detectable GIP. These results demonstrated the high sensitivity (94%) and negative predictive value (97%) of GIP measurements in relation to duodenal biopsy findings. In the de novo CD-diagnosed cohort, 82% (18 of 22) of patients had measurable amounts of GIP in the urine. Conclusions: Determining GIP concentrations in several urine samples may be an especially convenient approach to assess recent gluten exposure in celiac patients and appears to accurately predict the absence of histological lesions. The introduction of GIP testing as an assessment technique for GFD adherence may help in ascertaining dietary compliance and to target the most suitable intervention during follow-up. Am J Clin Nutr 2020;00:1-12.","author":[{"dropping-particle":"","family":"Ruiz-Carnicer","given":"Ángela","non-dropping-particle":"","parse-names":false,"suffix":""},{"dropping-particle":"","family":"Garzón-Benavides","given":"Marta","non-dropping-particle":"","parse-names":false,"suffix":""},{"dropping-particle":"","family":"Fombuena","given":"Blanca","non-dropping-particle":"","parse-names":false,"suffix":""},{"dropping-particle":"","family":"Segura","given":"Verónica","non-dropping-particle":"","parse-names":false,"suffix":""},{"dropping-particle":"","family":"García-Fernández","given":"Francisco","non-dropping-particle":"","parse-names":false,"suffix":""},{"dropping-particle":"","family":"Sobrino-Rodríguez","given":"Salvador","non-dropping-particle":"","parse-names":false,"suffix":""},{"dropping-particle":"","family":"Gómez-Izquierdo","given":"Lourdes","non-dropping-particle":"","parse-names":false,"suffix":""},{"dropping-particle":"","family":"Montes-Cano","given":"Marcos A","non-dropping-particle":"","parse-names":false,"suffix":""},{"dropping-particle":"","family":"Rodríguez-Herrera","given":"Alfonso","non-dropping-particle":"","parse-names":false,"suffix":""},{"dropping-particle":"","family":"Millán","given":"Raquel","non-dropping-particle":"","parse-names":false,"suffix":""},{"dropping-particle":"","family":"Rico","given":"María C","non-dropping-particle":"","parse-names":false,"suffix":""},{"dropping-particle":"","family":"González-Naranjo","given":"Carmen","non-dropping-particle":"","parse-names":false,"suffix":""},{"dropping-particle":"","family":"Bozada-García","given":"Juan M","non-dropping-particle":"","parse-names":false,"suffix":""},{"dropping-particle":"","family":"Díaz","given":"Jacobo","non-dropping-particle":"","parse-names":false,"suffix":""},{"dropping-particle":"","family":"Coronel-Rodríguez","given":"Cristóbal","non-dropping-particle":"","parse-names":false,"suffix":""},{"dropping-particle":"","family":"Espín","given":"Beatriz","non-dropping-particle":"","parse-names":false,"suffix":""},{"dropping-particle":"","family":"Romero-Gómez","given":"Manuel","non-dropping-particle":"","parse-names":false,"suffix":""},{"dropping-particle":"","family":"Cebolla","given":"Ángel","non-dropping-particle":"","parse-names":false,"suffix":""},{"dropping-particle":"","family":"Sousa","given":"Carolina","non-dropping-particle":"","parse-names":false,"suffix":""},{"dropping-particle":"","family":"Comino","given":"Isabel","non-dropping-particle":"","parse-names":false,"suffix":""},{"dropping-particle":"","family":"Argüelles","given":"Federico","non-dropping-particle":"","parse-names":false,"suffix":""},{"dropping-particle":"","family":"Pizarro","given":"Ángeles","non-dropping-particle":"","parse-names":false,"suffix":""}],"container-title":"The American Journal of Clinical Nutrition","id":"ITEM-1","issue":"5","issued":{"date-parts":[["2020","11","11"]]},"page":"1240-1251","title":"Negative predictive value of the repeated absence of gluten immunogenic peptides in the urine of treated celiac patients in predicting mucosal healing: new proposals for follow-up in celiac disease","type":"article-journal","volume":"112"},"uris":["http://www.mendeley.com/documents/?uuid=f7b55239-514f-4b56-a25d-6d64e385eedb"]}],"mendeley":{"formattedCitation":"&lt;sup&gt;[23]&lt;/sup&gt;","plainTextFormattedCitation":"[23]","previouslyFormattedCitation":"&lt;sup&gt;[23]&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[23]</w:t>
            </w:r>
            <w:r w:rsidR="00C3458C" w:rsidRPr="00D275F9">
              <w:rPr>
                <w:rFonts w:ascii="Book Antiqua" w:hAnsi="Book Antiqua" w:cs="Calibri"/>
                <w:lang w:eastAsia="es-ES"/>
              </w:rPr>
              <w:fldChar w:fldCharType="end"/>
            </w:r>
          </w:p>
        </w:tc>
        <w:tc>
          <w:tcPr>
            <w:tcW w:w="833" w:type="pct"/>
            <w:shd w:val="clear" w:color="auto" w:fill="auto"/>
            <w:noWrap/>
            <w:vAlign w:val="bottom"/>
            <w:hideMark/>
          </w:tcPr>
          <w:p w14:paraId="3477EE96"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17</w:t>
            </w:r>
            <w:r w:rsidRPr="00FE6601">
              <w:rPr>
                <w:rFonts w:ascii="Book Antiqua" w:hAnsi="Book Antiqua" w:cs="Calibri" w:hint="eastAsia"/>
                <w:lang w:eastAsia="zh-CN"/>
              </w:rPr>
              <w:t xml:space="preserve"> (</w:t>
            </w:r>
            <w:r w:rsidRPr="00FE6601">
              <w:rPr>
                <w:rFonts w:ascii="Book Antiqua" w:hAnsi="Book Antiqua" w:cs="Calibri"/>
                <w:bCs/>
                <w:lang w:eastAsia="es-ES"/>
              </w:rPr>
              <w:t>94</w:t>
            </w:r>
            <w:r w:rsidRPr="00FE6601">
              <w:rPr>
                <w:rFonts w:ascii="Book Antiqua" w:hAnsi="Book Antiqua" w:cs="Calibri" w:hint="eastAsia"/>
                <w:bCs/>
                <w:lang w:eastAsia="zh-CN"/>
              </w:rPr>
              <w:t>)</w:t>
            </w:r>
          </w:p>
        </w:tc>
        <w:tc>
          <w:tcPr>
            <w:tcW w:w="761" w:type="pct"/>
            <w:shd w:val="clear" w:color="auto" w:fill="auto"/>
            <w:noWrap/>
            <w:vAlign w:val="bottom"/>
            <w:hideMark/>
          </w:tcPr>
          <w:p w14:paraId="7808C0AA"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7</w:t>
            </w:r>
            <w:r w:rsidRPr="00FE6601">
              <w:rPr>
                <w:rFonts w:ascii="Book Antiqua" w:hAnsi="Book Antiqua" w:cs="Calibri" w:hint="eastAsia"/>
                <w:lang w:eastAsia="zh-CN"/>
              </w:rPr>
              <w:t xml:space="preserve"> (</w:t>
            </w:r>
            <w:r w:rsidRPr="00FE6601">
              <w:rPr>
                <w:rFonts w:ascii="Book Antiqua" w:hAnsi="Book Antiqua" w:cs="Calibri"/>
                <w:bCs/>
                <w:lang w:eastAsia="es-ES"/>
              </w:rPr>
              <w:t>39</w:t>
            </w:r>
            <w:r w:rsidRPr="00FE6601">
              <w:rPr>
                <w:rFonts w:ascii="Book Antiqua" w:hAnsi="Book Antiqua" w:cs="Calibri" w:hint="eastAsia"/>
                <w:bCs/>
                <w:lang w:eastAsia="zh-CN"/>
              </w:rPr>
              <w:t>)</w:t>
            </w:r>
          </w:p>
        </w:tc>
        <w:tc>
          <w:tcPr>
            <w:tcW w:w="1181" w:type="pct"/>
            <w:shd w:val="clear" w:color="auto" w:fill="auto"/>
            <w:noWrap/>
            <w:vAlign w:val="bottom"/>
            <w:hideMark/>
          </w:tcPr>
          <w:p w14:paraId="02D4213D"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6</w:t>
            </w:r>
            <w:r w:rsidRPr="00FE6601">
              <w:rPr>
                <w:rFonts w:ascii="Book Antiqua" w:hAnsi="Book Antiqua" w:cs="Calibri" w:hint="eastAsia"/>
                <w:lang w:eastAsia="zh-CN"/>
              </w:rPr>
              <w:t xml:space="preserve"> (</w:t>
            </w:r>
            <w:r w:rsidRPr="00FE6601">
              <w:rPr>
                <w:rFonts w:ascii="Book Antiqua" w:hAnsi="Book Antiqua" w:cs="Calibri"/>
                <w:bCs/>
                <w:lang w:eastAsia="es-ES"/>
              </w:rPr>
              <w:t>43</w:t>
            </w:r>
            <w:r w:rsidRPr="00FE6601">
              <w:rPr>
                <w:rFonts w:ascii="Book Antiqua" w:hAnsi="Book Antiqua" w:cs="Calibri" w:hint="eastAsia"/>
                <w:bCs/>
                <w:lang w:eastAsia="zh-CN"/>
              </w:rPr>
              <w:t>)</w:t>
            </w:r>
          </w:p>
        </w:tc>
        <w:tc>
          <w:tcPr>
            <w:tcW w:w="787" w:type="pct"/>
            <w:shd w:val="clear" w:color="auto" w:fill="auto"/>
            <w:noWrap/>
            <w:vAlign w:val="bottom"/>
            <w:hideMark/>
          </w:tcPr>
          <w:p w14:paraId="1F0BCECB"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4</w:t>
            </w:r>
            <w:r w:rsidRPr="00FE6601">
              <w:rPr>
                <w:rFonts w:ascii="Book Antiqua" w:hAnsi="Book Antiqua" w:cs="Calibri" w:hint="eastAsia"/>
                <w:lang w:eastAsia="zh-CN"/>
              </w:rPr>
              <w:t xml:space="preserve"> (</w:t>
            </w:r>
            <w:r w:rsidRPr="00FE6601">
              <w:rPr>
                <w:rFonts w:ascii="Book Antiqua" w:hAnsi="Book Antiqua" w:cs="Calibri"/>
                <w:bCs/>
                <w:lang w:eastAsia="es-ES"/>
              </w:rPr>
              <w:t>22</w:t>
            </w:r>
            <w:r w:rsidRPr="00FE6601">
              <w:rPr>
                <w:rFonts w:ascii="Book Antiqua" w:hAnsi="Book Antiqua" w:cs="Calibri" w:hint="eastAsia"/>
                <w:bCs/>
                <w:lang w:eastAsia="zh-CN"/>
              </w:rPr>
              <w:t>)</w:t>
            </w:r>
          </w:p>
        </w:tc>
      </w:tr>
      <w:tr w:rsidR="00C103CC" w:rsidRPr="00D275F9" w14:paraId="6CE2780D" w14:textId="77777777" w:rsidTr="00FE6601">
        <w:trPr>
          <w:trHeight w:val="784"/>
        </w:trPr>
        <w:tc>
          <w:tcPr>
            <w:tcW w:w="1438" w:type="pct"/>
            <w:shd w:val="clear" w:color="auto" w:fill="auto"/>
            <w:noWrap/>
            <w:vAlign w:val="center"/>
            <w:hideMark/>
          </w:tcPr>
          <w:p w14:paraId="2D43AB63" w14:textId="77777777" w:rsidR="00C103CC" w:rsidRPr="00D275F9" w:rsidRDefault="00C103CC" w:rsidP="00F10C3B">
            <w:pPr>
              <w:spacing w:line="360" w:lineRule="auto"/>
              <w:jc w:val="both"/>
              <w:rPr>
                <w:rFonts w:ascii="Book Antiqua" w:hAnsi="Book Antiqua" w:cs="Calibri"/>
                <w:lang w:eastAsia="es-ES"/>
              </w:rPr>
            </w:pPr>
            <w:proofErr w:type="spellStart"/>
            <w:r w:rsidRPr="00D275F9">
              <w:rPr>
                <w:rFonts w:ascii="Book Antiqua" w:hAnsi="Book Antiqua" w:cs="Calibri"/>
                <w:lang w:eastAsia="es-ES"/>
              </w:rPr>
              <w:t>Laserna</w:t>
            </w:r>
            <w:proofErr w:type="spellEnd"/>
            <w:r w:rsidRPr="00D275F9">
              <w:rPr>
                <w:rFonts w:ascii="Book Antiqua" w:hAnsi="Book Antiqua" w:cs="Calibri"/>
                <w:lang w:eastAsia="es-ES"/>
              </w:rPr>
              <w:t xml:space="preserve">-Mendieta </w:t>
            </w:r>
            <w:r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{"citationItems":[{"id":"ITEM-1","itemData":{"DOI":"10.3390/nu13010098","ISSN":"20726643","PMID":"33396719","abstract":"A lifelong gluten-free diet (GFD) is the only current treatment for celiac disease (CD), but strict compliance is complicated. Duodenal biopsies are the “gold standard” method for diagnosing CD, but they are not generally recommended for disease monitoring. We evaluated the sensitivity and specificity of fecal gluten immunogenic peptides (GIPs) to detect duodenal lesions in CD patients on a GFD and compared them with serum anti-tissue transglutaminase (tTG) IgA antibodies. A prospective study was conducted at two tertiary centers in Spain on a consecutive series of adolescents and adults with CD who maintained a long-lasting GFD. Adherence to a GFD and health-related quality of life were scored with validated questionnaires. Mucosal damage graded according to the Marsh–Oberhüber classification (Marsh 1/2/3) was used as the reference standard. Of the 97 patients included, 27 presented duodenal mucosal damage and 70 had normal biopsies (Marsh 0). The sensitivity (33%) and specificity (81%) of GIPs were similar to those provided by the two assays used to measure anti-tTG antibodies. Scores in questionnaires showed no association with GIP, but an association between GIPs and patients’ self-reported gluten consumption was found (p = 0.003). GIP displayed low sensitivity but acceptable specificity for the detection of mucosal damage in CD.","author":[{"dropping-particle":"","family":"Laserna-Mendieta","given":"Emilio J.","non-dropping-particle":"","parse-names":false,"suffix":""},{"dropping-particle":"","family":"Casanova","given":"María José","non-dropping-particle":"","parse-names":false,"suffix":""},{"dropping-particle":"","family":"Arias","given":"Ángel","non-dropping-particle":"","parse-names":false,"suffix":""},{"dropping-particle":"","family":"Arias-González","given":"Laura","non-dropping-particle":"","parse-names":false,"suffix":""},{"dropping-particle":"","family":"Majano","given":"Pedro","non-dropping-particle":"","parse-names":false,"suffix":""},{"dropping-particle":"","family":"Mate","given":"Luis Alberto","non-dropping-particle":"","parse-names":false,"suffix":""},{"dropping-particle":"","family":"Gordillo-Vélez","given":"Carlos Humberto","non-dropping-particle":"","parse-names":false,"suffix":""},{"dropping-particle":"","family":"Jiménez","given":"Mirella","non-dropping-particle":"","parse-names":false,"suffix":""},{"dropping-particle":"","family":"Angueira","given":"Teresa","non-dropping-particle":"","parse-names":false,"suffix":""},{"dropping-particle":"","family":"Tébar-Romero","given":"Emilia","non-dropping-particle":"","parse-names":false,"suffix":""},{"dropping-particle":"","family":"Carrillo-Ramos","given":"María Jesús","non-dropping-particle":"","parse-names":false,"suffix":""},{"dropping-particle":"","family":"Tejero-Bustos","given":"María Ángeles","non-dropping-particle":"","parse-names":false,"suffix":""},{"dropping-particle":"","family":"Gisbert","given":"Javier P.","non-dropping-particle":"","parse-names":false,"suffix":""},{"dropping-particle":"","family":"Santander","given":"Cecilio","non-dropping-particle":"","parse-names":false,"suffix":""},{"dropping-particle":"","family":"Lucendo","given":"Alfredo J.","non-dropping-particle":"","parse-names":false,"suffix":""}],"container-title":"Nutrients","id":"ITEM-1","issue":"1","issued":{"date-parts":[["2021"]]},"page":"1-12","title":"Poor sensitivity of fecal gluten immunogenic peptides and serum antibodies to detect duodenal mucosal damage in celiac disease monitoring","type":"article-journal","volume":"13"},"uris":["http://www.mendeley.com/documents/?uuid=d626c222-c695-4809-b437-4e8f9bbfbbc4"]}],"mendeley":{"formattedCitation":"&lt;sup&gt;[45]&lt;/sup&gt;","plainTextFormattedCitation":"[45]","previouslyFormattedCitation":"&lt;sup&gt;[45]&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[45]</w:t>
            </w:r>
            <w:r w:rsidR="00C3458C" w:rsidRPr="00D275F9">
              <w:rPr>
                <w:rFonts w:ascii="Book Antiqua" w:hAnsi="Book Antiqua" w:cs="Calibri"/>
                <w:lang w:eastAsia="es-ES"/>
              </w:rPr>
              <w:fldChar w:fldCharType="end"/>
            </w:r>
          </w:p>
        </w:tc>
        <w:tc>
          <w:tcPr>
            <w:tcW w:w="833" w:type="pct"/>
            <w:shd w:val="clear" w:color="auto" w:fill="auto"/>
            <w:noWrap/>
            <w:vAlign w:val="bottom"/>
            <w:hideMark/>
          </w:tcPr>
          <w:p w14:paraId="1812C345"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2</w:t>
            </w:r>
            <w:r w:rsidRPr="00FE6601">
              <w:rPr>
                <w:rFonts w:ascii="Book Antiqua" w:hAnsi="Book Antiqua" w:cs="Calibri" w:hint="eastAsia"/>
                <w:lang w:eastAsia="zh-CN"/>
              </w:rPr>
              <w:t xml:space="preserve"> (</w:t>
            </w:r>
            <w:r w:rsidRPr="00FE6601">
              <w:rPr>
                <w:rFonts w:ascii="Book Antiqua" w:hAnsi="Book Antiqua" w:cs="Calibri"/>
                <w:bCs/>
                <w:lang w:eastAsia="es-ES"/>
              </w:rPr>
              <w:t>33</w:t>
            </w:r>
            <w:r w:rsidRPr="00FE6601">
              <w:rPr>
                <w:rFonts w:ascii="Book Antiqua" w:hAnsi="Book Antiqua" w:cs="Calibri" w:hint="eastAsia"/>
                <w:bCs/>
                <w:lang w:eastAsia="zh-CN"/>
              </w:rPr>
              <w:t>)</w:t>
            </w:r>
          </w:p>
        </w:tc>
        <w:tc>
          <w:tcPr>
            <w:tcW w:w="761" w:type="pct"/>
            <w:shd w:val="clear" w:color="auto" w:fill="auto"/>
            <w:noWrap/>
            <w:vAlign w:val="bottom"/>
            <w:hideMark/>
          </w:tcPr>
          <w:p w14:paraId="22D9DA6D"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2</w:t>
            </w:r>
            <w:r w:rsidRPr="00FE6601">
              <w:rPr>
                <w:rFonts w:ascii="Book Antiqua" w:hAnsi="Book Antiqua" w:cs="Calibri" w:hint="eastAsia"/>
                <w:lang w:eastAsia="zh-CN"/>
              </w:rPr>
              <w:t xml:space="preserve"> (</w:t>
            </w:r>
            <w:r w:rsidRPr="00FE6601">
              <w:rPr>
                <w:rFonts w:ascii="Book Antiqua" w:hAnsi="Book Antiqua" w:cs="Calibri"/>
                <w:bCs/>
                <w:lang w:eastAsia="es-ES"/>
              </w:rPr>
              <w:t>33</w:t>
            </w:r>
            <w:r w:rsidRPr="00FE6601">
              <w:rPr>
                <w:rFonts w:ascii="Book Antiqua" w:hAnsi="Book Antiqua" w:cs="Calibri" w:hint="eastAsia"/>
                <w:bCs/>
                <w:lang w:eastAsia="zh-CN"/>
              </w:rPr>
              <w:t>)</w:t>
            </w:r>
          </w:p>
        </w:tc>
        <w:tc>
          <w:tcPr>
            <w:tcW w:w="1181" w:type="pct"/>
            <w:shd w:val="clear" w:color="auto" w:fill="auto"/>
            <w:noWrap/>
            <w:vAlign w:val="bottom"/>
            <w:hideMark/>
          </w:tcPr>
          <w:p w14:paraId="1A9D4F75"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3</w:t>
            </w:r>
            <w:r w:rsidRPr="00FE6601">
              <w:rPr>
                <w:rFonts w:ascii="Book Antiqua" w:hAnsi="Book Antiqua" w:cs="Calibri" w:hint="eastAsia"/>
                <w:lang w:eastAsia="zh-CN"/>
              </w:rPr>
              <w:t xml:space="preserve"> (</w:t>
            </w:r>
            <w:r w:rsidRPr="00FE6601">
              <w:rPr>
                <w:rFonts w:ascii="Book Antiqua" w:hAnsi="Book Antiqua" w:cs="Calibri"/>
                <w:bCs/>
                <w:lang w:eastAsia="es-ES"/>
              </w:rPr>
              <w:t>50</w:t>
            </w:r>
            <w:r w:rsidRPr="00FE6601">
              <w:rPr>
                <w:rFonts w:ascii="Book Antiqua" w:hAnsi="Book Antiqua" w:cs="Calibri" w:hint="eastAsia"/>
                <w:bCs/>
                <w:lang w:eastAsia="zh-CN"/>
              </w:rPr>
              <w:t>)</w:t>
            </w:r>
          </w:p>
        </w:tc>
        <w:tc>
          <w:tcPr>
            <w:tcW w:w="787" w:type="pct"/>
            <w:shd w:val="clear" w:color="auto" w:fill="auto"/>
            <w:noWrap/>
            <w:vAlign w:val="bottom"/>
            <w:hideMark/>
          </w:tcPr>
          <w:p w14:paraId="1FFDF666"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w:t>
            </w:r>
          </w:p>
        </w:tc>
      </w:tr>
      <w:tr w:rsidR="00C103CC" w:rsidRPr="00D275F9" w14:paraId="0E141C63" w14:textId="77777777" w:rsidTr="00FE6601">
        <w:trPr>
          <w:trHeight w:val="784"/>
        </w:trPr>
        <w:tc>
          <w:tcPr>
            <w:tcW w:w="1438" w:type="pct"/>
            <w:shd w:val="clear" w:color="auto" w:fill="auto"/>
            <w:noWrap/>
            <w:vAlign w:val="center"/>
            <w:hideMark/>
          </w:tcPr>
          <w:p w14:paraId="47247220" w14:textId="77777777" w:rsidR="00C103CC" w:rsidRPr="00D275F9" w:rsidRDefault="00C103CC" w:rsidP="00F10C3B">
            <w:pPr>
              <w:spacing w:line="360" w:lineRule="auto"/>
              <w:jc w:val="both"/>
              <w:rPr>
                <w:rFonts w:ascii="Book Antiqua" w:hAnsi="Book Antiqua" w:cs="Calibri"/>
                <w:lang w:eastAsia="es-ES"/>
              </w:rPr>
            </w:pPr>
            <w:r w:rsidRPr="00D275F9">
              <w:rPr>
                <w:rFonts w:ascii="Book Antiqua" w:hAnsi="Book Antiqua" w:cs="Calibri"/>
                <w:lang w:eastAsia="es-ES"/>
              </w:rPr>
              <w:t>Fernández-</w:t>
            </w:r>
            <w:proofErr w:type="spellStart"/>
            <w:r w:rsidRPr="00D275F9">
              <w:rPr>
                <w:rFonts w:ascii="Book Antiqua" w:hAnsi="Book Antiqua" w:cs="Calibri"/>
                <w:lang w:eastAsia="es-ES"/>
              </w:rPr>
              <w:t>Bañares</w:t>
            </w:r>
            <w:proofErr w:type="spellEnd"/>
            <w:r w:rsidRPr="00D275F9">
              <w:rPr>
                <w:rFonts w:ascii="Book Antiqua" w:hAnsi="Book Antiqua" w:cs="Calibri"/>
                <w:lang w:eastAsia="es-ES"/>
              </w:rPr>
              <w:t xml:space="preserve"> </w:t>
            </w:r>
            <w:r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10.14309/ajg.0000000000001139","ISBN":"0000000000","ISSN":"0002-9270","author":[{"dropping-particle":"","family":"Fernández-Bañares","given":"Fernando","non-dropping-particle":"","parse-names":false,"suffix":""},{"dropping-particle":"","family":"Beltrán","given":"Belén","non-dropping-particle":"","parse-names":false,"suffix":""},{"dropping-particle":"","family":"Salas","given":"Antonio","non-dropping-particle":"","parse-names":false,"suffix":""},{"dropping-particle":"","family":"Comino","given":"Isabel","non-dropping-particle":"","parse-names":false,"suffix":""},{"dropping-particle":"","family":"Ballester-Clau","given":"Raquel","non-dropping-particle":"","parse-names":false,"suffix":""},{"dropping-particle":"","family":"Ferrer","given":"Carme","non-dropping-particle":"","parse-names":false,"suffix":""},{"dropping-particle":"","family":"Molina-Infante","given":"Javier","non-dropping-particle":"","parse-names":false,"suffix":""},{"dropping-particle":"","family":"Rosinach","given":"Mercé","non-dropping-particle":"","parse-names":false,"suffix":""},{"dropping-particle":"","family":"Modolell","given":"Inés","non-dropping-particle":"","parse-names":false,"suffix":""},{"dropping-particle":"","family":"Rodríguez-Moranta","given":"Francisco","non-dropping-particle":"","parse-names":false,"suffix":""},{"dropping-particle":"","family":"Arau","given":"Beatriz","non-dropping-particle":"","parse-names":false,"suffix":""},{"dropping-particle":"","family":"Segura","given":"Verónica","non-dropping-particle":"","parse-names":false,"suffix":""},{"dropping-particle":"","family":"Fernández-Salazar","given":"Luis","non-dropping-particle":"","parse-names":false,"suffix":""},{"dropping-particle":"","family":"Santolaria","given":"Santos","non-dropping-particle":"","parse-names":false,"suffix":""},{"dropping-particle":"","family":"Esteve","given":"Maria","non-dropping-particle":"","parse-names":false,"suffix":""},{"dropping-particle":"","family":"Sousa","given":"Carolina","non-dropping-particle":"","parse-names":false,"suffix":""}],"container-title":"American Journal of Gastroenterology","id":"ITEM-1","issued":{"date-parts":[["2021"]]},"page":"1-8","title":"Persistent Villous Atrophy in De Novo Adult Patients With Celiac Disease and Strict Control of Gluten-Free Diet Adherence","type":"article-journal","volume":"Publish Ah"},"uris":["http://www.mendeley.com/documents/?uuid=8168b009-0f98-4d4d-954b-b2ab000ff89b"]}],"mendeley":{"formattedCitation":"&lt;sup&gt;[46]&lt;/sup&gt;","plainTextFormattedCitation":"[46]","previouslyFormattedCitation":"&lt;sup&gt;[46]&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[46]</w:t>
            </w:r>
            <w:r w:rsidR="00C3458C" w:rsidRPr="00D275F9">
              <w:rPr>
                <w:rFonts w:ascii="Book Antiqua" w:hAnsi="Book Antiqua" w:cs="Calibri"/>
                <w:lang w:eastAsia="es-ES"/>
              </w:rPr>
              <w:fldChar w:fldCharType="end"/>
            </w:r>
          </w:p>
        </w:tc>
        <w:tc>
          <w:tcPr>
            <w:tcW w:w="833" w:type="pct"/>
            <w:shd w:val="clear" w:color="auto" w:fill="auto"/>
            <w:noWrap/>
            <w:vAlign w:val="bottom"/>
            <w:hideMark/>
          </w:tcPr>
          <w:p w14:paraId="5C3B0293"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31</w:t>
            </w:r>
            <w:r w:rsidRPr="00FE6601">
              <w:rPr>
                <w:rFonts w:ascii="Book Antiqua" w:hAnsi="Book Antiqua" w:cs="Calibri" w:hint="eastAsia"/>
                <w:lang w:eastAsia="zh-CN"/>
              </w:rPr>
              <w:t xml:space="preserve"> (</w:t>
            </w:r>
            <w:r w:rsidRPr="00FE6601">
              <w:rPr>
                <w:rFonts w:ascii="Book Antiqua" w:hAnsi="Book Antiqua" w:cs="Calibri"/>
                <w:bCs/>
                <w:lang w:eastAsia="es-ES"/>
              </w:rPr>
              <w:t>78</w:t>
            </w:r>
            <w:r w:rsidRPr="00FE6601">
              <w:rPr>
                <w:rFonts w:ascii="Book Antiqua" w:hAnsi="Book Antiqua" w:cs="Calibri" w:hint="eastAsia"/>
                <w:bCs/>
                <w:lang w:eastAsia="zh-CN"/>
              </w:rPr>
              <w:t>)</w:t>
            </w:r>
          </w:p>
        </w:tc>
        <w:tc>
          <w:tcPr>
            <w:tcW w:w="761" w:type="pct"/>
            <w:shd w:val="clear" w:color="auto" w:fill="auto"/>
            <w:noWrap/>
            <w:vAlign w:val="bottom"/>
            <w:hideMark/>
          </w:tcPr>
          <w:p w14:paraId="5EDEB025"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10</w:t>
            </w:r>
            <w:r w:rsidRPr="00FE6601">
              <w:rPr>
                <w:rFonts w:ascii="Book Antiqua" w:hAnsi="Book Antiqua" w:cs="Calibri" w:hint="eastAsia"/>
                <w:lang w:eastAsia="zh-CN"/>
              </w:rPr>
              <w:t xml:space="preserve"> (</w:t>
            </w:r>
            <w:r w:rsidRPr="00FE6601">
              <w:rPr>
                <w:rFonts w:ascii="Book Antiqua" w:hAnsi="Book Antiqua" w:cs="Calibri"/>
                <w:bCs/>
                <w:lang w:eastAsia="es-ES"/>
              </w:rPr>
              <w:t>25</w:t>
            </w:r>
            <w:r w:rsidRPr="00FE6601">
              <w:rPr>
                <w:rFonts w:ascii="Book Antiqua" w:hAnsi="Book Antiqua" w:cs="Calibri" w:hint="eastAsia"/>
                <w:bCs/>
                <w:lang w:eastAsia="zh-CN"/>
              </w:rPr>
              <w:t>)</w:t>
            </w:r>
          </w:p>
        </w:tc>
        <w:tc>
          <w:tcPr>
            <w:tcW w:w="1181" w:type="pct"/>
            <w:shd w:val="clear" w:color="auto" w:fill="auto"/>
            <w:noWrap/>
            <w:vAlign w:val="bottom"/>
            <w:hideMark/>
          </w:tcPr>
          <w:p w14:paraId="2018671E"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1</w:t>
            </w:r>
            <w:r w:rsidRPr="00FE6601">
              <w:rPr>
                <w:rFonts w:ascii="Book Antiqua" w:hAnsi="Book Antiqua" w:cs="Calibri" w:hint="eastAsia"/>
                <w:lang w:eastAsia="zh-CN"/>
              </w:rPr>
              <w:t xml:space="preserve"> (</w:t>
            </w:r>
            <w:r w:rsidRPr="00FE6601">
              <w:rPr>
                <w:rFonts w:ascii="Book Antiqua" w:hAnsi="Book Antiqua" w:cs="Calibri"/>
                <w:bCs/>
                <w:lang w:eastAsia="es-ES"/>
              </w:rPr>
              <w:t>3</w:t>
            </w:r>
            <w:r w:rsidRPr="00FE6601">
              <w:rPr>
                <w:rFonts w:ascii="Book Antiqua" w:hAnsi="Book Antiqua" w:cs="Calibri" w:hint="eastAsia"/>
                <w:bCs/>
                <w:lang w:eastAsia="zh-CN"/>
              </w:rPr>
              <w:t>)</w:t>
            </w:r>
          </w:p>
        </w:tc>
        <w:tc>
          <w:tcPr>
            <w:tcW w:w="787" w:type="pct"/>
            <w:shd w:val="clear" w:color="auto" w:fill="auto"/>
            <w:noWrap/>
            <w:vAlign w:val="bottom"/>
            <w:hideMark/>
          </w:tcPr>
          <w:p w14:paraId="63389E0C"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11</w:t>
            </w:r>
            <w:r w:rsidRPr="00FE6601">
              <w:rPr>
                <w:rFonts w:ascii="Book Antiqua" w:hAnsi="Book Antiqua" w:cs="Calibri" w:hint="eastAsia"/>
                <w:lang w:eastAsia="zh-CN"/>
              </w:rPr>
              <w:t xml:space="preserve"> (</w:t>
            </w:r>
            <w:r w:rsidRPr="00FE6601">
              <w:rPr>
                <w:rFonts w:ascii="Book Antiqua" w:hAnsi="Book Antiqua" w:cs="Calibri"/>
                <w:bCs/>
                <w:lang w:eastAsia="es-ES"/>
              </w:rPr>
              <w:t>28</w:t>
            </w:r>
            <w:r w:rsidRPr="00FE6601">
              <w:rPr>
                <w:rFonts w:ascii="Book Antiqua" w:hAnsi="Book Antiqua" w:cs="Calibri" w:hint="eastAsia"/>
                <w:bCs/>
                <w:lang w:eastAsia="zh-CN"/>
              </w:rPr>
              <w:t>)</w:t>
            </w:r>
          </w:p>
        </w:tc>
      </w:tr>
      <w:tr w:rsidR="009E596D" w:rsidRPr="00D275F9" w14:paraId="4CCC0E3D" w14:textId="77777777" w:rsidTr="00FE6601">
        <w:trPr>
          <w:trHeight w:hRule="exact" w:val="709"/>
        </w:trPr>
        <w:tc>
          <w:tcPr>
            <w:tcW w:w="1438" w:type="pct"/>
            <w:shd w:val="clear" w:color="000000" w:fill="FFFFFF"/>
            <w:vAlign w:val="center"/>
            <w:hideMark/>
          </w:tcPr>
          <w:p w14:paraId="3491B644" w14:textId="77777777" w:rsidR="009E596D" w:rsidRPr="00D275F9" w:rsidRDefault="009E596D" w:rsidP="00F10C3B">
            <w:pPr>
              <w:spacing w:line="360" w:lineRule="auto"/>
              <w:jc w:val="both"/>
              <w:rPr>
                <w:rFonts w:ascii="Book Antiqua" w:hAnsi="Book Antiqua" w:cs="Calibri"/>
                <w:b/>
                <w:bCs/>
                <w:lang w:eastAsia="es-ES"/>
              </w:rPr>
            </w:pPr>
            <w:r w:rsidRPr="00D275F9">
              <w:rPr>
                <w:rFonts w:ascii="Book Antiqua" w:hAnsi="Book Antiqua" w:cs="Calibri"/>
                <w:b/>
                <w:bCs/>
                <w:lang w:eastAsia="es-ES"/>
              </w:rPr>
              <w:t xml:space="preserve">Duodenal biopsy </w:t>
            </w:r>
          </w:p>
          <w:p w14:paraId="550A204D" w14:textId="77777777" w:rsidR="009E596D" w:rsidRPr="00D275F9" w:rsidRDefault="009E596D" w:rsidP="00F10C3B">
            <w:pPr>
              <w:spacing w:line="360" w:lineRule="auto"/>
              <w:jc w:val="both"/>
              <w:rPr>
                <w:rFonts w:ascii="Book Antiqua" w:hAnsi="Book Antiqua" w:cs="Calibri"/>
                <w:b/>
                <w:bCs/>
                <w:lang w:eastAsia="es-ES"/>
              </w:rPr>
            </w:pPr>
            <w:r w:rsidRPr="00D275F9">
              <w:rPr>
                <w:rFonts w:ascii="Book Antiqua" w:hAnsi="Book Antiqua" w:cs="Calibri"/>
                <w:b/>
                <w:bCs/>
                <w:lang w:eastAsia="es-ES"/>
              </w:rPr>
              <w:t>(Marsh 0/I)</w:t>
            </w:r>
          </w:p>
        </w:tc>
        <w:tc>
          <w:tcPr>
            <w:tcW w:w="833" w:type="pct"/>
            <w:shd w:val="clear" w:color="000000" w:fill="FFFFFF"/>
            <w:noWrap/>
            <w:vAlign w:val="center"/>
            <w:hideMark/>
          </w:tcPr>
          <w:p w14:paraId="0085FC66" w14:textId="77777777" w:rsidR="009E596D" w:rsidRPr="00FE6601" w:rsidRDefault="009E596D" w:rsidP="00F10C3B">
            <w:pPr>
              <w:spacing w:line="360" w:lineRule="auto"/>
              <w:jc w:val="both"/>
              <w:rPr>
                <w:rFonts w:ascii="Book Antiqua" w:hAnsi="Book Antiqua" w:cs="Calibri"/>
                <w:bCs/>
                <w:lang w:eastAsia="es-ES"/>
              </w:rPr>
            </w:pPr>
            <w:r w:rsidRPr="00FE6601">
              <w:rPr>
                <w:rFonts w:ascii="Book Antiqua" w:hAnsi="Book Antiqua" w:cs="Calibri"/>
                <w:bCs/>
                <w:lang w:eastAsia="es-ES"/>
              </w:rPr>
              <w:t> </w:t>
            </w:r>
          </w:p>
        </w:tc>
        <w:tc>
          <w:tcPr>
            <w:tcW w:w="761" w:type="pct"/>
            <w:shd w:val="clear" w:color="000000" w:fill="FFFFFF"/>
            <w:noWrap/>
            <w:vAlign w:val="center"/>
            <w:hideMark/>
          </w:tcPr>
          <w:p w14:paraId="2F30810A" w14:textId="77777777" w:rsidR="009E596D" w:rsidRPr="00FE6601" w:rsidRDefault="009E596D" w:rsidP="00F10C3B">
            <w:pPr>
              <w:spacing w:line="360" w:lineRule="auto"/>
              <w:jc w:val="both"/>
              <w:rPr>
                <w:rFonts w:ascii="Book Antiqua" w:hAnsi="Book Antiqua" w:cs="Calibri"/>
                <w:bCs/>
                <w:lang w:eastAsia="es-ES"/>
              </w:rPr>
            </w:pPr>
            <w:r w:rsidRPr="00FE6601">
              <w:rPr>
                <w:rFonts w:ascii="Book Antiqua" w:hAnsi="Book Antiqua" w:cs="Calibri"/>
                <w:bCs/>
                <w:lang w:eastAsia="es-ES"/>
              </w:rPr>
              <w:t> </w:t>
            </w:r>
          </w:p>
        </w:tc>
        <w:tc>
          <w:tcPr>
            <w:tcW w:w="1181" w:type="pct"/>
            <w:shd w:val="clear" w:color="000000" w:fill="FFFFFF"/>
            <w:noWrap/>
            <w:vAlign w:val="center"/>
            <w:hideMark/>
          </w:tcPr>
          <w:p w14:paraId="72D32802" w14:textId="77777777" w:rsidR="009E596D" w:rsidRPr="00FE6601" w:rsidRDefault="009E596D" w:rsidP="00F10C3B">
            <w:pPr>
              <w:spacing w:line="360" w:lineRule="auto"/>
              <w:jc w:val="both"/>
              <w:rPr>
                <w:rFonts w:ascii="Book Antiqua" w:hAnsi="Book Antiqua" w:cs="Calibri"/>
                <w:bCs/>
                <w:lang w:eastAsia="es-ES"/>
              </w:rPr>
            </w:pPr>
            <w:r w:rsidRPr="00FE6601">
              <w:rPr>
                <w:rFonts w:ascii="Book Antiqua" w:hAnsi="Book Antiqua" w:cs="Calibri"/>
                <w:bCs/>
                <w:lang w:eastAsia="es-ES"/>
              </w:rPr>
              <w:t> </w:t>
            </w:r>
          </w:p>
        </w:tc>
        <w:tc>
          <w:tcPr>
            <w:tcW w:w="787" w:type="pct"/>
            <w:shd w:val="clear" w:color="000000" w:fill="FFFFFF"/>
            <w:noWrap/>
            <w:vAlign w:val="center"/>
            <w:hideMark/>
          </w:tcPr>
          <w:p w14:paraId="29B2D618" w14:textId="77777777" w:rsidR="009E596D" w:rsidRPr="00FE6601" w:rsidRDefault="009E596D" w:rsidP="00F10C3B">
            <w:pPr>
              <w:spacing w:line="360" w:lineRule="auto"/>
              <w:jc w:val="both"/>
              <w:rPr>
                <w:rFonts w:ascii="Book Antiqua" w:hAnsi="Book Antiqua" w:cs="Calibri"/>
                <w:bCs/>
                <w:lang w:eastAsia="es-ES"/>
              </w:rPr>
            </w:pPr>
            <w:r w:rsidRPr="00FE6601">
              <w:rPr>
                <w:rFonts w:ascii="Book Antiqua" w:hAnsi="Book Antiqua" w:cs="Calibri"/>
                <w:bCs/>
                <w:lang w:eastAsia="es-ES"/>
              </w:rPr>
              <w:t> </w:t>
            </w:r>
          </w:p>
        </w:tc>
      </w:tr>
      <w:tr w:rsidR="00C103CC" w:rsidRPr="00D275F9" w14:paraId="0E632F79" w14:textId="77777777" w:rsidTr="00FE6601">
        <w:trPr>
          <w:trHeight w:val="784"/>
        </w:trPr>
        <w:tc>
          <w:tcPr>
            <w:tcW w:w="1438" w:type="pct"/>
            <w:shd w:val="clear" w:color="auto" w:fill="auto"/>
            <w:noWrap/>
            <w:vAlign w:val="center"/>
            <w:hideMark/>
          </w:tcPr>
          <w:p w14:paraId="4B4B2ADA" w14:textId="77777777" w:rsidR="00C103CC" w:rsidRPr="00D275F9" w:rsidRDefault="00C103CC" w:rsidP="00F10C3B">
            <w:pPr>
              <w:spacing w:line="360" w:lineRule="auto"/>
              <w:jc w:val="both"/>
              <w:rPr>
                <w:rFonts w:ascii="Book Antiqua" w:hAnsi="Book Antiqua" w:cs="Calibri"/>
                <w:lang w:eastAsia="es-ES"/>
              </w:rPr>
            </w:pPr>
            <w:r w:rsidRPr="00D275F9">
              <w:rPr>
                <w:rFonts w:ascii="Book Antiqua" w:hAnsi="Book Antiqua" w:cs="Calibri"/>
                <w:lang w:eastAsia="es-ES"/>
              </w:rPr>
              <w:t xml:space="preserve">Moreno </w:t>
            </w:r>
            <w:r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{"citationItems":[{"id":"ITEM-1","itemData":{"DOI":"10.1136/gutjnl-2015-310148","ISBN":"1468-3288 (Electronic)\\r0017-5749 (Linking)","ISSN":"1468-3288","PMID":"26608460","abstract":"OBJECTIVE Gluten-free diet (GFD) is the only management for coeliac disease (CD). Available methods to assess GFD compliance are insufficiently sensitive to detect occasional dietary transgressions that may cause gut mucosal damage. We aimed to develop a method to determine gluten intake and monitor GFD compliance in patients with CD and to evaluate its correlation with mucosal damage. DESIGN Urine samples of 76 healthy subjects and 58 patients with CD subjected to different gluten dietary conditions were collected. A lateral flow test (LFT) with the highly sensitive and specific G12 monoclonal antibody for the most dominant gluten immunogenic peptides (GIP) and a LFT reader were used to quantify GIP in solid-phase extracted urines. RESULTS GIP were detectable in concentrated urines from healthy individuals previously subjected to GFD as early as 4-6 h after single gluten intake, and remained detectable for 1-2 days. The urine assay revealed infringement of the GFD in about 50% of the patients. Analysis of duodenal biopsies revealed that most of patients with CD (89%) with no villous atrophy had no detectable GIP in urine, while all patients with quantifiable GIP in urine showed incomplete intestinal mucosa recovery. CONCLUSION GIP are detected in urine after gluten consumption, enabling a new and non-invasive method to monitor GFD compliance and transgressions. The method was sensitive, specific and simple enough to be convenient for clinical monitoring of patients with CD as well as for basic and clinical research applications including drug development. TRIAL REGISTRATION NUMBER NCT02344758.","author":[{"dropping-particle":"","family":"Moreno","given":"María De Lourdes","non-dropping-particle":"","parse-names":false,"suffix":""},{"dropping-particle":"","family":"Cebolla","given":"Ángel","non-dropping-particle":"","parse-names":false,"suffix":""},{"dropping-particle":"","family":"Muñoz-Suano","given":"Alba","non-dropping-particle":"","parse-names":false,"suffix":""},{"dropping-particle":"","family":"Carrillo-Carrion","given":"Carolina","non-dropping-particle":"","parse-names":false,"suffix":""},{"dropping-particle":"","family":"Comino","given":"Isabel","non-dropping-particle":"","parse-names":false,"suffix":""},{"dropping-particle":"","family":"Pizarro","given":"Ángeles","non-dropping-particle":"","parse-names":false,"suffix":""},{"dropping-particle":"","family":"León","given":"Francisco","non-dropping-particle":"","parse-names":false,"suffix":""},{"dropping-particle":"","family":"Rodríguez-Herrera","given":"Alfonso","non-dropping-particle":"","parse-names":false,"suffix":""},{"dropping-particle":"","family":"Sousa","given":"Carolina","non-dropping-particle":"","parse-names":false,"suffix":""}],"container-title":"Gut","id":"ITEM-1","issue":"2","issued":{"date-parts":[["2017","2"]]},"page":"250-257","title":"Detection of gluten immunogenic peptides in the urine of patients with coeliac disease reveals transgressions in the gluten-free diet and incomplete mucosal healing.","type":"article-journal","volume":"66"},"uris":["http://www.mendeley.com/documents/?uuid=cd06bb39-9fca-4ef3-b4f8-ca582b130e91"]}],"mendeley":{"formattedCitation":"&lt;sup&gt;[9]&lt;/sup&gt;","plainTextFormattedCitation":"[9]","previouslyFormattedCitation":"&lt;sup&gt;[9]&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[9]</w:t>
            </w:r>
            <w:r w:rsidR="00C3458C" w:rsidRPr="00D275F9">
              <w:rPr>
                <w:rFonts w:ascii="Book Antiqua" w:hAnsi="Book Antiqua" w:cs="Calibri"/>
                <w:lang w:eastAsia="es-ES"/>
              </w:rPr>
              <w:fldChar w:fldCharType="end"/>
            </w:r>
          </w:p>
        </w:tc>
        <w:tc>
          <w:tcPr>
            <w:tcW w:w="833" w:type="pct"/>
            <w:shd w:val="clear" w:color="auto" w:fill="auto"/>
            <w:noWrap/>
            <w:vAlign w:val="bottom"/>
            <w:hideMark/>
          </w:tcPr>
          <w:p w14:paraId="1DB7CE3B"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5</w:t>
            </w:r>
            <w:r w:rsidRPr="00FE6601">
              <w:rPr>
                <w:rFonts w:ascii="Book Antiqua" w:hAnsi="Book Antiqua" w:cs="Calibri" w:hint="eastAsia"/>
                <w:lang w:eastAsia="zh-CN"/>
              </w:rPr>
              <w:t xml:space="preserve"> (</w:t>
            </w:r>
            <w:r w:rsidRPr="00FE6601">
              <w:rPr>
                <w:rFonts w:ascii="Book Antiqua" w:hAnsi="Book Antiqua" w:cs="Calibri"/>
                <w:bCs/>
                <w:lang w:eastAsia="es-ES"/>
              </w:rPr>
              <w:t>28</w:t>
            </w:r>
            <w:r w:rsidRPr="00FE6601">
              <w:rPr>
                <w:rFonts w:ascii="Book Antiqua" w:hAnsi="Book Antiqua" w:cs="Calibri" w:hint="eastAsia"/>
                <w:bCs/>
                <w:lang w:eastAsia="zh-CN"/>
              </w:rPr>
              <w:t>)</w:t>
            </w:r>
          </w:p>
        </w:tc>
        <w:tc>
          <w:tcPr>
            <w:tcW w:w="761" w:type="pct"/>
            <w:shd w:val="clear" w:color="auto" w:fill="auto"/>
            <w:noWrap/>
            <w:vAlign w:val="bottom"/>
            <w:hideMark/>
          </w:tcPr>
          <w:p w14:paraId="2F6F6987"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2</w:t>
            </w:r>
            <w:r w:rsidRPr="00FE6601">
              <w:rPr>
                <w:rFonts w:ascii="Book Antiqua" w:hAnsi="Book Antiqua" w:cs="Calibri" w:hint="eastAsia"/>
                <w:lang w:eastAsia="zh-CN"/>
              </w:rPr>
              <w:t xml:space="preserve"> (</w:t>
            </w:r>
            <w:r w:rsidRPr="00FE6601">
              <w:rPr>
                <w:rFonts w:ascii="Book Antiqua" w:hAnsi="Book Antiqua" w:cs="Calibri"/>
                <w:bCs/>
                <w:lang w:eastAsia="es-ES"/>
              </w:rPr>
              <w:t>11</w:t>
            </w:r>
            <w:r w:rsidRPr="00FE6601">
              <w:rPr>
                <w:rFonts w:ascii="Book Antiqua" w:hAnsi="Book Antiqua" w:cs="Calibri" w:hint="eastAsia"/>
                <w:bCs/>
                <w:lang w:eastAsia="zh-CN"/>
              </w:rPr>
              <w:t>)</w:t>
            </w:r>
          </w:p>
        </w:tc>
        <w:tc>
          <w:tcPr>
            <w:tcW w:w="1181" w:type="pct"/>
            <w:shd w:val="clear" w:color="auto" w:fill="auto"/>
            <w:noWrap/>
            <w:vAlign w:val="bottom"/>
            <w:hideMark/>
          </w:tcPr>
          <w:p w14:paraId="60302D71"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w:t>
            </w:r>
          </w:p>
        </w:tc>
        <w:tc>
          <w:tcPr>
            <w:tcW w:w="787" w:type="pct"/>
            <w:shd w:val="clear" w:color="auto" w:fill="auto"/>
            <w:noWrap/>
            <w:vAlign w:val="bottom"/>
            <w:hideMark/>
          </w:tcPr>
          <w:p w14:paraId="334C3A3E"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w:t>
            </w:r>
          </w:p>
        </w:tc>
      </w:tr>
      <w:tr w:rsidR="00C103CC" w:rsidRPr="00D275F9" w14:paraId="4E8AD91E" w14:textId="77777777" w:rsidTr="00FE6601">
        <w:trPr>
          <w:trHeight w:val="784"/>
        </w:trPr>
        <w:tc>
          <w:tcPr>
            <w:tcW w:w="1438" w:type="pct"/>
            <w:shd w:val="clear" w:color="auto" w:fill="auto"/>
            <w:noWrap/>
            <w:vAlign w:val="center"/>
            <w:hideMark/>
          </w:tcPr>
          <w:p w14:paraId="0E20EB5C" w14:textId="77777777" w:rsidR="00C103CC" w:rsidRPr="00D275F9" w:rsidRDefault="00C103CC" w:rsidP="00F10C3B">
            <w:pPr>
              <w:spacing w:line="360" w:lineRule="auto"/>
              <w:jc w:val="both"/>
              <w:rPr>
                <w:rFonts w:ascii="Book Antiqua" w:hAnsi="Book Antiqua" w:cs="Calibri"/>
                <w:lang w:val="es-ES" w:eastAsia="es-ES"/>
              </w:rPr>
            </w:pPr>
            <w:r w:rsidRPr="00D275F9">
              <w:rPr>
                <w:rFonts w:ascii="Book Antiqua" w:hAnsi="Book Antiqua" w:cs="Calibri"/>
                <w:lang w:eastAsia="es-ES"/>
              </w:rPr>
              <w:t xml:space="preserve">Silvester </w:t>
            </w:r>
            <w:r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{"citationItems":[{"id":"ITEM-1","itemData":{"DOI":"10.1053/j.gastro.2019.12.016","ISSN":"15280012","PMID":"31866245","author":[{"dropping-particle":"","family":"Silvester","given":"Jocelyn A.","non-dropping-particle":"","parse-names":false,"suffix":""},{"dropping-particle":"","family":"Comino","given":"Isabel","non-dropping-particle":"","parse-names":false,"suffix":""},{"dropping-particle":"","family":"Kelly","given":"Ciarán P.","non-dropping-particle":"","parse-names":false,"suffix":""},{"dropping-particle":"","family":"Sousa","given":"Carolina","non-dropping-particle":"","parse-names":false,"suffix":""},{"dropping-particle":"","family":"Duerksen","given":"Donald R.","non-dropping-particle":"","parse-names":false,"suffix":""},{"dropping-particle":"","family":"Bernstein","given":"Charles N.","non-dropping-particle":"","parse-names":false,"suffix":""},{"dropping-particle":"","family":"Cebolla","given":"Angel","non-dropping-particle":"","parse-names":false,"suffix":""},{"dropping-particle":"","family":"Dominguez","given":"Maria R.","non-dropping-particle":"","parse-names":false,"suffix":""},{"dropping-particle":"","family":"Graff","given":"Lesley A.","non-dropping-particle":"","parse-names":false,"suffix":""},{"dropping-particle":"","family":"Green","given":"Kathy H.","non-dropping-particle":"","parse-names":false,"suffix":""},{"dropping-particle":"","family":"Leffler","given":"Daniel A.","non-dropping-particle":"","parse-names":false,"suffix":""},{"dropping-particle":"","family":"Leon","given":"Francisco","non-dropping-particle":"","parse-names":false,"suffix":""},{"dropping-particle":"","family":"Rigaux","given":"Lisa N.","non-dropping-particle":"","parse-names":false,"suffix":""},{"dropping-particle":"","family":"Segura","given":"Veronica","non-dropping-particle":"","parse-names":false,"suffix":""},{"dropping-particle":"","family":"Weiten","given":"Dayna","non-dropping-particle":"","parse-names":false,"suffix":""}],"container-title":"Gastroenterology","id":"ITEM-1","issue":"5","issued":{"date-parts":[["2020"]]},"page":"1497-1499.e1","publisher":"The American Gastroenterological Association","title":"Most Patients With Celiac Disease on Gluten-Free Diets Consume Measurable Amounts of Gluten","type":"article-journal","volume":"158"},"uris":["http://www.mendeley.com/documents/?uuid=be607d93-1980-4d44-a868-faf949269ff3"]},{"id":"ITEM-2","itemData":{"DOI":"10.1111/apt.16075","ISSN":"13652036","PMID":"32981131","abstract":"Background: A major deficit in understanding and improving treatment in coeliac disease (CD) is the lack of empiric data on real world gluten exposure. Aims: To estimate gluten exposure on a gluten-free diet (GFD) using immunoassays for gluten immunogenic peptides (GIP) and to examine relationships among GIP detection, symptoms and suspected gluten exposures. Methods: Adults with biopsy-confirmed CD on a GFD for 24 months were recruited from a population-based inception cohort. Participants kept a diary and collected urine samples for 10 days and stools on days 4-10. ‘Doggie bags’ containing ¼ portions of foods consumed were saved during the first 7 days. Gluten in food, stool and urine was quantified using A1/G12 ELISA. Results: Eighteen participants with CD (12 female; age 21-70 years) and three participants on a gluten-containing diet enrolled and completed the study. Twelve out of 18 CD participants had a median 2.1 mg gluten per exposure (range 0.2 to &gt;80 mg). Most exposures were asymptomatic and unsuspected. There was high intra-individual variability in the interval between gluten ingestion and excretion. Participants were generally unable to identify the food. Conclusions: Gluten exposure on a GFD is common, intermittent, and usually silent. Excretion kinetics are highly variable among individuals. The amount of gluten varied widely, but was typically in the milligram range, which was 10-100 times less than consumed by those on an unrestricted diet. These findings suggest that a strict GFD is difficult to attain, and specific exposures are difficult to detect due to variable time course of excretion.","author":[{"dropping-particle":"","family":"Silvester","given":"Jocelyn A.","non-dropping-particle":"","parse-names":false,"suffix":""},{"dropping-particle":"","family":"Comino","given":"Isabel","non-dropping-particle":"","parse-names":false,"suffix":""},{"dropping-particle":"","family":"Rigaux","given":"Lisa N.","non-dropping-particle":"","parse-names":false,"suffix":""},{"dropping-particle":"","family":"Segura","given":"Veronica","non-dropping-particle":"","parse-names":false,"suffix":""},{"dropping-particle":"","family":"Green","given":"Kathy H.","non-dropping-particle":"","parse-names":false,"suffix":""},{"dropping-particle":"","family":"Cebolla","given":"Angel","non-dropping-particle":"","parse-names":false,"suffix":""},{"dropping-particle":"","family":"Weiten","given":"Dayna","non-dropping-particle":"","parse-names":false,"suffix":""},{"dropping-particle":"","family":"Dominguez","given":"Remedios","non-dropping-particle":"","parse-names":false,"suffix":""},{"dropping-particle":"","family"</w:instrText>
            </w:r>
            <w:r w:rsidRPr="00D275F9">
              <w:rPr>
                <w:rFonts w:ascii="Book Antiqua" w:hAnsi="Book Antiqua" w:cs="Calibri"/>
                <w:lang w:val="es-ES" w:eastAsia="es-ES"/>
              </w:rPr>
              <w:instrText>:"Leffler","given":"Daniel A.","non-dropping-particle":"","parse-names":false,"suffix":""},{"dropping-particle":"","family":"Leon","given":"Francisco","non-dropping-particle":"","parse-names":false,"suffix":""},{"dropping-particle":"","family":"Bernstein","given":"Charles N.","non-dropping-particle":"","parse-names":false,"suffix":""},{"dropping-particle":"","family":"Graff","given":"Lesley A.","non-dropping-particle":"","parse-names":false,"suffix":""},{"dropping-particle":"","family":"Kelly","given":"Ciaran P.","non-dropping-particle":"","parse-names":false,"suffix":""},{"dropping-particle":"","family":"Sousa","given":"Carolina","non-dropping-particle":"","parse-names":false,"suffix":""},{"dropping-particle":"","family":"Duerksen","given":"Donald R.","non-dropping-particle":"","parse-names":false,"suffix":""}],"container-title":"Alimentary Pharmacology and Therapeutics","id":"ITEM-2","issue":"9","issued":{"date-parts":[["2020"]]},"page":"1469-1479","title":"Exposure sources, amounts and time course of gluten ingestion and excretion in patients with coeliac disease on a gluten-free diet","type":"article-journal","volume":"52"},"uris":["http://www.mendeley.com/documents/?uuid=d9faf48b-572c-400d-ba93-a192caac0026"]}],"mendeley":{"formattedCitation":"&lt;sup&gt;[29,30]&lt;/sup&gt;","plainTextFormattedCitation":"[29,30]","previouslyFormattedCitation":"&lt;sup&gt;[29,30]&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val="es-ES" w:eastAsia="es-ES"/>
              </w:rPr>
              <w:t>[29,30]</w:t>
            </w:r>
            <w:r w:rsidR="00C3458C" w:rsidRPr="00D275F9">
              <w:rPr>
                <w:rFonts w:ascii="Book Antiqua" w:hAnsi="Book Antiqua" w:cs="Calibri"/>
                <w:lang w:eastAsia="es-ES"/>
              </w:rPr>
              <w:fldChar w:fldCharType="end"/>
            </w:r>
          </w:p>
        </w:tc>
        <w:tc>
          <w:tcPr>
            <w:tcW w:w="833" w:type="pct"/>
            <w:shd w:val="clear" w:color="auto" w:fill="auto"/>
            <w:noWrap/>
            <w:vAlign w:val="bottom"/>
            <w:hideMark/>
          </w:tcPr>
          <w:p w14:paraId="1FF1D6F4" w14:textId="77777777" w:rsidR="00C103CC" w:rsidRPr="00FE6601" w:rsidRDefault="00C103CC" w:rsidP="00F10C3B">
            <w:pPr>
              <w:spacing w:line="360" w:lineRule="auto"/>
              <w:jc w:val="both"/>
              <w:rPr>
                <w:rFonts w:ascii="Book Antiqua" w:hAnsi="Book Antiqua" w:cs="Calibri"/>
                <w:lang w:val="es-ES" w:eastAsia="zh-CN"/>
              </w:rPr>
            </w:pPr>
            <w:r w:rsidRPr="00FE6601">
              <w:rPr>
                <w:rFonts w:ascii="Book Antiqua" w:hAnsi="Book Antiqua" w:cs="Calibri"/>
                <w:lang w:val="es-ES" w:eastAsia="es-ES"/>
              </w:rPr>
              <w:t>4</w:t>
            </w:r>
            <w:r w:rsidR="00FE6601" w:rsidRPr="00FE6601">
              <w:rPr>
                <w:rFonts w:ascii="Book Antiqua" w:hAnsi="Book Antiqua" w:cs="Calibri" w:hint="eastAsia"/>
                <w:lang w:val="es-ES" w:eastAsia="zh-CN"/>
              </w:rPr>
              <w:t xml:space="preserve"> (</w:t>
            </w:r>
            <w:r w:rsidRPr="00FE6601">
              <w:rPr>
                <w:rFonts w:ascii="Book Antiqua" w:hAnsi="Book Antiqua" w:cs="Calibri"/>
                <w:bCs/>
                <w:lang w:val="es-ES" w:eastAsia="es-ES"/>
              </w:rPr>
              <w:t>50</w:t>
            </w:r>
            <w:r w:rsidR="00FE6601" w:rsidRPr="00FE6601">
              <w:rPr>
                <w:rFonts w:ascii="Book Antiqua" w:hAnsi="Book Antiqua" w:cs="Calibri" w:hint="eastAsia"/>
                <w:bCs/>
                <w:lang w:val="es-ES" w:eastAsia="zh-CN"/>
              </w:rPr>
              <w:t>)</w:t>
            </w:r>
          </w:p>
        </w:tc>
        <w:tc>
          <w:tcPr>
            <w:tcW w:w="761" w:type="pct"/>
            <w:shd w:val="clear" w:color="auto" w:fill="auto"/>
            <w:noWrap/>
            <w:vAlign w:val="bottom"/>
            <w:hideMark/>
          </w:tcPr>
          <w:p w14:paraId="1BD020C4" w14:textId="77777777" w:rsidR="00C103CC" w:rsidRPr="00FE6601" w:rsidRDefault="00FE6601" w:rsidP="00F10C3B">
            <w:pPr>
              <w:spacing w:line="360" w:lineRule="auto"/>
              <w:jc w:val="both"/>
              <w:rPr>
                <w:rFonts w:ascii="Book Antiqua" w:hAnsi="Book Antiqua" w:cs="Calibri"/>
                <w:lang w:val="es-ES" w:eastAsia="zh-CN"/>
              </w:rPr>
            </w:pPr>
            <w:r>
              <w:rPr>
                <w:rFonts w:ascii="Book Antiqua" w:hAnsi="Book Antiqua" w:cs="Calibri" w:hint="eastAsia"/>
                <w:lang w:val="es-ES" w:eastAsia="zh-CN"/>
              </w:rPr>
              <w:t>-</w:t>
            </w:r>
          </w:p>
        </w:tc>
        <w:tc>
          <w:tcPr>
            <w:tcW w:w="1181" w:type="pct"/>
            <w:shd w:val="clear" w:color="auto" w:fill="auto"/>
            <w:noWrap/>
            <w:vAlign w:val="bottom"/>
            <w:hideMark/>
          </w:tcPr>
          <w:p w14:paraId="1A85B5AE" w14:textId="77777777" w:rsidR="00C103CC" w:rsidRPr="00FE6601" w:rsidRDefault="00FE6601" w:rsidP="00F10C3B">
            <w:pPr>
              <w:spacing w:line="360" w:lineRule="auto"/>
              <w:jc w:val="both"/>
              <w:rPr>
                <w:rFonts w:ascii="Book Antiqua" w:hAnsi="Book Antiqua" w:cs="Calibri"/>
                <w:lang w:val="es-ES" w:eastAsia="zh-CN"/>
              </w:rPr>
            </w:pPr>
            <w:r>
              <w:rPr>
                <w:rFonts w:ascii="Book Antiqua" w:hAnsi="Book Antiqua" w:cs="Calibri" w:hint="eastAsia"/>
                <w:lang w:val="es-ES" w:eastAsia="zh-CN"/>
              </w:rPr>
              <w:t>-</w:t>
            </w:r>
          </w:p>
        </w:tc>
        <w:tc>
          <w:tcPr>
            <w:tcW w:w="787" w:type="pct"/>
            <w:shd w:val="clear" w:color="auto" w:fill="auto"/>
            <w:noWrap/>
            <w:vAlign w:val="bottom"/>
            <w:hideMark/>
          </w:tcPr>
          <w:p w14:paraId="169789B6" w14:textId="77777777" w:rsidR="00C103CC" w:rsidRPr="00FE6601" w:rsidRDefault="00FE6601" w:rsidP="00F10C3B">
            <w:pPr>
              <w:spacing w:line="360" w:lineRule="auto"/>
              <w:jc w:val="both"/>
              <w:rPr>
                <w:rFonts w:ascii="Book Antiqua" w:hAnsi="Book Antiqua" w:cs="Calibri"/>
                <w:lang w:val="es-ES" w:eastAsia="zh-CN"/>
              </w:rPr>
            </w:pPr>
            <w:r>
              <w:rPr>
                <w:rFonts w:ascii="Book Antiqua" w:hAnsi="Book Antiqua" w:cs="Calibri" w:hint="eastAsia"/>
                <w:lang w:val="es-ES" w:eastAsia="zh-CN"/>
              </w:rPr>
              <w:t>-</w:t>
            </w:r>
          </w:p>
        </w:tc>
      </w:tr>
      <w:tr w:rsidR="00C103CC" w:rsidRPr="00D275F9" w14:paraId="69E4DBC4" w14:textId="77777777" w:rsidTr="00FE6601">
        <w:trPr>
          <w:trHeight w:val="784"/>
        </w:trPr>
        <w:tc>
          <w:tcPr>
            <w:tcW w:w="1438" w:type="pct"/>
            <w:shd w:val="clear" w:color="auto" w:fill="auto"/>
            <w:noWrap/>
            <w:vAlign w:val="center"/>
            <w:hideMark/>
          </w:tcPr>
          <w:p w14:paraId="3FB8311C" w14:textId="77777777" w:rsidR="00C103CC" w:rsidRPr="00D275F9" w:rsidRDefault="00C103CC" w:rsidP="00F10C3B">
            <w:pPr>
              <w:spacing w:line="360" w:lineRule="auto"/>
              <w:jc w:val="both"/>
              <w:rPr>
                <w:rFonts w:ascii="Book Antiqua" w:hAnsi="Book Antiqua" w:cs="Calibri"/>
                <w:lang w:eastAsia="es-ES"/>
              </w:rPr>
            </w:pPr>
            <w:r w:rsidRPr="00D275F9">
              <w:rPr>
                <w:rFonts w:ascii="Book Antiqua" w:hAnsi="Book Antiqua" w:cs="Calibri"/>
                <w:lang w:val="es-ES" w:eastAsia="es-ES"/>
              </w:rPr>
              <w:t xml:space="preserve">Ruiz-Carnicer </w:t>
            </w:r>
            <w:r w:rsidRPr="006E5332">
              <w:rPr>
                <w:rFonts w:ascii="Book Antiqua" w:hAnsi="Book Antiqua" w:cs="Calibri"/>
                <w:i/>
                <w:lang w:val="es-ES"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val="es-ES" w:eastAsia="es-ES"/>
              </w:rPr>
              <w:instrText>ADDIN CSL_CITATION {"citationItems":[{"id":"ITEM-1","itemData":{"DOI":"10.1093/ajcn/nqaa188","ISSN":"0002-9165","PMID":"32692806","abstract":"Background: The treatment of celiac disease (CD) is a lifelong gluten-free diet (GFD). The current methods for monitoring GFD conformance, such as a dietary questionnaire or serology tests, may be inaccurate in detecting dietary transgressions, and duodenal biopsies are invasive, expensive, and not a routine monitoring technique. Objectives: Our aim was to determine the clinical usefulness of urine gluten immunogenic peptides (GIP) as a biomarker monitoring GFD adherence in celiac patients and to evaluate the concordance of the results with the degree of mucosal damage. Methods: A prospective observational study was conducted involving 22 de novo CD patients, 77 celiac patients consuming a GFD, and 13 nonceliac subjects. On 3 d of the week, urine samples were collected and the GIP concentrations were tested. Simultaneously, anti-tissue transglutaminase antibodies, questionnaire results, clinical manifestations, and histological findings were analyzed. Results: Approximately 24% (18 of 76) of the celiac patients consuming a GFD exhibited Marsh II-III mucosal damage. Among this population, 94% (17 of 18) had detectable urine GIP; however, between 60% and 80% were asymptomatic and exhibited negative serology and appropriate GFD adherence based on the questionnair</w:instrText>
            </w:r>
            <w:r w:rsidRPr="00D275F9">
              <w:rPr>
                <w:rFonts w:ascii="Book Antiqua" w:hAnsi="Book Antiqua" w:cs="Calibri"/>
                <w:lang w:eastAsia="es-ES"/>
              </w:rPr>
              <w:instrText>e. In contrast, 97% (31 of 32) of the celiac patients without duodenal damage had no detectable GIP. These results demonstrated the high sensitivity (94%) and negative predictive value (97%) of GIP measurements in relation to duodenal biopsy findings. In the de novo CD-diagnosed cohort, 82% (18 of 22) of patients had measurable amounts of GIP in the urine. Conclusions: Determining GIP concentrations in several urine samples may be an especially convenient approach to assess recent gluten exposure in celiac patients and appears to accurately predict the absence of histological lesions. The introduction of GIP testing as an assessment technique for GFD adherence may help in ascertaining dietary compliance and to target the most suitable intervention during follow-up. Am J Clin Nutr 2020;00:1-12.","author":[{"dropping-particle":"","family":"Ruiz-Carnicer","given":"Ángela","non-dropping-particle":"","parse-names":false,"suffix":""},{"dropping-particle":"","family":"Garzón-Benavides","given":"Marta","non-dropping-particle":"","parse-names":false,"suffix":""},{"dropping-particle":"","family":"Fombuena","given":"Blanca","non-dropping-particle":"","parse-names":false,"suffix":""},{"dropping-particle":"","family":"Segura","given":"Verónica","non-dropping-particle":"","parse-names":false,"suffix":""},{"dropping-particle":"","family":"García-Fernández","given":"Francisco","non-dropping-particle":"","parse-names":false,"suffix":""},{"dropping-particle":"","family":"Sobrino-Rodríguez","given":"Salvador","non-dropping-particle":"","parse-names":false,"suffix":""},{"dropping-particle":"","family":"Gómez-Izquierdo","given":"Lourdes","non-dropping-particle":"","parse-names":false,"suffix":""},{"dropping-particle":"","family":"Montes-Cano","given":"Marcos A","non-dropping-particle":"","parse-names":false,"suffix":""},{"dropping-particle":"","family":"Rodríguez-Herrera","given":"Alfonso","non-dropping-particle":"","parse-names":false,"suffix":""},{"dropping-particle":"","family":"Millán","given":"Raquel","non-dropping-particle":"","parse-names":false,"suffix":""},{"dropping-particle":"","family":"Rico","given":"María C","non-dropping-particle":"","parse-names":false,"suffix":""},{"dropping-particle":"","family":"González-Naranjo","given":"Carmen","non-dropping-particle":"","parse-names":false,"suffix":""},{"dropping-particle":"","family":"Bozada-García","given":"Juan M","non-dropping-particle":"","parse-names":false,"suffix":""},{"dropping-particle":"","family":"Díaz","given":"Jacobo","non-dropping-particle":"","parse-names":false,"suffix":""},{"dropping-particle":"","family":"Coronel-Rodríguez","given":"Cristóbal","non-dropping-particle":"","parse-names":false,"suffix":""},{"dropping-particle":"","family":"Espín","given":"Beatriz","non-dropping-particle":"","parse-names":false,"suffix":""},{"dropping-particle":"","family":"Romero-Gómez","given":"Manuel","non-dropping-particle":"","parse-names":false,"suffix":""},{"dropping-particle":"","family":"Cebolla","given":"Ángel","non-dropping-particle":"","parse-names":false,"suffix":""},{"dropping-particle":"","family":"Sousa","given":"Carolina","non-dropping-particle":"","parse-names":false,"suffix":""},{"dropping-particle":"","family":"Comino","given":"Isabel","non-dropping-particle":"","parse-names":false,"suffix":""},{"dropping-particle":"","family":"Argüelles","given":"Federico","non-dropping-particle":"","parse-names":false,"suffix":""},{"dropping-particle":"","family":"Pizarro","given":"Ángeles","non-dropping-particle":"","parse-names":false,"suffix":""}],"container-title":"The American Journal of Clinical Nutrition","id":"ITEM-1","issue":"5","issued":{"date-parts":[["2020","11","11"]]},"page":"1240-1251","title":"Negative predictive value of the repeated absence of gluten immunogenic peptides in the urine of treated celiac patients in predicting mucosal healing: new proposals for follow-up in celiac disease","type":"article-journal","volume":"112"},"uris":["http://www.mendeley.com/documents/?uuid=f7b55239-514f-4b56-a25d-6d64e385eedb"]}],"mendeley":{"formattedCitation":"&lt;sup&gt;[23]&lt;/sup&gt;","plainTextFormattedCitation":"[23]","previouslyFormattedCitation":"&lt;sup&gt;[23]&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[23]</w:t>
            </w:r>
            <w:r w:rsidR="00C3458C" w:rsidRPr="00D275F9">
              <w:rPr>
                <w:rFonts w:ascii="Book Antiqua" w:hAnsi="Book Antiqua" w:cs="Calibri"/>
                <w:lang w:eastAsia="es-ES"/>
              </w:rPr>
              <w:fldChar w:fldCharType="end"/>
            </w:r>
          </w:p>
        </w:tc>
        <w:tc>
          <w:tcPr>
            <w:tcW w:w="833" w:type="pct"/>
            <w:shd w:val="clear" w:color="auto" w:fill="auto"/>
            <w:noWrap/>
            <w:vAlign w:val="bottom"/>
            <w:hideMark/>
          </w:tcPr>
          <w:p w14:paraId="1840D784"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27</w:t>
            </w:r>
            <w:r w:rsidR="00FE6601" w:rsidRPr="00FE6601">
              <w:rPr>
                <w:rFonts w:ascii="Book Antiqua" w:hAnsi="Book Antiqua" w:cs="Calibri" w:hint="eastAsia"/>
                <w:lang w:eastAsia="zh-CN"/>
              </w:rPr>
              <w:t xml:space="preserve"> (</w:t>
            </w:r>
            <w:r w:rsidRPr="00FE6601">
              <w:rPr>
                <w:rFonts w:ascii="Book Antiqua" w:hAnsi="Book Antiqua" w:cs="Calibri"/>
                <w:bCs/>
                <w:lang w:eastAsia="es-ES"/>
              </w:rPr>
              <w:t>47</w:t>
            </w:r>
            <w:r w:rsidR="00FE6601" w:rsidRPr="00FE6601">
              <w:rPr>
                <w:rFonts w:ascii="Book Antiqua" w:hAnsi="Book Antiqua" w:cs="Calibri" w:hint="eastAsia"/>
                <w:bCs/>
                <w:lang w:eastAsia="zh-CN"/>
              </w:rPr>
              <w:t>)</w:t>
            </w:r>
          </w:p>
        </w:tc>
        <w:tc>
          <w:tcPr>
            <w:tcW w:w="761" w:type="pct"/>
            <w:shd w:val="clear" w:color="auto" w:fill="auto"/>
            <w:noWrap/>
            <w:vAlign w:val="bottom"/>
            <w:hideMark/>
          </w:tcPr>
          <w:p w14:paraId="0A989C5A"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2</w:t>
            </w:r>
            <w:r w:rsidR="00FE6601" w:rsidRPr="00FE6601">
              <w:rPr>
                <w:rFonts w:ascii="Book Antiqua" w:hAnsi="Book Antiqua" w:cs="Calibri" w:hint="eastAsia"/>
                <w:lang w:eastAsia="zh-CN"/>
              </w:rPr>
              <w:t xml:space="preserve"> (</w:t>
            </w:r>
            <w:r w:rsidRPr="00FE6601">
              <w:rPr>
                <w:rFonts w:ascii="Book Antiqua" w:hAnsi="Book Antiqua" w:cs="Calibri"/>
                <w:bCs/>
                <w:lang w:eastAsia="es-ES"/>
              </w:rPr>
              <w:t>3</w:t>
            </w:r>
            <w:r w:rsidR="00FE6601" w:rsidRPr="00FE6601">
              <w:rPr>
                <w:rFonts w:ascii="Book Antiqua" w:hAnsi="Book Antiqua" w:cs="Calibri" w:hint="eastAsia"/>
                <w:bCs/>
                <w:lang w:eastAsia="zh-CN"/>
              </w:rPr>
              <w:t>)</w:t>
            </w:r>
          </w:p>
        </w:tc>
        <w:tc>
          <w:tcPr>
            <w:tcW w:w="1181" w:type="pct"/>
            <w:shd w:val="clear" w:color="auto" w:fill="auto"/>
            <w:noWrap/>
            <w:vAlign w:val="bottom"/>
            <w:hideMark/>
          </w:tcPr>
          <w:p w14:paraId="1BB2E16B"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8</w:t>
            </w:r>
            <w:r w:rsidR="00FE6601" w:rsidRPr="00FE6601">
              <w:rPr>
                <w:rFonts w:ascii="Book Antiqua" w:hAnsi="Book Antiqua" w:cs="Calibri" w:hint="eastAsia"/>
                <w:lang w:eastAsia="zh-CN"/>
              </w:rPr>
              <w:t xml:space="preserve"> (</w:t>
            </w:r>
            <w:r w:rsidRPr="00FE6601">
              <w:rPr>
                <w:rFonts w:ascii="Book Antiqua" w:hAnsi="Book Antiqua" w:cs="Calibri"/>
                <w:bCs/>
                <w:lang w:eastAsia="es-ES"/>
              </w:rPr>
              <w:t>17</w:t>
            </w:r>
            <w:r w:rsidR="00FE6601" w:rsidRPr="00FE6601">
              <w:rPr>
                <w:rFonts w:ascii="Book Antiqua" w:hAnsi="Book Antiqua" w:cs="Calibri" w:hint="eastAsia"/>
                <w:bCs/>
                <w:lang w:eastAsia="zh-CN"/>
              </w:rPr>
              <w:t>)</w:t>
            </w:r>
          </w:p>
        </w:tc>
        <w:tc>
          <w:tcPr>
            <w:tcW w:w="787" w:type="pct"/>
            <w:shd w:val="clear" w:color="auto" w:fill="auto"/>
            <w:noWrap/>
            <w:vAlign w:val="bottom"/>
            <w:hideMark/>
          </w:tcPr>
          <w:p w14:paraId="387E8C9B"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14</w:t>
            </w:r>
            <w:r w:rsidR="00FE6601" w:rsidRPr="00FE6601">
              <w:rPr>
                <w:rFonts w:ascii="Book Antiqua" w:hAnsi="Book Antiqua" w:cs="Calibri" w:hint="eastAsia"/>
                <w:lang w:eastAsia="zh-CN"/>
              </w:rPr>
              <w:t xml:space="preserve"> (</w:t>
            </w:r>
            <w:r w:rsidRPr="00FE6601">
              <w:rPr>
                <w:rFonts w:ascii="Book Antiqua" w:hAnsi="Book Antiqua" w:cs="Calibri"/>
                <w:bCs/>
                <w:lang w:eastAsia="es-ES"/>
              </w:rPr>
              <w:t>24</w:t>
            </w:r>
            <w:r w:rsidR="00FE6601" w:rsidRPr="00FE6601">
              <w:rPr>
                <w:rFonts w:ascii="Book Antiqua" w:hAnsi="Book Antiqua" w:cs="Calibri" w:hint="eastAsia"/>
                <w:bCs/>
                <w:lang w:eastAsia="zh-CN"/>
              </w:rPr>
              <w:t>)</w:t>
            </w:r>
          </w:p>
        </w:tc>
      </w:tr>
      <w:tr w:rsidR="00C103CC" w:rsidRPr="00D275F9" w14:paraId="4C0211D0" w14:textId="77777777" w:rsidTr="00FE6601">
        <w:trPr>
          <w:trHeight w:val="784"/>
        </w:trPr>
        <w:tc>
          <w:tcPr>
            <w:tcW w:w="1438" w:type="pct"/>
            <w:shd w:val="clear" w:color="auto" w:fill="auto"/>
            <w:noWrap/>
            <w:vAlign w:val="center"/>
            <w:hideMark/>
          </w:tcPr>
          <w:p w14:paraId="0BCFD6A8" w14:textId="77777777" w:rsidR="00C103CC" w:rsidRPr="00D275F9" w:rsidRDefault="00C103CC" w:rsidP="00F10C3B">
            <w:pPr>
              <w:spacing w:line="360" w:lineRule="auto"/>
              <w:jc w:val="both"/>
              <w:rPr>
                <w:rFonts w:ascii="Book Antiqua" w:hAnsi="Book Antiqua" w:cs="Calibri"/>
                <w:lang w:eastAsia="es-ES"/>
              </w:rPr>
            </w:pPr>
            <w:proofErr w:type="spellStart"/>
            <w:r w:rsidRPr="00D275F9">
              <w:rPr>
                <w:rFonts w:ascii="Book Antiqua" w:hAnsi="Book Antiqua" w:cs="Calibri"/>
                <w:lang w:eastAsia="es-ES"/>
              </w:rPr>
              <w:t>Laserna</w:t>
            </w:r>
            <w:proofErr w:type="spellEnd"/>
            <w:r w:rsidRPr="00D275F9">
              <w:rPr>
                <w:rFonts w:ascii="Book Antiqua" w:hAnsi="Book Antiqua" w:cs="Calibri"/>
                <w:lang w:eastAsia="es-ES"/>
              </w:rPr>
              <w:t xml:space="preserve">-Mendieta </w:t>
            </w:r>
            <w:r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{"citationItems":[{"id":"ITEM-1","itemData":{"DOI":"10.3390/nu13010098","ISSN":"20726643","PMID":"33396719","abstract":"A lifelong gluten-free diet (GFD) is the only current treatment for celiac disease (CD), but strict compliance is complicated. Duodenal biopsies are the “gold standard” method for diagnosing CD, but they are not generally recommended for disease monitoring. We evaluated the sensitivity and specificity of fecal gluten immunogenic peptides (GIPs) to detect duodenal lesions in CD patients on a GFD and compared them with serum anti-tissue transglutaminase (tTG) IgA antibodies. A prospective study was conducted at two tertiary centers in Spain on a consecutive series of adolescents and adults with CD who maintained a long-lasting GFD. Adherence to a GFD and health-related quality of life were scored with validated questionnaires. Mucosal damage graded according to the Marsh–Oberhüber classification (Marsh 1/2/3) was used as the reference standard. Of the 97 patients included, 27 presented duodenal mucosal damage and 70 had normal biopsies (Marsh 0). The sensitivity (33%) and specificity (81%) of GIPs were similar to those provided by the two assays used to measure anti-tTG antibodies. Scores in questionnaires showed no association with GIP, but an association between GIPs and patients’ self-reported gluten consumption was found (p = 0.003). GIP displayed low sensitivity but acceptable specificity for the detection of mucosal damage in CD.","author":[{"dropping-particle":"","family":"Laserna-Mendieta","given":"Emilio J.","non-dropping-particle":"","parse-names":false,"suffix":""},{"dropping-particle":"","family":"Casanova","given":"María José","non-dropping-particle":"","parse-names":false,"suffix":""},{"dropping-particle":"","family":"Arias","given":"Ángel","non-dropping-particle":"","parse-names":false,"suffix":""},{"dropping-particle":"","family":"Arias-González","given":"Laura","non-dropping-particle":"","parse-names":false,"suffix":""},{"dropping-particle":"","family":"Majano","given":"Pedro","non-dropping-particle":"","parse-names":false,"suffix":""},{"dropping-particle":"","family":"Mate","given":"Luis Alberto","non-dropping-particle":"","parse-names":false,"suffix":""},{"dropping-particle":"","family":"Gordillo-Vélez","given":"Carlos Humberto","non-dropping-particle":"","parse-names":false,"suffix":""},{"dropping-particle":"","family":"Jiménez","given":"Mirella","non-dropping-particle":"","parse-names":false,"suffix":""},{"dropping-particle":"","family":"Angueira","given":"Teresa","non-dropping-particle":"","parse-names":false,"suffix":""},{"dropping-particle":"","family":"Tébar-Romero","given":"Emilia","non-dropping-particle":"","parse-names":false,"suffix":""},{"dropping-particle":"","family":"Carrillo-Ramos","given":"María Jesús","non-dropping-particle":"","parse-names":false,"suffix":""},{"dropping-particle":"","family":"Tejero-Bustos","given":"María Ángeles","non-dropping-particle":"","parse-names":false,"suffix":""},{"dropping-particle":"","family":"Gisbert","given":"Javier P.","non-dropping-particle":"","parse-names":false,"suffix":""},{"dropping-particle":"","family":"Santander","given":"Cecilio","non-dropping-particle":"","parse-names":false,"suffix":""},{"dropping-particle":"","family":"Lucendo","given":"Alfredo J.","non-dropping-particle":"","parse-names":false,"suffix":""}],"container-title":"Nutrients","id":"ITEM-1","issue":"1","issued":{"date-parts":[["2021"]]},"page":"1-12","title":"Poor sensitivity of fecal gluten immunogenic peptides and serum antibodies to detect duodenal mucosal damage in celiac disease monitoring","type":"article-journal","volume":"13"},"uris":["http://www.mendeley.com/documents/?uuid=d626c222-c695-4809-b437-4e8f9bbfbbc4"]}],"mendeley":{"formattedCitation":"&lt;sup&gt;[45]&lt;/sup&gt;","plainTextFormattedCitation":"[45]","previouslyFormattedCitation":"&lt;sup&gt;[45]&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[45]</w:t>
            </w:r>
            <w:r w:rsidR="00C3458C" w:rsidRPr="00D275F9">
              <w:rPr>
                <w:rFonts w:ascii="Book Antiqua" w:hAnsi="Book Antiqua" w:cs="Calibri"/>
                <w:lang w:eastAsia="es-ES"/>
              </w:rPr>
              <w:fldChar w:fldCharType="end"/>
            </w:r>
          </w:p>
        </w:tc>
        <w:tc>
          <w:tcPr>
            <w:tcW w:w="833" w:type="pct"/>
            <w:shd w:val="clear" w:color="auto" w:fill="auto"/>
            <w:noWrap/>
            <w:vAlign w:val="bottom"/>
            <w:hideMark/>
          </w:tcPr>
          <w:p w14:paraId="3F6AA673"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20</w:t>
            </w:r>
            <w:r w:rsidR="00FE6601" w:rsidRPr="00FE6601">
              <w:rPr>
                <w:rFonts w:ascii="Book Antiqua" w:hAnsi="Book Antiqua" w:cs="Calibri" w:hint="eastAsia"/>
                <w:lang w:eastAsia="zh-CN"/>
              </w:rPr>
              <w:t xml:space="preserve"> (</w:t>
            </w:r>
            <w:r w:rsidRPr="00FE6601">
              <w:rPr>
                <w:rFonts w:ascii="Book Antiqua" w:hAnsi="Book Antiqua" w:cs="Calibri"/>
                <w:bCs/>
                <w:lang w:eastAsia="es-ES"/>
              </w:rPr>
              <w:t>22</w:t>
            </w:r>
            <w:r w:rsidR="00FE6601" w:rsidRPr="00FE6601">
              <w:rPr>
                <w:rFonts w:ascii="Book Antiqua" w:hAnsi="Book Antiqua" w:cs="Calibri" w:hint="eastAsia"/>
                <w:bCs/>
                <w:lang w:eastAsia="zh-CN"/>
              </w:rPr>
              <w:t>)</w:t>
            </w:r>
          </w:p>
        </w:tc>
        <w:tc>
          <w:tcPr>
            <w:tcW w:w="761" w:type="pct"/>
            <w:shd w:val="clear" w:color="auto" w:fill="auto"/>
            <w:noWrap/>
            <w:vAlign w:val="bottom"/>
            <w:hideMark/>
          </w:tcPr>
          <w:p w14:paraId="79806530"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9</w:t>
            </w:r>
            <w:r w:rsidR="00FE6601" w:rsidRPr="00FE6601">
              <w:rPr>
                <w:rFonts w:ascii="Book Antiqua" w:hAnsi="Book Antiqua" w:cs="Calibri" w:hint="eastAsia"/>
                <w:lang w:eastAsia="zh-CN"/>
              </w:rPr>
              <w:t xml:space="preserve"> (</w:t>
            </w:r>
            <w:r w:rsidRPr="00FE6601">
              <w:rPr>
                <w:rFonts w:ascii="Book Antiqua" w:hAnsi="Book Antiqua" w:cs="Calibri"/>
                <w:bCs/>
                <w:lang w:eastAsia="es-ES"/>
              </w:rPr>
              <w:t>10</w:t>
            </w:r>
            <w:r w:rsidR="00FE6601" w:rsidRPr="00FE6601">
              <w:rPr>
                <w:rFonts w:ascii="Book Antiqua" w:hAnsi="Book Antiqua" w:cs="Calibri" w:hint="eastAsia"/>
                <w:bCs/>
                <w:lang w:eastAsia="zh-CN"/>
              </w:rPr>
              <w:t>)</w:t>
            </w:r>
          </w:p>
        </w:tc>
        <w:tc>
          <w:tcPr>
            <w:tcW w:w="1181" w:type="pct"/>
            <w:shd w:val="clear" w:color="auto" w:fill="auto"/>
            <w:noWrap/>
            <w:vAlign w:val="bottom"/>
            <w:hideMark/>
          </w:tcPr>
          <w:p w14:paraId="4DB6D35B"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77</w:t>
            </w:r>
            <w:r w:rsidR="00FE6601" w:rsidRPr="00FE6601">
              <w:rPr>
                <w:rFonts w:ascii="Book Antiqua" w:hAnsi="Book Antiqua" w:cs="Calibri" w:hint="eastAsia"/>
                <w:lang w:eastAsia="zh-CN"/>
              </w:rPr>
              <w:t xml:space="preserve"> (</w:t>
            </w:r>
            <w:r w:rsidRPr="00FE6601">
              <w:rPr>
                <w:rFonts w:ascii="Book Antiqua" w:hAnsi="Book Antiqua" w:cs="Calibri"/>
                <w:bCs/>
                <w:lang w:eastAsia="es-ES"/>
              </w:rPr>
              <w:t>85</w:t>
            </w:r>
            <w:r w:rsidR="00FE6601" w:rsidRPr="00FE6601">
              <w:rPr>
                <w:rFonts w:ascii="Book Antiqua" w:hAnsi="Book Antiqua" w:cs="Calibri" w:hint="eastAsia"/>
                <w:bCs/>
                <w:lang w:eastAsia="zh-CN"/>
              </w:rPr>
              <w:t>)</w:t>
            </w:r>
          </w:p>
        </w:tc>
        <w:tc>
          <w:tcPr>
            <w:tcW w:w="787" w:type="pct"/>
            <w:shd w:val="clear" w:color="auto" w:fill="auto"/>
            <w:noWrap/>
            <w:vAlign w:val="bottom"/>
            <w:hideMark/>
          </w:tcPr>
          <w:p w14:paraId="79D719B4" w14:textId="77777777" w:rsidR="00C103CC" w:rsidRPr="00FE6601" w:rsidRDefault="00C103CC" w:rsidP="00F10C3B">
            <w:pPr>
              <w:spacing w:line="360" w:lineRule="auto"/>
              <w:jc w:val="both"/>
              <w:rPr>
                <w:rFonts w:ascii="Book Antiqua" w:hAnsi="Book Antiqua" w:cs="Calibri"/>
                <w:lang w:eastAsia="es-ES"/>
              </w:rPr>
            </w:pPr>
            <w:r w:rsidRPr="00FE6601">
              <w:rPr>
                <w:rFonts w:ascii="Book Antiqua" w:hAnsi="Book Antiqua" w:cs="Calibri"/>
                <w:bCs/>
                <w:lang w:eastAsia="es-ES"/>
              </w:rPr>
              <w:t>-</w:t>
            </w:r>
          </w:p>
        </w:tc>
      </w:tr>
      <w:tr w:rsidR="00C103CC" w:rsidRPr="00D275F9" w14:paraId="3622C18B" w14:textId="77777777" w:rsidTr="00FE6601">
        <w:trPr>
          <w:trHeight w:val="784"/>
        </w:trPr>
        <w:tc>
          <w:tcPr>
            <w:tcW w:w="1438" w:type="pct"/>
            <w:shd w:val="clear" w:color="auto" w:fill="auto"/>
            <w:noWrap/>
            <w:vAlign w:val="center"/>
            <w:hideMark/>
          </w:tcPr>
          <w:p w14:paraId="0672497C" w14:textId="77777777" w:rsidR="00C103CC" w:rsidRPr="00D275F9" w:rsidRDefault="00C103CC" w:rsidP="00F10C3B">
            <w:pPr>
              <w:spacing w:line="360" w:lineRule="auto"/>
              <w:jc w:val="both"/>
              <w:rPr>
                <w:rFonts w:ascii="Book Antiqua" w:hAnsi="Book Antiqua" w:cs="Calibri"/>
                <w:lang w:eastAsia="es-ES"/>
              </w:rPr>
            </w:pPr>
            <w:r w:rsidRPr="00D275F9">
              <w:rPr>
                <w:rFonts w:ascii="Book Antiqua" w:hAnsi="Book Antiqua" w:cs="Calibri"/>
                <w:lang w:eastAsia="es-ES"/>
              </w:rPr>
              <w:t>Fernández-</w:t>
            </w:r>
            <w:proofErr w:type="spellStart"/>
            <w:r w:rsidRPr="00D275F9">
              <w:rPr>
                <w:rFonts w:ascii="Book Antiqua" w:hAnsi="Book Antiqua" w:cs="Calibri"/>
                <w:lang w:eastAsia="es-ES"/>
              </w:rPr>
              <w:t>Bañares</w:t>
            </w:r>
            <w:proofErr w:type="spellEnd"/>
            <w:r w:rsidRPr="00D275F9">
              <w:rPr>
                <w:rFonts w:ascii="Book Antiqua" w:hAnsi="Book Antiqua" w:cs="Calibri"/>
                <w:lang w:eastAsia="es-ES"/>
              </w:rPr>
              <w:t xml:space="preserve"> </w:t>
            </w:r>
            <w:r w:rsidRPr="006E5332">
              <w:rPr>
                <w:rFonts w:ascii="Book Antiqua" w:hAnsi="Book Antiqua" w:cs="Calibri"/>
                <w:i/>
                <w:lang w:eastAsia="es-ES"/>
              </w:rPr>
              <w:t>et al</w:t>
            </w:r>
            <w:r w:rsidR="00C3458C" w:rsidRPr="00D275F9">
              <w:rPr>
                <w:rFonts w:ascii="Book Antiqua" w:hAnsi="Book Antiqua" w:cs="Calibri"/>
                <w:lang w:eastAsia="es-ES"/>
              </w:rPr>
              <w:fldChar w:fldCharType="begin" w:fldLock="1"/>
            </w:r>
            <w:r w:rsidRPr="00D275F9">
              <w:rPr>
                <w:rFonts w:ascii="Book Antiqua" w:hAnsi="Book Antiqua" w:cs="Calibri"/>
                <w:lang w:eastAsia="es-ES"/>
              </w:rPr>
              <w:instrText>ADDIN CSL_CITATION {"citationItems":[{"id":"ITEM-1","itemData":{"DOI":"10.14309/ajg.0000000000001139","ISBN":"0000000000","ISSN":"0002-9270","author":[{"dropping-particle":"","family":"Fernández-Bañares","given":"Fernando","non-dropping-particle":"","parse-names":false,"suffix":""},{"dropping-particle":"","family":"Beltrán","given":"Belén","non-dropping-particle":"","parse-names":false,"suffix":""},{"dropping-particle":"","family":"Salas","given":"Antonio","non-dropping-particle":"","parse-names":false,"suffix":""},{"dropping-particle":"","family":"Comino","given":"Isabel","non-dropping-particle":"","parse-names":false,"suffix":""},{"dropping-particle":"","family":"Ballester-Clau","given":"Raquel","non-dropping-particle":"","parse-names":false,"suffix":""},{"dropping-particle":"","family":"Ferrer","given":"Carme","non-dropping-particle":"","parse-names":false,"suffix":""},{"dropping-particle":"","family":"Molina-Infante","given":"Javier","non-dropping-particle":"","parse-names":false,"suffix":""},{"dropping-particle":"","family":"Rosinach","given":"Mercé","non-dropping-particle":"","parse-names":false,"suffix":""},{"dropping-particle":"","family":"Modolell","given":"Inés","non-dropping-particle":"","parse-names":false,"suffix":""},{"dropping-particle":"","family":"Rodríguez-Moranta","given":"Francisco","non-dropping-particle":"","parse-names":false,"suffix":""},{"dropping-particle":"","family":"Arau","given":"Beatriz","non-dropping-particle":"","parse-names":false,"suffix":""},{"dropping-particle":"","family":"Segura","given":"Verónica","non-dropping-particle":"","parse-names":false,"suffix":""},{"dropping-particle":"","family":"Fernández-Salazar","given":"Luis","non-dropping-particle":"","parse-names":false,"suffix":""},{"dropping-particle":"","family":"Santolaria","given":"Santos","non-dropping-particle":"","parse-names":false,"suffix":""},{"dropping-particle":"","family":"Esteve","given":"Maria","non-dropping-particle":"","parse-names":false,"suffix":""},{"dropping-particle":"","family":"Sousa","given":"Carolina","non-dropping-particle":"","parse-names":false,"suffix":""}],"container-title":"American Journal of Gastroenterology","id":"ITEM-1","issued":{"date-parts":[["2021"]]},"page":"1-8","title":"Persistent Villous Atrophy in De Novo Adult Patients With Celiac Disease and Strict Control of Gluten-Free Diet Adherence","type":"article-journal","volume":"Publish Ah"},"uris":["http://www.mendeley.com/documents/?uuid=8168b009-0f98-4d4d-954b-b2ab000ff89b"]}],"mendeley":{"formattedCitation":"&lt;sup&gt;[46]&lt;/sup&gt;","plainTextFormattedCitation":"[46]","previouslyFormattedCitation":"&lt;sup&gt;[46]&lt;/sup&gt;"},"properties":{"noteIndex":0},"schema":"https://github.com/citation-style-language/schema/raw/master/csl-citation.json"}</w:instrText>
            </w:r>
            <w:r w:rsidR="00C3458C" w:rsidRPr="00D275F9">
              <w:rPr>
                <w:rFonts w:ascii="Book Antiqua" w:hAnsi="Book Antiqua" w:cs="Calibri"/>
                <w:lang w:eastAsia="es-ES"/>
              </w:rPr>
              <w:fldChar w:fldCharType="separate"/>
            </w:r>
            <w:r w:rsidRPr="00D275F9">
              <w:rPr>
                <w:rFonts w:ascii="Book Antiqua" w:hAnsi="Book Antiqua" w:cs="Calibri"/>
                <w:noProof/>
                <w:vertAlign w:val="superscript"/>
                <w:lang w:eastAsia="es-ES"/>
              </w:rPr>
              <w:t>[46]</w:t>
            </w:r>
            <w:r w:rsidR="00C3458C" w:rsidRPr="00D275F9">
              <w:rPr>
                <w:rFonts w:ascii="Book Antiqua" w:hAnsi="Book Antiqua" w:cs="Calibri"/>
                <w:lang w:eastAsia="es-ES"/>
              </w:rPr>
              <w:fldChar w:fldCharType="end"/>
            </w:r>
          </w:p>
        </w:tc>
        <w:tc>
          <w:tcPr>
            <w:tcW w:w="833" w:type="pct"/>
            <w:shd w:val="clear" w:color="auto" w:fill="auto"/>
            <w:noWrap/>
            <w:vAlign w:val="bottom"/>
            <w:hideMark/>
          </w:tcPr>
          <w:p w14:paraId="6979C341"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22</w:t>
            </w:r>
            <w:r w:rsidR="00FE6601" w:rsidRPr="00FE6601">
              <w:rPr>
                <w:rFonts w:ascii="Book Antiqua" w:hAnsi="Book Antiqua" w:cs="Calibri" w:hint="eastAsia"/>
                <w:lang w:eastAsia="zh-CN"/>
              </w:rPr>
              <w:t xml:space="preserve"> (</w:t>
            </w:r>
            <w:r w:rsidRPr="00FE6601">
              <w:rPr>
                <w:rFonts w:ascii="Book Antiqua" w:hAnsi="Book Antiqua" w:cs="Calibri"/>
                <w:bCs/>
                <w:lang w:eastAsia="es-ES"/>
              </w:rPr>
              <w:t>61</w:t>
            </w:r>
            <w:r w:rsidR="00FE6601" w:rsidRPr="00FE6601">
              <w:rPr>
                <w:rFonts w:ascii="Book Antiqua" w:hAnsi="Book Antiqua" w:cs="Calibri" w:hint="eastAsia"/>
                <w:bCs/>
                <w:lang w:eastAsia="zh-CN"/>
              </w:rPr>
              <w:t>)</w:t>
            </w:r>
          </w:p>
        </w:tc>
        <w:tc>
          <w:tcPr>
            <w:tcW w:w="761" w:type="pct"/>
            <w:shd w:val="clear" w:color="auto" w:fill="auto"/>
            <w:noWrap/>
            <w:vAlign w:val="bottom"/>
            <w:hideMark/>
          </w:tcPr>
          <w:p w14:paraId="7F449111"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7</w:t>
            </w:r>
            <w:r w:rsidR="00FE6601" w:rsidRPr="00FE6601">
              <w:rPr>
                <w:rFonts w:ascii="Book Antiqua" w:hAnsi="Book Antiqua" w:cs="Calibri" w:hint="eastAsia"/>
                <w:lang w:eastAsia="zh-CN"/>
              </w:rPr>
              <w:t xml:space="preserve"> (</w:t>
            </w:r>
            <w:r w:rsidRPr="00FE6601">
              <w:rPr>
                <w:rFonts w:ascii="Book Antiqua" w:hAnsi="Book Antiqua" w:cs="Calibri"/>
                <w:bCs/>
                <w:lang w:eastAsia="es-ES"/>
              </w:rPr>
              <w:t>19</w:t>
            </w:r>
            <w:r w:rsidR="00FE6601" w:rsidRPr="00FE6601">
              <w:rPr>
                <w:rFonts w:ascii="Book Antiqua" w:hAnsi="Book Antiqua" w:cs="Calibri" w:hint="eastAsia"/>
                <w:bCs/>
                <w:lang w:eastAsia="zh-CN"/>
              </w:rPr>
              <w:t>)</w:t>
            </w:r>
          </w:p>
        </w:tc>
        <w:tc>
          <w:tcPr>
            <w:tcW w:w="1181" w:type="pct"/>
            <w:shd w:val="clear" w:color="auto" w:fill="auto"/>
            <w:noWrap/>
            <w:vAlign w:val="bottom"/>
            <w:hideMark/>
          </w:tcPr>
          <w:p w14:paraId="047E2E11"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5</w:t>
            </w:r>
            <w:r w:rsidR="00FE6601" w:rsidRPr="00FE6601">
              <w:rPr>
                <w:rFonts w:ascii="Book Antiqua" w:hAnsi="Book Antiqua" w:cs="Calibri" w:hint="eastAsia"/>
                <w:lang w:eastAsia="zh-CN"/>
              </w:rPr>
              <w:t xml:space="preserve"> (</w:t>
            </w:r>
            <w:r w:rsidRPr="00FE6601">
              <w:rPr>
                <w:rFonts w:ascii="Book Antiqua" w:hAnsi="Book Antiqua" w:cs="Calibri"/>
                <w:bCs/>
                <w:lang w:eastAsia="es-ES"/>
              </w:rPr>
              <w:t>14</w:t>
            </w:r>
            <w:r w:rsidR="00FE6601" w:rsidRPr="00FE6601">
              <w:rPr>
                <w:rFonts w:ascii="Book Antiqua" w:hAnsi="Book Antiqua" w:cs="Calibri" w:hint="eastAsia"/>
                <w:bCs/>
                <w:lang w:eastAsia="zh-CN"/>
              </w:rPr>
              <w:t>)</w:t>
            </w:r>
          </w:p>
        </w:tc>
        <w:tc>
          <w:tcPr>
            <w:tcW w:w="787" w:type="pct"/>
            <w:shd w:val="clear" w:color="auto" w:fill="auto"/>
            <w:noWrap/>
            <w:vAlign w:val="bottom"/>
            <w:hideMark/>
          </w:tcPr>
          <w:p w14:paraId="77BA036F" w14:textId="77777777" w:rsidR="00C103CC" w:rsidRPr="00FE6601" w:rsidRDefault="00C103CC" w:rsidP="00F10C3B">
            <w:pPr>
              <w:spacing w:line="360" w:lineRule="auto"/>
              <w:jc w:val="both"/>
              <w:rPr>
                <w:rFonts w:ascii="Book Antiqua" w:hAnsi="Book Antiqua" w:cs="Calibri"/>
                <w:lang w:eastAsia="zh-CN"/>
              </w:rPr>
            </w:pPr>
            <w:r w:rsidRPr="00FE6601">
              <w:rPr>
                <w:rFonts w:ascii="Book Antiqua" w:hAnsi="Book Antiqua" w:cs="Calibri"/>
                <w:lang w:eastAsia="es-ES"/>
              </w:rPr>
              <w:t>4</w:t>
            </w:r>
            <w:r w:rsidR="00FE6601" w:rsidRPr="00FE6601">
              <w:rPr>
                <w:rFonts w:ascii="Book Antiqua" w:hAnsi="Book Antiqua" w:cs="Calibri" w:hint="eastAsia"/>
                <w:lang w:eastAsia="zh-CN"/>
              </w:rPr>
              <w:t xml:space="preserve"> (</w:t>
            </w:r>
            <w:r w:rsidRPr="00FE6601">
              <w:rPr>
                <w:rFonts w:ascii="Book Antiqua" w:hAnsi="Book Antiqua" w:cs="Calibri"/>
                <w:bCs/>
                <w:lang w:eastAsia="es-ES"/>
              </w:rPr>
              <w:t>11</w:t>
            </w:r>
            <w:r w:rsidR="00FE6601" w:rsidRPr="00FE6601">
              <w:rPr>
                <w:rFonts w:ascii="Book Antiqua" w:hAnsi="Book Antiqua" w:cs="Calibri" w:hint="eastAsia"/>
                <w:bCs/>
                <w:lang w:eastAsia="zh-CN"/>
              </w:rPr>
              <w:t>)</w:t>
            </w:r>
          </w:p>
        </w:tc>
      </w:tr>
    </w:tbl>
    <w:p w14:paraId="6E67D406" w14:textId="77777777" w:rsidR="007129C1" w:rsidRPr="009E596D" w:rsidRDefault="009E596D" w:rsidP="00F10C3B">
      <w:pPr>
        <w:pStyle w:val="MDPIfooterfirstpage"/>
        <w:spacing w:before="0" w:line="360" w:lineRule="auto"/>
        <w:jc w:val="both"/>
        <w:rPr>
          <w:rFonts w:ascii="Book Antiqua" w:eastAsiaTheme="minorEastAsia" w:hAnsi="Book Antiqua" w:cs="Arial"/>
          <w:sz w:val="24"/>
          <w:szCs w:val="24"/>
          <w:lang w:eastAsia="zh-CN"/>
        </w:rPr>
      </w:pPr>
      <w:r w:rsidRPr="009E596D">
        <w:rPr>
          <w:rFonts w:ascii="Book Antiqua" w:eastAsiaTheme="minorEastAsia" w:hAnsi="Book Antiqua" w:cs="Arial" w:hint="eastAsia"/>
          <w:sz w:val="24"/>
          <w:szCs w:val="24"/>
          <w:vertAlign w:val="superscript"/>
          <w:lang w:eastAsia="zh-CN"/>
        </w:rPr>
        <w:lastRenderedPageBreak/>
        <w:t>1</w:t>
      </w:r>
      <w:r w:rsidR="007129C1" w:rsidRPr="00D275F9">
        <w:rPr>
          <w:rFonts w:ascii="Book Antiqua" w:hAnsi="Book Antiqua" w:cs="Arial"/>
          <w:sz w:val="24"/>
          <w:szCs w:val="24"/>
        </w:rPr>
        <w:t>Questionnaires used were Celiac Disease Adherence Test (CDAT), Biagi Score and standard food records evaluated by dietitians.</w:t>
      </w:r>
      <w:r>
        <w:rPr>
          <w:rFonts w:ascii="Book Antiqua" w:eastAsiaTheme="minorEastAsia" w:hAnsi="Book Antiqua" w:cs="Arial" w:hint="eastAsia"/>
          <w:sz w:val="24"/>
          <w:szCs w:val="24"/>
          <w:lang w:eastAsia="zh-CN"/>
        </w:rPr>
        <w:t xml:space="preserve"> </w:t>
      </w:r>
      <w:r w:rsidRPr="00D275F9">
        <w:rPr>
          <w:rFonts w:ascii="Book Antiqua" w:hAnsi="Book Antiqua" w:cs="Arial"/>
          <w:sz w:val="24"/>
          <w:szCs w:val="24"/>
        </w:rPr>
        <w:t xml:space="preserve">GFD: Gluten-free diet; GIP: Gluten immunogenic peptides; </w:t>
      </w:r>
      <w:r>
        <w:rPr>
          <w:rFonts w:ascii="Book Antiqua" w:eastAsiaTheme="minorEastAsia" w:hAnsi="Book Antiqua" w:cs="Arial" w:hint="eastAsia"/>
          <w:sz w:val="24"/>
          <w:szCs w:val="24"/>
          <w:lang w:eastAsia="zh-CN"/>
        </w:rPr>
        <w:t>-</w:t>
      </w:r>
      <w:r w:rsidRPr="00D275F9">
        <w:rPr>
          <w:rFonts w:ascii="Book Antiqua" w:hAnsi="Book Antiqua" w:cs="Arial"/>
          <w:sz w:val="24"/>
          <w:szCs w:val="24"/>
        </w:rPr>
        <w:t xml:space="preserve">: </w:t>
      </w:r>
      <w:r w:rsidRPr="009E596D">
        <w:rPr>
          <w:rFonts w:ascii="Book Antiqua" w:hAnsi="Book Antiqua" w:cs="Arial"/>
          <w:caps/>
          <w:sz w:val="24"/>
          <w:szCs w:val="24"/>
        </w:rPr>
        <w:t>n</w:t>
      </w:r>
      <w:r w:rsidRPr="00D275F9">
        <w:rPr>
          <w:rFonts w:ascii="Book Antiqua" w:hAnsi="Book Antiqua" w:cs="Arial"/>
          <w:sz w:val="24"/>
          <w:szCs w:val="24"/>
        </w:rPr>
        <w:t>ot available.</w:t>
      </w:r>
    </w:p>
    <w:p w14:paraId="203DE4EA" w14:textId="77777777" w:rsidR="007129C1" w:rsidRPr="007129C1" w:rsidRDefault="007129C1" w:rsidP="00F10C3B">
      <w:pPr>
        <w:spacing w:line="360" w:lineRule="auto"/>
        <w:jc w:val="both"/>
        <w:rPr>
          <w:b/>
          <w:color w:val="000000" w:themeColor="text1"/>
          <w:lang w:eastAsia="zh-CN"/>
        </w:rPr>
      </w:pPr>
    </w:p>
    <w:sectPr w:rsidR="007129C1" w:rsidRPr="007129C1" w:rsidSect="007129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7280" w14:textId="77777777" w:rsidR="00E37F2A" w:rsidRDefault="00E37F2A" w:rsidP="00B13432">
      <w:r>
        <w:separator/>
      </w:r>
    </w:p>
  </w:endnote>
  <w:endnote w:type="continuationSeparator" w:id="0">
    <w:p w14:paraId="244E6A86" w14:textId="77777777" w:rsidR="00E37F2A" w:rsidRDefault="00E37F2A" w:rsidP="00B1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510956"/>
      <w:docPartObj>
        <w:docPartGallery w:val="Page Numbers (Bottom of Page)"/>
        <w:docPartUnique/>
      </w:docPartObj>
    </w:sdtPr>
    <w:sdtEndPr/>
    <w:sdtContent>
      <w:sdt>
        <w:sdtPr>
          <w:id w:val="98381352"/>
          <w:docPartObj>
            <w:docPartGallery w:val="Page Numbers (Top of Page)"/>
            <w:docPartUnique/>
          </w:docPartObj>
        </w:sdtPr>
        <w:sdtEndPr/>
        <w:sdtContent>
          <w:p w14:paraId="781EDF60" w14:textId="77777777" w:rsidR="00FE6601" w:rsidRDefault="00FE6601" w:rsidP="00FE6601">
            <w:pPr>
              <w:pStyle w:val="a5"/>
              <w:jc w:val="right"/>
            </w:pPr>
            <w:r w:rsidRPr="00FE6601">
              <w:rPr>
                <w:rFonts w:ascii="Book Antiqua" w:hAnsi="Book Antiqua"/>
                <w:sz w:val="24"/>
                <w:szCs w:val="24"/>
                <w:lang w:val="zh-CN" w:eastAsia="zh-CN"/>
              </w:rPr>
              <w:t xml:space="preserve"> </w:t>
            </w:r>
            <w:r w:rsidR="00C3458C" w:rsidRPr="00FE6601">
              <w:rPr>
                <w:rFonts w:ascii="Book Antiqua" w:hAnsi="Book Antiqua"/>
                <w:b/>
                <w:bCs/>
                <w:sz w:val="24"/>
                <w:szCs w:val="24"/>
              </w:rPr>
              <w:fldChar w:fldCharType="begin"/>
            </w:r>
            <w:r w:rsidRPr="00FE6601">
              <w:rPr>
                <w:rFonts w:ascii="Book Antiqua" w:hAnsi="Book Antiqua"/>
                <w:b/>
                <w:bCs/>
                <w:sz w:val="24"/>
                <w:szCs w:val="24"/>
              </w:rPr>
              <w:instrText>PAGE</w:instrText>
            </w:r>
            <w:r w:rsidR="00C3458C" w:rsidRPr="00FE6601">
              <w:rPr>
                <w:rFonts w:ascii="Book Antiqua" w:hAnsi="Book Antiqua"/>
                <w:b/>
                <w:bCs/>
                <w:sz w:val="24"/>
                <w:szCs w:val="24"/>
              </w:rPr>
              <w:fldChar w:fldCharType="separate"/>
            </w:r>
            <w:r w:rsidR="007A34CE">
              <w:rPr>
                <w:rFonts w:ascii="Book Antiqua" w:hAnsi="Book Antiqua"/>
                <w:b/>
                <w:bCs/>
                <w:noProof/>
                <w:sz w:val="24"/>
                <w:szCs w:val="24"/>
              </w:rPr>
              <w:t>5</w:t>
            </w:r>
            <w:r w:rsidR="00C3458C" w:rsidRPr="00FE6601">
              <w:rPr>
                <w:rFonts w:ascii="Book Antiqua" w:hAnsi="Book Antiqua"/>
                <w:b/>
                <w:bCs/>
                <w:sz w:val="24"/>
                <w:szCs w:val="24"/>
              </w:rPr>
              <w:fldChar w:fldCharType="end"/>
            </w:r>
            <w:r w:rsidRPr="00FE6601">
              <w:rPr>
                <w:rFonts w:ascii="Book Antiqua" w:hAnsi="Book Antiqua"/>
                <w:sz w:val="24"/>
                <w:szCs w:val="24"/>
                <w:lang w:val="zh-CN" w:eastAsia="zh-CN"/>
              </w:rPr>
              <w:t xml:space="preserve"> / </w:t>
            </w:r>
            <w:r w:rsidR="00C3458C" w:rsidRPr="00FE6601">
              <w:rPr>
                <w:rFonts w:ascii="Book Antiqua" w:hAnsi="Book Antiqua"/>
                <w:b/>
                <w:bCs/>
                <w:sz w:val="24"/>
                <w:szCs w:val="24"/>
              </w:rPr>
              <w:fldChar w:fldCharType="begin"/>
            </w:r>
            <w:r w:rsidRPr="00FE6601">
              <w:rPr>
                <w:rFonts w:ascii="Book Antiqua" w:hAnsi="Book Antiqua"/>
                <w:b/>
                <w:bCs/>
                <w:sz w:val="24"/>
                <w:szCs w:val="24"/>
              </w:rPr>
              <w:instrText>NUMPAGES</w:instrText>
            </w:r>
            <w:r w:rsidR="00C3458C" w:rsidRPr="00FE6601">
              <w:rPr>
                <w:rFonts w:ascii="Book Antiqua" w:hAnsi="Book Antiqua"/>
                <w:b/>
                <w:bCs/>
                <w:sz w:val="24"/>
                <w:szCs w:val="24"/>
              </w:rPr>
              <w:fldChar w:fldCharType="separate"/>
            </w:r>
            <w:r w:rsidR="007A34CE">
              <w:rPr>
                <w:rFonts w:ascii="Book Antiqua" w:hAnsi="Book Antiqua"/>
                <w:b/>
                <w:bCs/>
                <w:noProof/>
                <w:sz w:val="24"/>
                <w:szCs w:val="24"/>
              </w:rPr>
              <w:t>44</w:t>
            </w:r>
            <w:r w:rsidR="00C3458C" w:rsidRPr="00FE6601">
              <w:rPr>
                <w:rFonts w:ascii="Book Antiqua" w:hAnsi="Book Antiqua"/>
                <w:b/>
                <w:bCs/>
                <w:sz w:val="24"/>
                <w:szCs w:val="24"/>
              </w:rPr>
              <w:fldChar w:fldCharType="end"/>
            </w:r>
          </w:p>
        </w:sdtContent>
      </w:sdt>
    </w:sdtContent>
  </w:sdt>
  <w:p w14:paraId="536C6015" w14:textId="77777777" w:rsidR="00FE6601" w:rsidRDefault="00FE66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8C67" w14:textId="77777777" w:rsidR="00E37F2A" w:rsidRDefault="00E37F2A" w:rsidP="00B13432">
      <w:r>
        <w:separator/>
      </w:r>
    </w:p>
  </w:footnote>
  <w:footnote w:type="continuationSeparator" w:id="0">
    <w:p w14:paraId="59F08A32" w14:textId="77777777" w:rsidR="00E37F2A" w:rsidRDefault="00E37F2A" w:rsidP="00B13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061E"/>
    <w:multiLevelType w:val="hybridMultilevel"/>
    <w:tmpl w:val="CF80E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032673"/>
    <w:multiLevelType w:val="hybridMultilevel"/>
    <w:tmpl w:val="82DA70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4C1BC9"/>
    <w:multiLevelType w:val="hybridMultilevel"/>
    <w:tmpl w:val="15E8B212"/>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0917761C"/>
    <w:multiLevelType w:val="multilevel"/>
    <w:tmpl w:val="BB80C43A"/>
    <w:lvl w:ilvl="0">
      <w:start w:val="2"/>
      <w:numFmt w:val="decimal"/>
      <w:lvlText w:val="%1."/>
      <w:lvlJc w:val="left"/>
      <w:pPr>
        <w:ind w:left="720" w:hanging="360"/>
      </w:pPr>
      <w:rPr>
        <w:rFonts w:hint="default"/>
        <w:b/>
        <w:bCs w:val="0"/>
      </w:rPr>
    </w:lvl>
    <w:lvl w:ilvl="1">
      <w:start w:val="1"/>
      <w:numFmt w:val="decimal"/>
      <w:lvlText w:val="%1.%2."/>
      <w:lvlJc w:val="left"/>
      <w:pPr>
        <w:ind w:left="786" w:hanging="360"/>
      </w:pPr>
      <w:rPr>
        <w:sz w:val="20"/>
        <w:szCs w:val="20"/>
      </w:rPr>
    </w:lvl>
    <w:lvl w:ilvl="2">
      <w:start w:val="1"/>
      <w:numFmt w:val="decimal"/>
      <w:lvlText w:val="%1.%2.%3."/>
      <w:lvlJc w:val="left"/>
      <w:pPr>
        <w:ind w:left="1212" w:hanging="720"/>
      </w:p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09E426B9"/>
    <w:multiLevelType w:val="hybridMultilevel"/>
    <w:tmpl w:val="99D02AB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806B74"/>
    <w:multiLevelType w:val="hybridMultilevel"/>
    <w:tmpl w:val="3F1C802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0FC47B9E"/>
    <w:multiLevelType w:val="hybridMultilevel"/>
    <w:tmpl w:val="6220C4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BC165E"/>
    <w:multiLevelType w:val="hybridMultilevel"/>
    <w:tmpl w:val="B308ED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F9399F"/>
    <w:multiLevelType w:val="hybridMultilevel"/>
    <w:tmpl w:val="817AB5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9E4554"/>
    <w:multiLevelType w:val="hybridMultilevel"/>
    <w:tmpl w:val="15E8B212"/>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1C70339D"/>
    <w:multiLevelType w:val="multilevel"/>
    <w:tmpl w:val="608AE8F8"/>
    <w:lvl w:ilvl="0">
      <w:start w:val="1"/>
      <w:numFmt w:val="decimal"/>
      <w:lvlText w:val="%1."/>
      <w:lvlJc w:val="left"/>
      <w:pPr>
        <w:ind w:left="840" w:hanging="420"/>
      </w:pPr>
      <w:rPr>
        <w:rFonts w:hint="default"/>
      </w:rPr>
    </w:lvl>
    <w:lvl w:ilvl="1">
      <w:start w:val="6"/>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1" w15:restartNumberingAfterBreak="0">
    <w:nsid w:val="22FC4878"/>
    <w:multiLevelType w:val="hybridMultilevel"/>
    <w:tmpl w:val="256A973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4" w15:restartNumberingAfterBreak="0">
    <w:nsid w:val="2A040C55"/>
    <w:multiLevelType w:val="hybridMultilevel"/>
    <w:tmpl w:val="91D2B6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A3F6D9D"/>
    <w:multiLevelType w:val="multilevel"/>
    <w:tmpl w:val="0244271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B947E40"/>
    <w:multiLevelType w:val="multilevel"/>
    <w:tmpl w:val="4B0A375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Book Antiqua" w:hAnsi="Book Antiqua" w:hint="default"/>
        <w:b/>
        <w:bCs/>
        <w:sz w:val="24"/>
        <w:szCs w:val="24"/>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CF4517F"/>
    <w:multiLevelType w:val="hybridMultilevel"/>
    <w:tmpl w:val="6BAE8D5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2E233F25"/>
    <w:multiLevelType w:val="multilevel"/>
    <w:tmpl w:val="D4426AA4"/>
    <w:lvl w:ilvl="0">
      <w:start w:val="1"/>
      <w:numFmt w:val="decimal"/>
      <w:lvlText w:val="%1."/>
      <w:lvlJc w:val="left"/>
      <w:pPr>
        <w:ind w:left="360" w:hanging="36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2E8134AB"/>
    <w:multiLevelType w:val="hybridMultilevel"/>
    <w:tmpl w:val="7BA02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1" w15:restartNumberingAfterBreak="0">
    <w:nsid w:val="3D010F66"/>
    <w:multiLevelType w:val="hybridMultilevel"/>
    <w:tmpl w:val="F2DEAF22"/>
    <w:lvl w:ilvl="0" w:tplc="5F78FDB2">
      <w:start w:val="1"/>
      <w:numFmt w:val="bullet"/>
      <w:lvlText w:val=""/>
      <w:lvlJc w:val="left"/>
      <w:pPr>
        <w:ind w:left="720" w:hanging="360"/>
      </w:pPr>
      <w:rPr>
        <w:rFonts w:ascii="Symbol" w:hAnsi="Symbol" w:hint="default"/>
      </w:rPr>
    </w:lvl>
    <w:lvl w:ilvl="1" w:tplc="253AA6D0">
      <w:start w:val="1"/>
      <w:numFmt w:val="bullet"/>
      <w:lvlText w:val="o"/>
      <w:lvlJc w:val="left"/>
      <w:pPr>
        <w:ind w:left="1440" w:hanging="360"/>
      </w:pPr>
      <w:rPr>
        <w:rFonts w:ascii="Courier New" w:hAnsi="Courier New" w:hint="default"/>
      </w:rPr>
    </w:lvl>
    <w:lvl w:ilvl="2" w:tplc="E7066712">
      <w:start w:val="1"/>
      <w:numFmt w:val="bullet"/>
      <w:lvlText w:val=""/>
      <w:lvlJc w:val="left"/>
      <w:pPr>
        <w:ind w:left="2160" w:hanging="360"/>
      </w:pPr>
      <w:rPr>
        <w:rFonts w:ascii="Wingdings" w:hAnsi="Wingdings" w:hint="default"/>
      </w:rPr>
    </w:lvl>
    <w:lvl w:ilvl="3" w:tplc="74A435F6">
      <w:start w:val="1"/>
      <w:numFmt w:val="bullet"/>
      <w:lvlText w:val=""/>
      <w:lvlJc w:val="left"/>
      <w:pPr>
        <w:ind w:left="2880" w:hanging="360"/>
      </w:pPr>
      <w:rPr>
        <w:rFonts w:ascii="Symbol" w:hAnsi="Symbol" w:hint="default"/>
      </w:rPr>
    </w:lvl>
    <w:lvl w:ilvl="4" w:tplc="71D2EEB2">
      <w:start w:val="1"/>
      <w:numFmt w:val="bullet"/>
      <w:lvlText w:val="o"/>
      <w:lvlJc w:val="left"/>
      <w:pPr>
        <w:ind w:left="3600" w:hanging="360"/>
      </w:pPr>
      <w:rPr>
        <w:rFonts w:ascii="Courier New" w:hAnsi="Courier New" w:hint="default"/>
      </w:rPr>
    </w:lvl>
    <w:lvl w:ilvl="5" w:tplc="D6E6E1BA">
      <w:start w:val="1"/>
      <w:numFmt w:val="bullet"/>
      <w:lvlText w:val=""/>
      <w:lvlJc w:val="left"/>
      <w:pPr>
        <w:ind w:left="4320" w:hanging="360"/>
      </w:pPr>
      <w:rPr>
        <w:rFonts w:ascii="Wingdings" w:hAnsi="Wingdings" w:hint="default"/>
      </w:rPr>
    </w:lvl>
    <w:lvl w:ilvl="6" w:tplc="338A8F0C">
      <w:start w:val="1"/>
      <w:numFmt w:val="bullet"/>
      <w:lvlText w:val=""/>
      <w:lvlJc w:val="left"/>
      <w:pPr>
        <w:ind w:left="5040" w:hanging="360"/>
      </w:pPr>
      <w:rPr>
        <w:rFonts w:ascii="Symbol" w:hAnsi="Symbol" w:hint="default"/>
      </w:rPr>
    </w:lvl>
    <w:lvl w:ilvl="7" w:tplc="2A846318">
      <w:start w:val="1"/>
      <w:numFmt w:val="bullet"/>
      <w:lvlText w:val="o"/>
      <w:lvlJc w:val="left"/>
      <w:pPr>
        <w:ind w:left="5760" w:hanging="360"/>
      </w:pPr>
      <w:rPr>
        <w:rFonts w:ascii="Courier New" w:hAnsi="Courier New" w:hint="default"/>
      </w:rPr>
    </w:lvl>
    <w:lvl w:ilvl="8" w:tplc="23106070">
      <w:start w:val="1"/>
      <w:numFmt w:val="bullet"/>
      <w:lvlText w:val=""/>
      <w:lvlJc w:val="left"/>
      <w:pPr>
        <w:ind w:left="6480" w:hanging="360"/>
      </w:pPr>
      <w:rPr>
        <w:rFonts w:ascii="Wingdings" w:hAnsi="Wingdings" w:hint="default"/>
      </w:rPr>
    </w:lvl>
  </w:abstractNum>
  <w:abstractNum w:abstractNumId="22" w15:restartNumberingAfterBreak="0">
    <w:nsid w:val="400E2873"/>
    <w:multiLevelType w:val="hybridMultilevel"/>
    <w:tmpl w:val="EF2C2F6A"/>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FB4638"/>
    <w:multiLevelType w:val="hybridMultilevel"/>
    <w:tmpl w:val="15E8B212"/>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44B76118"/>
    <w:multiLevelType w:val="hybridMultilevel"/>
    <w:tmpl w:val="15E8B212"/>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45760917"/>
    <w:multiLevelType w:val="hybridMultilevel"/>
    <w:tmpl w:val="15E8B212"/>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15:restartNumberingAfterBreak="0">
    <w:nsid w:val="4A067F7C"/>
    <w:multiLevelType w:val="hybridMultilevel"/>
    <w:tmpl w:val="5ED2FD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E874A59"/>
    <w:multiLevelType w:val="hybridMultilevel"/>
    <w:tmpl w:val="5B5C6EDA"/>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4EC34A38"/>
    <w:multiLevelType w:val="hybridMultilevel"/>
    <w:tmpl w:val="F5BCE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A51C2C"/>
    <w:multiLevelType w:val="multilevel"/>
    <w:tmpl w:val="98A0C38C"/>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47838F1"/>
    <w:multiLevelType w:val="hybridMultilevel"/>
    <w:tmpl w:val="3D5696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0C7BA0"/>
    <w:multiLevelType w:val="hybridMultilevel"/>
    <w:tmpl w:val="13C005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88F399E"/>
    <w:multiLevelType w:val="hybridMultilevel"/>
    <w:tmpl w:val="5C56D9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D89758B"/>
    <w:multiLevelType w:val="hybridMultilevel"/>
    <w:tmpl w:val="6CB6ED1C"/>
    <w:lvl w:ilvl="0" w:tplc="28467F80">
      <w:start w:val="1"/>
      <w:numFmt w:val="bullet"/>
      <w:lvlText w:val=""/>
      <w:lvlJc w:val="left"/>
      <w:pPr>
        <w:tabs>
          <w:tab w:val="num" w:pos="720"/>
        </w:tabs>
        <w:ind w:left="720" w:hanging="360"/>
      </w:pPr>
      <w:rPr>
        <w:rFonts w:ascii="Symbol" w:hAnsi="Symbol" w:hint="default"/>
        <w:sz w:val="20"/>
      </w:rPr>
    </w:lvl>
    <w:lvl w:ilvl="1" w:tplc="D144ADAC" w:tentative="1">
      <w:start w:val="1"/>
      <w:numFmt w:val="bullet"/>
      <w:lvlText w:val="o"/>
      <w:lvlJc w:val="left"/>
      <w:pPr>
        <w:tabs>
          <w:tab w:val="num" w:pos="1440"/>
        </w:tabs>
        <w:ind w:left="1440" w:hanging="360"/>
      </w:pPr>
      <w:rPr>
        <w:rFonts w:ascii="Courier New" w:hAnsi="Courier New" w:hint="default"/>
        <w:sz w:val="20"/>
      </w:rPr>
    </w:lvl>
    <w:lvl w:ilvl="2" w:tplc="09DC949A" w:tentative="1">
      <w:start w:val="1"/>
      <w:numFmt w:val="bullet"/>
      <w:lvlText w:val=""/>
      <w:lvlJc w:val="left"/>
      <w:pPr>
        <w:tabs>
          <w:tab w:val="num" w:pos="2160"/>
        </w:tabs>
        <w:ind w:left="2160" w:hanging="360"/>
      </w:pPr>
      <w:rPr>
        <w:rFonts w:ascii="Wingdings" w:hAnsi="Wingdings" w:hint="default"/>
        <w:sz w:val="20"/>
      </w:rPr>
    </w:lvl>
    <w:lvl w:ilvl="3" w:tplc="7F08BB70" w:tentative="1">
      <w:start w:val="1"/>
      <w:numFmt w:val="bullet"/>
      <w:lvlText w:val=""/>
      <w:lvlJc w:val="left"/>
      <w:pPr>
        <w:tabs>
          <w:tab w:val="num" w:pos="2880"/>
        </w:tabs>
        <w:ind w:left="2880" w:hanging="360"/>
      </w:pPr>
      <w:rPr>
        <w:rFonts w:ascii="Wingdings" w:hAnsi="Wingdings" w:hint="default"/>
        <w:sz w:val="20"/>
      </w:rPr>
    </w:lvl>
    <w:lvl w:ilvl="4" w:tplc="49F816CE" w:tentative="1">
      <w:start w:val="1"/>
      <w:numFmt w:val="bullet"/>
      <w:lvlText w:val=""/>
      <w:lvlJc w:val="left"/>
      <w:pPr>
        <w:tabs>
          <w:tab w:val="num" w:pos="3600"/>
        </w:tabs>
        <w:ind w:left="3600" w:hanging="360"/>
      </w:pPr>
      <w:rPr>
        <w:rFonts w:ascii="Wingdings" w:hAnsi="Wingdings" w:hint="default"/>
        <w:sz w:val="20"/>
      </w:rPr>
    </w:lvl>
    <w:lvl w:ilvl="5" w:tplc="24703AFA" w:tentative="1">
      <w:start w:val="1"/>
      <w:numFmt w:val="bullet"/>
      <w:lvlText w:val=""/>
      <w:lvlJc w:val="left"/>
      <w:pPr>
        <w:tabs>
          <w:tab w:val="num" w:pos="4320"/>
        </w:tabs>
        <w:ind w:left="4320" w:hanging="360"/>
      </w:pPr>
      <w:rPr>
        <w:rFonts w:ascii="Wingdings" w:hAnsi="Wingdings" w:hint="default"/>
        <w:sz w:val="20"/>
      </w:rPr>
    </w:lvl>
    <w:lvl w:ilvl="6" w:tplc="0A0CCCF4" w:tentative="1">
      <w:start w:val="1"/>
      <w:numFmt w:val="bullet"/>
      <w:lvlText w:val=""/>
      <w:lvlJc w:val="left"/>
      <w:pPr>
        <w:tabs>
          <w:tab w:val="num" w:pos="5040"/>
        </w:tabs>
        <w:ind w:left="5040" w:hanging="360"/>
      </w:pPr>
      <w:rPr>
        <w:rFonts w:ascii="Wingdings" w:hAnsi="Wingdings" w:hint="default"/>
        <w:sz w:val="20"/>
      </w:rPr>
    </w:lvl>
    <w:lvl w:ilvl="7" w:tplc="6B5E57CC" w:tentative="1">
      <w:start w:val="1"/>
      <w:numFmt w:val="bullet"/>
      <w:lvlText w:val=""/>
      <w:lvlJc w:val="left"/>
      <w:pPr>
        <w:tabs>
          <w:tab w:val="num" w:pos="5760"/>
        </w:tabs>
        <w:ind w:left="5760" w:hanging="360"/>
      </w:pPr>
      <w:rPr>
        <w:rFonts w:ascii="Wingdings" w:hAnsi="Wingdings" w:hint="default"/>
        <w:sz w:val="20"/>
      </w:rPr>
    </w:lvl>
    <w:lvl w:ilvl="8" w:tplc="82404D7E"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A92E95"/>
    <w:multiLevelType w:val="hybridMultilevel"/>
    <w:tmpl w:val="DC1223DA"/>
    <w:lvl w:ilvl="0" w:tplc="BEDECB74">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num w:numId="1">
    <w:abstractNumId w:val="13"/>
  </w:num>
  <w:num w:numId="2">
    <w:abstractNumId w:val="2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6"/>
  </w:num>
  <w:num w:numId="7">
    <w:abstractNumId w:val="30"/>
  </w:num>
  <w:num w:numId="8">
    <w:abstractNumId w:val="3"/>
  </w:num>
  <w:num w:numId="9">
    <w:abstractNumId w:val="17"/>
  </w:num>
  <w:num w:numId="10">
    <w:abstractNumId w:val="19"/>
  </w:num>
  <w:num w:numId="11">
    <w:abstractNumId w:val="7"/>
  </w:num>
  <w:num w:numId="12">
    <w:abstractNumId w:val="26"/>
  </w:num>
  <w:num w:numId="13">
    <w:abstractNumId w:val="33"/>
  </w:num>
  <w:num w:numId="14">
    <w:abstractNumId w:val="8"/>
  </w:num>
  <w:num w:numId="15">
    <w:abstractNumId w:val="29"/>
  </w:num>
  <w:num w:numId="16">
    <w:abstractNumId w:val="1"/>
  </w:num>
  <w:num w:numId="17">
    <w:abstractNumId w:val="23"/>
  </w:num>
  <w:num w:numId="18">
    <w:abstractNumId w:val="16"/>
  </w:num>
  <w:num w:numId="19">
    <w:abstractNumId w:val="18"/>
  </w:num>
  <w:num w:numId="20">
    <w:abstractNumId w:val="10"/>
  </w:num>
  <w:num w:numId="21">
    <w:abstractNumId w:val="9"/>
  </w:num>
  <w:num w:numId="22">
    <w:abstractNumId w:val="2"/>
  </w:num>
  <w:num w:numId="23">
    <w:abstractNumId w:val="25"/>
  </w:num>
  <w:num w:numId="24">
    <w:abstractNumId w:val="24"/>
  </w:num>
  <w:num w:numId="25">
    <w:abstractNumId w:val="21"/>
  </w:num>
  <w:num w:numId="26">
    <w:abstractNumId w:val="15"/>
  </w:num>
  <w:num w:numId="27">
    <w:abstractNumId w:val="11"/>
  </w:num>
  <w:num w:numId="28">
    <w:abstractNumId w:val="22"/>
  </w:num>
  <w:num w:numId="29">
    <w:abstractNumId w:val="4"/>
  </w:num>
  <w:num w:numId="30">
    <w:abstractNumId w:val="27"/>
  </w:num>
  <w:num w:numId="31">
    <w:abstractNumId w:val="31"/>
  </w:num>
  <w:num w:numId="32">
    <w:abstractNumId w:val="28"/>
  </w:num>
  <w:num w:numId="33">
    <w:abstractNumId w:val="0"/>
  </w:num>
  <w:num w:numId="34">
    <w:abstractNumId w:val="14"/>
  </w:num>
  <w:num w:numId="35">
    <w:abstractNumId w:val="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IxMzAyM7QwNDawMLdU0lEKTi0uzszPAykwrQUAFbiJtywAAAA="/>
  </w:docVars>
  <w:rsids>
    <w:rsidRoot w:val="00A77B3E"/>
    <w:rsid w:val="00014F4F"/>
    <w:rsid w:val="0001560F"/>
    <w:rsid w:val="00052EF4"/>
    <w:rsid w:val="000C25C5"/>
    <w:rsid w:val="000D5E70"/>
    <w:rsid w:val="000F5A07"/>
    <w:rsid w:val="00162591"/>
    <w:rsid w:val="00177C60"/>
    <w:rsid w:val="00191AD3"/>
    <w:rsid w:val="001C563A"/>
    <w:rsid w:val="001E3755"/>
    <w:rsid w:val="001E58D6"/>
    <w:rsid w:val="001F0C34"/>
    <w:rsid w:val="002420DA"/>
    <w:rsid w:val="002631EA"/>
    <w:rsid w:val="00293534"/>
    <w:rsid w:val="002A1507"/>
    <w:rsid w:val="002B01C1"/>
    <w:rsid w:val="002E16F2"/>
    <w:rsid w:val="003228FF"/>
    <w:rsid w:val="00393CD6"/>
    <w:rsid w:val="003C5300"/>
    <w:rsid w:val="004872FF"/>
    <w:rsid w:val="004A296F"/>
    <w:rsid w:val="004A5C4D"/>
    <w:rsid w:val="00503B2E"/>
    <w:rsid w:val="00540369"/>
    <w:rsid w:val="00580D95"/>
    <w:rsid w:val="005C4D53"/>
    <w:rsid w:val="00630BB5"/>
    <w:rsid w:val="006336DF"/>
    <w:rsid w:val="006379E6"/>
    <w:rsid w:val="00656B49"/>
    <w:rsid w:val="00675F83"/>
    <w:rsid w:val="006909C7"/>
    <w:rsid w:val="00694F3D"/>
    <w:rsid w:val="006A3773"/>
    <w:rsid w:val="006B6D3D"/>
    <w:rsid w:val="006E5332"/>
    <w:rsid w:val="007129C1"/>
    <w:rsid w:val="0071340D"/>
    <w:rsid w:val="0074372C"/>
    <w:rsid w:val="007515C7"/>
    <w:rsid w:val="00775E27"/>
    <w:rsid w:val="00787B79"/>
    <w:rsid w:val="007A34CE"/>
    <w:rsid w:val="007C663B"/>
    <w:rsid w:val="007E3A3B"/>
    <w:rsid w:val="007E6538"/>
    <w:rsid w:val="00802088"/>
    <w:rsid w:val="00842620"/>
    <w:rsid w:val="00872E1D"/>
    <w:rsid w:val="008816ED"/>
    <w:rsid w:val="00881FE0"/>
    <w:rsid w:val="00894615"/>
    <w:rsid w:val="008D501E"/>
    <w:rsid w:val="009054D2"/>
    <w:rsid w:val="00980324"/>
    <w:rsid w:val="00981190"/>
    <w:rsid w:val="00995310"/>
    <w:rsid w:val="009964D8"/>
    <w:rsid w:val="009A10D4"/>
    <w:rsid w:val="009E596D"/>
    <w:rsid w:val="00A148D9"/>
    <w:rsid w:val="00A155EC"/>
    <w:rsid w:val="00A54752"/>
    <w:rsid w:val="00A54C4D"/>
    <w:rsid w:val="00A67B24"/>
    <w:rsid w:val="00A72B44"/>
    <w:rsid w:val="00A77B3E"/>
    <w:rsid w:val="00AC32C1"/>
    <w:rsid w:val="00AE6213"/>
    <w:rsid w:val="00AF3829"/>
    <w:rsid w:val="00B13432"/>
    <w:rsid w:val="00B34737"/>
    <w:rsid w:val="00B37945"/>
    <w:rsid w:val="00B71CE3"/>
    <w:rsid w:val="00B75750"/>
    <w:rsid w:val="00B85D89"/>
    <w:rsid w:val="00BA3294"/>
    <w:rsid w:val="00BA6F2E"/>
    <w:rsid w:val="00BD3CFB"/>
    <w:rsid w:val="00BD4A0F"/>
    <w:rsid w:val="00C103CC"/>
    <w:rsid w:val="00C104B4"/>
    <w:rsid w:val="00C21EB5"/>
    <w:rsid w:val="00C3458C"/>
    <w:rsid w:val="00C92D23"/>
    <w:rsid w:val="00C97BC8"/>
    <w:rsid w:val="00CA2A55"/>
    <w:rsid w:val="00CB073C"/>
    <w:rsid w:val="00DD3778"/>
    <w:rsid w:val="00DD7718"/>
    <w:rsid w:val="00DE1C33"/>
    <w:rsid w:val="00E171C3"/>
    <w:rsid w:val="00E37F2A"/>
    <w:rsid w:val="00E514BF"/>
    <w:rsid w:val="00EA53AB"/>
    <w:rsid w:val="00EC3B35"/>
    <w:rsid w:val="00F10C3B"/>
    <w:rsid w:val="00F557FB"/>
    <w:rsid w:val="00F6690E"/>
    <w:rsid w:val="00F8666C"/>
    <w:rsid w:val="00FE1C7E"/>
    <w:rsid w:val="00FE3E31"/>
    <w:rsid w:val="00FE660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47386"/>
  <w15:docId w15:val="{5CAB0770-C6B9-4936-AF80-33CA1AEA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10D4"/>
    <w:rPr>
      <w:sz w:val="24"/>
      <w:szCs w:val="24"/>
    </w:rPr>
  </w:style>
  <w:style w:type="paragraph" w:styleId="1">
    <w:name w:val="heading 1"/>
    <w:basedOn w:val="a"/>
    <w:link w:val="10"/>
    <w:uiPriority w:val="9"/>
    <w:qFormat/>
    <w:rsid w:val="007129C1"/>
    <w:pPr>
      <w:spacing w:before="100" w:beforeAutospacing="1" w:after="100" w:afterAutospacing="1"/>
      <w:outlineLvl w:val="0"/>
    </w:pPr>
    <w:rPr>
      <w:rFonts w:eastAsia="Times New Roman"/>
      <w:b/>
      <w:bCs/>
      <w:kern w:val="36"/>
      <w:sz w:val="48"/>
      <w:szCs w:val="48"/>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129C1"/>
    <w:rPr>
      <w:rFonts w:eastAsia="Times New Roman"/>
      <w:b/>
      <w:bCs/>
      <w:kern w:val="36"/>
      <w:sz w:val="48"/>
      <w:szCs w:val="48"/>
      <w:lang w:val="es-ES" w:eastAsia="es-ES"/>
    </w:rPr>
  </w:style>
  <w:style w:type="paragraph" w:styleId="a3">
    <w:name w:val="header"/>
    <w:basedOn w:val="a"/>
    <w:link w:val="a4"/>
    <w:uiPriority w:val="99"/>
    <w:unhideWhenUsed/>
    <w:rsid w:val="00B134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3432"/>
    <w:rPr>
      <w:sz w:val="18"/>
      <w:szCs w:val="18"/>
    </w:rPr>
  </w:style>
  <w:style w:type="paragraph" w:styleId="a5">
    <w:name w:val="footer"/>
    <w:basedOn w:val="a"/>
    <w:link w:val="a6"/>
    <w:uiPriority w:val="99"/>
    <w:unhideWhenUsed/>
    <w:rsid w:val="00B13432"/>
    <w:pPr>
      <w:tabs>
        <w:tab w:val="center" w:pos="4153"/>
        <w:tab w:val="right" w:pos="8306"/>
      </w:tabs>
      <w:snapToGrid w:val="0"/>
    </w:pPr>
    <w:rPr>
      <w:sz w:val="18"/>
      <w:szCs w:val="18"/>
    </w:rPr>
  </w:style>
  <w:style w:type="character" w:customStyle="1" w:styleId="a6">
    <w:name w:val="页脚 字符"/>
    <w:basedOn w:val="a0"/>
    <w:link w:val="a5"/>
    <w:uiPriority w:val="99"/>
    <w:rsid w:val="00B13432"/>
    <w:rPr>
      <w:sz w:val="18"/>
      <w:szCs w:val="18"/>
    </w:rPr>
  </w:style>
  <w:style w:type="paragraph" w:styleId="a7">
    <w:name w:val="Balloon Text"/>
    <w:basedOn w:val="a"/>
    <w:link w:val="a8"/>
    <w:uiPriority w:val="99"/>
    <w:rsid w:val="002420DA"/>
    <w:rPr>
      <w:sz w:val="18"/>
      <w:szCs w:val="18"/>
    </w:rPr>
  </w:style>
  <w:style w:type="character" w:customStyle="1" w:styleId="a8">
    <w:name w:val="批注框文本 字符"/>
    <w:basedOn w:val="a0"/>
    <w:link w:val="a7"/>
    <w:uiPriority w:val="99"/>
    <w:rsid w:val="002420DA"/>
    <w:rPr>
      <w:sz w:val="18"/>
      <w:szCs w:val="18"/>
    </w:rPr>
  </w:style>
  <w:style w:type="character" w:styleId="a9">
    <w:name w:val="annotation reference"/>
    <w:basedOn w:val="a0"/>
    <w:uiPriority w:val="99"/>
    <w:semiHidden/>
    <w:unhideWhenUsed/>
    <w:rsid w:val="007129C1"/>
    <w:rPr>
      <w:sz w:val="21"/>
      <w:szCs w:val="21"/>
    </w:rPr>
  </w:style>
  <w:style w:type="paragraph" w:styleId="aa">
    <w:name w:val="annotation text"/>
    <w:basedOn w:val="a"/>
    <w:link w:val="ab"/>
    <w:uiPriority w:val="99"/>
    <w:semiHidden/>
    <w:unhideWhenUsed/>
    <w:rsid w:val="007129C1"/>
  </w:style>
  <w:style w:type="character" w:customStyle="1" w:styleId="ab">
    <w:name w:val="批注文字 字符"/>
    <w:basedOn w:val="a0"/>
    <w:link w:val="aa"/>
    <w:uiPriority w:val="99"/>
    <w:semiHidden/>
    <w:rsid w:val="007129C1"/>
    <w:rPr>
      <w:sz w:val="24"/>
      <w:szCs w:val="24"/>
    </w:rPr>
  </w:style>
  <w:style w:type="paragraph" w:styleId="ac">
    <w:name w:val="annotation subject"/>
    <w:basedOn w:val="aa"/>
    <w:next w:val="aa"/>
    <w:link w:val="ad"/>
    <w:uiPriority w:val="99"/>
    <w:semiHidden/>
    <w:unhideWhenUsed/>
    <w:rsid w:val="007129C1"/>
    <w:rPr>
      <w:b/>
      <w:bCs/>
    </w:rPr>
  </w:style>
  <w:style w:type="character" w:customStyle="1" w:styleId="ad">
    <w:name w:val="批注主题 字符"/>
    <w:basedOn w:val="ab"/>
    <w:link w:val="ac"/>
    <w:uiPriority w:val="99"/>
    <w:semiHidden/>
    <w:rsid w:val="007129C1"/>
    <w:rPr>
      <w:b/>
      <w:bCs/>
      <w:sz w:val="24"/>
      <w:szCs w:val="24"/>
    </w:rPr>
  </w:style>
  <w:style w:type="paragraph" w:customStyle="1" w:styleId="MDPI11articletype">
    <w:name w:val="MDPI_1.1_article_type"/>
    <w:basedOn w:val="MDPI31text"/>
    <w:next w:val="MDPI12title"/>
    <w:qFormat/>
    <w:rsid w:val="007129C1"/>
    <w:pPr>
      <w:spacing w:before="240" w:line="240" w:lineRule="auto"/>
      <w:ind w:firstLine="0"/>
      <w:jc w:val="left"/>
    </w:pPr>
    <w:rPr>
      <w:i/>
    </w:rPr>
  </w:style>
  <w:style w:type="paragraph" w:customStyle="1" w:styleId="MDPI31text">
    <w:name w:val="MDPI_3.1_text"/>
    <w:qFormat/>
    <w:rsid w:val="007129C1"/>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12title">
    <w:name w:val="MDPI_1.2_title"/>
    <w:next w:val="MDPI13authornames"/>
    <w:qFormat/>
    <w:rsid w:val="007129C1"/>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7129C1"/>
    <w:pPr>
      <w:spacing w:after="120"/>
      <w:ind w:firstLine="0"/>
      <w:jc w:val="left"/>
    </w:pPr>
    <w:rPr>
      <w:b/>
      <w:snapToGrid/>
    </w:rPr>
  </w:style>
  <w:style w:type="paragraph" w:customStyle="1" w:styleId="MDPI14history">
    <w:name w:val="MDPI_1.4_history"/>
    <w:basedOn w:val="MDPI62Acknowledgments"/>
    <w:next w:val="a"/>
    <w:qFormat/>
    <w:rsid w:val="007129C1"/>
    <w:pPr>
      <w:ind w:left="113"/>
      <w:jc w:val="left"/>
    </w:pPr>
    <w:rPr>
      <w:snapToGrid/>
    </w:rPr>
  </w:style>
  <w:style w:type="paragraph" w:customStyle="1" w:styleId="MDPI62Acknowledgments">
    <w:name w:val="MDPI_6.2_Acknowledgments"/>
    <w:qFormat/>
    <w:rsid w:val="007129C1"/>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16affiliation">
    <w:name w:val="MDPI_1.6_affiliation"/>
    <w:basedOn w:val="MDPI62Acknowledgments"/>
    <w:qFormat/>
    <w:rsid w:val="007129C1"/>
    <w:pPr>
      <w:spacing w:before="0"/>
      <w:ind w:left="311" w:hanging="198"/>
      <w:jc w:val="left"/>
    </w:pPr>
    <w:rPr>
      <w:snapToGrid/>
      <w:szCs w:val="18"/>
    </w:rPr>
  </w:style>
  <w:style w:type="paragraph" w:customStyle="1" w:styleId="MDPI17abstract">
    <w:name w:val="MDPI_1.7_abstract"/>
    <w:basedOn w:val="MDPI31text"/>
    <w:next w:val="MDPI18keywords"/>
    <w:qFormat/>
    <w:rsid w:val="007129C1"/>
    <w:pPr>
      <w:spacing w:before="240"/>
      <w:ind w:left="113" w:firstLine="0"/>
    </w:pPr>
    <w:rPr>
      <w:snapToGrid/>
    </w:rPr>
  </w:style>
  <w:style w:type="paragraph" w:customStyle="1" w:styleId="MDPI18keywords">
    <w:name w:val="MDPI_1.8_keywords"/>
    <w:basedOn w:val="MDPI31text"/>
    <w:next w:val="a"/>
    <w:qFormat/>
    <w:rsid w:val="007129C1"/>
    <w:pPr>
      <w:spacing w:before="240"/>
      <w:ind w:left="113" w:firstLine="0"/>
    </w:pPr>
  </w:style>
  <w:style w:type="paragraph" w:customStyle="1" w:styleId="MDPI19line">
    <w:name w:val="MDPI_1.9_line"/>
    <w:basedOn w:val="MDPI31text"/>
    <w:qFormat/>
    <w:rsid w:val="007129C1"/>
    <w:pPr>
      <w:pBdr>
        <w:bottom w:val="single" w:sz="6" w:space="1" w:color="auto"/>
      </w:pBdr>
      <w:ind w:firstLine="0"/>
    </w:pPr>
    <w:rPr>
      <w:snapToGrid/>
      <w:szCs w:val="24"/>
    </w:rPr>
  </w:style>
  <w:style w:type="table" w:customStyle="1" w:styleId="Mdeck5tablebodythreelines">
    <w:name w:val="M_deck_5_table_body_three_lines"/>
    <w:basedOn w:val="a1"/>
    <w:uiPriority w:val="99"/>
    <w:rsid w:val="007129C1"/>
    <w:pPr>
      <w:adjustRightInd w:val="0"/>
      <w:snapToGrid w:val="0"/>
      <w:spacing w:line="300" w:lineRule="exact"/>
      <w:jc w:val="center"/>
    </w:pPr>
    <w:rPr>
      <w:rFonts w:eastAsia="宋体"/>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e">
    <w:name w:val="Table Grid"/>
    <w:basedOn w:val="a1"/>
    <w:uiPriority w:val="39"/>
    <w:rsid w:val="007129C1"/>
    <w:rPr>
      <w:rFonts w:eastAsia="宋体"/>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headerjournallogo">
    <w:name w:val="MDPI_header_journal_logo"/>
    <w:qFormat/>
    <w:rsid w:val="007129C1"/>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7129C1"/>
    <w:pPr>
      <w:ind w:firstLine="0"/>
    </w:pPr>
  </w:style>
  <w:style w:type="paragraph" w:customStyle="1" w:styleId="MDPI33textspaceafter">
    <w:name w:val="MDPI_3.3_text_space_after"/>
    <w:basedOn w:val="MDPI31text"/>
    <w:qFormat/>
    <w:rsid w:val="007129C1"/>
    <w:pPr>
      <w:spacing w:after="240"/>
    </w:pPr>
  </w:style>
  <w:style w:type="paragraph" w:customStyle="1" w:styleId="MDPI35textbeforelist">
    <w:name w:val="MDPI_3.5_text_before_list"/>
    <w:basedOn w:val="MDPI31text"/>
    <w:qFormat/>
    <w:rsid w:val="007129C1"/>
    <w:pPr>
      <w:spacing w:after="120"/>
    </w:pPr>
  </w:style>
  <w:style w:type="paragraph" w:customStyle="1" w:styleId="MDPI36textafterlist">
    <w:name w:val="MDPI_3.6_text_after_list"/>
    <w:basedOn w:val="MDPI31text"/>
    <w:qFormat/>
    <w:rsid w:val="007129C1"/>
    <w:pPr>
      <w:spacing w:before="120"/>
    </w:pPr>
  </w:style>
  <w:style w:type="paragraph" w:customStyle="1" w:styleId="MDPI37itemize">
    <w:name w:val="MDPI_3.7_itemize"/>
    <w:basedOn w:val="MDPI31text"/>
    <w:qFormat/>
    <w:rsid w:val="007129C1"/>
    <w:pPr>
      <w:numPr>
        <w:numId w:val="1"/>
      </w:numPr>
      <w:ind w:left="425" w:hanging="425"/>
    </w:pPr>
  </w:style>
  <w:style w:type="paragraph" w:customStyle="1" w:styleId="MDPI38bullet">
    <w:name w:val="MDPI_3.8_bullet"/>
    <w:basedOn w:val="MDPI31text"/>
    <w:qFormat/>
    <w:rsid w:val="007129C1"/>
    <w:pPr>
      <w:numPr>
        <w:numId w:val="2"/>
      </w:numPr>
      <w:ind w:left="425" w:hanging="425"/>
    </w:pPr>
  </w:style>
  <w:style w:type="paragraph" w:customStyle="1" w:styleId="MDPI39equation">
    <w:name w:val="MDPI_3.9_equation"/>
    <w:basedOn w:val="MDPI31text"/>
    <w:qFormat/>
    <w:rsid w:val="007129C1"/>
    <w:pPr>
      <w:spacing w:before="120" w:after="120"/>
      <w:ind w:left="709" w:firstLine="0"/>
      <w:jc w:val="center"/>
    </w:pPr>
  </w:style>
  <w:style w:type="paragraph" w:customStyle="1" w:styleId="MDPI3aequationnumber">
    <w:name w:val="MDPI_3.a_equation_number"/>
    <w:basedOn w:val="MDPI31text"/>
    <w:qFormat/>
    <w:rsid w:val="007129C1"/>
    <w:pPr>
      <w:spacing w:before="120" w:after="120" w:line="240" w:lineRule="auto"/>
      <w:ind w:firstLine="0"/>
      <w:jc w:val="right"/>
    </w:pPr>
  </w:style>
  <w:style w:type="paragraph" w:customStyle="1" w:styleId="MDPI41tablecaption">
    <w:name w:val="MDPI_4.1_table_caption"/>
    <w:basedOn w:val="MDPI62Acknowledgments"/>
    <w:qFormat/>
    <w:rsid w:val="007129C1"/>
    <w:pPr>
      <w:spacing w:before="240" w:after="120" w:line="260" w:lineRule="atLeast"/>
      <w:ind w:left="425" w:right="425"/>
    </w:pPr>
    <w:rPr>
      <w:snapToGrid/>
      <w:szCs w:val="22"/>
    </w:rPr>
  </w:style>
  <w:style w:type="paragraph" w:customStyle="1" w:styleId="MDPI42tablebody">
    <w:name w:val="MDPI_4.2_table_body"/>
    <w:qFormat/>
    <w:rsid w:val="007129C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7129C1"/>
    <w:pPr>
      <w:spacing w:before="0"/>
      <w:ind w:left="0" w:right="0"/>
    </w:pPr>
  </w:style>
  <w:style w:type="paragraph" w:customStyle="1" w:styleId="MDPI51figurecaption">
    <w:name w:val="MDPI_5.1_figure_caption"/>
    <w:basedOn w:val="MDPI62Acknowledgments"/>
    <w:qFormat/>
    <w:rsid w:val="007129C1"/>
    <w:pPr>
      <w:spacing w:after="240" w:line="260" w:lineRule="atLeast"/>
      <w:ind w:left="425" w:right="425"/>
    </w:pPr>
    <w:rPr>
      <w:snapToGrid/>
    </w:rPr>
  </w:style>
  <w:style w:type="paragraph" w:customStyle="1" w:styleId="MDPI52figure">
    <w:name w:val="MDPI_5.2_figure"/>
    <w:qFormat/>
    <w:rsid w:val="007129C1"/>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7129C1"/>
    <w:pPr>
      <w:spacing w:before="240"/>
    </w:pPr>
    <w:rPr>
      <w:lang w:eastAsia="en-US"/>
    </w:rPr>
  </w:style>
  <w:style w:type="paragraph" w:customStyle="1" w:styleId="MDPI63AuthorContributions">
    <w:name w:val="MDPI_6.3_AuthorContributions"/>
    <w:basedOn w:val="MDPI62Acknowledgments"/>
    <w:qFormat/>
    <w:rsid w:val="007129C1"/>
    <w:rPr>
      <w:rFonts w:eastAsia="宋体"/>
      <w:color w:val="auto"/>
      <w:lang w:eastAsia="en-US"/>
    </w:rPr>
  </w:style>
  <w:style w:type="paragraph" w:customStyle="1" w:styleId="MDPI64CoI">
    <w:name w:val="MDPI_6.4_CoI"/>
    <w:basedOn w:val="MDPI62Acknowledgments"/>
    <w:qFormat/>
    <w:rsid w:val="007129C1"/>
  </w:style>
  <w:style w:type="paragraph" w:customStyle="1" w:styleId="MDPIfooterfirstpage">
    <w:name w:val="MDPI_footer_firstpage"/>
    <w:basedOn w:val="a"/>
    <w:qFormat/>
    <w:rsid w:val="007129C1"/>
    <w:pPr>
      <w:tabs>
        <w:tab w:val="right" w:pos="8845"/>
      </w:tabs>
      <w:adjustRightInd w:val="0"/>
      <w:snapToGrid w:val="0"/>
      <w:spacing w:before="120" w:line="160" w:lineRule="exact"/>
    </w:pPr>
    <w:rPr>
      <w:rFonts w:ascii="Palatino Linotype" w:eastAsia="Times New Roman" w:hAnsi="Palatino Linotype"/>
      <w:sz w:val="16"/>
      <w:szCs w:val="20"/>
      <w:lang w:eastAsia="de-DE"/>
    </w:rPr>
  </w:style>
  <w:style w:type="paragraph" w:customStyle="1" w:styleId="MDPI23heading3">
    <w:name w:val="MDPI_2.3_heading3"/>
    <w:basedOn w:val="MDPI31text"/>
    <w:qFormat/>
    <w:rsid w:val="007129C1"/>
    <w:pPr>
      <w:spacing w:before="240" w:after="120"/>
      <w:ind w:firstLine="0"/>
      <w:jc w:val="left"/>
      <w:outlineLvl w:val="2"/>
    </w:pPr>
  </w:style>
  <w:style w:type="paragraph" w:customStyle="1" w:styleId="MDPI21heading1">
    <w:name w:val="MDPI_2.1_heading1"/>
    <w:basedOn w:val="MDPI23heading3"/>
    <w:qFormat/>
    <w:rsid w:val="007129C1"/>
    <w:pPr>
      <w:outlineLvl w:val="0"/>
    </w:pPr>
    <w:rPr>
      <w:b/>
    </w:rPr>
  </w:style>
  <w:style w:type="paragraph" w:customStyle="1" w:styleId="MDPI22heading2">
    <w:name w:val="MDPI_2.2_heading2"/>
    <w:basedOn w:val="a"/>
    <w:qFormat/>
    <w:rsid w:val="007129C1"/>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szCs w:val="22"/>
      <w:lang w:eastAsia="de-DE" w:bidi="en-US"/>
    </w:rPr>
  </w:style>
  <w:style w:type="paragraph" w:customStyle="1" w:styleId="MDPI71References">
    <w:name w:val="MDPI_7.1_References"/>
    <w:basedOn w:val="MDPI62Acknowledgments"/>
    <w:qFormat/>
    <w:rsid w:val="007129C1"/>
    <w:pPr>
      <w:numPr>
        <w:numId w:val="3"/>
      </w:numPr>
      <w:spacing w:before="0" w:line="260" w:lineRule="atLeast"/>
      <w:ind w:left="425" w:hanging="425"/>
    </w:pPr>
  </w:style>
  <w:style w:type="character" w:styleId="af">
    <w:name w:val="line number"/>
    <w:basedOn w:val="a0"/>
    <w:uiPriority w:val="99"/>
    <w:semiHidden/>
    <w:unhideWhenUsed/>
    <w:rsid w:val="007129C1"/>
  </w:style>
  <w:style w:type="table" w:customStyle="1" w:styleId="MDPI41threelinetable">
    <w:name w:val="MDPI_4.1_three_line_table"/>
    <w:basedOn w:val="a1"/>
    <w:uiPriority w:val="99"/>
    <w:rsid w:val="007129C1"/>
    <w:pPr>
      <w:adjustRightInd w:val="0"/>
      <w:snapToGrid w:val="0"/>
      <w:jc w:val="center"/>
    </w:pPr>
    <w:rPr>
      <w:rFonts w:ascii="Palatino Linotype" w:eastAsia="宋体" w:hAnsi="Palatino Linotype"/>
      <w:color w:val="000000"/>
      <w:lang w:val="es-ES" w:eastAsia="es-ES"/>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af0">
    <w:name w:val="Hyperlink"/>
    <w:uiPriority w:val="99"/>
    <w:unhideWhenUsed/>
    <w:rsid w:val="007129C1"/>
    <w:rPr>
      <w:color w:val="0563C1"/>
      <w:u w:val="single"/>
    </w:rPr>
  </w:style>
  <w:style w:type="table" w:customStyle="1" w:styleId="Tablanormal41">
    <w:name w:val="Tabla normal 41"/>
    <w:basedOn w:val="a1"/>
    <w:uiPriority w:val="44"/>
    <w:rsid w:val="007129C1"/>
    <w:rPr>
      <w:rFonts w:ascii="Calibri" w:eastAsia="宋体" w:hAnsi="Calibri"/>
      <w:lang w:val="es-ES" w:eastAsia="es-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ixed-citation">
    <w:name w:val="mixed-citation"/>
    <w:basedOn w:val="a0"/>
    <w:rsid w:val="007129C1"/>
  </w:style>
  <w:style w:type="character" w:customStyle="1" w:styleId="element-citation">
    <w:name w:val="element-citation"/>
    <w:basedOn w:val="a0"/>
    <w:rsid w:val="007129C1"/>
  </w:style>
  <w:style w:type="character" w:customStyle="1" w:styleId="ref-journal">
    <w:name w:val="ref-journal"/>
    <w:basedOn w:val="a0"/>
    <w:rsid w:val="007129C1"/>
  </w:style>
  <w:style w:type="character" w:customStyle="1" w:styleId="ref-vol">
    <w:name w:val="ref-vol"/>
    <w:basedOn w:val="a0"/>
    <w:rsid w:val="007129C1"/>
  </w:style>
  <w:style w:type="paragraph" w:styleId="af1">
    <w:name w:val="List Paragraph"/>
    <w:basedOn w:val="a"/>
    <w:uiPriority w:val="34"/>
    <w:qFormat/>
    <w:rsid w:val="007129C1"/>
    <w:pPr>
      <w:spacing w:line="340" w:lineRule="atLeast"/>
      <w:ind w:left="720"/>
      <w:contextualSpacing/>
      <w:jc w:val="both"/>
    </w:pPr>
    <w:rPr>
      <w:rFonts w:eastAsia="Times New Roman"/>
      <w:color w:val="000000"/>
      <w:szCs w:val="20"/>
      <w:lang w:eastAsia="de-DE"/>
    </w:rPr>
  </w:style>
  <w:style w:type="character" w:customStyle="1" w:styleId="hlfld-contribauthor">
    <w:name w:val="hlfld-contribauthor"/>
    <w:basedOn w:val="a0"/>
    <w:rsid w:val="007129C1"/>
  </w:style>
  <w:style w:type="character" w:customStyle="1" w:styleId="author-xref-symbol">
    <w:name w:val="author-xref-symbol"/>
    <w:basedOn w:val="a0"/>
    <w:rsid w:val="007129C1"/>
  </w:style>
  <w:style w:type="character" w:customStyle="1" w:styleId="hlfld-title">
    <w:name w:val="hlfld-title"/>
    <w:basedOn w:val="a0"/>
    <w:rsid w:val="007129C1"/>
  </w:style>
  <w:style w:type="character" w:customStyle="1" w:styleId="pagerange">
    <w:name w:val="pagerange"/>
    <w:basedOn w:val="a0"/>
    <w:rsid w:val="007129C1"/>
  </w:style>
  <w:style w:type="character" w:styleId="af2">
    <w:name w:val="Strong"/>
    <w:basedOn w:val="a0"/>
    <w:uiPriority w:val="22"/>
    <w:qFormat/>
    <w:rsid w:val="007129C1"/>
    <w:rPr>
      <w:b/>
      <w:bCs/>
    </w:rPr>
  </w:style>
  <w:style w:type="character" w:styleId="af3">
    <w:name w:val="Emphasis"/>
    <w:basedOn w:val="a0"/>
    <w:uiPriority w:val="20"/>
    <w:qFormat/>
    <w:rsid w:val="007129C1"/>
    <w:rPr>
      <w:i/>
      <w:iCs/>
    </w:rPr>
  </w:style>
  <w:style w:type="paragraph" w:customStyle="1" w:styleId="Default">
    <w:name w:val="Default"/>
    <w:rsid w:val="007129C1"/>
    <w:pPr>
      <w:autoSpaceDE w:val="0"/>
      <w:autoSpaceDN w:val="0"/>
      <w:adjustRightInd w:val="0"/>
    </w:pPr>
    <w:rPr>
      <w:rFonts w:ascii="Book Antiqua" w:eastAsia="宋体" w:hAnsi="Book Antiqua" w:cs="Book Antiqua"/>
      <w:color w:val="000000"/>
      <w:sz w:val="24"/>
      <w:szCs w:val="24"/>
      <w:lang w:val="es-ES" w:eastAsia="es-ES"/>
    </w:rPr>
  </w:style>
  <w:style w:type="character" w:customStyle="1" w:styleId="HTML">
    <w:name w:val="HTML 预设格式 字符"/>
    <w:basedOn w:val="a0"/>
    <w:link w:val="HTML0"/>
    <w:uiPriority w:val="99"/>
    <w:semiHidden/>
    <w:rsid w:val="007129C1"/>
    <w:rPr>
      <w:rFonts w:ascii="Courier New" w:eastAsia="Times New Roman" w:hAnsi="Courier New" w:cs="Courier New"/>
      <w:lang w:val="es-ES" w:eastAsia="es-ES_tradnl"/>
    </w:rPr>
  </w:style>
  <w:style w:type="paragraph" w:styleId="HTML0">
    <w:name w:val="HTML Preformatted"/>
    <w:basedOn w:val="a"/>
    <w:link w:val="HTML"/>
    <w:uiPriority w:val="99"/>
    <w:semiHidden/>
    <w:unhideWhenUsed/>
    <w:rsid w:val="0071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_tradnl"/>
    </w:rPr>
  </w:style>
  <w:style w:type="paragraph" w:customStyle="1" w:styleId="xmsonormal">
    <w:name w:val="x_msonormal"/>
    <w:basedOn w:val="a"/>
    <w:rsid w:val="007129C1"/>
    <w:pPr>
      <w:spacing w:before="100" w:beforeAutospacing="1" w:after="100" w:afterAutospacing="1"/>
    </w:pPr>
    <w:rPr>
      <w:rFonts w:ascii="Calibri" w:eastAsiaTheme="minorHAnsi" w:hAnsi="Calibri" w:cs="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126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D905113A501594A889CEAEF2418181D" ma:contentTypeVersion="15" ma:contentTypeDescription="Crear nuevo documento." ma:contentTypeScope="" ma:versionID="1465e2fbc0d100d7204e0a7e837d30a5">
  <xsd:schema xmlns:xsd="http://www.w3.org/2001/XMLSchema" xmlns:xs="http://www.w3.org/2001/XMLSchema" xmlns:p="http://schemas.microsoft.com/office/2006/metadata/properties" xmlns:ns2="5c916c3d-7f1d-4ec2-bbf8-f31fb80cae34" xmlns:ns3="498a5b55-31e0-43e7-a6c1-7394551eb499" targetNamespace="http://schemas.microsoft.com/office/2006/metadata/properties" ma:root="true" ma:fieldsID="1270bac9c3a1e8aedc1fb11c2bb35973" ns2:_="" ns3:_="">
    <xsd:import namespace="5c916c3d-7f1d-4ec2-bbf8-f31fb80cae34"/>
    <xsd:import namespace="498a5b55-31e0-43e7-a6c1-7394551eb4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16c3d-7f1d-4ec2-bbf8-f31fb80cae3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a5b55-31e0-43e7-a6c1-7394551eb4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E67F-B23B-4667-B501-244820549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16c3d-7f1d-4ec2-bbf8-f31fb80cae34"/>
    <ds:schemaRef ds:uri="498a5b55-31e0-43e7-a6c1-7394551eb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7F629-4A58-4A92-B73C-44A246643EED}">
  <ds:schemaRefs>
    <ds:schemaRef ds:uri="http://schemas.microsoft.com/sharepoint/v3/contenttype/forms"/>
  </ds:schemaRefs>
</ds:datastoreItem>
</file>

<file path=customXml/itemProps3.xml><?xml version="1.0" encoding="utf-8"?>
<ds:datastoreItem xmlns:ds="http://schemas.openxmlformats.org/officeDocument/2006/customXml" ds:itemID="{0C2BAF6F-FEF7-41BF-8B78-9E89E5F9F6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9485DA-106F-4923-BB34-C1B2E5A5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44</Pages>
  <Words>36921</Words>
  <Characters>210452</Characters>
  <Application>Microsoft Office Word</Application>
  <DocSecurity>0</DocSecurity>
  <Lines>1753</Lines>
  <Paragraphs>493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jiaping yan</cp:lastModifiedBy>
  <cp:revision>22</cp:revision>
  <dcterms:created xsi:type="dcterms:W3CDTF">2021-08-31T13:46:00Z</dcterms:created>
  <dcterms:modified xsi:type="dcterms:W3CDTF">2021-09-02T06:01:00Z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0x0101003D905113A501594A889CEAEF2418181D</vt:lpwstr>
  </property>
</Properties>
</file>