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66325</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Randomized Controlled Trial</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Erector spinae plane block at lower thoracic level for analgesia in lumbar spine surgery: A randomized controlled trial</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Zhang JJ </w:t>
      </w:r>
      <w:r>
        <w:rPr>
          <w:rFonts w:ascii="Book Antiqua" w:eastAsia="Book Antiqua" w:hAnsi="Book Antiqua" w:cs="Book Antiqua"/>
          <w:i/>
          <w:iCs/>
          <w:color w:val="000000"/>
        </w:rPr>
        <w:t>et al</w:t>
      </w:r>
      <w:r>
        <w:rPr>
          <w:rFonts w:ascii="Book Antiqua" w:eastAsia="Book Antiqua" w:hAnsi="Book Antiqua" w:cs="Book Antiqua"/>
          <w:color w:val="000000"/>
        </w:rPr>
        <w:t>. ESPB in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Jing-Jing Zhang,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-Jiao Zhang,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-Yang Qu, Yong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Zhen Hua</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Jing-Jing Zhang, </w:t>
      </w:r>
      <w:proofErr w:type="spellStart"/>
      <w:r>
        <w:rPr>
          <w:rFonts w:ascii="Book Antiqua" w:eastAsia="Book Antiqua" w:hAnsi="Book Antiqua" w:cs="Book Antiqua"/>
          <w:b/>
          <w:bCs/>
          <w:color w:val="000000"/>
        </w:rPr>
        <w:t>Teng</w:t>
      </w:r>
      <w:proofErr w:type="spellEnd"/>
      <w:r>
        <w:rPr>
          <w:rFonts w:ascii="Book Antiqua" w:eastAsia="Book Antiqua" w:hAnsi="Book Antiqua" w:cs="Book Antiqua"/>
          <w:b/>
          <w:bCs/>
          <w:color w:val="000000"/>
        </w:rPr>
        <w:t xml:space="preserve">-Jiao Zhang,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-Yang Qu, Yong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Zhen Hua, </w:t>
      </w:r>
      <w:r>
        <w:rPr>
          <w:rFonts w:ascii="Book Antiqua" w:eastAsia="Book Antiqua" w:hAnsi="Book Antiqua" w:cs="Book Antiqua"/>
          <w:color w:val="000000"/>
        </w:rPr>
        <w:t>Department of Anesthesiology, Beijing Hospital, National Center of Gerontology, Beijing 100730, China</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 Z and Qu ZY designed the study; Hua Z and Zhang JJ collected the intraoperative data; Zhang TJ and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collected the postoperative data; Zhang JJ analyzed the data and wrote the paper.</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Zhen Hua, MD, Professor, </w:t>
      </w:r>
      <w:r>
        <w:rPr>
          <w:rFonts w:ascii="Book Antiqua" w:eastAsia="Book Antiqua" w:hAnsi="Book Antiqua" w:cs="Book Antiqua"/>
          <w:color w:val="000000"/>
        </w:rPr>
        <w:t xml:space="preserve">Department of Anesthesiology, Beijing Hospital, National Center of Gerontology, No. 1 </w:t>
      </w:r>
      <w:proofErr w:type="spellStart"/>
      <w:r>
        <w:rPr>
          <w:rFonts w:ascii="Book Antiqua" w:eastAsia="Book Antiqua" w:hAnsi="Book Antiqua" w:cs="Book Antiqua"/>
          <w:color w:val="000000"/>
        </w:rPr>
        <w:t>Dahua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hua1013@163.com</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13,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19,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BA6B5F" w:rsidRPr="00BA6B5F">
        <w:rPr>
          <w:rFonts w:ascii="Book Antiqua" w:eastAsia="Book Antiqua" w:hAnsi="Book Antiqua" w:cs="Book Antiqua"/>
          <w:bCs/>
          <w:color w:val="000000"/>
        </w:rPr>
        <w:t>July 6, 2021</w:t>
      </w:r>
    </w:p>
    <w:p w:rsidR="001C4DD1" w:rsidRDefault="001C4DD1">
      <w:pPr>
        <w:adjustRightInd w:val="0"/>
        <w:snapToGrid w:val="0"/>
        <w:spacing w:line="360" w:lineRule="auto"/>
        <w:jc w:val="both"/>
        <w:rPr>
          <w:rFonts w:ascii="Book Antiqua" w:hAnsi="Book Antiqua"/>
        </w:rPr>
        <w:sectPr w:rsidR="001C4DD1">
          <w:footerReference w:type="default" r:id="rId8"/>
          <w:pgSz w:w="12240" w:h="15840"/>
          <w:pgMar w:top="1440" w:right="1440" w:bottom="1440" w:left="1440" w:header="720" w:footer="720" w:gutter="0"/>
          <w:cols w:space="720"/>
          <w:docGrid w:linePitch="360"/>
        </w:sect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Patients undergoing lumbar spine surgery usually suffer severe pain in the postoperative period. The erector spinae plane block (ESPB), first published in 2016, can anesthetize the ventral and dorsal rami of thoracic nerves and produce an extensive multi-dermatomal sensory block.</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To assess whether bilateral ultrasound-guided ESPB at a lower thoracic level could improve pain control and quality of recovery in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60 patients aged 18-80 years scheduled to undergo lumbar spine surgery with general anesthesia were randomly assigned to two groups: ESPB group (preoperative bilateral ultrasound-guided ESPB at T10 vertebral level) and control group (no preoperative ESPB). Both groups received standard general anesthesia. The main indicator was the duration to the first patient controlled intravenous analgesia (PCIA) bolus.</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ESPB group, the duration to the first PCIA bolus was significantly longer than that in the control group (h) [8.0 (4.5, 17.0) </w:t>
      </w:r>
      <w:r>
        <w:rPr>
          <w:rFonts w:ascii="Book Antiqua" w:eastAsia="Book Antiqua" w:hAnsi="Book Antiqua" w:cs="Book Antiqua"/>
          <w:i/>
          <w:iCs/>
          <w:color w:val="000000"/>
        </w:rPr>
        <w:t>vs</w:t>
      </w:r>
      <w:r>
        <w:rPr>
          <w:rFonts w:ascii="Book Antiqua" w:eastAsia="Book Antiqua" w:hAnsi="Book Antiqua" w:cs="Book Antiqua"/>
          <w:color w:val="000000"/>
        </w:rPr>
        <w:t xml:space="preserve"> 1.0 (0.5, 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resting and coughing numerical rating scale (NRS) scores at 48 h post operation were significantly lower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between the two groups regarding resting and coughing NRS scores at 24 h post operation.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the operation was significantly lower in the ESPB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while there was no significant difference between the two groups regarding morphine consumption at 24 or 48 h post </w:t>
      </w:r>
      <w:r>
        <w:rPr>
          <w:rFonts w:ascii="Book Antiqua" w:eastAsia="Book Antiqua" w:hAnsi="Book Antiqua" w:cs="Book Antiqua"/>
          <w:color w:val="000000"/>
        </w:rPr>
        <w:lastRenderedPageBreak/>
        <w:t xml:space="preserve">operation. In the ESPB group, Modified Observer’s Assessment of Alertness/Sedation score within 20 min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higher and duration in the post-anesthesia care unit was shorter than those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In patients undergoing lumbar spine surgery, ultrasound-guided ESPB at a lower thoracic level improves the analgesic effect</w:t>
      </w:r>
      <w:r>
        <w:rPr>
          <w:rFonts w:ascii="Book Antiqua" w:eastAsia="宋体" w:hAnsi="Book Antiqua" w:cs="宋体"/>
          <w:color w:val="000000"/>
          <w:lang w:eastAsia="zh-CN"/>
        </w:rPr>
        <w:t xml:space="preserve">, </w:t>
      </w:r>
      <w:r>
        <w:rPr>
          <w:rFonts w:ascii="Book Antiqua" w:eastAsia="Book Antiqua" w:hAnsi="Book Antiqua" w:cs="Book Antiqua"/>
          <w:color w:val="000000"/>
        </w:rPr>
        <w:t>reduces opioid consumption, and improves postoperative recovery.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Erector spinae plane block; Analgesia; Opioids; Lumbar spine surgery</w:t>
      </w:r>
    </w:p>
    <w:p w:rsidR="00B83889" w:rsidRDefault="00B83889" w:rsidP="00B83889">
      <w:pPr>
        <w:spacing w:line="360" w:lineRule="auto"/>
        <w:rPr>
          <w:rFonts w:ascii="Book Antiqua" w:hAnsi="Book Antiqua" w:cs="Book Antiqua"/>
          <w:b/>
          <w:color w:val="000000"/>
        </w:rPr>
      </w:pPr>
    </w:p>
    <w:p w:rsidR="00B83889" w:rsidRPr="00026CB8" w:rsidRDefault="00B83889" w:rsidP="00B8388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1C4DD1" w:rsidRDefault="001C4DD1">
      <w:pPr>
        <w:adjustRightInd w:val="0"/>
        <w:snapToGrid w:val="0"/>
        <w:spacing w:line="360" w:lineRule="auto"/>
        <w:jc w:val="both"/>
        <w:rPr>
          <w:rFonts w:ascii="Book Antiqua" w:hAnsi="Book Antiqua"/>
        </w:rPr>
      </w:pPr>
    </w:p>
    <w:p w:rsidR="001C4DD1" w:rsidRPr="00B83889" w:rsidRDefault="00AD7687">
      <w:pPr>
        <w:adjustRightInd w:val="0"/>
        <w:snapToGrid w:val="0"/>
        <w:spacing w:line="360" w:lineRule="auto"/>
        <w:jc w:val="both"/>
        <w:rPr>
          <w:rFonts w:ascii="Book Antiqua" w:hAnsi="Book Antiqua" w:hint="eastAsia"/>
          <w:lang w:eastAsia="zh-CN"/>
        </w:rPr>
      </w:pPr>
      <w:r>
        <w:rPr>
          <w:rFonts w:ascii="Book Antiqua" w:eastAsia="Book Antiqua" w:hAnsi="Book Antiqua" w:cs="Book Antiqua"/>
          <w:color w:val="000000"/>
        </w:rPr>
        <w:t xml:space="preserve">Zhang JJ, Zhang TJ, Qu ZY,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Hua Z. Erector spinae plane block at lower thoracic level for analgesia in lumbar spine surgery: A randomized controlled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BA6B5F" w:rsidRPr="00BA6B5F">
        <w:rPr>
          <w:rFonts w:ascii="Book Antiqua" w:eastAsia="Book Antiqua" w:hAnsi="Book Antiqua" w:cs="Book Antiqua"/>
          <w:color w:val="000000"/>
        </w:rPr>
        <w:t xml:space="preserve">9(19): </w:t>
      </w:r>
      <w:r w:rsidR="000C61D4">
        <w:rPr>
          <w:rFonts w:ascii="Book Antiqua" w:hAnsi="Book Antiqua" w:cs="Book Antiqua" w:hint="eastAsia"/>
          <w:color w:val="000000"/>
          <w:lang w:eastAsia="zh-CN"/>
        </w:rPr>
        <w:t>5126-5134</w:t>
      </w:r>
      <w:r w:rsidR="00BA6B5F" w:rsidRPr="00BA6B5F">
        <w:rPr>
          <w:rFonts w:ascii="Book Antiqua" w:eastAsia="Book Antiqua" w:hAnsi="Book Antiqua" w:cs="Book Antiqua"/>
          <w:color w:val="000000"/>
        </w:rPr>
        <w:t xml:space="preserve"> URL: https://www.wjgnet.com/2307-8960/full/v9/i19/</w:t>
      </w:r>
      <w:r w:rsidR="000C61D4">
        <w:rPr>
          <w:rFonts w:ascii="Book Antiqua" w:hAnsi="Book Antiqua" w:cs="Book Antiqua" w:hint="eastAsia"/>
          <w:color w:val="000000"/>
          <w:lang w:eastAsia="zh-CN"/>
        </w:rPr>
        <w:t>5126</w:t>
      </w:r>
      <w:r w:rsidR="00BA6B5F" w:rsidRPr="00BA6B5F">
        <w:rPr>
          <w:rFonts w:ascii="Book Antiqua" w:eastAsia="Book Antiqua" w:hAnsi="Book Antiqua" w:cs="Book Antiqua"/>
          <w:color w:val="000000"/>
        </w:rPr>
        <w:t>.htm DOI: https://dx.doi.org/10.12998/wjcc.v9.i19.</w:t>
      </w:r>
      <w:r w:rsidR="00B83889">
        <w:rPr>
          <w:rFonts w:ascii="Book Antiqua" w:hAnsi="Book Antiqua" w:cs="Book Antiqua" w:hint="eastAsia"/>
          <w:color w:val="000000"/>
          <w:lang w:eastAsia="zh-CN"/>
        </w:rPr>
        <w:t>5126</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erector spinae plane block (ESPB) could anesthetize the dorsal rami of thoracic nerves and produce an extensive multi-dermatomal sensory block, which may improve the analgesic effect of patients undergoing lumber spine surgery. We designed this prospective randomized controlled trial and found that ESPB at a lower thoracic level could prolong the duration to the first patient controlled intravenous analgesia bolus, reduce the intraoperative opioid consumption, and improve postoperative recovery.</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Patients undergoing major lumbar spine surgery usually suffer severe pain during the perioperative period. Conventional opioid-based analgesia techniques are associated with the side effects of nausea, vomiting, pruritus, and sedation. In recent years, with the introduction of ultrasonography into regional anesthesia practice, plane blocks have been frequently employed to improve postoperative analgesia and to reduce opioid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Anatomically, the posterior ramus of the thoracolumbar spinal nerves passes through the posterior surface of the transverse process of the corresponding lower vertebra and distributes to the back. The posterior ramus may innervate two to three segments caudal to its initial nerve root. The erector spinae plane block (ESPB), first described in 2016, is a </w:t>
      </w:r>
      <w:proofErr w:type="spellStart"/>
      <w:r>
        <w:rPr>
          <w:rFonts w:ascii="Book Antiqua" w:eastAsia="Book Antiqua" w:hAnsi="Book Antiqua" w:cs="Book Antiqua"/>
          <w:color w:val="000000"/>
        </w:rPr>
        <w:t>paraspinal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interfascial</w:t>
      </w:r>
      <w:proofErr w:type="spellEnd"/>
      <w:r>
        <w:rPr>
          <w:rFonts w:ascii="Book Antiqua" w:eastAsia="Book Antiqua" w:hAnsi="Book Antiqua" w:cs="Book Antiqua"/>
          <w:color w:val="000000"/>
        </w:rPr>
        <w:t xml:space="preserve"> plane block targeting the ventral and dorsal rami of the spinal nerves. It has been reported that injection with 20 mL of fluid at the T5 vertebral level can produce 3-6 transverse processes cranially or caudally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ESPB performed at the T10 vertebral level can block the nerve innervating L1 to S1 vertebrae.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infusion related infection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Puncture site at the T10 vertebral level keeps a distance away from the surgical area, which may reduce the opportunity of infection. Therefore, we chose the puncture site at the T10 vertebral level and proposed that ESPB performed at the T10 vertebral level can provide effective analgesia for lumbar spine surgery.</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Therefore, we designed this prospective randomized controlled study to observe the analgesic effect of ESPB in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Study design</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was a prospective randomized controlled study. The protocol was approved by the Beijing Hospital Medical Ethics Committee (2018BJYYEC-011-01) and registered with the Chinese Clinical Trial Registry at chictr.org.cn (ChiCTR1800015002). An informed </w:t>
      </w:r>
      <w:r>
        <w:rPr>
          <w:rFonts w:ascii="Book Antiqua" w:eastAsia="Book Antiqua" w:hAnsi="Book Antiqua" w:cs="Book Antiqua"/>
          <w:color w:val="000000"/>
        </w:rPr>
        <w:lastRenderedPageBreak/>
        <w:t>consent form was signed by each patient or their legal guardian before enrollment. The study was conducted in the Department of Anesthesiology of Beijing Hospital.</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 recruitment</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were included in the study if they met the following criteria: (1) </w:t>
      </w:r>
      <w:r w:rsidR="00BA6B5F">
        <w:rPr>
          <w:rFonts w:ascii="Book Antiqua" w:hAnsi="Book Antiqua" w:cs="Book Antiqua" w:hint="eastAsia"/>
          <w:color w:val="000000"/>
          <w:lang w:eastAsia="zh-CN"/>
        </w:rPr>
        <w:t>A</w:t>
      </w:r>
      <w:r>
        <w:rPr>
          <w:rFonts w:ascii="Book Antiqua" w:eastAsia="Book Antiqua" w:hAnsi="Book Antiqua" w:cs="Book Antiqua"/>
          <w:color w:val="000000"/>
        </w:rPr>
        <w:t xml:space="preserve">ge ≥ 18 years and ≤ 75 years; and (2) </w:t>
      </w:r>
      <w:r w:rsidR="00BA6B5F">
        <w:rPr>
          <w:rFonts w:ascii="Book Antiqua" w:hAnsi="Book Antiqua" w:cs="Book Antiqua" w:hint="eastAsia"/>
          <w:color w:val="000000"/>
          <w:lang w:eastAsia="zh-CN"/>
        </w:rPr>
        <w:t>S</w:t>
      </w:r>
      <w:r>
        <w:rPr>
          <w:rFonts w:ascii="Book Antiqua" w:eastAsia="Book Antiqua" w:hAnsi="Book Antiqua" w:cs="Book Antiqua"/>
          <w:color w:val="000000"/>
        </w:rPr>
        <w:t xml:space="preserve">cheduled to undergo lumbar spine surgery with general anesthesia. Patients were excluded if they met any of the following criteria: (1) </w:t>
      </w:r>
      <w:r w:rsidR="00BA6B5F">
        <w:rPr>
          <w:rFonts w:ascii="Book Antiqua" w:hAnsi="Book Antiqua" w:cs="Book Antiqua" w:hint="eastAsia"/>
          <w:color w:val="000000"/>
          <w:lang w:eastAsia="zh-CN"/>
        </w:rPr>
        <w:t>R</w:t>
      </w:r>
      <w:r>
        <w:rPr>
          <w:rFonts w:ascii="Book Antiqua" w:eastAsia="Book Antiqua" w:hAnsi="Book Antiqua" w:cs="Book Antiqua"/>
          <w:color w:val="000000"/>
        </w:rPr>
        <w:t xml:space="preserve">efusal to participate in the study; (2) American Society of Anesthesiologists physical classification of IV or higher; (3) </w:t>
      </w:r>
      <w:r w:rsidR="00BA6B5F">
        <w:rPr>
          <w:rFonts w:ascii="Book Antiqua" w:hAnsi="Book Antiqua" w:cs="Book Antiqua" w:hint="eastAsia"/>
          <w:color w:val="000000"/>
          <w:lang w:eastAsia="zh-CN"/>
        </w:rPr>
        <w:t>P</w:t>
      </w:r>
      <w:r>
        <w:rPr>
          <w:rFonts w:ascii="Book Antiqua" w:eastAsia="Book Antiqua" w:hAnsi="Book Antiqua" w:cs="Book Antiqua"/>
          <w:color w:val="000000"/>
        </w:rPr>
        <w:t xml:space="preserve">reoperative cognitive dysfunction or communication disorder; (4) </w:t>
      </w:r>
      <w:r w:rsidR="00BA6B5F">
        <w:rPr>
          <w:rFonts w:ascii="Book Antiqua" w:hAnsi="Book Antiqua" w:cs="Book Antiqua" w:hint="eastAsia"/>
          <w:color w:val="000000"/>
          <w:lang w:eastAsia="zh-CN"/>
        </w:rPr>
        <w:t>I</w:t>
      </w:r>
      <w:r>
        <w:rPr>
          <w:rFonts w:ascii="Book Antiqua" w:eastAsia="Book Antiqua" w:hAnsi="Book Antiqua" w:cs="Book Antiqua"/>
          <w:color w:val="000000"/>
        </w:rPr>
        <w:t xml:space="preserve">nfection at the puncture site; (5) </w:t>
      </w:r>
      <w:r w:rsidR="00BA6B5F">
        <w:rPr>
          <w:rFonts w:ascii="Book Antiqua" w:hAnsi="Book Antiqua" w:cs="Book Antiqua" w:hint="eastAsia"/>
          <w:color w:val="000000"/>
          <w:lang w:eastAsia="zh-CN"/>
        </w:rPr>
        <w:t>A</w:t>
      </w:r>
      <w:r>
        <w:rPr>
          <w:rFonts w:ascii="Book Antiqua" w:eastAsia="Book Antiqua" w:hAnsi="Book Antiqua" w:cs="Book Antiqua"/>
          <w:color w:val="000000"/>
        </w:rPr>
        <w:t xml:space="preserve">llergy to amide-type local anesthetics; (6) </w:t>
      </w:r>
      <w:r w:rsidR="00BA6B5F">
        <w:rPr>
          <w:rFonts w:ascii="Book Antiqua" w:hAnsi="Book Antiqua" w:cs="Book Antiqua" w:hint="eastAsia"/>
          <w:color w:val="000000"/>
          <w:lang w:eastAsia="zh-CN"/>
        </w:rPr>
        <w:t>N</w:t>
      </w:r>
      <w:r>
        <w:rPr>
          <w:rFonts w:ascii="Book Antiqua" w:eastAsia="Book Antiqua" w:hAnsi="Book Antiqua" w:cs="Book Antiqua"/>
          <w:color w:val="000000"/>
        </w:rPr>
        <w:t xml:space="preserve">euromuscular disease; (7) </w:t>
      </w:r>
      <w:r w:rsidR="00BA6B5F">
        <w:rPr>
          <w:rFonts w:ascii="Book Antiqua" w:hAnsi="Book Antiqua" w:cs="Book Antiqua" w:hint="eastAsia"/>
          <w:color w:val="000000"/>
          <w:lang w:eastAsia="zh-CN"/>
        </w:rPr>
        <w:t>H</w:t>
      </w:r>
      <w:r>
        <w:rPr>
          <w:rFonts w:ascii="Book Antiqua" w:eastAsia="Book Antiqua" w:hAnsi="Book Antiqua" w:cs="Book Antiqua"/>
          <w:color w:val="000000"/>
        </w:rPr>
        <w:t xml:space="preserve">epatic or renal insufficiency; (8) </w:t>
      </w:r>
      <w:r w:rsidR="00BA6B5F">
        <w:rPr>
          <w:rFonts w:ascii="Book Antiqua" w:hAnsi="Book Antiqua" w:cs="Book Antiqua" w:hint="eastAsia"/>
          <w:color w:val="000000"/>
          <w:lang w:eastAsia="zh-CN"/>
        </w:rPr>
        <w:t>E</w:t>
      </w:r>
      <w:r>
        <w:rPr>
          <w:rFonts w:ascii="Book Antiqua" w:eastAsia="Book Antiqua" w:hAnsi="Book Antiqua" w:cs="Book Antiqua"/>
          <w:color w:val="000000"/>
        </w:rPr>
        <w:t xml:space="preserve">mergency surgery; (9) </w:t>
      </w:r>
      <w:r w:rsidR="00BA6B5F">
        <w:rPr>
          <w:rFonts w:ascii="Book Antiqua" w:hAnsi="Book Antiqua" w:cs="Book Antiqua" w:hint="eastAsia"/>
          <w:color w:val="000000"/>
          <w:lang w:eastAsia="zh-CN"/>
        </w:rPr>
        <w:t>C</w:t>
      </w:r>
      <w:r>
        <w:rPr>
          <w:rFonts w:ascii="Book Antiqua" w:eastAsia="Book Antiqua" w:hAnsi="Book Antiqua" w:cs="Book Antiqua"/>
          <w:color w:val="000000"/>
        </w:rPr>
        <w:t xml:space="preserve">hronic opioid use; or (10) </w:t>
      </w:r>
      <w:r w:rsidR="00BA6B5F">
        <w:rPr>
          <w:rFonts w:ascii="Book Antiqua" w:hAnsi="Book Antiqua" w:cs="Book Antiqua" w:hint="eastAsia"/>
          <w:color w:val="000000"/>
          <w:lang w:eastAsia="zh-CN"/>
        </w:rPr>
        <w:t>P</w:t>
      </w:r>
      <w:r>
        <w:rPr>
          <w:rFonts w:ascii="Book Antiqua" w:eastAsia="Book Antiqua" w:hAnsi="Book Antiqua" w:cs="Book Antiqua"/>
          <w:color w:val="000000"/>
        </w:rPr>
        <w:t>articipation in another clinical study (Figure 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Randomization and measurement methods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patients </w:t>
      </w:r>
      <w:r w:rsidR="009F7FE1">
        <w:rPr>
          <w:rFonts w:ascii="Book Antiqua" w:hAnsi="Book Antiqua" w:cs="Book Antiqua" w:hint="eastAsia"/>
          <w:color w:val="000000"/>
          <w:lang w:eastAsia="zh-CN"/>
        </w:rPr>
        <w:t>w</w:t>
      </w:r>
      <w:r w:rsidR="009F7FE1">
        <w:rPr>
          <w:rFonts w:ascii="Book Antiqua" w:hAnsi="Book Antiqua" w:cs="Book Antiqua"/>
          <w:color w:val="000000"/>
          <w:lang w:eastAsia="zh-CN"/>
        </w:rPr>
        <w:t xml:space="preserve">ho </w:t>
      </w:r>
      <w:r>
        <w:rPr>
          <w:rFonts w:ascii="Book Antiqua" w:eastAsia="Book Antiqua" w:hAnsi="Book Antiqua" w:cs="Book Antiqua"/>
          <w:color w:val="000000"/>
        </w:rPr>
        <w:t>underwent preoperative assessment on the day before surgery were randomly assigned to either an ESPB group or a control group according to the random numbers sealed in the envelopes. The evaluating physician was blinded to the assignment. In the ESPB group, ultrasound-guided bilateral ESPB was performed before general anesthesia in the post-anesthesia care unit (PACU). The patients were placed in the right lateral decubitus position. The position of the T10 vertebra was marked on the skin. The regions scheduled for the procedure were sterilized in the ESPB group. A high-frequency linear US probe (Konica Minolta, Tokyo, Japan) in a sterile sheath was placed longitudinally 3 cm lateral to the T10 spinous process. The skin was then infiltrated with local anesthetic, and an echogenic 21-gauge block needle (</w:t>
      </w:r>
      <w:proofErr w:type="spellStart"/>
      <w:r>
        <w:rPr>
          <w:rFonts w:ascii="Book Antiqua" w:eastAsia="Book Antiqua" w:hAnsi="Book Antiqua" w:cs="Book Antiqua"/>
          <w:color w:val="000000"/>
        </w:rPr>
        <w:t>Pajunk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Geisingen</w:t>
      </w:r>
      <w:proofErr w:type="spellEnd"/>
      <w:r>
        <w:rPr>
          <w:rFonts w:ascii="Book Antiqua" w:eastAsia="Book Antiqua" w:hAnsi="Book Antiqua" w:cs="Book Antiqua"/>
          <w:color w:val="000000"/>
        </w:rPr>
        <w:t xml:space="preserve">, Germany) was inserted using an out-of-plane approach. The tip was placed into the fascial plane on the deep aspect of the erector spinae muscle. The correct location of the needle tip was confirmed by visible fluid spread below the erector spinae muscle off the bony shadow of the transverse process. A total volume of </w:t>
      </w:r>
      <w:r>
        <w:rPr>
          <w:rFonts w:ascii="Book Antiqua" w:eastAsia="Book Antiqua" w:hAnsi="Book Antiqua" w:cs="Book Antiqua"/>
          <w:color w:val="000000"/>
        </w:rPr>
        <w:lastRenderedPageBreak/>
        <w:t xml:space="preserve">25 mL of 0.3%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was injected through the needle. The procedure was then repeated on the opposite side. No intervention was performed in the control group.</w:t>
      </w:r>
    </w:p>
    <w:p w:rsidR="001C4DD1" w:rsidRDefault="00AD7687">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Standard monitoring was established by electrocardiography, pulse oximetry, invasive arterial pressure, capnography, and the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(BIS). General anesthesia was induced with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at 0.2-0.3 µg/kg,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at 2.0-4.0 mg/kg,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at 0.2-0.3 mg/kg. After endotracheal intubation, mechanical ventilation was established with a tidal volume of 6-8 mL/kg and ventilation rate of 12-20/min to maintain P</w:t>
      </w:r>
      <w:r>
        <w:rPr>
          <w:rFonts w:ascii="Book Antiqua" w:eastAsia="Book Antiqua" w:hAnsi="Book Antiqua" w:cs="Book Antiqua"/>
          <w:color w:val="000000"/>
          <w:vertAlign w:val="subscript"/>
        </w:rPr>
        <w:t>et</w:t>
      </w:r>
      <w:r>
        <w:rPr>
          <w:rFonts w:ascii="Book Antiqua" w:eastAsia="Book Antiqua" w:hAnsi="Book Antiqua" w:cs="Book Antiqua"/>
          <w:color w:val="000000"/>
        </w:rPr>
        <w:t>CO</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at 35-45 mmHg. Anesthesia was maintained with sevoflurane in a mixture of 50% oxygen and 50% N</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and intermittent injection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when necessary. The target was to maintain the BIS between 45 and 60 and blood pressure and heart rate within 30% of the original preoperative values. Before skin incision, 50 mg of </w:t>
      </w:r>
      <w:proofErr w:type="spellStart"/>
      <w:r>
        <w:rPr>
          <w:rFonts w:ascii="Book Antiqua" w:eastAsia="Book Antiqua" w:hAnsi="Book Antiqua" w:cs="Book Antiqua"/>
          <w:color w:val="000000"/>
        </w:rPr>
        <w:t>flurbiprofen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dezocine</w:t>
      </w:r>
      <w:proofErr w:type="spellEnd"/>
      <w:r>
        <w:rPr>
          <w:rFonts w:ascii="Book Antiqua" w:eastAsia="Book Antiqua" w:hAnsi="Book Antiqua" w:cs="Book Antiqua"/>
          <w:color w:val="000000"/>
          <w:shd w:val="clear" w:color="auto" w:fill="FFFFFF"/>
        </w:rPr>
        <w:t xml:space="preserve"> at 0.1-0.2 mg/kg, and </w:t>
      </w:r>
      <w:proofErr w:type="spellStart"/>
      <w:r>
        <w:rPr>
          <w:rFonts w:ascii="Book Antiqua" w:eastAsia="Book Antiqua" w:hAnsi="Book Antiqua" w:cs="Book Antiqua"/>
          <w:color w:val="000000"/>
          <w:shd w:val="clear" w:color="auto" w:fill="FFFFFF"/>
        </w:rPr>
        <w:t>dexmedetomidine</w:t>
      </w:r>
      <w:proofErr w:type="spellEnd"/>
      <w:r>
        <w:rPr>
          <w:rFonts w:ascii="Book Antiqua" w:eastAsia="Book Antiqua" w:hAnsi="Book Antiqua" w:cs="Book Antiqua"/>
          <w:color w:val="000000"/>
          <w:shd w:val="clear" w:color="auto" w:fill="FFFFFF"/>
        </w:rPr>
        <w:t xml:space="preserve"> at </w:t>
      </w:r>
      <w:r>
        <w:rPr>
          <w:rFonts w:ascii="Book Antiqua" w:eastAsia="Book Antiqua" w:hAnsi="Book Antiqua" w:cs="Book Antiqua"/>
          <w:color w:val="000000"/>
        </w:rPr>
        <w:t xml:space="preserve">0.3 µg/kg were given intravenously for analgesia, and another 50 mg of </w:t>
      </w:r>
      <w:proofErr w:type="spellStart"/>
      <w:r>
        <w:rPr>
          <w:rFonts w:ascii="Book Antiqua" w:eastAsia="Book Antiqua" w:hAnsi="Book Antiqua" w:cs="Book Antiqua"/>
          <w:color w:val="000000"/>
        </w:rPr>
        <w:t>flurbiprofen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xml:space="preserve"> was given before skin closure. </w:t>
      </w:r>
      <w:r>
        <w:rPr>
          <w:rFonts w:ascii="Book Antiqua" w:eastAsia="Book Antiqua" w:hAnsi="Book Antiqua" w:cs="Book Antiqua"/>
          <w:color w:val="000000"/>
          <w:shd w:val="clear" w:color="auto" w:fill="FFFFFF"/>
        </w:rPr>
        <w:t>Dexamethasone (</w:t>
      </w:r>
      <w:r>
        <w:rPr>
          <w:rFonts w:ascii="Book Antiqua" w:eastAsia="Book Antiqua" w:hAnsi="Book Antiqua" w:cs="Book Antiqua"/>
          <w:color w:val="000000"/>
        </w:rPr>
        <w:t xml:space="preserve">5 mg) and </w:t>
      </w:r>
      <w:proofErr w:type="spellStart"/>
      <w:r>
        <w:rPr>
          <w:rFonts w:ascii="Book Antiqua" w:eastAsia="Book Antiqua" w:hAnsi="Book Antiqua" w:cs="Book Antiqua"/>
          <w:color w:val="000000"/>
          <w:shd w:val="clear" w:color="auto" w:fill="FFFFFF"/>
        </w:rPr>
        <w:t>palonosetron</w:t>
      </w:r>
      <w:proofErr w:type="spellEnd"/>
      <w:r>
        <w:rPr>
          <w:rFonts w:ascii="Book Antiqua" w:eastAsia="Book Antiqua" w:hAnsi="Book Antiqua" w:cs="Book Antiqua"/>
          <w:color w:val="000000"/>
          <w:shd w:val="clear" w:color="auto" w:fill="FFFFFF"/>
        </w:rPr>
        <w:t xml:space="preserve"> hydrochloride (</w:t>
      </w:r>
      <w:r>
        <w:rPr>
          <w:rFonts w:ascii="Book Antiqua" w:eastAsia="Book Antiqua" w:hAnsi="Book Antiqua" w:cs="Book Antiqua"/>
          <w:color w:val="000000"/>
        </w:rPr>
        <w:t xml:space="preserve">0.5 mg) were given to prevent </w:t>
      </w:r>
      <w:r>
        <w:rPr>
          <w:rFonts w:ascii="Book Antiqua" w:eastAsia="Book Antiqua" w:hAnsi="Book Antiqua" w:cs="Book Antiqua"/>
          <w:color w:val="000000"/>
          <w:shd w:val="clear" w:color="auto" w:fill="FFFFFF"/>
        </w:rPr>
        <w:t xml:space="preserve">postoperative nausea and vomiting. </w:t>
      </w:r>
      <w:r>
        <w:rPr>
          <w:rFonts w:ascii="Book Antiqua" w:eastAsia="Book Antiqua" w:hAnsi="Book Antiqua" w:cs="Book Antiqua"/>
          <w:color w:val="000000"/>
        </w:rPr>
        <w:t xml:space="preserve">At the end of the procedure, residual neuromuscular blockade was antagonized with 2 mg of neostigmine and 1 mg of atropine.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all patients were admitted to the PACU for at least 30 min. All patients received patient controlled intravenous analgesia (PCIA) with morphine at 0.5 mg/mL for 48 h, set at a continuous rate of 0.5 mL/h, bolus at 2 mL, and lock-out interval of 8 min.</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Observation indicators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main indicator was the duration to the first PCIA bolus. The secondary indicators included morphine consumption and numerical rating scale (NRS) scores at 24 and 48 h post operation, intraoperative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consumption, duration of stay in the PACU, and time to first ambulation after surgery.</w:t>
      </w:r>
    </w:p>
    <w:p w:rsidR="001C4DD1" w:rsidRDefault="001C4DD1">
      <w:pPr>
        <w:adjustRightInd w:val="0"/>
        <w:snapToGrid w:val="0"/>
        <w:spacing w:line="360" w:lineRule="auto"/>
        <w:jc w:val="both"/>
        <w:rPr>
          <w:rFonts w:ascii="Book Antiqua" w:eastAsia="Book Antiqua" w:hAnsi="Book Antiqua" w:cs="Book Antiqua"/>
          <w:b/>
          <w:bCs/>
          <w:color w:val="000000"/>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Continuous variables were analyzed by the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or generalized linear mixed models. Categorical variables were analyzed by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 or Fisher’s exact test. Statistical analyses were performed with SPSS 14.0 (SPSS Inc., Chicago, IL). All tests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 population</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June 2018 to May 2019, a total of 60 patients participated in the study, and one patient in the control group stopped PCIA because of omission within 24 h; therefore, 59 patients were included in the final analysis, including 30 in the ESPB group and 29 in the control group. The baseline patient demographics and characteristics were comparable between the two groups (Table 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Intraoperative variables</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Between the two groups, the durations of anesthesia were comparable.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consumption in the ESPB group was lower than that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&lt;0.01). Compared with those in the control group, patients in the ESPB group showed better recovery, higher Modified Observer’s Assessment of Alertness/Sedation score within 20 min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and shorter stay in the PACU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Table 2).</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Postoperative variables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duration to the first PCIA bolus was significantly longer in the ESPB group than in the control group (h) [8.0 (4.5, 17.0) </w:t>
      </w:r>
      <w:r>
        <w:rPr>
          <w:rFonts w:ascii="Book Antiqua" w:eastAsia="Book Antiqua" w:hAnsi="Book Antiqua" w:cs="Book Antiqua"/>
          <w:i/>
          <w:iCs/>
          <w:color w:val="000000"/>
        </w:rPr>
        <w:t>vs</w:t>
      </w:r>
      <w:r>
        <w:rPr>
          <w:rFonts w:ascii="Book Antiqua" w:eastAsia="Book Antiqua" w:hAnsi="Book Antiqua" w:cs="Book Antiqua"/>
          <w:color w:val="000000"/>
        </w:rPr>
        <w:t xml:space="preserve"> 1 (0.5, 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Compared with those in the control group, the resting and coughing NRS scores at 48 h post operation in the ESPB group were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while there was no significant difference between the two groups regarding resting and coughing NRS scores at 24 h post operation. Compared with that in the control group, the time to first ambulation in the ESPB group was significantly shorter, and the resting NRS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on postoperative 30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was </w:t>
      </w:r>
      <w:r>
        <w:rPr>
          <w:rFonts w:ascii="Book Antiqua" w:eastAsia="Book Antiqua" w:hAnsi="Book Antiqua" w:cs="Book Antiqua"/>
          <w:color w:val="000000"/>
        </w:rPr>
        <w:lastRenderedPageBreak/>
        <w:t>significantly lower (Table 3). The results show a better analgesia effect in the ESPB group. There were no adverse events in either group.</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In the current study, compared with conventional opioid-based multimodal analgesia in lumbar surgery, the combination of ESPB provided superior pain relief in the perioperative period, reduced intraoperative opioid and relaxant consumption, shortened the duration in the PACU, and improved postoperative recovery.</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Posterior lumbar surgery is one of the most painful surgical procedures, which delays early postoperative mobilization, increases the complications of thrombosis and infection, and prolongs the length of stay. Hence, postoperative analgesia is essential.</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erector spinae plane block was first described in 2016 as a regional block for thoracic neuropathic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ESPB has emerged as a valuable regional anesthesia technique for a range of thoracic, abdominal, and other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Numerous cadaveric studies have confirmed successful staining of both ventral and dorsal rami of multiple spinal nerves above and below the site of injection when dye is injected deep into the erector spinae </w:t>
      </w:r>
      <w:proofErr w:type="gramStart"/>
      <w:r>
        <w:rPr>
          <w:rFonts w:ascii="Book Antiqua" w:eastAsia="Book Antiqua" w:hAnsi="Book Antiqua" w:cs="Book Antiqua"/>
          <w:color w:val="000000"/>
        </w:rPr>
        <w:t>muscle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w:t>
      </w:r>
      <w:r>
        <w:rPr>
          <w:rFonts w:ascii="Book Antiqua" w:eastAsia="Book Antiqua" w:hAnsi="Book Antiqua" w:cs="Book Antiqua"/>
          <w:color w:val="000000"/>
        </w:rPr>
        <w:t xml:space="preserve">. However, a recent study showed that the ventral rami are not always </w:t>
      </w:r>
      <w:proofErr w:type="gramStart"/>
      <w:r>
        <w:rPr>
          <w:rFonts w:ascii="Book Antiqua" w:eastAsia="Book Antiqua" w:hAnsi="Book Antiqua" w:cs="Book Antiqua"/>
          <w:color w:val="000000"/>
        </w:rPr>
        <w:t>blocked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Most likely, ESPB cannot always provide effective analgesia for areas innervated by the ventral rami of the spinal nerve. </w:t>
      </w:r>
      <w:proofErr w:type="spellStart"/>
      <w:r>
        <w:rPr>
          <w:rFonts w:ascii="Book Antiqua" w:eastAsia="Book Antiqua" w:hAnsi="Book Antiqua" w:cs="Book Antiqua"/>
          <w:color w:val="000000"/>
        </w:rPr>
        <w:t>Paraspinal</w:t>
      </w:r>
      <w:proofErr w:type="spellEnd"/>
      <w:r>
        <w:rPr>
          <w:rFonts w:ascii="Book Antiqua" w:eastAsia="Book Antiqua" w:hAnsi="Book Antiqua" w:cs="Book Antiqua"/>
          <w:color w:val="000000"/>
        </w:rPr>
        <w:t xml:space="preserve"> muscles and bony elements are primarily innervated by the posterior rami of spinal muscles, and ESPB may provide effective analgesia for lumbar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Based on anatomy and a previous study proposing that injection with 25 mL of fluid can spread more than five transverse processes caudally, we chose the T10 vertebral level as the local anesthetic injection site. Our study has shown that ESPB performed in patients undergoing lumbar operation decreases postoperative pain intensity, with a better NRS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and longer duration to first PCIA bolus.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Recently, several reports showed successful use of ESPB in pain control after lumbar operation. In a case series, ESPB performed at the T10-T12 level was used for perioperative analgesia during lumbosacral spine surgery and produced effective perioperative opioid-sparing </w:t>
      </w:r>
      <w:proofErr w:type="gramStart"/>
      <w:r>
        <w:rPr>
          <w:rFonts w:ascii="Book Antiqua" w:eastAsia="Book Antiqua" w:hAnsi="Book Antiqua" w:cs="Book Antiqua"/>
          <w:color w:val="000000"/>
        </w:rPr>
        <w:lastRenderedPageBreak/>
        <w:t>analgesia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 randomized controlled trial, preoperative bilateral ESPB performed at the T10 Level in lumbar spine surgery patients produced a significant reduction in postoperative opioid requirements and improved patient satisfaction compared with that in standard </w:t>
      </w:r>
      <w:proofErr w:type="gramStart"/>
      <w:r>
        <w:rPr>
          <w:rFonts w:ascii="Book Antiqua" w:eastAsia="Book Antiqua" w:hAnsi="Book Antiqua" w:cs="Book Antiqua"/>
          <w:color w:val="000000"/>
        </w:rPr>
        <w:t>analgesia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our study, we also observed fewer intraoperative opioid requirements and no difference in postoperative opioid requirements. A previous cadaver study showed that injection with 20 mL of fluid at T7 spread more than five transverse processes </w:t>
      </w:r>
      <w:proofErr w:type="gramStart"/>
      <w:r>
        <w:rPr>
          <w:rFonts w:ascii="Book Antiqua" w:eastAsia="Book Antiqua" w:hAnsi="Book Antiqua" w:cs="Book Antiqua"/>
          <w:color w:val="000000"/>
        </w:rPr>
        <w:t>caudally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While the evidence to date indicates that the spread with 20 mL of </w:t>
      </w:r>
      <w:proofErr w:type="spellStart"/>
      <w:r>
        <w:rPr>
          <w:rFonts w:ascii="Book Antiqua" w:eastAsia="Book Antiqua" w:hAnsi="Book Antiqua" w:cs="Book Antiqua"/>
          <w:color w:val="000000"/>
        </w:rPr>
        <w:t>injectate</w:t>
      </w:r>
      <w:proofErr w:type="spellEnd"/>
      <w:r>
        <w:rPr>
          <w:rFonts w:ascii="Book Antiqua" w:eastAsia="Book Antiqua" w:hAnsi="Book Antiqua" w:cs="Book Antiqua"/>
          <w:color w:val="000000"/>
        </w:rPr>
        <w:t xml:space="preserve"> may extend 3-4 vertebral levels from the site of injection in a caudal </w:t>
      </w:r>
      <w:proofErr w:type="gramStart"/>
      <w:r>
        <w:rPr>
          <w:rFonts w:ascii="Book Antiqua" w:eastAsia="Book Antiqua" w:hAnsi="Book Antiqua" w:cs="Book Antiqua"/>
          <w:color w:val="000000"/>
        </w:rPr>
        <w:t>direction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4,6,15]</w:t>
      </w:r>
      <w:r>
        <w:rPr>
          <w:rFonts w:ascii="Book Antiqua" w:eastAsia="Book Antiqua" w:hAnsi="Book Antiqua" w:cs="Book Antiqua"/>
          <w:color w:val="000000"/>
        </w:rPr>
        <w:t xml:space="preserve">, if injection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20 mL of fluid at T10 produces a spread three transverse processes caudally, it cannot provide analgesia for operation at the L4, L5, and S1 vertebrae segments and causes opioid requirements similar to those observed in the control group. Patients in both groups received </w:t>
      </w:r>
      <w:proofErr w:type="spellStart"/>
      <w:r>
        <w:rPr>
          <w:rFonts w:ascii="Book Antiqua" w:eastAsia="Book Antiqua" w:hAnsi="Book Antiqua" w:cs="Book Antiqua"/>
          <w:color w:val="000000"/>
        </w:rPr>
        <w:t>dexmedetomidine</w:t>
      </w:r>
      <w:proofErr w:type="spellEnd"/>
      <w:r>
        <w:rPr>
          <w:rFonts w:ascii="Book Antiqua" w:eastAsia="Book Antiqua" w:hAnsi="Book Antiqua" w:cs="Book Antiqua"/>
          <w:color w:val="000000"/>
        </w:rPr>
        <w:t xml:space="preserve"> and nonsteroidal anti-inflammatory drugs for multimodal analgesia, and the elevated pain threshold reduced opioid requirements in both groups, which is another cause.</w:t>
      </w:r>
    </w:p>
    <w:p w:rsidR="001C4DD1" w:rsidRDefault="00AD7687">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relaxant consumption decreased in the ESPB group compared to the control group in our study and produced more rapid recovery in the PACU, which is important for reducing perioperative cardio-cerebrovascular complications, especially for elderly patients and patients with severe preoperative comorbidities. Earlier postoperative mobilization can reduce the risk of complications such as deep thrombosis, which is important for enhanced recovery after surgery.</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We injected 25 mL of local anesthetic at the T10</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erector spinae plane bilaterally and found no side effects in our study. While a similar analgesic effect might be obtained with bilateral paravertebral blocks, the peculiarity of ESPB is the simple identification of the ultrasound landmark and the likely safe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transverse processes of the thoracic vertebrae and the erector spinae muscles are easily identified using a low-frequency curved-array transducer; the risk of pneumothorax is minimal because the transverse process acts as an anatomical barrier and avoids needle insertion to the </w:t>
      </w:r>
      <w:proofErr w:type="gramStart"/>
      <w:r>
        <w:rPr>
          <w:rFonts w:ascii="Book Antiqua" w:eastAsia="Book Antiqua" w:hAnsi="Book Antiqua" w:cs="Book Antiqua"/>
          <w:color w:val="000000"/>
        </w:rPr>
        <w:t>pleura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w:t>
      </w:r>
      <w:r>
        <w:rPr>
          <w:rFonts w:ascii="Book Antiqua" w:eastAsia="Book Antiqua" w:hAnsi="Book Antiqua" w:cs="Book Antiqua"/>
          <w:color w:val="000000"/>
        </w:rPr>
        <w:t xml:space="preserve">. The relatively superficial location of the ESP block, distant from any major blood vessels and nervous structures, also minimizes concerns regarding </w:t>
      </w:r>
      <w:r>
        <w:rPr>
          <w:rFonts w:ascii="Book Antiqua" w:eastAsia="Book Antiqua" w:hAnsi="Book Antiqua" w:cs="Book Antiqua"/>
          <w:color w:val="000000"/>
        </w:rPr>
        <w:lastRenderedPageBreak/>
        <w:t xml:space="preserve">anticoagulation and the development of a clinically significant </w:t>
      </w:r>
      <w:proofErr w:type="gramStart"/>
      <w:r>
        <w:rPr>
          <w:rFonts w:ascii="Book Antiqua" w:eastAsia="Book Antiqua" w:hAnsi="Book Antiqua" w:cs="Book Antiqua"/>
          <w:color w:val="000000"/>
        </w:rPr>
        <w:t>hematoma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capacity for extensive cranial-caudal spread allows it to be performed at a distance from the surgical field. This factor is in contrast to another recently described regional analgesic technique for spine surgery, the thoracolumbar </w:t>
      </w:r>
      <w:proofErr w:type="spellStart"/>
      <w:r>
        <w:rPr>
          <w:rFonts w:ascii="Book Antiqua" w:eastAsia="Book Antiqua" w:hAnsi="Book Antiqua" w:cs="Book Antiqua"/>
          <w:color w:val="000000"/>
        </w:rPr>
        <w:t>interfascial</w:t>
      </w:r>
      <w:proofErr w:type="spellEnd"/>
      <w:r>
        <w:rPr>
          <w:rFonts w:ascii="Book Antiqua" w:eastAsia="Book Antiqua" w:hAnsi="Book Antiqua" w:cs="Book Antiqua"/>
          <w:color w:val="000000"/>
        </w:rPr>
        <w:t xml:space="preserve"> plane block, which requires injection at a vertebral level congruent with the surgical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several limitations in our study. First, the effective analgesic time of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for peripheral nerve block is generally believed to be 5 to 8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We observed NRS scores at 24 h and 48 h post operation, while we did not observe NRS scores at 2-12 h post operation at shorter time intervals. Second, sensory testing was not performed for each patient to map the block area, which might have revealed the exact limits of the analgesic effect of the block. Third, the sample size was small to observe the side effects of ESPB.</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patients undergoing lumbar spine surgery, our study showed that ESPB at the T10 level improved pain control and reduced opioid consumption, while a previous randomized controlled study showed ESPB at the T12 level reduced opioid consumption, and another randomized controlled study performing ESPB at the L3 level observed lower pain scores and less opioid consumption</w:t>
      </w:r>
      <w:r>
        <w:rPr>
          <w:rFonts w:ascii="Book Antiqua" w:eastAsia="Book Antiqua" w:hAnsi="Book Antiqua" w:cs="Book Antiqua"/>
          <w:color w:val="000000"/>
          <w:vertAlign w:val="superscript"/>
        </w:rPr>
        <w:t>[21,22]</w:t>
      </w:r>
      <w:r>
        <w:rPr>
          <w:rFonts w:ascii="Book Antiqua" w:eastAsia="Book Antiqua" w:hAnsi="Book Antiqua" w:cs="Book Antiqua"/>
          <w:color w:val="000000"/>
        </w:rPr>
        <w:t>. ESPB is a very promising technique in perioperative analgesia for patients undergoing lumbar spine surgery, while there is no conclusion regarding how to choose a correct injection site and which concentration and volume of local anesthetics are optimal. We need additional research to improve the role of ESPB in the future.</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ESPB at the T10 vertebral level shows benefits over systemic multimodal analgesia in patients undergoing lumbar surgery. The analgesic benefits of ESPB can be attributed to the multimodal analgesia regimen, and we suggest the routine use of ESPB in lumbar surgery as a component of multimodal analgesia. Further clinical investigations, including prospective randomized controlled trials with a larger sample size, should be undertaken to clearly establish its efficacy in this setting.</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Patients undergoing lumbar spine surgery usually suffer severe pain in the postoperative period.</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erector spinae plane block (ESPB) can anesthetize the ventral and dorsal rami of thoracic nerves and produce an extensive multi-dermatomal sensory block. We proposed that ESPB at a lower thoracic level </w:t>
      </w:r>
      <w:r>
        <w:rPr>
          <w:rFonts w:ascii="Book Antiqua" w:eastAsia="宋体" w:hAnsi="Book Antiqua" w:cs="Book Antiqua" w:hint="eastAsia"/>
          <w:color w:val="000000"/>
          <w:lang w:eastAsia="zh-CN"/>
        </w:rPr>
        <w:t>could</w:t>
      </w:r>
      <w:r>
        <w:rPr>
          <w:rFonts w:ascii="Book Antiqua" w:eastAsia="Book Antiqua" w:hAnsi="Book Antiqua" w:cs="Book Antiqua"/>
          <w:color w:val="000000"/>
        </w:rPr>
        <w:t xml:space="preserve"> improve analgesia effect for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aimed to assess whether bilateral ultrasound-guided ESPB at a lower thoracic level could improve pain control and quality of recovery in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Patients scheduled to undergo lumbar spine surgery were randomly assigned to two groups: ESPB group (preoperative bilateral ultrasound-guided ESPB at T10 vertebral level) and control group (no preoperative ESPB). The main indicator was the duration to the first patient controlled intravenous analgesia (PCIA) bolus.</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ESPB group, the duration to the first PCIA bolus was significantly longer, resting and coughing NRS scores at 48 h post operation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the operation were significantly lower, Modified Observer’s Assessment of Alertness/Sedation score within 20 min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higher, and duration in the post-anesthesia care unit was shorter than those in the control group.</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In patients undergoing lumbar spine surgery, ultrasound-guided ESPB at a lower thoracic level improves the analgesic effect</w:t>
      </w:r>
      <w:r>
        <w:rPr>
          <w:rFonts w:ascii="Book Antiqua" w:hAnsi="Book Antiqua" w:cs="Book Antiqua"/>
          <w:color w:val="000000"/>
          <w:lang w:eastAsia="zh-CN"/>
        </w:rPr>
        <w:t xml:space="preserve">, </w:t>
      </w:r>
      <w:r>
        <w:rPr>
          <w:rFonts w:ascii="Book Antiqua" w:eastAsia="Book Antiqua" w:hAnsi="Book Antiqua" w:cs="Book Antiqua"/>
          <w:color w:val="000000"/>
        </w:rPr>
        <w:t>reduces opioid consumption, and improves postoperative recovery.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ESPB at the T10 vertebral level shows benefits over systemic multimodal analgesia in patients undergoing lumbar surgery. The analgesic benefits of ESPB can be attributed to the multimodal analgesia regimen.</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The authors are grateful to their colleagues in the Department of Anesthesia for their help.</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1C4DD1" w:rsidRDefault="00AD7687">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Baeriswyl</w:t>
      </w:r>
      <w:proofErr w:type="spellEnd"/>
      <w:r>
        <w:rPr>
          <w:rFonts w:ascii="Book Antiqua" w:hAnsi="Book Antiqua"/>
          <w:b/>
          <w:bCs/>
        </w:rPr>
        <w:t xml:space="preserve"> M</w:t>
      </w:r>
      <w:r>
        <w:rPr>
          <w:rFonts w:ascii="Book Antiqua" w:hAnsi="Book Antiqua"/>
        </w:rPr>
        <w:t xml:space="preserve">, Kirkham KR, Kern C, Albrecht E. The Analgesic Efficacy of Ultrasound-Guided Transversus Abdominis Plane Block in Adult Patients: A Meta-Analysis.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2015; </w:t>
      </w:r>
      <w:r>
        <w:rPr>
          <w:rFonts w:ascii="Book Antiqua" w:hAnsi="Book Antiqua"/>
          <w:b/>
          <w:bCs/>
        </w:rPr>
        <w:t>121</w:t>
      </w:r>
      <w:r>
        <w:rPr>
          <w:rFonts w:ascii="Book Antiqua" w:hAnsi="Book Antiqua"/>
        </w:rPr>
        <w:t>: 1640-1654 [PMID: 26397443 DOI: 10.1213/ANE.0000000000000967]</w:t>
      </w:r>
    </w:p>
    <w:p w:rsidR="001C4DD1" w:rsidRDefault="00AD7687">
      <w:pPr>
        <w:adjustRightInd w:val="0"/>
        <w:snapToGrid w:val="0"/>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Ökmen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Ökmen</w:t>
      </w:r>
      <w:proofErr w:type="spellEnd"/>
      <w:r>
        <w:rPr>
          <w:rFonts w:ascii="Book Antiqua" w:hAnsi="Book Antiqua"/>
        </w:rPr>
        <w:t xml:space="preserve"> BM. The efficacy of serratus anterior plane block in analgesia for thoracotomy: a retrospective study. </w:t>
      </w:r>
      <w:r>
        <w:rPr>
          <w:rFonts w:ascii="Book Antiqua" w:hAnsi="Book Antiqua"/>
          <w:i/>
          <w:iCs/>
        </w:rPr>
        <w:t xml:space="preserve">J </w:t>
      </w:r>
      <w:proofErr w:type="spellStart"/>
      <w:r>
        <w:rPr>
          <w:rFonts w:ascii="Book Antiqua" w:hAnsi="Book Antiqua"/>
          <w:i/>
          <w:iCs/>
        </w:rPr>
        <w:t>Anesth</w:t>
      </w:r>
      <w:proofErr w:type="spellEnd"/>
      <w:r>
        <w:rPr>
          <w:rFonts w:ascii="Book Antiqua" w:hAnsi="Book Antiqua"/>
        </w:rPr>
        <w:t xml:space="preserve"> 2017; </w:t>
      </w:r>
      <w:r>
        <w:rPr>
          <w:rFonts w:ascii="Book Antiqua" w:hAnsi="Book Antiqua"/>
          <w:b/>
          <w:bCs/>
        </w:rPr>
        <w:t>31</w:t>
      </w:r>
      <w:r>
        <w:rPr>
          <w:rFonts w:ascii="Book Antiqua" w:hAnsi="Book Antiqua"/>
        </w:rPr>
        <w:t>: 579-585 [PMID: 28447227 DOI: 10.1007/s00540-017-2364-9]</w:t>
      </w:r>
    </w:p>
    <w:p w:rsidR="001C4DD1" w:rsidRDefault="00AD7687">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Abdallah FW</w:t>
      </w:r>
      <w:r>
        <w:rPr>
          <w:rFonts w:ascii="Book Antiqua" w:hAnsi="Book Antiqua"/>
        </w:rPr>
        <w:t xml:space="preserve">, MacLean D, </w:t>
      </w:r>
      <w:proofErr w:type="spellStart"/>
      <w:r>
        <w:rPr>
          <w:rFonts w:ascii="Book Antiqua" w:hAnsi="Book Antiqua"/>
        </w:rPr>
        <w:t>Madjdpour</w:t>
      </w:r>
      <w:proofErr w:type="spellEnd"/>
      <w:r>
        <w:rPr>
          <w:rFonts w:ascii="Book Antiqua" w:hAnsi="Book Antiqua"/>
        </w:rPr>
        <w:t xml:space="preserve"> C, </w:t>
      </w:r>
      <w:proofErr w:type="spellStart"/>
      <w:r>
        <w:rPr>
          <w:rFonts w:ascii="Book Antiqua" w:hAnsi="Book Antiqua"/>
        </w:rPr>
        <w:t>Cil</w:t>
      </w:r>
      <w:proofErr w:type="spellEnd"/>
      <w:r>
        <w:rPr>
          <w:rFonts w:ascii="Book Antiqua" w:hAnsi="Book Antiqua"/>
        </w:rPr>
        <w:t xml:space="preserve"> T, Bhatia A, </w:t>
      </w:r>
      <w:proofErr w:type="spellStart"/>
      <w:r>
        <w:rPr>
          <w:rFonts w:ascii="Book Antiqua" w:hAnsi="Book Antiqua"/>
        </w:rPr>
        <w:t>Brull</w:t>
      </w:r>
      <w:proofErr w:type="spellEnd"/>
      <w:r>
        <w:rPr>
          <w:rFonts w:ascii="Book Antiqua" w:hAnsi="Book Antiqua"/>
        </w:rPr>
        <w:t xml:space="preserve"> R. Pectoralis and Serratus Fascial Plane Blocks Each Provide Early Analgesic Benefits Following Ambulatory Breast Cancer Surgery: A Retrospective Propensity-Matched Cohort Study.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2017; </w:t>
      </w:r>
      <w:r>
        <w:rPr>
          <w:rFonts w:ascii="Book Antiqua" w:hAnsi="Book Antiqua"/>
          <w:b/>
          <w:bCs/>
        </w:rPr>
        <w:t>125</w:t>
      </w:r>
      <w:r>
        <w:rPr>
          <w:rFonts w:ascii="Book Antiqua" w:hAnsi="Book Antiqua"/>
        </w:rPr>
        <w:t>: 294-302 [PMID: 28328756 DOI: 10.1213/ANE.0000000000001975]</w:t>
      </w:r>
    </w:p>
    <w:p w:rsidR="001C4DD1" w:rsidRDefault="00AD7687">
      <w:pPr>
        <w:adjustRightInd w:val="0"/>
        <w:snapToGrid w:val="0"/>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Forero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Adhikary</w:t>
      </w:r>
      <w:proofErr w:type="spellEnd"/>
      <w:r>
        <w:rPr>
          <w:rFonts w:ascii="Book Antiqua" w:hAnsi="Book Antiqua"/>
        </w:rPr>
        <w:t xml:space="preserve"> SD, Lopez H, </w:t>
      </w:r>
      <w:proofErr w:type="spellStart"/>
      <w:r>
        <w:rPr>
          <w:rFonts w:ascii="Book Antiqua" w:hAnsi="Book Antiqua"/>
        </w:rPr>
        <w:t>Tsui</w:t>
      </w:r>
      <w:proofErr w:type="spellEnd"/>
      <w:r>
        <w:rPr>
          <w:rFonts w:ascii="Book Antiqua" w:hAnsi="Book Antiqua"/>
        </w:rPr>
        <w:t xml:space="preserve"> C, Chin KJ. The Erector Spinae Plane Block: A Novel Analgesic Technique in Thoracic Neuropathic Pain.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2016; </w:t>
      </w:r>
      <w:r>
        <w:rPr>
          <w:rFonts w:ascii="Book Antiqua" w:hAnsi="Book Antiqua"/>
          <w:b/>
          <w:bCs/>
        </w:rPr>
        <w:t>41</w:t>
      </w:r>
      <w:r>
        <w:rPr>
          <w:rFonts w:ascii="Book Antiqua" w:hAnsi="Book Antiqua"/>
        </w:rPr>
        <w:t>: 621-627 [PMID: 27501016 DOI: 10.1097/AAP.0000000000000451]</w:t>
      </w:r>
    </w:p>
    <w:p w:rsidR="001C4DD1" w:rsidRDefault="00AD7687">
      <w:pPr>
        <w:adjustRightInd w:val="0"/>
        <w:snapToGrid w:val="0"/>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Agarwal S</w:t>
      </w:r>
      <w:r>
        <w:rPr>
          <w:rFonts w:ascii="Book Antiqua" w:hAnsi="Book Antiqua"/>
        </w:rPr>
        <w:t xml:space="preserve">, Nuttall GA, Johnson ME, Hanson AC, Oliver WC Jr. A prospective, randomized, blinded study of continuous </w:t>
      </w:r>
      <w:proofErr w:type="spellStart"/>
      <w:r>
        <w:rPr>
          <w:rFonts w:ascii="Book Antiqua" w:hAnsi="Book Antiqua"/>
        </w:rPr>
        <w:t>ropivacaine</w:t>
      </w:r>
      <w:proofErr w:type="spellEnd"/>
      <w:r>
        <w:rPr>
          <w:rFonts w:ascii="Book Antiqua" w:hAnsi="Book Antiqua"/>
        </w:rPr>
        <w:t xml:space="preserve"> infusion in the median sternotomy incision following cardiac surgery.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2013; </w:t>
      </w:r>
      <w:r>
        <w:rPr>
          <w:rFonts w:ascii="Book Antiqua" w:hAnsi="Book Antiqua"/>
          <w:b/>
          <w:bCs/>
        </w:rPr>
        <w:t>38</w:t>
      </w:r>
      <w:r>
        <w:rPr>
          <w:rFonts w:ascii="Book Antiqua" w:hAnsi="Book Antiqua"/>
        </w:rPr>
        <w:t>: 145-150 [PMID: 23386053 DOI: 10.1097/AAP.0b013e318281a348]</w:t>
      </w:r>
    </w:p>
    <w:p w:rsidR="001C4DD1" w:rsidRDefault="00AD7687">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Chin KJ</w:t>
      </w:r>
      <w:r>
        <w:rPr>
          <w:rFonts w:ascii="Book Antiqua" w:hAnsi="Book Antiqua"/>
        </w:rPr>
        <w:t xml:space="preserve">, </w:t>
      </w:r>
      <w:proofErr w:type="spellStart"/>
      <w:r>
        <w:rPr>
          <w:rFonts w:ascii="Book Antiqua" w:hAnsi="Book Antiqua"/>
        </w:rPr>
        <w:t>Adhikary</w:t>
      </w:r>
      <w:proofErr w:type="spellEnd"/>
      <w:r>
        <w:rPr>
          <w:rFonts w:ascii="Book Antiqua" w:hAnsi="Book Antiqua"/>
        </w:rPr>
        <w:t xml:space="preserve"> S, </w:t>
      </w:r>
      <w:proofErr w:type="spellStart"/>
      <w:r>
        <w:rPr>
          <w:rFonts w:ascii="Book Antiqua" w:hAnsi="Book Antiqua"/>
        </w:rPr>
        <w:t>Sarwani</w:t>
      </w:r>
      <w:proofErr w:type="spellEnd"/>
      <w:r>
        <w:rPr>
          <w:rFonts w:ascii="Book Antiqua" w:hAnsi="Book Antiqua"/>
        </w:rPr>
        <w:t xml:space="preserve"> N, </w:t>
      </w:r>
      <w:proofErr w:type="spellStart"/>
      <w:r>
        <w:rPr>
          <w:rFonts w:ascii="Book Antiqua" w:hAnsi="Book Antiqua"/>
        </w:rPr>
        <w:t>Forero</w:t>
      </w:r>
      <w:proofErr w:type="spellEnd"/>
      <w:r>
        <w:rPr>
          <w:rFonts w:ascii="Book Antiqua" w:hAnsi="Book Antiqua"/>
        </w:rPr>
        <w:t xml:space="preserve"> M. The analgesic efficacy of pre-operative bilateral erector spinae plane (ESP) blocks in patients having ventral hernia repair. </w:t>
      </w:r>
      <w:proofErr w:type="spellStart"/>
      <w:r>
        <w:rPr>
          <w:rFonts w:ascii="Book Antiqua" w:hAnsi="Book Antiqua"/>
          <w:i/>
          <w:iCs/>
        </w:rPr>
        <w:t>Anaesthesia</w:t>
      </w:r>
      <w:proofErr w:type="spellEnd"/>
      <w:r>
        <w:rPr>
          <w:rFonts w:ascii="Book Antiqua" w:hAnsi="Book Antiqua"/>
        </w:rPr>
        <w:t xml:space="preserve"> 2017; </w:t>
      </w:r>
      <w:r>
        <w:rPr>
          <w:rFonts w:ascii="Book Antiqua" w:hAnsi="Book Antiqua"/>
          <w:b/>
          <w:bCs/>
        </w:rPr>
        <w:t>72</w:t>
      </w:r>
      <w:r>
        <w:rPr>
          <w:rFonts w:ascii="Book Antiqua" w:hAnsi="Book Antiqua"/>
        </w:rPr>
        <w:t>: 452-460 [PMID: 28188621 DOI: 10.1111/anae.13814]</w:t>
      </w:r>
    </w:p>
    <w:p w:rsidR="001C4DD1" w:rsidRDefault="00AD7687">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Chin KJ</w:t>
      </w:r>
      <w:r>
        <w:rPr>
          <w:rFonts w:ascii="Book Antiqua" w:hAnsi="Book Antiqua"/>
        </w:rPr>
        <w:t xml:space="preserve">, </w:t>
      </w:r>
      <w:proofErr w:type="spellStart"/>
      <w:r>
        <w:rPr>
          <w:rFonts w:ascii="Book Antiqua" w:hAnsi="Book Antiqua"/>
        </w:rPr>
        <w:t>Malhas</w:t>
      </w:r>
      <w:proofErr w:type="spellEnd"/>
      <w:r>
        <w:rPr>
          <w:rFonts w:ascii="Book Antiqua" w:hAnsi="Book Antiqua"/>
        </w:rPr>
        <w:t xml:space="preserve"> L, </w:t>
      </w:r>
      <w:proofErr w:type="spellStart"/>
      <w:r>
        <w:rPr>
          <w:rFonts w:ascii="Book Antiqua" w:hAnsi="Book Antiqua"/>
        </w:rPr>
        <w:t>Perlas</w:t>
      </w:r>
      <w:proofErr w:type="spellEnd"/>
      <w:r>
        <w:rPr>
          <w:rFonts w:ascii="Book Antiqua" w:hAnsi="Book Antiqua"/>
        </w:rPr>
        <w:t xml:space="preserve"> A. The Erector Spinae Plane Block Provides Visceral Abdominal Analgesia in Bariatric Surgery: A Report of 3 Cases.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2017; </w:t>
      </w:r>
      <w:r>
        <w:rPr>
          <w:rFonts w:ascii="Book Antiqua" w:hAnsi="Book Antiqua"/>
          <w:b/>
          <w:bCs/>
        </w:rPr>
        <w:t>42</w:t>
      </w:r>
      <w:r>
        <w:rPr>
          <w:rFonts w:ascii="Book Antiqua" w:hAnsi="Book Antiqua"/>
        </w:rPr>
        <w:t>: 372-376 [PMID: 28272292 DOI: 10.1097/AAP.0000000000000581]</w:t>
      </w:r>
    </w:p>
    <w:p w:rsidR="001C4DD1" w:rsidRDefault="00AD7687">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Hamilton DL</w:t>
      </w:r>
      <w:r>
        <w:rPr>
          <w:rFonts w:ascii="Book Antiqua" w:hAnsi="Book Antiqua"/>
        </w:rPr>
        <w:t xml:space="preserve">, </w:t>
      </w:r>
      <w:proofErr w:type="spellStart"/>
      <w:r>
        <w:rPr>
          <w:rFonts w:ascii="Book Antiqua" w:hAnsi="Book Antiqua"/>
        </w:rPr>
        <w:t>Manickam</w:t>
      </w:r>
      <w:proofErr w:type="spellEnd"/>
      <w:r>
        <w:rPr>
          <w:rFonts w:ascii="Book Antiqua" w:hAnsi="Book Antiqua"/>
        </w:rPr>
        <w:t xml:space="preserve"> B. Erector spinae plane block for pain relief in rib fractures.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2017; </w:t>
      </w:r>
      <w:r>
        <w:rPr>
          <w:rFonts w:ascii="Book Antiqua" w:hAnsi="Book Antiqua"/>
          <w:b/>
          <w:bCs/>
        </w:rPr>
        <w:t>118</w:t>
      </w:r>
      <w:r>
        <w:rPr>
          <w:rFonts w:ascii="Book Antiqua" w:hAnsi="Book Antiqua"/>
        </w:rPr>
        <w:t>: 474-475 [PMID: 28203765 DOI: 10.1093/</w:t>
      </w:r>
      <w:proofErr w:type="spellStart"/>
      <w:r>
        <w:rPr>
          <w:rFonts w:ascii="Book Antiqua" w:hAnsi="Book Antiqua"/>
        </w:rPr>
        <w:t>bja</w:t>
      </w:r>
      <w:proofErr w:type="spellEnd"/>
      <w:r>
        <w:rPr>
          <w:rFonts w:ascii="Book Antiqua" w:hAnsi="Book Antiqua"/>
        </w:rPr>
        <w:t>/aex013]</w:t>
      </w:r>
    </w:p>
    <w:p w:rsidR="001C4DD1" w:rsidRDefault="00AD7687">
      <w:pPr>
        <w:adjustRightInd w:val="0"/>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Ueshima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Otake</w:t>
      </w:r>
      <w:proofErr w:type="spellEnd"/>
      <w:r>
        <w:rPr>
          <w:rFonts w:ascii="Book Antiqua" w:hAnsi="Book Antiqua"/>
        </w:rPr>
        <w:t xml:space="preserve"> H. Clinical experiences of ultrasound-guided erector spinae plane block for thoracic vertebra surgery.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2017; </w:t>
      </w:r>
      <w:r>
        <w:rPr>
          <w:rFonts w:ascii="Book Antiqua" w:hAnsi="Book Antiqua"/>
          <w:b/>
          <w:bCs/>
        </w:rPr>
        <w:t>38</w:t>
      </w:r>
      <w:r>
        <w:rPr>
          <w:rFonts w:ascii="Book Antiqua" w:hAnsi="Book Antiqua"/>
        </w:rPr>
        <w:t>: 137 [PMID: 28372654 DOI: 10.1016/j.jclinane.2016.12.028]</w:t>
      </w:r>
    </w:p>
    <w:p w:rsidR="001C4DD1" w:rsidRDefault="00AD7687">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Ivanusic</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Konishi</w:t>
      </w:r>
      <w:proofErr w:type="spellEnd"/>
      <w:r>
        <w:rPr>
          <w:rFonts w:ascii="Book Antiqua" w:hAnsi="Book Antiqua"/>
        </w:rPr>
        <w:t xml:space="preserve"> Y, Barrington MJ. A Cadaveric Study Investigating the Mechanism of Action of Erector Spinae Blockade.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2018; </w:t>
      </w:r>
      <w:r>
        <w:rPr>
          <w:rFonts w:ascii="Book Antiqua" w:hAnsi="Book Antiqua"/>
          <w:b/>
          <w:bCs/>
        </w:rPr>
        <w:t>43</w:t>
      </w:r>
      <w:r>
        <w:rPr>
          <w:rFonts w:ascii="Book Antiqua" w:hAnsi="Book Antiqua"/>
        </w:rPr>
        <w:t>: 567-571 [PMID: 29746445 DOI: 10.1097/AAP.0000000000000789]</w:t>
      </w:r>
    </w:p>
    <w:p w:rsidR="001C4DD1" w:rsidRDefault="00AD7687">
      <w:pPr>
        <w:adjustRightInd w:val="0"/>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Kose</w:t>
      </w:r>
      <w:proofErr w:type="spellEnd"/>
      <w:r>
        <w:rPr>
          <w:rFonts w:ascii="Book Antiqua" w:hAnsi="Book Antiqua"/>
          <w:b/>
          <w:bCs/>
        </w:rPr>
        <w:t xml:space="preserve"> HC</w:t>
      </w:r>
      <w:r>
        <w:rPr>
          <w:rFonts w:ascii="Book Antiqua" w:hAnsi="Book Antiqua"/>
        </w:rPr>
        <w:t xml:space="preserve">, </w:t>
      </w:r>
      <w:proofErr w:type="spellStart"/>
      <w:r>
        <w:rPr>
          <w:rFonts w:ascii="Book Antiqua" w:hAnsi="Book Antiqua"/>
        </w:rPr>
        <w:t>Kose</w:t>
      </w:r>
      <w:proofErr w:type="spellEnd"/>
      <w:r>
        <w:rPr>
          <w:rFonts w:ascii="Book Antiqua" w:hAnsi="Book Antiqua"/>
        </w:rPr>
        <w:t xml:space="preserve"> SG, Thomas DT. Lumbar versus thoracic erector spinae plane block: Similar nomenclature, different mechanism of action.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2018; </w:t>
      </w:r>
      <w:r>
        <w:rPr>
          <w:rFonts w:ascii="Book Antiqua" w:hAnsi="Book Antiqua"/>
          <w:b/>
          <w:bCs/>
        </w:rPr>
        <w:t>48</w:t>
      </w:r>
      <w:r>
        <w:rPr>
          <w:rFonts w:ascii="Book Antiqua" w:hAnsi="Book Antiqua"/>
        </w:rPr>
        <w:t>: 1 [PMID: 29649625 DOI: 10.1016/j.jclinane.2018.03.026]</w:t>
      </w:r>
    </w:p>
    <w:p w:rsidR="001C4DD1" w:rsidRDefault="00AD7687">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Almeida CR</w:t>
      </w:r>
      <w:r>
        <w:rPr>
          <w:rFonts w:ascii="Book Antiqua" w:hAnsi="Book Antiqua"/>
        </w:rPr>
        <w:t xml:space="preserve">, Oliveira AR, Cunha P. Continuous Bilateral Erector of Spine Plane Block at T8 for Extensive Lumbar Spine Fusion Surgery: Case Report. </w:t>
      </w:r>
      <w:r>
        <w:rPr>
          <w:rFonts w:ascii="Book Antiqua" w:hAnsi="Book Antiqua"/>
          <w:i/>
          <w:iCs/>
        </w:rPr>
        <w:t xml:space="preserve">Pain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19</w:t>
      </w:r>
      <w:r>
        <w:rPr>
          <w:rFonts w:ascii="Book Antiqua" w:hAnsi="Book Antiqua"/>
        </w:rPr>
        <w:t>: 536-540 [PMID: 30758122 DOI: 10.1111/papr.12774]</w:t>
      </w:r>
    </w:p>
    <w:p w:rsidR="001C4DD1" w:rsidRDefault="00AD7687">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Melvin JP</w:t>
      </w:r>
      <w:r>
        <w:rPr>
          <w:rFonts w:ascii="Book Antiqua" w:hAnsi="Book Antiqua"/>
        </w:rPr>
        <w:t xml:space="preserve">, </w:t>
      </w:r>
      <w:proofErr w:type="spellStart"/>
      <w:r>
        <w:rPr>
          <w:rFonts w:ascii="Book Antiqua" w:hAnsi="Book Antiqua"/>
        </w:rPr>
        <w:t>Schrot</w:t>
      </w:r>
      <w:proofErr w:type="spellEnd"/>
      <w:r>
        <w:rPr>
          <w:rFonts w:ascii="Book Antiqua" w:hAnsi="Book Antiqua"/>
        </w:rPr>
        <w:t xml:space="preserve"> RJ, Chu GM, Chin KJ. Low thoracic erector spinae plane block for perioperative analgesia in lumbosacral spine surgery: a case series. </w:t>
      </w:r>
      <w:r>
        <w:rPr>
          <w:rFonts w:ascii="Book Antiqua" w:hAnsi="Book Antiqua"/>
          <w:i/>
          <w:iCs/>
        </w:rPr>
        <w:t xml:space="preserve">Can J </w:t>
      </w:r>
      <w:proofErr w:type="spellStart"/>
      <w:r>
        <w:rPr>
          <w:rFonts w:ascii="Book Antiqua" w:hAnsi="Book Antiqua"/>
          <w:i/>
          <w:iCs/>
        </w:rPr>
        <w:t>Anaesth</w:t>
      </w:r>
      <w:proofErr w:type="spellEnd"/>
      <w:r>
        <w:rPr>
          <w:rFonts w:ascii="Book Antiqua" w:hAnsi="Book Antiqua"/>
        </w:rPr>
        <w:t xml:space="preserve"> 2018; </w:t>
      </w:r>
      <w:r>
        <w:rPr>
          <w:rFonts w:ascii="Book Antiqua" w:hAnsi="Book Antiqua"/>
          <w:b/>
          <w:bCs/>
        </w:rPr>
        <w:t>65</w:t>
      </w:r>
      <w:r>
        <w:rPr>
          <w:rFonts w:ascii="Book Antiqua" w:hAnsi="Book Antiqua"/>
        </w:rPr>
        <w:t>: 1057-1065 [PMID: 29704223 DOI: 10.1007/s12630-018-1145-8]</w:t>
      </w:r>
    </w:p>
    <w:p w:rsidR="001C4DD1" w:rsidRDefault="00AD7687">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Singh S</w:t>
      </w:r>
      <w:r>
        <w:rPr>
          <w:rFonts w:ascii="Book Antiqua" w:hAnsi="Book Antiqua"/>
        </w:rPr>
        <w:t xml:space="preserve">, </w:t>
      </w:r>
      <w:proofErr w:type="spellStart"/>
      <w:r>
        <w:rPr>
          <w:rFonts w:ascii="Book Antiqua" w:hAnsi="Book Antiqua"/>
        </w:rPr>
        <w:t>Choudhary</w:t>
      </w:r>
      <w:proofErr w:type="spellEnd"/>
      <w:r>
        <w:rPr>
          <w:rFonts w:ascii="Book Antiqua" w:hAnsi="Book Antiqua"/>
        </w:rPr>
        <w:t xml:space="preserve"> NK, </w:t>
      </w:r>
      <w:proofErr w:type="spellStart"/>
      <w:r>
        <w:rPr>
          <w:rFonts w:ascii="Book Antiqua" w:hAnsi="Book Antiqua"/>
        </w:rPr>
        <w:t>Lalin</w:t>
      </w:r>
      <w:proofErr w:type="spellEnd"/>
      <w:r>
        <w:rPr>
          <w:rFonts w:ascii="Book Antiqua" w:hAnsi="Book Antiqua"/>
        </w:rPr>
        <w:t xml:space="preserve"> D, </w:t>
      </w:r>
      <w:proofErr w:type="spellStart"/>
      <w:r>
        <w:rPr>
          <w:rFonts w:ascii="Book Antiqua" w:hAnsi="Book Antiqua"/>
        </w:rPr>
        <w:t>Verma</w:t>
      </w:r>
      <w:proofErr w:type="spellEnd"/>
      <w:r>
        <w:rPr>
          <w:rFonts w:ascii="Book Antiqua" w:hAnsi="Book Antiqua"/>
        </w:rPr>
        <w:t xml:space="preserve"> VK. Bilateral Ultrasound-guided Erector Spinae Plane Block for Postoperative Analgesia in Lumbar Spine Surgery: A </w:t>
      </w:r>
      <w:r>
        <w:rPr>
          <w:rFonts w:ascii="Book Antiqua" w:hAnsi="Book Antiqua"/>
        </w:rPr>
        <w:lastRenderedPageBreak/>
        <w:t xml:space="preserve">Randomized Control Trial. </w:t>
      </w:r>
      <w:r>
        <w:rPr>
          <w:rFonts w:ascii="Book Antiqua" w:hAnsi="Book Antiqua"/>
          <w:i/>
          <w:iCs/>
        </w:rPr>
        <w:t xml:space="preserve">J </w:t>
      </w:r>
      <w:proofErr w:type="spellStart"/>
      <w:r>
        <w:rPr>
          <w:rFonts w:ascii="Book Antiqua" w:hAnsi="Book Antiqua"/>
          <w:i/>
          <w:iCs/>
        </w:rPr>
        <w:t>Neurosurg</w:t>
      </w:r>
      <w:proofErr w:type="spellEnd"/>
      <w:r>
        <w:rPr>
          <w:rFonts w:ascii="Book Antiqua" w:hAnsi="Book Antiqua"/>
          <w:i/>
          <w:iCs/>
        </w:rPr>
        <w:t xml:space="preserve"> </w:t>
      </w:r>
      <w:proofErr w:type="spellStart"/>
      <w:r>
        <w:rPr>
          <w:rFonts w:ascii="Book Antiqua" w:hAnsi="Book Antiqua"/>
          <w:i/>
          <w:iCs/>
        </w:rPr>
        <w:t>Anesthesiol</w:t>
      </w:r>
      <w:proofErr w:type="spellEnd"/>
      <w:r>
        <w:rPr>
          <w:rFonts w:ascii="Book Antiqua" w:hAnsi="Book Antiqua"/>
        </w:rPr>
        <w:t xml:space="preserve"> 2020; </w:t>
      </w:r>
      <w:r>
        <w:rPr>
          <w:rFonts w:ascii="Book Antiqua" w:hAnsi="Book Antiqua"/>
          <w:b/>
          <w:bCs/>
        </w:rPr>
        <w:t>32</w:t>
      </w:r>
      <w:r>
        <w:rPr>
          <w:rFonts w:ascii="Book Antiqua" w:hAnsi="Book Antiqua"/>
        </w:rPr>
        <w:t>: 330-334 [PMID: 31033625 DOI: 10.1097/ANA.0000000000000603]</w:t>
      </w:r>
    </w:p>
    <w:p w:rsidR="001C4DD1" w:rsidRDefault="00AD7687">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Muñoz F</w:t>
      </w:r>
      <w:r>
        <w:rPr>
          <w:rFonts w:ascii="Book Antiqua" w:hAnsi="Book Antiqua"/>
        </w:rPr>
        <w:t xml:space="preserve">, </w:t>
      </w:r>
      <w:proofErr w:type="spellStart"/>
      <w:r>
        <w:rPr>
          <w:rFonts w:ascii="Book Antiqua" w:hAnsi="Book Antiqua"/>
        </w:rPr>
        <w:t>Cubillos</w:t>
      </w:r>
      <w:proofErr w:type="spellEnd"/>
      <w:r>
        <w:rPr>
          <w:rFonts w:ascii="Book Antiqua" w:hAnsi="Book Antiqua"/>
        </w:rPr>
        <w:t xml:space="preserve"> J, Bonilla AJ, Chin KJ. Erector spinae plane block for postoperative analgesia in pediatric oncological thoracic surgery. </w:t>
      </w:r>
      <w:r>
        <w:rPr>
          <w:rFonts w:ascii="Book Antiqua" w:hAnsi="Book Antiqua"/>
          <w:i/>
          <w:iCs/>
        </w:rPr>
        <w:t xml:space="preserve">Can J </w:t>
      </w:r>
      <w:proofErr w:type="spellStart"/>
      <w:r>
        <w:rPr>
          <w:rFonts w:ascii="Book Antiqua" w:hAnsi="Book Antiqua"/>
          <w:i/>
          <w:iCs/>
        </w:rPr>
        <w:t>Anaesth</w:t>
      </w:r>
      <w:proofErr w:type="spellEnd"/>
      <w:r>
        <w:rPr>
          <w:rFonts w:ascii="Book Antiqua" w:hAnsi="Book Antiqua"/>
        </w:rPr>
        <w:t xml:space="preserve"> 2017; </w:t>
      </w:r>
      <w:r>
        <w:rPr>
          <w:rFonts w:ascii="Book Antiqua" w:hAnsi="Book Antiqua"/>
          <w:b/>
          <w:bCs/>
        </w:rPr>
        <w:t>64</w:t>
      </w:r>
      <w:r>
        <w:rPr>
          <w:rFonts w:ascii="Book Antiqua" w:hAnsi="Book Antiqua"/>
        </w:rPr>
        <w:t>: 880-882 [PMID: 28447318 DOI: 10.1007/s12630-017-0894-0]</w:t>
      </w:r>
    </w:p>
    <w:p w:rsidR="001C4DD1" w:rsidRDefault="00AD7687">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El-</w:t>
      </w:r>
      <w:proofErr w:type="spellStart"/>
      <w:r>
        <w:rPr>
          <w:rFonts w:ascii="Book Antiqua" w:hAnsi="Book Antiqua"/>
          <w:b/>
          <w:bCs/>
        </w:rPr>
        <w:t>Boghdadly</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Pawa</w:t>
      </w:r>
      <w:proofErr w:type="spellEnd"/>
      <w:r>
        <w:rPr>
          <w:rFonts w:ascii="Book Antiqua" w:hAnsi="Book Antiqua"/>
        </w:rPr>
        <w:t xml:space="preserve"> A. The erector spinae plane block: </w:t>
      </w:r>
      <w:proofErr w:type="spellStart"/>
      <w:r>
        <w:rPr>
          <w:rFonts w:ascii="Book Antiqua" w:hAnsi="Book Antiqua"/>
        </w:rPr>
        <w:t>plane</w:t>
      </w:r>
      <w:proofErr w:type="spellEnd"/>
      <w:r>
        <w:rPr>
          <w:rFonts w:ascii="Book Antiqua" w:hAnsi="Book Antiqua"/>
        </w:rPr>
        <w:t xml:space="preserve"> and simple. </w:t>
      </w:r>
      <w:proofErr w:type="spellStart"/>
      <w:r>
        <w:rPr>
          <w:rFonts w:ascii="Book Antiqua" w:hAnsi="Book Antiqua"/>
          <w:i/>
          <w:iCs/>
        </w:rPr>
        <w:t>Anaesthesia</w:t>
      </w:r>
      <w:proofErr w:type="spellEnd"/>
      <w:r>
        <w:rPr>
          <w:rFonts w:ascii="Book Antiqua" w:hAnsi="Book Antiqua"/>
        </w:rPr>
        <w:t xml:space="preserve"> 2017; </w:t>
      </w:r>
      <w:r>
        <w:rPr>
          <w:rFonts w:ascii="Book Antiqua" w:hAnsi="Book Antiqua"/>
          <w:b/>
          <w:bCs/>
        </w:rPr>
        <w:t>72</w:t>
      </w:r>
      <w:r>
        <w:rPr>
          <w:rFonts w:ascii="Book Antiqua" w:hAnsi="Book Antiqua"/>
        </w:rPr>
        <w:t>: 434-438 [PMID: 28188611 DOI: 10.1111/anae.13830]</w:t>
      </w:r>
    </w:p>
    <w:p w:rsidR="001C4DD1" w:rsidRDefault="00AD7687">
      <w:pPr>
        <w:adjustRightInd w:val="0"/>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Gürkan</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Aksu</w:t>
      </w:r>
      <w:proofErr w:type="spellEnd"/>
      <w:r>
        <w:rPr>
          <w:rFonts w:ascii="Book Antiqua" w:hAnsi="Book Antiqua"/>
        </w:rPr>
        <w:t xml:space="preserve"> C, </w:t>
      </w:r>
      <w:proofErr w:type="spellStart"/>
      <w:r>
        <w:rPr>
          <w:rFonts w:ascii="Book Antiqua" w:hAnsi="Book Antiqua"/>
        </w:rPr>
        <w:t>Kuş</w:t>
      </w:r>
      <w:proofErr w:type="spellEnd"/>
      <w:r>
        <w:rPr>
          <w:rFonts w:ascii="Book Antiqua" w:hAnsi="Book Antiqua"/>
        </w:rPr>
        <w:t xml:space="preserve"> A, </w:t>
      </w:r>
      <w:proofErr w:type="spellStart"/>
      <w:r>
        <w:rPr>
          <w:rFonts w:ascii="Book Antiqua" w:hAnsi="Book Antiqua"/>
        </w:rPr>
        <w:t>Yörükoğlu</w:t>
      </w:r>
      <w:proofErr w:type="spellEnd"/>
      <w:r>
        <w:rPr>
          <w:rFonts w:ascii="Book Antiqua" w:hAnsi="Book Antiqua"/>
        </w:rPr>
        <w:t xml:space="preserve"> UH, </w:t>
      </w:r>
      <w:proofErr w:type="spellStart"/>
      <w:r>
        <w:rPr>
          <w:rFonts w:ascii="Book Antiqua" w:hAnsi="Book Antiqua"/>
        </w:rPr>
        <w:t>Kılıç</w:t>
      </w:r>
      <w:proofErr w:type="spellEnd"/>
      <w:r>
        <w:rPr>
          <w:rFonts w:ascii="Book Antiqua" w:hAnsi="Book Antiqua"/>
        </w:rPr>
        <w:t xml:space="preserve"> CT. Ultrasound guided erector spinae plane block reduces postoperative opioid consumption following breast surgery: A randomized controlled study.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2018; </w:t>
      </w:r>
      <w:r>
        <w:rPr>
          <w:rFonts w:ascii="Book Antiqua" w:hAnsi="Book Antiqua"/>
          <w:b/>
          <w:bCs/>
        </w:rPr>
        <w:t>50</w:t>
      </w:r>
      <w:r>
        <w:rPr>
          <w:rFonts w:ascii="Book Antiqua" w:hAnsi="Book Antiqua"/>
        </w:rPr>
        <w:t>: 65-68 [PMID: 29980005 DOI: 10.1016/j.jclinane.2018.06.033]</w:t>
      </w:r>
    </w:p>
    <w:p w:rsidR="001C4DD1" w:rsidRDefault="00AD7687">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Hand WR</w:t>
      </w:r>
      <w:r>
        <w:rPr>
          <w:rFonts w:ascii="Book Antiqua" w:hAnsi="Book Antiqua"/>
        </w:rPr>
        <w:t xml:space="preserve">, Taylor JM, Harvey NR, Epperson TI, </w:t>
      </w:r>
      <w:proofErr w:type="spellStart"/>
      <w:r>
        <w:rPr>
          <w:rFonts w:ascii="Book Antiqua" w:hAnsi="Book Antiqua"/>
        </w:rPr>
        <w:t>Gunselman</w:t>
      </w:r>
      <w:proofErr w:type="spellEnd"/>
      <w:r>
        <w:rPr>
          <w:rFonts w:ascii="Book Antiqua" w:hAnsi="Book Antiqua"/>
        </w:rPr>
        <w:t xml:space="preserve"> RJ, Bolin ED, </w:t>
      </w:r>
      <w:proofErr w:type="spellStart"/>
      <w:r>
        <w:rPr>
          <w:rFonts w:ascii="Book Antiqua" w:hAnsi="Book Antiqua"/>
        </w:rPr>
        <w:t>Whiteley</w:t>
      </w:r>
      <w:proofErr w:type="spellEnd"/>
      <w:r>
        <w:rPr>
          <w:rFonts w:ascii="Book Antiqua" w:hAnsi="Book Antiqua"/>
        </w:rPr>
        <w:t xml:space="preserve"> J. Thoracolumbar </w:t>
      </w:r>
      <w:proofErr w:type="spellStart"/>
      <w:r>
        <w:rPr>
          <w:rFonts w:ascii="Book Antiqua" w:hAnsi="Book Antiqua"/>
        </w:rPr>
        <w:t>interfascial</w:t>
      </w:r>
      <w:proofErr w:type="spellEnd"/>
      <w:r>
        <w:rPr>
          <w:rFonts w:ascii="Book Antiqua" w:hAnsi="Book Antiqua"/>
        </w:rPr>
        <w:t xml:space="preserve"> plane (TLIP) block: a pilot study in volunteers. </w:t>
      </w:r>
      <w:r>
        <w:rPr>
          <w:rFonts w:ascii="Book Antiqua" w:hAnsi="Book Antiqua"/>
          <w:i/>
          <w:iCs/>
        </w:rPr>
        <w:t xml:space="preserve">Can J </w:t>
      </w:r>
      <w:proofErr w:type="spellStart"/>
      <w:r>
        <w:rPr>
          <w:rFonts w:ascii="Book Antiqua" w:hAnsi="Book Antiqua"/>
          <w:i/>
          <w:iCs/>
        </w:rPr>
        <w:t>Anaesth</w:t>
      </w:r>
      <w:proofErr w:type="spellEnd"/>
      <w:r>
        <w:rPr>
          <w:rFonts w:ascii="Book Antiqua" w:hAnsi="Book Antiqua"/>
        </w:rPr>
        <w:t xml:space="preserve"> 2015; </w:t>
      </w:r>
      <w:r>
        <w:rPr>
          <w:rFonts w:ascii="Book Antiqua" w:hAnsi="Book Antiqua"/>
          <w:b/>
          <w:bCs/>
        </w:rPr>
        <w:t>62</w:t>
      </w:r>
      <w:r>
        <w:rPr>
          <w:rFonts w:ascii="Book Antiqua" w:hAnsi="Book Antiqua"/>
        </w:rPr>
        <w:t>: 1196-1200 [PMID: 26149600 DOI: 10.1007/s12630-015-0431-y]</w:t>
      </w:r>
    </w:p>
    <w:p w:rsidR="001C4DD1" w:rsidRDefault="00AD7687">
      <w:pPr>
        <w:adjustRightInd w:val="0"/>
        <w:snapToGrid w:val="0"/>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Ueshima</w:t>
      </w:r>
      <w:proofErr w:type="spellEnd"/>
      <w:r>
        <w:rPr>
          <w:rFonts w:ascii="Book Antiqua" w:hAnsi="Book Antiqua"/>
          <w:b/>
          <w:bCs/>
        </w:rPr>
        <w:t xml:space="preserve"> H</w:t>
      </w:r>
      <w:r>
        <w:rPr>
          <w:rFonts w:ascii="Book Antiqua" w:hAnsi="Book Antiqua"/>
        </w:rPr>
        <w:t xml:space="preserve">, Ozawa T, </w:t>
      </w:r>
      <w:proofErr w:type="spellStart"/>
      <w:r>
        <w:rPr>
          <w:rFonts w:ascii="Book Antiqua" w:hAnsi="Book Antiqua"/>
        </w:rPr>
        <w:t>Toyone</w:t>
      </w:r>
      <w:proofErr w:type="spellEnd"/>
      <w:r>
        <w:rPr>
          <w:rFonts w:ascii="Book Antiqua" w:hAnsi="Book Antiqua"/>
        </w:rPr>
        <w:t xml:space="preserve"> T, </w:t>
      </w:r>
      <w:proofErr w:type="spellStart"/>
      <w:r>
        <w:rPr>
          <w:rFonts w:ascii="Book Antiqua" w:hAnsi="Book Antiqua"/>
        </w:rPr>
        <w:t>Otake</w:t>
      </w:r>
      <w:proofErr w:type="spellEnd"/>
      <w:r>
        <w:rPr>
          <w:rFonts w:ascii="Book Antiqua" w:hAnsi="Book Antiqua"/>
        </w:rPr>
        <w:t xml:space="preserve"> H. Efficacy of the Thoracolumbar </w:t>
      </w:r>
      <w:proofErr w:type="spellStart"/>
      <w:r>
        <w:rPr>
          <w:rFonts w:ascii="Book Antiqua" w:hAnsi="Book Antiqua"/>
        </w:rPr>
        <w:t>Interfascial</w:t>
      </w:r>
      <w:proofErr w:type="spellEnd"/>
      <w:r>
        <w:rPr>
          <w:rFonts w:ascii="Book Antiqua" w:hAnsi="Book Antiqua"/>
        </w:rPr>
        <w:t xml:space="preserve"> Plane Block for Lumbar </w:t>
      </w:r>
      <w:proofErr w:type="spellStart"/>
      <w:r>
        <w:rPr>
          <w:rFonts w:ascii="Book Antiqua" w:hAnsi="Book Antiqua"/>
        </w:rPr>
        <w:t>Laminoplasty</w:t>
      </w:r>
      <w:proofErr w:type="spellEnd"/>
      <w:r>
        <w:rPr>
          <w:rFonts w:ascii="Book Antiqua" w:hAnsi="Book Antiqua"/>
        </w:rPr>
        <w:t xml:space="preserve">: A Retrospective Study. </w:t>
      </w:r>
      <w:r>
        <w:rPr>
          <w:rFonts w:ascii="Book Antiqua" w:hAnsi="Book Antiqua"/>
          <w:i/>
          <w:iCs/>
        </w:rPr>
        <w:t>Asian Spine J</w:t>
      </w:r>
      <w:r>
        <w:rPr>
          <w:rFonts w:ascii="Book Antiqua" w:hAnsi="Book Antiqua"/>
        </w:rPr>
        <w:t xml:space="preserve"> 2017; </w:t>
      </w:r>
      <w:r>
        <w:rPr>
          <w:rFonts w:ascii="Book Antiqua" w:hAnsi="Book Antiqua"/>
          <w:b/>
          <w:bCs/>
        </w:rPr>
        <w:t>11</w:t>
      </w:r>
      <w:r>
        <w:rPr>
          <w:rFonts w:ascii="Book Antiqua" w:hAnsi="Book Antiqua"/>
        </w:rPr>
        <w:t>: 722-725 [PMID: 29093781 DOI: 10.4184/asj.2017.11.5.722]</w:t>
      </w:r>
    </w:p>
    <w:p w:rsidR="001C4DD1" w:rsidRDefault="00AD7687">
      <w:pPr>
        <w:adjustRightInd w:val="0"/>
        <w:snapToGrid w:val="0"/>
        <w:spacing w:line="360" w:lineRule="auto"/>
        <w:jc w:val="both"/>
        <w:rPr>
          <w:rFonts w:ascii="Book Antiqua" w:hAnsi="Book Antiqua"/>
        </w:rPr>
      </w:pPr>
      <w:r w:rsidRPr="009F7FE1">
        <w:rPr>
          <w:rFonts w:ascii="Book Antiqua" w:hAnsi="Book Antiqua"/>
        </w:rPr>
        <w:t xml:space="preserve">20 </w:t>
      </w:r>
      <w:proofErr w:type="spellStart"/>
      <w:r w:rsidRPr="009F7FE1">
        <w:rPr>
          <w:rFonts w:ascii="Book Antiqua" w:hAnsi="Book Antiqua"/>
          <w:b/>
          <w:bCs/>
        </w:rPr>
        <w:t>Barash</w:t>
      </w:r>
      <w:proofErr w:type="spellEnd"/>
      <w:r w:rsidRPr="009F7FE1">
        <w:rPr>
          <w:rFonts w:ascii="Book Antiqua" w:hAnsi="Book Antiqua"/>
          <w:b/>
          <w:bCs/>
        </w:rPr>
        <w:t xml:space="preserve"> PG,</w:t>
      </w:r>
      <w:r w:rsidRPr="009F7FE1">
        <w:rPr>
          <w:rFonts w:ascii="Book Antiqua" w:hAnsi="Book Antiqua"/>
        </w:rPr>
        <w:t xml:space="preserve"> Cullen BF, </w:t>
      </w:r>
      <w:proofErr w:type="spellStart"/>
      <w:r w:rsidRPr="009F7FE1">
        <w:rPr>
          <w:rFonts w:ascii="Book Antiqua" w:hAnsi="Book Antiqua"/>
        </w:rPr>
        <w:t>Stoelting</w:t>
      </w:r>
      <w:proofErr w:type="spellEnd"/>
      <w:r w:rsidRPr="009F7FE1">
        <w:rPr>
          <w:rFonts w:ascii="Book Antiqua" w:hAnsi="Book Antiqua"/>
        </w:rPr>
        <w:t xml:space="preserve"> RK. Clinical Anesthesia, 5th edition. Philadelphia: Lippincott Williams &amp; Wilkins, 2006: 463</w:t>
      </w:r>
    </w:p>
    <w:p w:rsidR="001C4DD1" w:rsidRDefault="00AD7687">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Zhang TJ</w:t>
      </w:r>
      <w:r>
        <w:rPr>
          <w:rFonts w:ascii="Book Antiqua" w:hAnsi="Book Antiqua"/>
        </w:rPr>
        <w:t xml:space="preserve">, Zhang JJ, Qu ZY, Zhang HY, </w:t>
      </w:r>
      <w:proofErr w:type="spellStart"/>
      <w:r>
        <w:rPr>
          <w:rFonts w:ascii="Book Antiqua" w:hAnsi="Book Antiqua"/>
        </w:rPr>
        <w:t>Qiu</w:t>
      </w:r>
      <w:proofErr w:type="spellEnd"/>
      <w:r>
        <w:rPr>
          <w:rFonts w:ascii="Book Antiqua" w:hAnsi="Book Antiqua"/>
        </w:rPr>
        <w:t xml:space="preserve"> Y, Hua Z. Bilateral Erector Spinae Plane Blocks for Open Posterior Lumbar Surgery. </w:t>
      </w:r>
      <w:r>
        <w:rPr>
          <w:rFonts w:ascii="Book Antiqua" w:hAnsi="Book Antiqua"/>
          <w:i/>
          <w:iCs/>
        </w:rPr>
        <w:t>J Pain Res</w:t>
      </w:r>
      <w:r>
        <w:rPr>
          <w:rFonts w:ascii="Book Antiqua" w:hAnsi="Book Antiqua"/>
        </w:rPr>
        <w:t xml:space="preserve"> 2020; </w:t>
      </w:r>
      <w:r>
        <w:rPr>
          <w:rFonts w:ascii="Book Antiqua" w:hAnsi="Book Antiqua"/>
          <w:b/>
          <w:bCs/>
        </w:rPr>
        <w:t>13</w:t>
      </w:r>
      <w:r>
        <w:rPr>
          <w:rFonts w:ascii="Book Antiqua" w:hAnsi="Book Antiqua"/>
        </w:rPr>
        <w:t>: 709-717 [PMID: 32308470 DOI: 10.2147/JPR.S248171]</w:t>
      </w:r>
    </w:p>
    <w:p w:rsidR="001C4DD1" w:rsidRDefault="00AD7687">
      <w:pPr>
        <w:adjustRightInd w:val="0"/>
        <w:snapToGrid w:val="0"/>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Yayik</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Cesur</w:t>
      </w:r>
      <w:proofErr w:type="spellEnd"/>
      <w:r>
        <w:rPr>
          <w:rFonts w:ascii="Book Antiqua" w:hAnsi="Book Antiqua"/>
        </w:rPr>
        <w:t xml:space="preserve"> S, </w:t>
      </w:r>
      <w:proofErr w:type="spellStart"/>
      <w:r>
        <w:rPr>
          <w:rFonts w:ascii="Book Antiqua" w:hAnsi="Book Antiqua"/>
        </w:rPr>
        <w:t>Ozturk</w:t>
      </w:r>
      <w:proofErr w:type="spellEnd"/>
      <w:r>
        <w:rPr>
          <w:rFonts w:ascii="Book Antiqua" w:hAnsi="Book Antiqua"/>
        </w:rPr>
        <w:t xml:space="preserve"> F, </w:t>
      </w:r>
      <w:proofErr w:type="spellStart"/>
      <w:r>
        <w:rPr>
          <w:rFonts w:ascii="Book Antiqua" w:hAnsi="Book Antiqua"/>
        </w:rPr>
        <w:t>Ahiskalioglu</w:t>
      </w:r>
      <w:proofErr w:type="spellEnd"/>
      <w:r>
        <w:rPr>
          <w:rFonts w:ascii="Book Antiqua" w:hAnsi="Book Antiqua"/>
        </w:rPr>
        <w:t xml:space="preserve"> A, Ay AN, </w:t>
      </w:r>
      <w:proofErr w:type="spellStart"/>
      <w:r>
        <w:rPr>
          <w:rFonts w:ascii="Book Antiqua" w:hAnsi="Book Antiqua"/>
        </w:rPr>
        <w:t>Celik</w:t>
      </w:r>
      <w:proofErr w:type="spellEnd"/>
      <w:r>
        <w:rPr>
          <w:rFonts w:ascii="Book Antiqua" w:hAnsi="Book Antiqua"/>
        </w:rPr>
        <w:t xml:space="preserve"> EC, </w:t>
      </w:r>
      <w:proofErr w:type="spellStart"/>
      <w:r>
        <w:rPr>
          <w:rFonts w:ascii="Book Antiqua" w:hAnsi="Book Antiqua"/>
        </w:rPr>
        <w:t>Karaavci</w:t>
      </w:r>
      <w:proofErr w:type="spellEnd"/>
      <w:r>
        <w:rPr>
          <w:rFonts w:ascii="Book Antiqua" w:hAnsi="Book Antiqua"/>
        </w:rPr>
        <w:t xml:space="preserve"> NC. Postoperative Analgesic Efficacy of the Ultrasound-Guided Erector Spinae Plane Block in Patients Undergoing Lumbar Spinal Decompression Surgery: A Randomized Controlled Study. </w:t>
      </w:r>
      <w:r>
        <w:rPr>
          <w:rFonts w:ascii="Book Antiqua" w:hAnsi="Book Antiqua"/>
          <w:i/>
          <w:iCs/>
        </w:rPr>
        <w:t xml:space="preserve">World </w:t>
      </w:r>
      <w:proofErr w:type="spellStart"/>
      <w:r>
        <w:rPr>
          <w:rFonts w:ascii="Book Antiqua" w:hAnsi="Book Antiqua"/>
          <w:i/>
          <w:iCs/>
        </w:rPr>
        <w:t>Neurosurg</w:t>
      </w:r>
      <w:proofErr w:type="spellEnd"/>
      <w:r>
        <w:rPr>
          <w:rFonts w:ascii="Book Antiqua" w:hAnsi="Book Antiqua"/>
        </w:rPr>
        <w:t xml:space="preserve"> 2019; </w:t>
      </w:r>
      <w:r>
        <w:rPr>
          <w:rFonts w:ascii="Book Antiqua" w:hAnsi="Book Antiqua"/>
          <w:b/>
          <w:bCs/>
        </w:rPr>
        <w:t>126</w:t>
      </w:r>
      <w:r>
        <w:rPr>
          <w:rFonts w:ascii="Book Antiqua" w:hAnsi="Book Antiqua"/>
        </w:rPr>
        <w:t>: e779-e785 [PMID: 30853517 DOI: 10.1016/j.wneu.2019.02.149]</w:t>
      </w:r>
    </w:p>
    <w:p w:rsidR="001C4DD1" w:rsidRDefault="001C4DD1">
      <w:pPr>
        <w:adjustRightInd w:val="0"/>
        <w:snapToGrid w:val="0"/>
        <w:spacing w:line="360" w:lineRule="auto"/>
        <w:jc w:val="both"/>
        <w:rPr>
          <w:rFonts w:ascii="Book Antiqua" w:hAnsi="Book Antiqua"/>
        </w:rPr>
      </w:pPr>
    </w:p>
    <w:p w:rsidR="001C4DD1" w:rsidRDefault="001C4DD1">
      <w:pPr>
        <w:adjustRightInd w:val="0"/>
        <w:snapToGrid w:val="0"/>
        <w:spacing w:line="360" w:lineRule="auto"/>
        <w:jc w:val="both"/>
        <w:rPr>
          <w:rFonts w:ascii="Book Antiqua" w:hAnsi="Book Antiqua"/>
        </w:rPr>
        <w:sectPr w:rsidR="001C4DD1">
          <w:pgSz w:w="12240" w:h="15840"/>
          <w:pgMar w:top="1440" w:right="1440" w:bottom="1440" w:left="1440" w:header="720" w:footer="720" w:gutter="0"/>
          <w:cols w:space="720"/>
          <w:docGrid w:linePitch="360"/>
        </w:sect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was approved by the Beijing Hospital Medical Ethics Committee (2018BJYYEC-011-01).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 xml:space="preserve">The protocol was registered with the Chinese Clinical Trial Registry at chictr.org.cn (ChiCTR1800015002). </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An informed consent form was signed by each patient or their legal guardian before enrollment. </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declared.</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Pr>
          <w:rFonts w:ascii="Book Antiqua" w:eastAsia="宋体" w:hAnsi="Book Antiqua" w:cs="宋体"/>
          <w:color w:val="000000"/>
          <w:shd w:val="clear" w:color="auto" w:fill="FFFFFF"/>
          <w:lang w:eastAsia="zh-CN"/>
        </w:rPr>
        <w: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13,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sidR="001C5BF9" w:rsidRPr="00B647AD">
        <w:rPr>
          <w:rFonts w:ascii="Book Antiqua" w:eastAsia="Book Antiqua" w:hAnsi="Book Antiqua" w:cs="Book Antiqua"/>
          <w:color w:val="000000" w:themeColor="text1"/>
        </w:rPr>
        <w:t>May 19, 2021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Nagata K</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1C5BF9" w:rsidRPr="001C5BF9">
        <w:rPr>
          <w:rFonts w:ascii="Book Antiqua" w:eastAsia="Book Antiqua" w:hAnsi="Book Antiqua" w:cs="Book Antiqua"/>
          <w:color w:val="000000"/>
        </w:rPr>
        <w:t>Xing YX</w:t>
      </w:r>
    </w:p>
    <w:p w:rsidR="001C4DD1" w:rsidRDefault="001C4DD1">
      <w:pPr>
        <w:adjustRightInd w:val="0"/>
        <w:snapToGrid w:val="0"/>
        <w:spacing w:line="360" w:lineRule="auto"/>
        <w:jc w:val="both"/>
        <w:rPr>
          <w:rFonts w:ascii="Book Antiqua" w:hAnsi="Book Antiqua"/>
        </w:rPr>
        <w:sectPr w:rsidR="001C4DD1">
          <w:pgSz w:w="12240" w:h="15840"/>
          <w:pgMar w:top="1440" w:right="1440" w:bottom="1440" w:left="1440" w:header="720" w:footer="720" w:gutter="0"/>
          <w:cols w:space="720"/>
          <w:docGrid w:linePitch="360"/>
        </w:sect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1C4DD1" w:rsidRDefault="001C4DD1">
      <w:pPr>
        <w:adjustRightInd w:val="0"/>
        <w:snapToGrid w:val="0"/>
        <w:spacing w:line="360" w:lineRule="auto"/>
        <w:jc w:val="both"/>
        <w:rPr>
          <w:rFonts w:ascii="Book Antiqua" w:eastAsia="Book Antiqua" w:hAnsi="Book Antiqua" w:cs="Book Antiqua"/>
          <w:b/>
          <w:bCs/>
          <w:color w:val="000000"/>
        </w:rPr>
      </w:pPr>
    </w:p>
    <w:p w:rsidR="001C4DD1" w:rsidRDefault="00AD7687">
      <w:pPr>
        <w:adjustRightInd w:val="0"/>
        <w:snapToGrid w:val="0"/>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extent cx="5943600" cy="483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4838700"/>
                    </a:xfrm>
                    <a:prstGeom prst="rect">
                      <a:avLst/>
                    </a:prstGeom>
                  </pic:spPr>
                </pic:pic>
              </a:graphicData>
            </a:graphic>
          </wp:inline>
        </w:drawing>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Research flow chart. </w:t>
      </w:r>
      <w:r>
        <w:rPr>
          <w:rFonts w:ascii="Book Antiqua" w:eastAsia="Book Antiqua" w:hAnsi="Book Antiqua" w:cs="Book Antiqua"/>
          <w:color w:val="000000"/>
        </w:rPr>
        <w:t>ESPB: Erector spinae plane block; PCIA: Patient controlled intravenous analgesia.</w:t>
      </w:r>
    </w:p>
    <w:p w:rsidR="001C4DD1" w:rsidRDefault="001C4DD1">
      <w:pPr>
        <w:adjustRightInd w:val="0"/>
        <w:snapToGrid w:val="0"/>
        <w:spacing w:line="360" w:lineRule="auto"/>
        <w:jc w:val="both"/>
        <w:rPr>
          <w:rFonts w:ascii="Book Antiqua" w:eastAsia="Book Antiqua" w:hAnsi="Book Antiqua" w:cs="Book Antiqua"/>
          <w:color w:val="000000"/>
        </w:rPr>
      </w:pPr>
    </w:p>
    <w:p w:rsidR="001C4DD1" w:rsidRDefault="00AD7687">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Table 1 Baseline demographics and characteristics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147"/>
        <w:gridCol w:w="2478"/>
        <w:gridCol w:w="2017"/>
      </w:tblGrid>
      <w:tr w:rsidR="001C4DD1">
        <w:tc>
          <w:tcPr>
            <w:tcW w:w="1532" w:type="pct"/>
            <w:tcBorders>
              <w:top w:val="single" w:sz="4" w:space="0" w:color="auto"/>
              <w:bottom w:val="single" w:sz="4" w:space="0" w:color="auto"/>
            </w:tcBorders>
          </w:tcPr>
          <w:p w:rsidR="001C4DD1" w:rsidRDefault="001C4DD1">
            <w:pPr>
              <w:adjustRightInd w:val="0"/>
              <w:snapToGrid w:val="0"/>
              <w:spacing w:line="360" w:lineRule="auto"/>
              <w:jc w:val="both"/>
              <w:rPr>
                <w:rFonts w:ascii="Book Antiqua" w:hAnsi="Book Antiqua"/>
                <w:b/>
                <w:bCs/>
                <w:lang w:eastAsia="zh-CN"/>
              </w:rPr>
            </w:pPr>
          </w:p>
        </w:tc>
        <w:tc>
          <w:tcPr>
            <w:tcW w:w="1121"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lang w:eastAsia="zh-CN"/>
              </w:rPr>
            </w:pPr>
            <w:r>
              <w:rPr>
                <w:rFonts w:ascii="Book Antiqua" w:hAnsi="Book Antiqua"/>
                <w:b/>
                <w:bCs/>
                <w:lang w:eastAsia="zh-CN"/>
              </w:rPr>
              <w:t>ESPB group (</w:t>
            </w:r>
            <w:r>
              <w:rPr>
                <w:rFonts w:ascii="Book Antiqua" w:hAnsi="Book Antiqua"/>
                <w:b/>
                <w:bCs/>
                <w:i/>
                <w:iCs/>
                <w:lang w:eastAsia="zh-CN"/>
              </w:rPr>
              <w:t>n</w:t>
            </w:r>
            <w:r>
              <w:rPr>
                <w:rFonts w:ascii="Book Antiqua" w:hAnsi="Book Antiqua"/>
                <w:b/>
                <w:bCs/>
                <w:lang w:eastAsia="zh-CN"/>
              </w:rPr>
              <w:t xml:space="preserve"> = 30)</w:t>
            </w:r>
          </w:p>
        </w:tc>
        <w:tc>
          <w:tcPr>
            <w:tcW w:w="1294"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lang w:eastAsia="zh-CN"/>
              </w:rPr>
            </w:pPr>
            <w:r>
              <w:rPr>
                <w:rFonts w:ascii="Book Antiqua" w:hAnsi="Book Antiqua"/>
                <w:b/>
                <w:bCs/>
                <w:lang w:eastAsia="zh-CN"/>
              </w:rPr>
              <w:t>Control group (</w:t>
            </w:r>
            <w:r>
              <w:rPr>
                <w:rFonts w:ascii="Book Antiqua" w:hAnsi="Book Antiqua"/>
                <w:b/>
                <w:bCs/>
                <w:i/>
                <w:iCs/>
                <w:lang w:eastAsia="zh-CN"/>
              </w:rPr>
              <w:t>n</w:t>
            </w:r>
            <w:r>
              <w:rPr>
                <w:rFonts w:ascii="Book Antiqua" w:hAnsi="Book Antiqua"/>
                <w:b/>
                <w:bCs/>
                <w:lang w:eastAsia="zh-CN"/>
              </w:rPr>
              <w:t xml:space="preserve"> = 29)</w:t>
            </w:r>
          </w:p>
        </w:tc>
        <w:tc>
          <w:tcPr>
            <w:tcW w:w="1053"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1C4DD1">
        <w:tc>
          <w:tcPr>
            <w:tcW w:w="1532" w:type="pct"/>
            <w:tcBorders>
              <w:top w:val="single" w:sz="4" w:space="0" w:color="auto"/>
            </w:tcBorders>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Sex (Male/Female)</w:t>
            </w:r>
          </w:p>
        </w:tc>
        <w:tc>
          <w:tcPr>
            <w:tcW w:w="1121" w:type="pct"/>
            <w:tcBorders>
              <w:top w:val="single" w:sz="4" w:space="0" w:color="auto"/>
            </w:tcBorders>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13/17</w:t>
            </w:r>
          </w:p>
        </w:tc>
        <w:tc>
          <w:tcPr>
            <w:tcW w:w="1294" w:type="pct"/>
            <w:tcBorders>
              <w:top w:val="single" w:sz="4" w:space="0" w:color="auto"/>
            </w:tcBorders>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8/21</w:t>
            </w:r>
          </w:p>
        </w:tc>
        <w:tc>
          <w:tcPr>
            <w:tcW w:w="1053" w:type="pct"/>
            <w:tcBorders>
              <w:top w:val="single" w:sz="4" w:space="0" w:color="auto"/>
            </w:tcBorders>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0.207</w:t>
            </w:r>
          </w:p>
        </w:tc>
      </w:tr>
      <w:tr w:rsidR="001C4DD1">
        <w:tc>
          <w:tcPr>
            <w:tcW w:w="1532"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 xml:space="preserve">Age, </w:t>
            </w:r>
            <w:proofErr w:type="spellStart"/>
            <w:r>
              <w:rPr>
                <w:rFonts w:ascii="Book Antiqua" w:hAnsi="Book Antiqua"/>
                <w:lang w:eastAsia="zh-CN"/>
              </w:rPr>
              <w:t>yr</w:t>
            </w:r>
            <w:proofErr w:type="spellEnd"/>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61 ± 12</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64 ± 10</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0.364</w:t>
            </w:r>
          </w:p>
        </w:tc>
      </w:tr>
      <w:tr w:rsidR="001C4DD1">
        <w:tc>
          <w:tcPr>
            <w:tcW w:w="1532"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Height, cm</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165 ± 9</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163 ± 8</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0.284</w:t>
            </w:r>
          </w:p>
        </w:tc>
      </w:tr>
      <w:tr w:rsidR="001C4DD1">
        <w:tc>
          <w:tcPr>
            <w:tcW w:w="1532"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Weight, kg</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70 ± 9</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66 ± 9</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0.146</w:t>
            </w:r>
          </w:p>
        </w:tc>
      </w:tr>
      <w:tr w:rsidR="001C4DD1">
        <w:tc>
          <w:tcPr>
            <w:tcW w:w="1532"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ASA (I/II/III)</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11/16/3</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6/17/6</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0.283</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Preoperative resting NRS</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4 (3-5)</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4 (3-5)</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0.871</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Preoperative moving NRS</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6 (5-7)</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5 (4-7)</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0.195</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Surgery segment</w:t>
            </w:r>
          </w:p>
        </w:tc>
        <w:tc>
          <w:tcPr>
            <w:tcW w:w="1121" w:type="pct"/>
          </w:tcPr>
          <w:p w:rsidR="001C4DD1" w:rsidRDefault="001C4DD1">
            <w:pPr>
              <w:adjustRightInd w:val="0"/>
              <w:snapToGrid w:val="0"/>
              <w:spacing w:line="360" w:lineRule="auto"/>
              <w:jc w:val="both"/>
              <w:rPr>
                <w:rFonts w:ascii="Book Antiqua" w:hAnsi="Book Antiqua"/>
                <w:lang w:eastAsia="zh-CN"/>
              </w:rPr>
            </w:pPr>
          </w:p>
        </w:tc>
        <w:tc>
          <w:tcPr>
            <w:tcW w:w="1294" w:type="pct"/>
          </w:tcPr>
          <w:p w:rsidR="001C4DD1" w:rsidRDefault="001C4DD1">
            <w:pPr>
              <w:adjustRightInd w:val="0"/>
              <w:snapToGrid w:val="0"/>
              <w:spacing w:line="360" w:lineRule="auto"/>
              <w:jc w:val="both"/>
              <w:rPr>
                <w:rFonts w:ascii="Book Antiqua" w:hAnsi="Book Antiqua"/>
                <w:lang w:eastAsia="zh-CN"/>
              </w:rPr>
            </w:pPr>
          </w:p>
        </w:tc>
        <w:tc>
          <w:tcPr>
            <w:tcW w:w="1053" w:type="pct"/>
          </w:tcPr>
          <w:p w:rsidR="001C4DD1" w:rsidRDefault="001C4DD1">
            <w:pPr>
              <w:adjustRightInd w:val="0"/>
              <w:snapToGrid w:val="0"/>
              <w:spacing w:line="360" w:lineRule="auto"/>
              <w:jc w:val="both"/>
              <w:rPr>
                <w:rFonts w:ascii="Book Antiqua" w:hAnsi="Book Antiqua"/>
                <w:lang w:eastAsia="zh-CN"/>
              </w:rPr>
            </w:pP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T12</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 (3.3)</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 (6.9)</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0.557</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L1</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 (6.7)</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3 (10.3)</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0.643</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L2</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5 (16.7)</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8 (27.6)</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0.351</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L3</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17 (56.7)</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24 (82.8)</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0.054</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L4</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27 (90.0)</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28 (96.6)</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0.643</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L5</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28 (93.3)</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28 (96.6)</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1.000</w:t>
            </w:r>
          </w:p>
        </w:tc>
      </w:tr>
      <w:tr w:rsidR="001C4DD1">
        <w:tc>
          <w:tcPr>
            <w:tcW w:w="1532" w:type="pct"/>
            <w:vAlign w:val="center"/>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S1</w:t>
            </w:r>
          </w:p>
        </w:tc>
        <w:tc>
          <w:tcPr>
            <w:tcW w:w="1121"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14 (46.7)</w:t>
            </w:r>
          </w:p>
        </w:tc>
        <w:tc>
          <w:tcPr>
            <w:tcW w:w="1294"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13 (44.8)</w:t>
            </w:r>
          </w:p>
        </w:tc>
        <w:tc>
          <w:tcPr>
            <w:tcW w:w="1053" w:type="pct"/>
          </w:tcPr>
          <w:p w:rsidR="001C4DD1" w:rsidRDefault="00AD7687">
            <w:pPr>
              <w:adjustRightInd w:val="0"/>
              <w:snapToGrid w:val="0"/>
              <w:spacing w:line="360" w:lineRule="auto"/>
              <w:jc w:val="both"/>
              <w:rPr>
                <w:rFonts w:ascii="Book Antiqua" w:hAnsi="Book Antiqua"/>
                <w:lang w:eastAsia="zh-CN"/>
              </w:rPr>
            </w:pPr>
            <w:r>
              <w:rPr>
                <w:rFonts w:ascii="Book Antiqua" w:hAnsi="Book Antiqua"/>
                <w:lang w:eastAsia="zh-CN"/>
              </w:rPr>
              <w:t>0.797</w:t>
            </w:r>
          </w:p>
        </w:tc>
      </w:tr>
    </w:tbl>
    <w:p w:rsidR="001C4DD1" w:rsidRDefault="00AD7687">
      <w:pPr>
        <w:adjustRightInd w:val="0"/>
        <w:snapToGrid w:val="0"/>
        <w:spacing w:line="360" w:lineRule="auto"/>
        <w:jc w:val="both"/>
        <w:rPr>
          <w:rFonts w:ascii="Book Antiqua" w:hAnsi="Book Antiqua"/>
        </w:rPr>
      </w:pPr>
      <w:r>
        <w:rPr>
          <w:rFonts w:ascii="Book Antiqua" w:hAnsi="Book Antiqua"/>
        </w:rPr>
        <w:t xml:space="preserve">Results are presented as the mean ± SD, median (interquartile range), or </w:t>
      </w:r>
      <w:r>
        <w:rPr>
          <w:rFonts w:ascii="Book Antiqua" w:hAnsi="Book Antiqua"/>
          <w:i/>
          <w:iCs/>
        </w:rPr>
        <w:t>n</w:t>
      </w:r>
      <w:r>
        <w:rPr>
          <w:rFonts w:ascii="Book Antiqua" w:hAnsi="Book Antiqua"/>
        </w:rPr>
        <w:t xml:space="preserve"> (%). ESPB: Erector spinae plane block</w:t>
      </w:r>
      <w:r>
        <w:rPr>
          <w:rFonts w:ascii="Book Antiqua" w:hAnsi="Book Antiqua" w:hint="eastAsia"/>
          <w:lang w:eastAsia="zh-CN"/>
        </w:rPr>
        <w:t>;</w:t>
      </w:r>
      <w:r>
        <w:rPr>
          <w:rFonts w:ascii="Book Antiqua" w:hAnsi="Book Antiqua"/>
          <w:lang w:eastAsia="zh-CN"/>
        </w:rPr>
        <w:t xml:space="preserve"> NRS: </w:t>
      </w:r>
      <w:r>
        <w:rPr>
          <w:rFonts w:ascii="Book Antiqua" w:eastAsia="Book Antiqua" w:hAnsi="Book Antiqua" w:cs="Book Antiqua"/>
          <w:color w:val="000000"/>
        </w:rPr>
        <w:t>Numerical rating scale; ASA: American Society of Anesthesiologists</w:t>
      </w:r>
      <w:r>
        <w:rPr>
          <w:rFonts w:ascii="Book Antiqua" w:hAnsi="Book Antiqua"/>
        </w:rPr>
        <w:t>.</w:t>
      </w:r>
    </w:p>
    <w:p w:rsidR="001C4DD1" w:rsidRDefault="00AD7687">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Intraoperative variables</w:t>
      </w:r>
    </w:p>
    <w:tbl>
      <w:tblPr>
        <w:tblW w:w="5000" w:type="pct"/>
        <w:tblBorders>
          <w:top w:val="single" w:sz="4" w:space="0" w:color="auto"/>
          <w:bottom w:val="single" w:sz="4" w:space="0" w:color="auto"/>
        </w:tblBorders>
        <w:tblLook w:val="04A0" w:firstRow="1" w:lastRow="0" w:firstColumn="1" w:lastColumn="0" w:noHBand="0" w:noVBand="1"/>
      </w:tblPr>
      <w:tblGrid>
        <w:gridCol w:w="4199"/>
        <w:gridCol w:w="2017"/>
        <w:gridCol w:w="2312"/>
        <w:gridCol w:w="1048"/>
      </w:tblGrid>
      <w:tr w:rsidR="001C4DD1">
        <w:tc>
          <w:tcPr>
            <w:tcW w:w="2192" w:type="pct"/>
            <w:tcBorders>
              <w:top w:val="single" w:sz="4" w:space="0" w:color="auto"/>
              <w:bottom w:val="single" w:sz="4" w:space="0" w:color="auto"/>
            </w:tcBorders>
            <w:vAlign w:val="center"/>
          </w:tcPr>
          <w:p w:rsidR="001C4DD1" w:rsidRDefault="001C4DD1">
            <w:pPr>
              <w:adjustRightInd w:val="0"/>
              <w:snapToGrid w:val="0"/>
              <w:spacing w:line="360" w:lineRule="auto"/>
              <w:jc w:val="both"/>
              <w:rPr>
                <w:rFonts w:ascii="Book Antiqua" w:hAnsi="Book Antiqua"/>
                <w:b/>
                <w:bCs/>
              </w:rPr>
            </w:pPr>
          </w:p>
        </w:tc>
        <w:tc>
          <w:tcPr>
            <w:tcW w:w="1053"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ESPB group (</w:t>
            </w:r>
            <w:r>
              <w:rPr>
                <w:rFonts w:ascii="Book Antiqua" w:hAnsi="Book Antiqua"/>
                <w:b/>
                <w:bCs/>
                <w:i/>
                <w:iCs/>
              </w:rPr>
              <w:t>n</w:t>
            </w:r>
            <w:r>
              <w:rPr>
                <w:rFonts w:ascii="Book Antiqua" w:hAnsi="Book Antiqua"/>
                <w:b/>
                <w:bCs/>
              </w:rPr>
              <w:t xml:space="preserve"> = 30)</w:t>
            </w:r>
          </w:p>
        </w:tc>
        <w:tc>
          <w:tcPr>
            <w:tcW w:w="1207"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Control group (</w:t>
            </w:r>
            <w:r>
              <w:rPr>
                <w:rFonts w:ascii="Book Antiqua" w:hAnsi="Book Antiqua"/>
                <w:b/>
                <w:bCs/>
                <w:i/>
                <w:iCs/>
              </w:rPr>
              <w:t>n</w:t>
            </w:r>
            <w:r>
              <w:rPr>
                <w:rFonts w:ascii="Book Antiqua" w:hAnsi="Book Antiqua"/>
                <w:b/>
                <w:bCs/>
              </w:rPr>
              <w:t xml:space="preserve"> = 29)</w:t>
            </w:r>
          </w:p>
        </w:tc>
        <w:tc>
          <w:tcPr>
            <w:tcW w:w="547"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i/>
              </w:rPr>
            </w:pPr>
            <w:r>
              <w:rPr>
                <w:rFonts w:ascii="Book Antiqua" w:hAnsi="Book Antiqua"/>
                <w:b/>
                <w:bCs/>
                <w:i/>
              </w:rPr>
              <w:t>P</w:t>
            </w:r>
            <w:r>
              <w:rPr>
                <w:rFonts w:ascii="Book Antiqua" w:hAnsi="Book Antiqua"/>
                <w:b/>
                <w:bCs/>
              </w:rPr>
              <w:t xml:space="preserve"> value</w:t>
            </w:r>
          </w:p>
        </w:tc>
      </w:tr>
      <w:tr w:rsidR="001C4DD1">
        <w:tc>
          <w:tcPr>
            <w:tcW w:w="2192" w:type="pct"/>
            <w:tcBorders>
              <w:top w:val="single" w:sz="4" w:space="0" w:color="auto"/>
            </w:tcBorders>
            <w:vAlign w:val="center"/>
          </w:tcPr>
          <w:p w:rsidR="001C4DD1" w:rsidRDefault="00AD7687">
            <w:pPr>
              <w:adjustRightInd w:val="0"/>
              <w:snapToGrid w:val="0"/>
              <w:spacing w:line="360" w:lineRule="auto"/>
              <w:jc w:val="both"/>
              <w:rPr>
                <w:rFonts w:ascii="Book Antiqua" w:hAnsi="Book Antiqua"/>
              </w:rPr>
            </w:pPr>
            <w:r>
              <w:rPr>
                <w:rFonts w:ascii="Book Antiqua" w:hAnsi="Book Antiqua"/>
              </w:rPr>
              <w:t>Duration of anesthesia, min</w:t>
            </w:r>
          </w:p>
        </w:tc>
        <w:tc>
          <w:tcPr>
            <w:tcW w:w="1053"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193 ± 56</w:t>
            </w:r>
          </w:p>
        </w:tc>
        <w:tc>
          <w:tcPr>
            <w:tcW w:w="1207"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205 ± 54</w:t>
            </w:r>
          </w:p>
        </w:tc>
        <w:tc>
          <w:tcPr>
            <w:tcW w:w="547"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0.242</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Dose of </w:t>
            </w:r>
            <w:proofErr w:type="spellStart"/>
            <w:r>
              <w:rPr>
                <w:rFonts w:ascii="Book Antiqua" w:hAnsi="Book Antiqua"/>
              </w:rPr>
              <w:t>sufentanil</w:t>
            </w:r>
            <w:proofErr w:type="spellEnd"/>
            <w:r>
              <w:rPr>
                <w:rFonts w:ascii="Book Antiqua" w:hAnsi="Book Antiqua"/>
              </w:rPr>
              <w:t xml:space="preserve">, </w:t>
            </w:r>
            <w:proofErr w:type="spellStart"/>
            <w:r>
              <w:rPr>
                <w:rFonts w:ascii="Book Antiqua" w:hAnsi="Book Antiqua"/>
              </w:rPr>
              <w:t>ug</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20 ± 6</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25 ± 6</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0.003</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Dose of </w:t>
            </w:r>
            <w:proofErr w:type="spellStart"/>
            <w:r>
              <w:rPr>
                <w:rFonts w:ascii="Book Antiqua" w:hAnsi="Book Antiqua"/>
              </w:rPr>
              <w:t>cisatracurium</w:t>
            </w:r>
            <w:proofErr w:type="spellEnd"/>
            <w:r>
              <w:rPr>
                <w:rFonts w:ascii="Book Antiqua" w:hAnsi="Book Antiqua"/>
              </w:rPr>
              <w:t>, mg</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31 ± 12</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41 ± 10</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MOAA/S at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4.1 ± 0.5</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3.3 ± 0.6</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0.000</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MOAA/S 10 min after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4.5 ± 0.5</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4.0 ± 0.5</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r w:rsidR="001C4DD1">
        <w:tc>
          <w:tcPr>
            <w:tcW w:w="2192" w:type="pct"/>
            <w:vAlign w:val="center"/>
          </w:tcPr>
          <w:p w:rsidR="001C4DD1" w:rsidRDefault="00AD7687">
            <w:pPr>
              <w:adjustRightInd w:val="0"/>
              <w:snapToGrid w:val="0"/>
              <w:spacing w:line="360" w:lineRule="auto"/>
              <w:jc w:val="both"/>
              <w:rPr>
                <w:rFonts w:ascii="Book Antiqua" w:hAnsi="Book Antiqua"/>
                <w:i/>
              </w:rPr>
            </w:pPr>
            <w:r>
              <w:rPr>
                <w:rFonts w:ascii="Book Antiqua" w:hAnsi="Book Antiqua"/>
              </w:rPr>
              <w:t xml:space="preserve">MOAA/S 20 min after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4.9 ± 0.3</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4.4 ± 0.6</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0.000</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MOAA/S 30 min after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5.0 ± 0.0</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4.9 ± 0.4</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0.073</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Duration in the PACU, min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35 ± 2</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44 ± 15</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bl>
    <w:p w:rsidR="001C4DD1" w:rsidRDefault="00AD7687">
      <w:pPr>
        <w:adjustRightInd w:val="0"/>
        <w:snapToGrid w:val="0"/>
        <w:spacing w:line="360" w:lineRule="auto"/>
        <w:jc w:val="both"/>
        <w:rPr>
          <w:rFonts w:ascii="Book Antiqua" w:hAnsi="Book Antiqua"/>
        </w:rPr>
      </w:pPr>
      <w:r>
        <w:rPr>
          <w:rFonts w:ascii="Book Antiqua" w:hAnsi="Book Antiqua"/>
        </w:rPr>
        <w:t>Results are presented as the mean ± SD</w:t>
      </w:r>
      <w:r>
        <w:rPr>
          <w:rFonts w:ascii="Book Antiqua" w:hAnsi="Book Antiqua"/>
          <w:lang w:eastAsia="zh-CN"/>
        </w:rPr>
        <w:t xml:space="preserve">. </w:t>
      </w:r>
      <w:r>
        <w:rPr>
          <w:rFonts w:ascii="Book Antiqua" w:hAnsi="Book Antiqua"/>
        </w:rPr>
        <w:t xml:space="preserve">ESPB: Erector spinae plane block; PACU: </w:t>
      </w:r>
      <w:r>
        <w:rPr>
          <w:rFonts w:ascii="Book Antiqua" w:eastAsia="Book Antiqua" w:hAnsi="Book Antiqua" w:cs="Book Antiqua"/>
          <w:color w:val="000000"/>
        </w:rPr>
        <w:t xml:space="preserve">Post-anesthesia care unit; </w:t>
      </w:r>
      <w:r>
        <w:rPr>
          <w:rFonts w:ascii="Book Antiqua" w:hAnsi="Book Antiqua"/>
        </w:rPr>
        <w:t xml:space="preserve">MOAA/S: </w:t>
      </w:r>
      <w:r>
        <w:rPr>
          <w:rFonts w:ascii="Book Antiqua" w:eastAsia="Book Antiqua" w:hAnsi="Book Antiqua" w:cs="Book Antiqua"/>
          <w:color w:val="000000"/>
        </w:rPr>
        <w:t>Modified Observer’s Assessment of Alertness/Sedation score.</w:t>
      </w:r>
    </w:p>
    <w:p w:rsidR="001C4DD1" w:rsidRDefault="00AD7687">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3 Postoperative variables</w:t>
      </w:r>
    </w:p>
    <w:tbl>
      <w:tblPr>
        <w:tblW w:w="5000" w:type="pct"/>
        <w:tblBorders>
          <w:top w:val="single" w:sz="4" w:space="0" w:color="auto"/>
          <w:bottom w:val="single" w:sz="4" w:space="0" w:color="auto"/>
        </w:tblBorders>
        <w:tblLook w:val="04A0" w:firstRow="1" w:lastRow="0" w:firstColumn="1" w:lastColumn="0" w:noHBand="0" w:noVBand="1"/>
      </w:tblPr>
      <w:tblGrid>
        <w:gridCol w:w="4537"/>
        <w:gridCol w:w="2017"/>
        <w:gridCol w:w="1808"/>
        <w:gridCol w:w="1214"/>
      </w:tblGrid>
      <w:tr w:rsidR="001C4DD1">
        <w:tc>
          <w:tcPr>
            <w:tcW w:w="2369" w:type="pct"/>
            <w:tcBorders>
              <w:top w:val="single" w:sz="4" w:space="0" w:color="auto"/>
              <w:bottom w:val="single" w:sz="4" w:space="0" w:color="auto"/>
            </w:tcBorders>
            <w:vAlign w:val="center"/>
          </w:tcPr>
          <w:p w:rsidR="001C4DD1" w:rsidRDefault="001C4DD1">
            <w:pPr>
              <w:adjustRightInd w:val="0"/>
              <w:snapToGrid w:val="0"/>
              <w:spacing w:line="360" w:lineRule="auto"/>
              <w:jc w:val="both"/>
              <w:rPr>
                <w:rFonts w:ascii="Book Antiqua" w:hAnsi="Book Antiqua"/>
                <w:b/>
                <w:bCs/>
              </w:rPr>
            </w:pPr>
          </w:p>
        </w:tc>
        <w:tc>
          <w:tcPr>
            <w:tcW w:w="1053"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ESPB group</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30)</w:t>
            </w:r>
          </w:p>
        </w:tc>
        <w:tc>
          <w:tcPr>
            <w:tcW w:w="944"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Control group</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29)</w:t>
            </w:r>
          </w:p>
        </w:tc>
        <w:tc>
          <w:tcPr>
            <w:tcW w:w="635"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i/>
              </w:rPr>
            </w:pPr>
            <w:r>
              <w:rPr>
                <w:rFonts w:ascii="Book Antiqua" w:hAnsi="Book Antiqua"/>
                <w:b/>
                <w:bCs/>
                <w:i/>
              </w:rPr>
              <w:t>P</w:t>
            </w:r>
            <w:r>
              <w:rPr>
                <w:rFonts w:ascii="Book Antiqua" w:hAnsi="Book Antiqua"/>
                <w:b/>
                <w:bCs/>
              </w:rPr>
              <w:t xml:space="preserve"> value</w:t>
            </w:r>
          </w:p>
        </w:tc>
      </w:tr>
      <w:tr w:rsidR="001C4DD1">
        <w:tc>
          <w:tcPr>
            <w:tcW w:w="2369" w:type="pct"/>
            <w:tcBorders>
              <w:top w:val="single" w:sz="4" w:space="0" w:color="auto"/>
            </w:tcBorders>
            <w:vAlign w:val="center"/>
          </w:tcPr>
          <w:p w:rsidR="001C4DD1" w:rsidRDefault="00AD7687">
            <w:pPr>
              <w:adjustRightInd w:val="0"/>
              <w:snapToGrid w:val="0"/>
              <w:spacing w:line="360" w:lineRule="auto"/>
              <w:jc w:val="both"/>
              <w:rPr>
                <w:rFonts w:ascii="Book Antiqua" w:hAnsi="Book Antiqua"/>
              </w:rPr>
            </w:pPr>
            <w:r>
              <w:rPr>
                <w:rFonts w:ascii="Book Antiqua" w:hAnsi="Book Antiqua"/>
              </w:rPr>
              <w:t>Duration to the first PCIA bolus, h</w:t>
            </w:r>
          </w:p>
        </w:tc>
        <w:tc>
          <w:tcPr>
            <w:tcW w:w="1053"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8.0 (4.5-17.0)</w:t>
            </w:r>
          </w:p>
        </w:tc>
        <w:tc>
          <w:tcPr>
            <w:tcW w:w="944"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1 (0.5-6)</w:t>
            </w:r>
          </w:p>
        </w:tc>
        <w:tc>
          <w:tcPr>
            <w:tcW w:w="635"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0.000</w:t>
            </w:r>
          </w:p>
        </w:tc>
      </w:tr>
      <w:tr w:rsidR="001C4DD1">
        <w:tc>
          <w:tcPr>
            <w:tcW w:w="2369" w:type="pct"/>
            <w:vAlign w:val="center"/>
          </w:tcPr>
          <w:p w:rsidR="001C4DD1" w:rsidRDefault="00AD7687">
            <w:pPr>
              <w:adjustRightInd w:val="0"/>
              <w:snapToGrid w:val="0"/>
              <w:spacing w:line="360" w:lineRule="auto"/>
              <w:ind w:left="120" w:hangingChars="50" w:hanging="120"/>
              <w:jc w:val="both"/>
              <w:rPr>
                <w:rFonts w:ascii="Book Antiqua" w:hAnsi="Book Antiqua"/>
              </w:rPr>
            </w:pPr>
            <w:r>
              <w:rPr>
                <w:rFonts w:ascii="Book Antiqua" w:hAnsi="Book Antiqua"/>
              </w:rPr>
              <w:t>Resting NRS 24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 (1-2)</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2 (1-3)</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0.084</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Coughing NRS 24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 (2-4)</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3 (2-5)</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0.075</w:t>
            </w:r>
          </w:p>
        </w:tc>
      </w:tr>
      <w:tr w:rsidR="001C4DD1">
        <w:tc>
          <w:tcPr>
            <w:tcW w:w="2369" w:type="pct"/>
          </w:tcPr>
          <w:p w:rsidR="001C4DD1" w:rsidRDefault="00AD7687">
            <w:pPr>
              <w:adjustRightInd w:val="0"/>
              <w:snapToGrid w:val="0"/>
              <w:spacing w:line="360" w:lineRule="auto"/>
              <w:jc w:val="both"/>
              <w:rPr>
                <w:rFonts w:ascii="Book Antiqua" w:hAnsi="Book Antiqua"/>
              </w:rPr>
            </w:pPr>
            <w:r>
              <w:rPr>
                <w:rFonts w:ascii="Book Antiqua" w:hAnsi="Book Antiqua"/>
              </w:rPr>
              <w:t>Resting NRS 48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 (0-1)</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1 (1-2)</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0.012</w:t>
            </w:r>
          </w:p>
        </w:tc>
      </w:tr>
      <w:tr w:rsidR="001C4DD1">
        <w:tc>
          <w:tcPr>
            <w:tcW w:w="2369" w:type="pct"/>
          </w:tcPr>
          <w:p w:rsidR="001C4DD1" w:rsidRDefault="00AD7687">
            <w:pPr>
              <w:adjustRightInd w:val="0"/>
              <w:snapToGrid w:val="0"/>
              <w:spacing w:line="360" w:lineRule="auto"/>
              <w:jc w:val="both"/>
              <w:rPr>
                <w:rFonts w:ascii="Book Antiqua" w:hAnsi="Book Antiqua"/>
              </w:rPr>
            </w:pPr>
            <w:r>
              <w:rPr>
                <w:rFonts w:ascii="Book Antiqua" w:hAnsi="Book Antiqua"/>
              </w:rPr>
              <w:t>Coughing NRS 48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2 (1-2)</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3 (2-4)</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0.002</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Morphine consumption 24 h post operation, mg</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18 (14-24)</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18 (14-28)</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0.339</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Morphine consumption 48 h post operation, mg</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36 (28-45)</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36 (33-55)</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0.120</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Time to first ambulation, hour</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95 (72-96)</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96 (76-114)</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0.024</w:t>
            </w:r>
          </w:p>
        </w:tc>
      </w:tr>
      <w:tr w:rsidR="001C4DD1">
        <w:tc>
          <w:tcPr>
            <w:tcW w:w="2369" w:type="pct"/>
          </w:tcPr>
          <w:p w:rsidR="001C4DD1" w:rsidRDefault="00AD7687">
            <w:pPr>
              <w:adjustRightInd w:val="0"/>
              <w:snapToGrid w:val="0"/>
              <w:spacing w:line="360" w:lineRule="auto"/>
              <w:jc w:val="both"/>
              <w:rPr>
                <w:rFonts w:ascii="Book Antiqua" w:hAnsi="Book Antiqua"/>
              </w:rPr>
            </w:pPr>
            <w:r>
              <w:rPr>
                <w:rFonts w:ascii="Book Antiqua" w:hAnsi="Book Antiqua"/>
              </w:rPr>
              <w:t>Resting NRS on postoperative 30</w:t>
            </w:r>
            <w:r>
              <w:rPr>
                <w:rFonts w:ascii="Book Antiqua" w:hAnsi="Book Antiqua"/>
                <w:vertAlign w:val="superscript"/>
              </w:rPr>
              <w:t>th</w:t>
            </w:r>
            <w:r>
              <w:rPr>
                <w:rFonts w:ascii="Book Antiqua" w:hAnsi="Book Antiqua"/>
              </w:rPr>
              <w:t xml:space="preserve"> d</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 (0-1)</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2 (1-2)</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bl>
    <w:p w:rsidR="00B83889" w:rsidRDefault="00AD7687">
      <w:pPr>
        <w:adjustRightInd w:val="0"/>
        <w:snapToGrid w:val="0"/>
        <w:spacing w:line="360" w:lineRule="auto"/>
        <w:jc w:val="both"/>
        <w:rPr>
          <w:rFonts w:ascii="Book Antiqua" w:hAnsi="Book Antiqua"/>
        </w:rPr>
      </w:pPr>
      <w:r>
        <w:rPr>
          <w:rFonts w:ascii="Book Antiqua" w:hAnsi="Book Antiqua"/>
        </w:rPr>
        <w:t xml:space="preserve">Results are presented as the median (interquartile range). ESPB: Erector spinae plane block; </w:t>
      </w:r>
      <w:r>
        <w:rPr>
          <w:rFonts w:ascii="Book Antiqua" w:hAnsi="Book Antiqua"/>
          <w:lang w:eastAsia="zh-CN"/>
        </w:rPr>
        <w:t xml:space="preserve">NRS: </w:t>
      </w:r>
      <w:r>
        <w:rPr>
          <w:rFonts w:ascii="Book Antiqua" w:eastAsia="Book Antiqua" w:hAnsi="Book Antiqua" w:cs="Book Antiqua"/>
          <w:color w:val="000000"/>
        </w:rPr>
        <w:t>Numerical rating scale</w:t>
      </w:r>
      <w:r>
        <w:rPr>
          <w:rFonts w:ascii="Book Antiqua" w:hAnsi="Book Antiqua"/>
        </w:rPr>
        <w:t>.</w:t>
      </w:r>
    </w:p>
    <w:p w:rsidR="00B83889" w:rsidRDefault="00B83889">
      <w:pPr>
        <w:rPr>
          <w:rFonts w:ascii="Book Antiqua" w:hAnsi="Book Antiqua"/>
        </w:rPr>
      </w:pPr>
      <w:r>
        <w:rPr>
          <w:rFonts w:ascii="Book Antiqua" w:hAnsi="Book Antiqua"/>
        </w:rPr>
        <w:br w:type="page"/>
      </w: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r>
        <w:rPr>
          <w:rFonts w:ascii="Book Antiqua" w:hAnsi="Book Antiqua"/>
          <w:noProof/>
        </w:rPr>
        <w:drawing>
          <wp:inline distT="0" distB="0" distL="0" distR="0" wp14:anchorId="1AF0C330" wp14:editId="217CCA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83889" w:rsidRDefault="00B83889" w:rsidP="00B83889">
      <w:pPr>
        <w:jc w:val="center"/>
        <w:rPr>
          <w:rFonts w:ascii="Book Antiqua" w:hAnsi="Book Antiqua"/>
        </w:rPr>
      </w:pPr>
    </w:p>
    <w:p w:rsidR="00B83889" w:rsidRPr="00763D22" w:rsidRDefault="00B83889" w:rsidP="00B838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B83889" w:rsidRPr="00763D22" w:rsidRDefault="00B83889" w:rsidP="00B838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B83889" w:rsidRPr="00763D22" w:rsidRDefault="00B83889" w:rsidP="00B838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B83889" w:rsidRPr="00763D22" w:rsidRDefault="00B83889" w:rsidP="00B838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B83889" w:rsidRPr="00763D22" w:rsidRDefault="00B83889" w:rsidP="00B838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B83889" w:rsidRPr="00763D22" w:rsidRDefault="00B83889" w:rsidP="00B83889">
      <w:pPr>
        <w:jc w:val="center"/>
        <w:rPr>
          <w:rFonts w:ascii="Book Antiqua" w:hAnsi="Book Antiqua"/>
        </w:rPr>
      </w:pPr>
      <w:r w:rsidRPr="00763D22">
        <w:rPr>
          <w:rFonts w:ascii="Book Antiqua" w:eastAsia="TimesNewRomanPSMT" w:hAnsi="Book Antiqua" w:cs="Garamond"/>
          <w:color w:val="D56400"/>
          <w:sz w:val="28"/>
          <w:szCs w:val="28"/>
        </w:rPr>
        <w:t>https://www.wjgnet.com</w:t>
      </w: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r>
        <w:rPr>
          <w:rFonts w:ascii="Book Antiqua" w:hAnsi="Book Antiqua"/>
          <w:noProof/>
        </w:rPr>
        <w:drawing>
          <wp:inline distT="0" distB="0" distL="0" distR="0" wp14:anchorId="4B61193D" wp14:editId="671206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Default="00B83889" w:rsidP="00B83889">
      <w:pPr>
        <w:jc w:val="center"/>
        <w:rPr>
          <w:rFonts w:ascii="Book Antiqua" w:hAnsi="Book Antiqua"/>
        </w:rPr>
      </w:pPr>
    </w:p>
    <w:p w:rsidR="00B83889" w:rsidRPr="00763D22" w:rsidRDefault="00B83889" w:rsidP="00B83889">
      <w:pPr>
        <w:jc w:val="right"/>
        <w:rPr>
          <w:rFonts w:ascii="Book Antiqua" w:hAnsi="Book Antiqua"/>
          <w:color w:val="000000" w:themeColor="text1"/>
        </w:rPr>
      </w:pPr>
    </w:p>
    <w:p w:rsidR="00B83889" w:rsidRPr="00763D22" w:rsidRDefault="00B83889" w:rsidP="00B8388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1C4DD1" w:rsidRDefault="001C4DD1">
      <w:pPr>
        <w:adjustRightInd w:val="0"/>
        <w:snapToGrid w:val="0"/>
        <w:spacing w:line="360" w:lineRule="auto"/>
        <w:jc w:val="both"/>
        <w:rPr>
          <w:rFonts w:ascii="Book Antiqua" w:hAnsi="Book Antiqua"/>
        </w:rPr>
      </w:pPr>
      <w:bookmarkStart w:id="0" w:name="_GoBack"/>
      <w:bookmarkEnd w:id="0"/>
    </w:p>
    <w:sectPr w:rsidR="001C4D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C3" w:rsidRDefault="00A06DC3">
      <w:r>
        <w:separator/>
      </w:r>
    </w:p>
  </w:endnote>
  <w:endnote w:type="continuationSeparator" w:id="0">
    <w:p w:rsidR="00A06DC3" w:rsidRDefault="00A0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95931"/>
      <w:docPartObj>
        <w:docPartGallery w:val="AutoText"/>
      </w:docPartObj>
    </w:sdtPr>
    <w:sdtEndPr/>
    <w:sdtContent>
      <w:sdt>
        <w:sdtPr>
          <w:id w:val="-1769616900"/>
          <w:docPartObj>
            <w:docPartGallery w:val="AutoText"/>
          </w:docPartObj>
        </w:sdtPr>
        <w:sdtEndPr/>
        <w:sdtContent>
          <w:p w:rsidR="001C4DD1" w:rsidRDefault="00AD7687">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83889">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83889">
              <w:rPr>
                <w:b/>
                <w:bCs/>
                <w:noProof/>
              </w:rPr>
              <w:t>21</w:t>
            </w:r>
            <w:r>
              <w:rPr>
                <w:b/>
                <w:bCs/>
                <w:sz w:val="24"/>
                <w:szCs w:val="24"/>
              </w:rPr>
              <w:fldChar w:fldCharType="end"/>
            </w:r>
          </w:p>
        </w:sdtContent>
      </w:sdt>
    </w:sdtContent>
  </w:sdt>
  <w:p w:rsidR="001C4DD1" w:rsidRDefault="001C4D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C3" w:rsidRDefault="00A06DC3">
      <w:r>
        <w:separator/>
      </w:r>
    </w:p>
  </w:footnote>
  <w:footnote w:type="continuationSeparator" w:id="0">
    <w:p w:rsidR="00A06DC3" w:rsidRDefault="00A06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9A4"/>
    <w:rsid w:val="00077042"/>
    <w:rsid w:val="000B17DE"/>
    <w:rsid w:val="000C61D4"/>
    <w:rsid w:val="001461C8"/>
    <w:rsid w:val="00147AD9"/>
    <w:rsid w:val="0016732A"/>
    <w:rsid w:val="00181F26"/>
    <w:rsid w:val="001A6236"/>
    <w:rsid w:val="001C4DD1"/>
    <w:rsid w:val="001C5BF9"/>
    <w:rsid w:val="00256875"/>
    <w:rsid w:val="00301B9F"/>
    <w:rsid w:val="003124EC"/>
    <w:rsid w:val="003133B4"/>
    <w:rsid w:val="00320EA3"/>
    <w:rsid w:val="003A315D"/>
    <w:rsid w:val="003E38EE"/>
    <w:rsid w:val="003E6BB3"/>
    <w:rsid w:val="00406DCC"/>
    <w:rsid w:val="004136BE"/>
    <w:rsid w:val="004641D6"/>
    <w:rsid w:val="0049133B"/>
    <w:rsid w:val="004C1E71"/>
    <w:rsid w:val="004D03BF"/>
    <w:rsid w:val="004E07BF"/>
    <w:rsid w:val="0052440B"/>
    <w:rsid w:val="00595875"/>
    <w:rsid w:val="005E2028"/>
    <w:rsid w:val="006262E0"/>
    <w:rsid w:val="00650942"/>
    <w:rsid w:val="0065186C"/>
    <w:rsid w:val="00690BD2"/>
    <w:rsid w:val="006B212B"/>
    <w:rsid w:val="006B3229"/>
    <w:rsid w:val="006B39E8"/>
    <w:rsid w:val="006B4ABF"/>
    <w:rsid w:val="0071558E"/>
    <w:rsid w:val="007E3647"/>
    <w:rsid w:val="00911120"/>
    <w:rsid w:val="009A1F22"/>
    <w:rsid w:val="009B4AA6"/>
    <w:rsid w:val="009B60D2"/>
    <w:rsid w:val="009F7FE1"/>
    <w:rsid w:val="00A06DC3"/>
    <w:rsid w:val="00A55B82"/>
    <w:rsid w:val="00A77B3E"/>
    <w:rsid w:val="00AA3AE8"/>
    <w:rsid w:val="00AC4A81"/>
    <w:rsid w:val="00AD7687"/>
    <w:rsid w:val="00AE19B8"/>
    <w:rsid w:val="00B00C0E"/>
    <w:rsid w:val="00B011EC"/>
    <w:rsid w:val="00B30D79"/>
    <w:rsid w:val="00B83889"/>
    <w:rsid w:val="00BA6B5F"/>
    <w:rsid w:val="00BC6FF8"/>
    <w:rsid w:val="00C40BA7"/>
    <w:rsid w:val="00C42A90"/>
    <w:rsid w:val="00C52A93"/>
    <w:rsid w:val="00C77B42"/>
    <w:rsid w:val="00C83291"/>
    <w:rsid w:val="00CA2A55"/>
    <w:rsid w:val="00CB0844"/>
    <w:rsid w:val="00CE123E"/>
    <w:rsid w:val="00D04237"/>
    <w:rsid w:val="00D30BF6"/>
    <w:rsid w:val="00D82AFB"/>
    <w:rsid w:val="00DF2B07"/>
    <w:rsid w:val="00E07F0C"/>
    <w:rsid w:val="00E461B1"/>
    <w:rsid w:val="00E52FFE"/>
    <w:rsid w:val="00E5764E"/>
    <w:rsid w:val="00E84B54"/>
    <w:rsid w:val="00EC4417"/>
    <w:rsid w:val="00ED25D4"/>
    <w:rsid w:val="00F768EF"/>
    <w:rsid w:val="00FC68E0"/>
    <w:rsid w:val="090E0D07"/>
    <w:rsid w:val="6DF5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Pr>
      <w:rFonts w:ascii="Calibri" w:eastAsia="宋体" w:hAnsi="Calibri" w:cs="宋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9F7FE1"/>
    <w:rPr>
      <w:sz w:val="18"/>
      <w:szCs w:val="18"/>
    </w:rPr>
  </w:style>
  <w:style w:type="character" w:customStyle="1" w:styleId="Char1">
    <w:name w:val="批注框文本 Char"/>
    <w:basedOn w:val="a0"/>
    <w:link w:val="a6"/>
    <w:rsid w:val="009F7FE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Pr>
      <w:rFonts w:ascii="Calibri" w:eastAsia="宋体" w:hAnsi="Calibri" w:cs="宋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9F7FE1"/>
    <w:rPr>
      <w:sz w:val="18"/>
      <w:szCs w:val="18"/>
    </w:rPr>
  </w:style>
  <w:style w:type="character" w:customStyle="1" w:styleId="Char1">
    <w:name w:val="批注框文本 Char"/>
    <w:basedOn w:val="a0"/>
    <w:link w:val="a6"/>
    <w:rsid w:val="009F7FE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4508</Words>
  <Characters>25701</Characters>
  <Application>Microsoft Office Word</Application>
  <DocSecurity>0</DocSecurity>
  <Lines>214</Lines>
  <Paragraphs>60</Paragraphs>
  <ScaleCrop>false</ScaleCrop>
  <Company/>
  <LinksUpToDate>false</LinksUpToDate>
  <CharactersWithSpaces>30149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2021-05-28T12:01:00Z</dcterms:created>
  <dcterms:modified xsi:type="dcterms:W3CDTF">2021-06-17T16:45:00Z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87A6A3E906AD4388912554D2F9875CAE</vt:lpwstr>
  </property>
</Properties>
</file>