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3B90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color w:val="000000"/>
        </w:rPr>
        <w:t>Name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of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Journal: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i/>
          <w:color w:val="000000"/>
        </w:rPr>
        <w:t>World</w:t>
      </w:r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i/>
          <w:color w:val="000000"/>
        </w:rPr>
        <w:t>Journal</w:t>
      </w:r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i/>
          <w:color w:val="000000"/>
        </w:rPr>
        <w:t>of</w:t>
      </w:r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i/>
          <w:color w:val="000000"/>
        </w:rPr>
        <w:t>Psychiatry</w:t>
      </w:r>
    </w:p>
    <w:p w14:paraId="4D38DA74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color w:val="000000"/>
        </w:rPr>
        <w:t>Manuscript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NO: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66444</w:t>
      </w:r>
    </w:p>
    <w:p w14:paraId="19217780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color w:val="000000"/>
        </w:rPr>
        <w:t>Manuscript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Type: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ORIGINAL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ARTICLE</w:t>
      </w:r>
    </w:p>
    <w:p w14:paraId="33F2176F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6979BE0F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5E42D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5E42D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E7D4340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Factors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causing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a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relapse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major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depressive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disorders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following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successful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therapy: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30716" w:rsidRPr="00343B51">
        <w:rPr>
          <w:rFonts w:ascii="Book Antiqua" w:hAnsi="Book Antiqua" w:cs="Book Antiqua"/>
          <w:b/>
          <w:bCs/>
          <w:color w:val="000000"/>
          <w:lang w:eastAsia="zh-CN"/>
        </w:rPr>
        <w:t>A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retrospective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study</w:t>
      </w:r>
    </w:p>
    <w:p w14:paraId="2689ED7B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14684BA6" w14:textId="77777777" w:rsidR="00A77B3E" w:rsidRPr="00C50B60" w:rsidRDefault="00C50B60" w:rsidP="00343B51">
      <w:pPr>
        <w:spacing w:line="360" w:lineRule="auto"/>
        <w:jc w:val="both"/>
        <w:rPr>
          <w:rFonts w:ascii="Book Antiqua" w:hAnsi="Book Antiqua"/>
        </w:rPr>
      </w:pPr>
      <w:r w:rsidRPr="00C50B60">
        <w:rPr>
          <w:rFonts w:ascii="Book Antiqua" w:eastAsia="Book Antiqua" w:hAnsi="Book Antiqua" w:cs="Book Antiqua"/>
          <w:color w:val="000000"/>
        </w:rPr>
        <w:t>Kurimoto</w:t>
      </w:r>
      <w:r w:rsidR="005E42D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50B60">
        <w:rPr>
          <w:rFonts w:ascii="Book Antiqua" w:hAnsi="Book Antiqua" w:cs="Book Antiqua" w:hint="eastAsia"/>
          <w:bCs/>
          <w:color w:val="000000"/>
          <w:lang w:eastAsia="zh-CN"/>
        </w:rPr>
        <w:t>N</w:t>
      </w:r>
      <w:r w:rsidR="005E42D6">
        <w:rPr>
          <w:rFonts w:ascii="Book Antiqua" w:hAnsi="Book Antiqua" w:cs="Book Antiqua" w:hint="eastAsia"/>
          <w:bCs/>
          <w:i/>
          <w:color w:val="000000"/>
          <w:lang w:eastAsia="zh-CN"/>
        </w:rPr>
        <w:t xml:space="preserve"> </w:t>
      </w:r>
      <w:r w:rsidRPr="00C50B60">
        <w:rPr>
          <w:rFonts w:ascii="Book Antiqua" w:hAnsi="Book Antiqua" w:cs="Book Antiqua" w:hint="eastAsia"/>
          <w:bCs/>
          <w:i/>
          <w:color w:val="000000"/>
          <w:lang w:eastAsia="zh-CN"/>
        </w:rPr>
        <w:t>et</w:t>
      </w:r>
      <w:r w:rsidR="005E42D6">
        <w:rPr>
          <w:rFonts w:ascii="Book Antiqua" w:hAnsi="Book Antiqua" w:cs="Book Antiqua" w:hint="eastAsia"/>
          <w:bCs/>
          <w:i/>
          <w:color w:val="000000"/>
          <w:lang w:eastAsia="zh-CN"/>
        </w:rPr>
        <w:t xml:space="preserve"> </w:t>
      </w:r>
      <w:r w:rsidRPr="00C50B60">
        <w:rPr>
          <w:rFonts w:ascii="Book Antiqua" w:hAnsi="Book Antiqua" w:cs="Book Antiqua" w:hint="eastAsia"/>
          <w:bCs/>
          <w:i/>
          <w:color w:val="000000"/>
          <w:lang w:eastAsia="zh-CN"/>
        </w:rPr>
        <w:t>al</w:t>
      </w:r>
      <w:r w:rsidRPr="00C50B60">
        <w:rPr>
          <w:rFonts w:ascii="Book Antiqua" w:hAnsi="Book Antiqua" w:cs="Book Antiqua" w:hint="eastAsia"/>
          <w:bCs/>
          <w:color w:val="000000"/>
          <w:lang w:eastAsia="zh-CN"/>
        </w:rPr>
        <w:t>.</w:t>
      </w:r>
      <w:r w:rsidR="005E42D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603F4" w:rsidRPr="00C50B60">
        <w:rPr>
          <w:rFonts w:ascii="Book Antiqua" w:eastAsia="Book Antiqua" w:hAnsi="Book Antiqua" w:cs="Book Antiqua"/>
          <w:bCs/>
          <w:color w:val="000000"/>
        </w:rPr>
        <w:t>Diagnostic</w:t>
      </w:r>
      <w:r w:rsidR="005E42D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603F4" w:rsidRPr="00C50B60">
        <w:rPr>
          <w:rFonts w:ascii="Book Antiqua" w:eastAsia="Book Antiqua" w:hAnsi="Book Antiqua" w:cs="Book Antiqua"/>
          <w:bCs/>
          <w:color w:val="000000"/>
        </w:rPr>
        <w:t>change</w:t>
      </w:r>
      <w:r w:rsidR="005E42D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603F4" w:rsidRPr="00C50B60">
        <w:rPr>
          <w:rFonts w:ascii="Book Antiqua" w:eastAsia="Book Antiqua" w:hAnsi="Book Antiqua" w:cs="Book Antiqua"/>
          <w:bCs/>
          <w:color w:val="000000"/>
        </w:rPr>
        <w:t>for</w:t>
      </w:r>
      <w:r w:rsidR="005E42D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603F4" w:rsidRPr="00C50B60">
        <w:rPr>
          <w:rFonts w:ascii="Book Antiqua" w:eastAsia="Book Antiqua" w:hAnsi="Book Antiqua" w:cs="Book Antiqua"/>
          <w:bCs/>
          <w:color w:val="000000"/>
        </w:rPr>
        <w:t>MDD</w:t>
      </w:r>
      <w:r w:rsidR="005E42D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603F4" w:rsidRPr="00C50B60">
        <w:rPr>
          <w:rFonts w:ascii="Book Antiqua" w:eastAsia="Book Antiqua" w:hAnsi="Book Antiqua" w:cs="Book Antiqua"/>
          <w:bCs/>
          <w:color w:val="000000"/>
        </w:rPr>
        <w:t>after</w:t>
      </w:r>
      <w:r w:rsidR="005E42D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603F4" w:rsidRPr="00C50B60">
        <w:rPr>
          <w:rFonts w:ascii="Book Antiqua" w:eastAsia="Book Antiqua" w:hAnsi="Book Antiqua" w:cs="Book Antiqua"/>
          <w:bCs/>
          <w:color w:val="000000"/>
        </w:rPr>
        <w:t>ECT</w:t>
      </w:r>
    </w:p>
    <w:p w14:paraId="002AC91E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04724504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color w:val="000000"/>
        </w:rPr>
        <w:t>Naoki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Kurimoto,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Takahiko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Inagaki,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Takashi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Aoki,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Hiroshi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Kadotani</w:t>
      </w:r>
      <w:proofErr w:type="spellEnd"/>
      <w:r w:rsidRPr="00343B51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Fujiki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Kurimoto,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Kenichi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Kuriyama</w:t>
      </w:r>
      <w:proofErr w:type="spellEnd"/>
      <w:r w:rsidRPr="00343B51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Naoto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Yamada,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Yuji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Ozeki</w:t>
      </w:r>
    </w:p>
    <w:p w14:paraId="2ECE5803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3D133DB9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Naoki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Kurimoto,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Takahiko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Inagaki,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Takashi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Aoki,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Hiroshi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b/>
          <w:bCs/>
          <w:color w:val="000000"/>
        </w:rPr>
        <w:t>Kadotani</w:t>
      </w:r>
      <w:proofErr w:type="spellEnd"/>
      <w:r w:rsidRPr="00343B51">
        <w:rPr>
          <w:rFonts w:ascii="Book Antiqua" w:eastAsia="Book Antiqua" w:hAnsi="Book Antiqua" w:cs="Book Antiqua"/>
          <w:b/>
          <w:bCs/>
          <w:color w:val="000000"/>
        </w:rPr>
        <w:t>,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Kenichi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b/>
          <w:bCs/>
          <w:color w:val="000000"/>
        </w:rPr>
        <w:t>Kuriyama</w:t>
      </w:r>
      <w:proofErr w:type="spellEnd"/>
      <w:r w:rsidRPr="00343B51">
        <w:rPr>
          <w:rFonts w:ascii="Book Antiqua" w:eastAsia="Book Antiqua" w:hAnsi="Book Antiqua" w:cs="Book Antiqua"/>
          <w:b/>
          <w:bCs/>
          <w:color w:val="000000"/>
        </w:rPr>
        <w:t>,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Naoto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Yamada,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Yuji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Ozeki,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Department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Psychiatry,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Shiga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University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Medical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Science,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Otsu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520-2192,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Shiga,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Japan</w:t>
      </w:r>
    </w:p>
    <w:p w14:paraId="2633B292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28564A6E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Naoki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Kurimoto,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50B60" w:rsidRPr="00343B51">
        <w:rPr>
          <w:rFonts w:ascii="Book Antiqua" w:eastAsia="Book Antiqua" w:hAnsi="Book Antiqua" w:cs="Book Antiqua"/>
          <w:b/>
          <w:bCs/>
          <w:color w:val="000000"/>
        </w:rPr>
        <w:t>Fujiki</w:t>
      </w:r>
      <w:proofErr w:type="spellEnd"/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50B60" w:rsidRPr="00343B51">
        <w:rPr>
          <w:rFonts w:ascii="Book Antiqua" w:eastAsia="Book Antiqua" w:hAnsi="Book Antiqua" w:cs="Book Antiqua"/>
          <w:b/>
          <w:bCs/>
          <w:color w:val="000000"/>
        </w:rPr>
        <w:t>Kurimoto,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Department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Psychiatry,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Shigasato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Hospital,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Otsu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520-0006,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Shiga,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Japan</w:t>
      </w:r>
    </w:p>
    <w:p w14:paraId="11722B11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63EADB21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Takahiko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Inagaki,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Department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Psychiatry,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Biwako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Hospital,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Otsu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520-0113,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Shiga,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Japan</w:t>
      </w:r>
    </w:p>
    <w:p w14:paraId="43E5646B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524A3822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Takashi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Aoki,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Department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Psychiatry,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Shiga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Hachiman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Hospital,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Omihachiman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523-8503,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Shiga,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Japan</w:t>
      </w:r>
    </w:p>
    <w:p w14:paraId="04585356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4B81BBB2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Hiroshi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Kadotani,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Department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Sleep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Behavioral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Sciences,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Shiga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University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Medical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Science,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Otsu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520-2192,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Shiga,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Japan</w:t>
      </w:r>
    </w:p>
    <w:p w14:paraId="4B0A7102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6A9E2F4B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lastRenderedPageBreak/>
        <w:t>Kenichi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b/>
          <w:bCs/>
          <w:color w:val="000000"/>
        </w:rPr>
        <w:t>Kuriyama</w:t>
      </w:r>
      <w:proofErr w:type="spellEnd"/>
      <w:r w:rsidRPr="00343B51">
        <w:rPr>
          <w:rFonts w:ascii="Book Antiqua" w:eastAsia="Book Antiqua" w:hAnsi="Book Antiqua" w:cs="Book Antiqua"/>
          <w:b/>
          <w:bCs/>
          <w:color w:val="000000"/>
        </w:rPr>
        <w:t>,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Department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Sleep-Wake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Disorders,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National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Institute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Mental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Health,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National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Center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Neurology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C50B60">
        <w:rPr>
          <w:rFonts w:ascii="Book Antiqua" w:hAnsi="Book Antiqua" w:cs="Book Antiqua" w:hint="eastAsia"/>
          <w:color w:val="000000"/>
          <w:lang w:eastAsia="zh-CN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Psychiatry,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Kodaira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187-8502,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Tokyo,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Japan</w:t>
      </w:r>
    </w:p>
    <w:p w14:paraId="51893AB8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189E82F5" w14:textId="77777777" w:rsidR="00A77B3E" w:rsidRPr="00C50B60" w:rsidRDefault="002603F4" w:rsidP="00343B51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50B60" w:rsidRPr="00C50B60">
        <w:rPr>
          <w:rFonts w:ascii="Book Antiqua" w:eastAsia="Book Antiqua" w:hAnsi="Book Antiqua" w:cs="Book Antiqua"/>
          <w:color w:val="000000"/>
        </w:rPr>
        <w:t>Kurimoto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50B60">
        <w:rPr>
          <w:rFonts w:ascii="Book Antiqua" w:hAnsi="Book Antiqua" w:cs="Book Antiqua" w:hint="eastAsia"/>
          <w:color w:val="000000"/>
          <w:lang w:eastAsia="zh-CN"/>
        </w:rPr>
        <w:t>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contributed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conception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study,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acquisition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data,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analysis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interpretation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data,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drafting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manuscript</w:t>
      </w:r>
      <w:r w:rsidR="00C50B60">
        <w:rPr>
          <w:rFonts w:ascii="Book Antiqua" w:hAnsi="Book Antiqua" w:cs="Book Antiqua" w:hint="eastAsia"/>
          <w:color w:val="000000"/>
          <w:lang w:eastAsia="zh-CN"/>
        </w:rPr>
        <w:t>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50B60" w:rsidRPr="00C50B60">
        <w:rPr>
          <w:rFonts w:ascii="Book Antiqua" w:eastAsia="Book Antiqua" w:hAnsi="Book Antiqua" w:cs="Book Antiqua"/>
          <w:color w:val="000000"/>
        </w:rPr>
        <w:t>Kuriyama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contributed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interpretation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data,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drafting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manuscript,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critical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review,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support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entire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study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project</w:t>
      </w:r>
      <w:r w:rsidR="00C50B60">
        <w:rPr>
          <w:rFonts w:ascii="Book Antiqua" w:hAnsi="Book Antiqua" w:cs="Book Antiqua" w:hint="eastAsia"/>
          <w:color w:val="000000"/>
          <w:lang w:eastAsia="zh-CN"/>
        </w:rPr>
        <w:t>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C50B60" w:rsidRPr="00C50B60">
        <w:rPr>
          <w:rFonts w:ascii="Book Antiqua" w:eastAsia="Book Antiqua" w:hAnsi="Book Antiqua" w:cs="Book Antiqua"/>
          <w:color w:val="000000"/>
        </w:rPr>
        <w:t>Kadotani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C50B60">
        <w:rPr>
          <w:rFonts w:ascii="Book Antiqua" w:hAnsi="Book Antiqua" w:cs="Book Antiqua" w:hint="eastAsia"/>
          <w:color w:val="000000"/>
          <w:lang w:eastAsia="zh-CN"/>
        </w:rPr>
        <w:t>H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50B60">
        <w:rPr>
          <w:rFonts w:ascii="Book Antiqua" w:hAnsi="Book Antiqua" w:cs="Book Antiqua" w:hint="eastAsia"/>
          <w:color w:val="000000"/>
          <w:lang w:eastAsia="zh-CN"/>
        </w:rPr>
        <w:t>and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50B60" w:rsidRPr="00C50B60">
        <w:rPr>
          <w:rFonts w:ascii="Book Antiqua" w:eastAsia="Book Antiqua" w:hAnsi="Book Antiqua" w:cs="Book Antiqua"/>
          <w:color w:val="000000"/>
        </w:rPr>
        <w:t>Yamada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50B60">
        <w:rPr>
          <w:rFonts w:ascii="Book Antiqua" w:hAnsi="Book Antiqua" w:cs="Book Antiqua" w:hint="eastAsia"/>
          <w:color w:val="000000"/>
          <w:lang w:eastAsia="zh-CN"/>
        </w:rPr>
        <w:t>N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contributed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analysis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interpretation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data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critical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review</w:t>
      </w:r>
      <w:r w:rsidR="00C50B60">
        <w:rPr>
          <w:rFonts w:ascii="Book Antiqua" w:hAnsi="Book Antiqua" w:cs="Book Antiqua" w:hint="eastAsia"/>
          <w:color w:val="000000"/>
          <w:lang w:eastAsia="zh-CN"/>
        </w:rPr>
        <w:t>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C50B60" w:rsidRPr="00343B51">
        <w:rPr>
          <w:rFonts w:ascii="Book Antiqua" w:eastAsia="Book Antiqua" w:hAnsi="Book Antiqua" w:cs="Book Antiqua"/>
          <w:color w:val="000000"/>
        </w:rPr>
        <w:t>Inagaki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50B60">
        <w:rPr>
          <w:rFonts w:ascii="Book Antiqua" w:hAnsi="Book Antiqua" w:cs="Book Antiqua" w:hint="eastAsia"/>
          <w:color w:val="000000"/>
          <w:lang w:eastAsia="zh-CN"/>
        </w:rPr>
        <w:t>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C50B60" w:rsidRPr="00C50B60">
        <w:rPr>
          <w:rFonts w:ascii="Book Antiqua" w:eastAsia="Book Antiqua" w:hAnsi="Book Antiqua" w:cs="Book Antiqua"/>
          <w:color w:val="000000"/>
        </w:rPr>
        <w:t>Aoki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50B60">
        <w:rPr>
          <w:rFonts w:ascii="Book Antiqua" w:hAnsi="Book Antiqua" w:cs="Book Antiqua" w:hint="eastAsia"/>
          <w:color w:val="000000"/>
          <w:lang w:eastAsia="zh-CN"/>
        </w:rPr>
        <w:t>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contributed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acquisition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data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critical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reviews</w:t>
      </w:r>
      <w:r w:rsidR="00C50B60">
        <w:rPr>
          <w:rFonts w:ascii="Book Antiqua" w:hAnsi="Book Antiqua" w:cs="Book Antiqua" w:hint="eastAsia"/>
          <w:color w:val="000000"/>
          <w:lang w:eastAsia="zh-CN"/>
        </w:rPr>
        <w:t>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C50B60" w:rsidRPr="00343B51">
        <w:rPr>
          <w:rFonts w:ascii="Book Antiqua" w:eastAsia="Book Antiqua" w:hAnsi="Book Antiqua" w:cs="Book Antiqua"/>
          <w:color w:val="000000"/>
        </w:rPr>
        <w:t>Kurimoto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C50B60">
        <w:rPr>
          <w:rFonts w:ascii="Book Antiqua" w:hAnsi="Book Antiqua" w:cs="Book Antiqua" w:hint="eastAsia"/>
          <w:color w:val="000000"/>
          <w:lang w:eastAsia="zh-CN"/>
        </w:rPr>
        <w:t>F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C50B60" w:rsidRPr="00343B51">
        <w:rPr>
          <w:rFonts w:ascii="Book Antiqua" w:eastAsia="Book Antiqua" w:hAnsi="Book Antiqua" w:cs="Book Antiqua"/>
          <w:color w:val="000000"/>
        </w:rPr>
        <w:t>Ozeki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50B60">
        <w:rPr>
          <w:rFonts w:ascii="Book Antiqua" w:hAnsi="Book Antiqua" w:cs="Book Antiqua" w:hint="eastAsia"/>
          <w:color w:val="000000"/>
          <w:lang w:eastAsia="zh-CN"/>
        </w:rPr>
        <w:t>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contributed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critical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review</w:t>
      </w:r>
      <w:r w:rsidR="00C50B60">
        <w:rPr>
          <w:rFonts w:ascii="Book Antiqua" w:hAnsi="Book Antiqua" w:cs="Book Antiqua" w:hint="eastAsia"/>
          <w:color w:val="000000"/>
          <w:lang w:eastAsia="zh-CN"/>
        </w:rPr>
        <w:t>;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50B60" w:rsidRPr="00C50B60">
        <w:rPr>
          <w:rFonts w:ascii="Book Antiqua" w:hAnsi="Book Antiqua" w:cs="Book Antiqua"/>
          <w:color w:val="000000"/>
          <w:lang w:eastAsia="zh-CN"/>
        </w:rPr>
        <w:t>all</w:t>
      </w:r>
      <w:r w:rsidR="005E42D6">
        <w:rPr>
          <w:rFonts w:ascii="Book Antiqua" w:hAnsi="Book Antiqua" w:cs="Book Antiqua"/>
          <w:color w:val="000000"/>
          <w:lang w:eastAsia="zh-CN"/>
        </w:rPr>
        <w:t xml:space="preserve"> </w:t>
      </w:r>
      <w:r w:rsidR="00C50B60" w:rsidRPr="00C50B60">
        <w:rPr>
          <w:rFonts w:ascii="Book Antiqua" w:hAnsi="Book Antiqua" w:cs="Book Antiqua"/>
          <w:color w:val="000000"/>
          <w:lang w:eastAsia="zh-CN"/>
        </w:rPr>
        <w:t>authors</w:t>
      </w:r>
      <w:r w:rsidR="005E42D6">
        <w:rPr>
          <w:rFonts w:ascii="Book Antiqua" w:hAnsi="Book Antiqua" w:cs="Book Antiqua"/>
          <w:color w:val="000000"/>
          <w:lang w:eastAsia="zh-CN"/>
        </w:rPr>
        <w:t xml:space="preserve"> </w:t>
      </w:r>
      <w:r w:rsidR="00C50B60" w:rsidRPr="00C50B60">
        <w:rPr>
          <w:rFonts w:ascii="Book Antiqua" w:hAnsi="Book Antiqua" w:cs="Book Antiqua"/>
          <w:color w:val="000000"/>
          <w:lang w:eastAsia="zh-CN"/>
        </w:rPr>
        <w:t>wrote,</w:t>
      </w:r>
      <w:r w:rsidR="005E42D6">
        <w:rPr>
          <w:rFonts w:ascii="Book Antiqua" w:hAnsi="Book Antiqua" w:cs="Book Antiqua"/>
          <w:color w:val="000000"/>
          <w:lang w:eastAsia="zh-CN"/>
        </w:rPr>
        <w:t xml:space="preserve"> </w:t>
      </w:r>
      <w:r w:rsidR="00C50B60" w:rsidRPr="00C50B60">
        <w:rPr>
          <w:rFonts w:ascii="Book Antiqua" w:hAnsi="Book Antiqua" w:cs="Book Antiqua"/>
          <w:color w:val="000000"/>
          <w:lang w:eastAsia="zh-CN"/>
        </w:rPr>
        <w:t>read</w:t>
      </w:r>
      <w:r w:rsidR="005E42D6">
        <w:rPr>
          <w:rFonts w:ascii="Book Antiqua" w:hAnsi="Book Antiqua" w:cs="Book Antiqua"/>
          <w:color w:val="000000"/>
          <w:lang w:eastAsia="zh-CN"/>
        </w:rPr>
        <w:t xml:space="preserve"> </w:t>
      </w:r>
      <w:r w:rsidR="00C50B60" w:rsidRPr="00C50B60">
        <w:rPr>
          <w:rFonts w:ascii="Book Antiqua" w:hAnsi="Book Antiqua" w:cs="Book Antiqua"/>
          <w:color w:val="000000"/>
          <w:lang w:eastAsia="zh-CN"/>
        </w:rPr>
        <w:t>and</w:t>
      </w:r>
      <w:r w:rsidR="005E42D6">
        <w:rPr>
          <w:rFonts w:ascii="Book Antiqua" w:hAnsi="Book Antiqua" w:cs="Book Antiqua"/>
          <w:color w:val="000000"/>
          <w:lang w:eastAsia="zh-CN"/>
        </w:rPr>
        <w:t xml:space="preserve"> </w:t>
      </w:r>
      <w:r w:rsidR="00C50B60" w:rsidRPr="00C50B60">
        <w:rPr>
          <w:rFonts w:ascii="Book Antiqua" w:hAnsi="Book Antiqua" w:cs="Book Antiqua"/>
          <w:color w:val="000000"/>
          <w:lang w:eastAsia="zh-CN"/>
        </w:rPr>
        <w:t>approved</w:t>
      </w:r>
      <w:r w:rsidR="005E42D6">
        <w:rPr>
          <w:rFonts w:ascii="Book Antiqua" w:hAnsi="Book Antiqua" w:cs="Book Antiqua"/>
          <w:color w:val="000000"/>
          <w:lang w:eastAsia="zh-CN"/>
        </w:rPr>
        <w:t xml:space="preserve"> </w:t>
      </w:r>
      <w:r w:rsidR="00C50B60" w:rsidRPr="00C50B60">
        <w:rPr>
          <w:rFonts w:ascii="Book Antiqua" w:hAnsi="Book Antiqua" w:cs="Book Antiqua"/>
          <w:color w:val="000000"/>
          <w:lang w:eastAsia="zh-CN"/>
        </w:rPr>
        <w:t>the</w:t>
      </w:r>
      <w:r w:rsidR="005E42D6">
        <w:rPr>
          <w:rFonts w:ascii="Book Antiqua" w:hAnsi="Book Antiqua" w:cs="Book Antiqua"/>
          <w:color w:val="000000"/>
          <w:lang w:eastAsia="zh-CN"/>
        </w:rPr>
        <w:t xml:space="preserve"> </w:t>
      </w:r>
      <w:r w:rsidR="00C50B60" w:rsidRPr="00C50B60">
        <w:rPr>
          <w:rFonts w:ascii="Book Antiqua" w:hAnsi="Book Antiqua" w:cs="Book Antiqua"/>
          <w:color w:val="000000"/>
          <w:lang w:eastAsia="zh-CN"/>
        </w:rPr>
        <w:t>final</w:t>
      </w:r>
      <w:r w:rsidR="005E42D6">
        <w:rPr>
          <w:rFonts w:ascii="Book Antiqua" w:hAnsi="Book Antiqua" w:cs="Book Antiqua"/>
          <w:color w:val="000000"/>
          <w:lang w:eastAsia="zh-CN"/>
        </w:rPr>
        <w:t xml:space="preserve"> </w:t>
      </w:r>
      <w:r w:rsidR="00C50B60" w:rsidRPr="00C50B60">
        <w:rPr>
          <w:rFonts w:ascii="Book Antiqua" w:hAnsi="Book Antiqua" w:cs="Book Antiqua"/>
          <w:color w:val="000000"/>
          <w:lang w:eastAsia="zh-CN"/>
        </w:rPr>
        <w:t>manuscript.</w:t>
      </w:r>
    </w:p>
    <w:p w14:paraId="1412A9E1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2B0BCB0C" w14:textId="77777777" w:rsidR="00A77B3E" w:rsidRPr="00C50B60" w:rsidRDefault="002603F4" w:rsidP="00343B51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by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MHLW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Practical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Research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Project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Life-Style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Diseases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including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Cardiovascular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Diseases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Diabetes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program</w:t>
      </w:r>
      <w:r w:rsidR="00C50B60">
        <w:rPr>
          <w:rFonts w:ascii="Book Antiqua" w:hAnsi="Book Antiqua" w:cs="Book Antiqua" w:hint="eastAsia"/>
          <w:color w:val="000000"/>
          <w:lang w:eastAsia="zh-CN"/>
        </w:rPr>
        <w:t>,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50B60">
        <w:rPr>
          <w:rFonts w:ascii="Book Antiqua" w:hAnsi="Book Antiqua" w:cs="Book Antiqua" w:hint="eastAsia"/>
          <w:color w:val="000000"/>
          <w:lang w:eastAsia="zh-CN"/>
        </w:rPr>
        <w:t>No.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21FA0201</w:t>
      </w:r>
      <w:r w:rsidR="00C50B60">
        <w:rPr>
          <w:rFonts w:ascii="Book Antiqua" w:hAnsi="Book Antiqua" w:cs="Book Antiqua" w:hint="eastAsia"/>
          <w:color w:val="000000"/>
          <w:lang w:eastAsia="zh-CN"/>
        </w:rPr>
        <w:t>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MEXT/JSPS</w:t>
      </w:r>
      <w:r w:rsidR="00C50B60">
        <w:rPr>
          <w:rFonts w:ascii="Book Antiqua" w:hAnsi="Book Antiqua" w:cs="Book Antiqua" w:hint="eastAsia"/>
          <w:color w:val="000000"/>
          <w:lang w:eastAsia="zh-CN"/>
        </w:rPr>
        <w:t>,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50B60">
        <w:rPr>
          <w:rFonts w:ascii="Book Antiqua" w:hAnsi="Book Antiqua" w:cs="Book Antiqua" w:hint="eastAsia"/>
          <w:color w:val="000000"/>
          <w:lang w:eastAsia="zh-CN"/>
        </w:rPr>
        <w:t>No.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17H00872</w:t>
      </w:r>
      <w:r w:rsidR="00C50B60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E794893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0DE2189B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Hiroshi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Kadotani,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Department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Psychiatry,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Shiga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University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Medical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Science,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Seta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Tsukinowa-cho,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Otsu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520-2192,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Shiga,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Japan.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kadotanisleep@gmail.com</w:t>
      </w:r>
    </w:p>
    <w:p w14:paraId="35D6A6AF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06C56025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March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28,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2021</w:t>
      </w:r>
    </w:p>
    <w:p w14:paraId="5D061360" w14:textId="77777777" w:rsidR="00A77B3E" w:rsidRPr="00C50B60" w:rsidRDefault="002603F4" w:rsidP="00343B51">
      <w:pPr>
        <w:spacing w:line="360" w:lineRule="auto"/>
        <w:jc w:val="both"/>
        <w:rPr>
          <w:rFonts w:ascii="Book Antiqua" w:hAnsi="Book Antiqua"/>
          <w:lang w:eastAsia="zh-CN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E42D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50B60" w:rsidRPr="00C50B60">
        <w:rPr>
          <w:rFonts w:ascii="Book Antiqua" w:hAnsi="Book Antiqua" w:cs="Book Antiqua" w:hint="eastAsia"/>
          <w:bCs/>
          <w:color w:val="000000"/>
          <w:lang w:eastAsia="zh-CN"/>
        </w:rPr>
        <w:t>July</w:t>
      </w:r>
      <w:r w:rsidR="005E42D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C50B60" w:rsidRPr="00C50B60">
        <w:rPr>
          <w:rFonts w:ascii="Book Antiqua" w:hAnsi="Book Antiqua" w:cs="Book Antiqua" w:hint="eastAsia"/>
          <w:bCs/>
          <w:color w:val="000000"/>
          <w:lang w:eastAsia="zh-CN"/>
        </w:rPr>
        <w:t>26,</w:t>
      </w:r>
      <w:r w:rsidR="005E42D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C50B60" w:rsidRPr="00C50B60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4D2242F5" w14:textId="1AE359EC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95E67" w:rsidRPr="00095E67">
        <w:rPr>
          <w:rFonts w:ascii="Book Antiqua" w:eastAsia="Book Antiqua" w:hAnsi="Book Antiqua" w:cs="Book Antiqua"/>
          <w:color w:val="000000"/>
        </w:rPr>
        <w:t>August 30, 2021</w:t>
      </w:r>
    </w:p>
    <w:p w14:paraId="366F9F39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33C2EF6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  <w:sectPr w:rsidR="00A77B3E" w:rsidRPr="00343B5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E28ABA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color w:val="000000"/>
        </w:rPr>
        <w:t>Abstract</w:t>
      </w:r>
    </w:p>
    <w:p w14:paraId="1BF0E90C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color w:val="000000"/>
        </w:rPr>
        <w:t>BACKGROUND</w:t>
      </w:r>
    </w:p>
    <w:p w14:paraId="04294548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(ECT)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used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treat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major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disorder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(MDD).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often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observed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even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successful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ECT,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followed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adequate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pharmaceutical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MDD.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</w:p>
    <w:p w14:paraId="3E539F6B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2917918E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color w:val="000000"/>
        </w:rPr>
        <w:t>AIM</w:t>
      </w:r>
    </w:p>
    <w:p w14:paraId="0837CB95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investigate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factors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strategies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associated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depression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relapse.</w:t>
      </w:r>
    </w:p>
    <w:p w14:paraId="5F89C22F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42EB619C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color w:val="000000"/>
        </w:rPr>
        <w:t>METHODS</w:t>
      </w:r>
    </w:p>
    <w:p w14:paraId="5B0C8406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analyzed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relationships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between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relapse,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change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bipolar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disorder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(BP),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initial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ECT.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performed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3-year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retrospective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study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prognoses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85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Shiga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University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Medical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Science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Hospital.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risk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symptoms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calculated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based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change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BP.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receiver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operating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characteristic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(ROC)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curve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generated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evaluate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predictive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accuracy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changes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based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duration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between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symptoms.</w:t>
      </w:r>
    </w:p>
    <w:p w14:paraId="0A31B8AB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30862D79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color w:val="000000"/>
        </w:rPr>
        <w:t>RESULTS</w:t>
      </w:r>
    </w:p>
    <w:p w14:paraId="268B3B06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color w:val="000000"/>
        </w:rPr>
        <w:t>Eighty-five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initially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diagnosed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successfully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treated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enrolled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study.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Compared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participants,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more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experienced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relapses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required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continuation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and/or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maintain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(65.6%</w:t>
      </w:r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C35833" w:rsidRPr="00C35833">
        <w:rPr>
          <w:rFonts w:ascii="Book Antiqua" w:eastAsia="Book Antiqua" w:hAnsi="Book Antiqua" w:cs="Book Antiqua"/>
          <w:i/>
          <w:color w:val="000000"/>
        </w:rPr>
        <w:t>vs</w:t>
      </w:r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15.1%,</w:t>
      </w:r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C35833" w:rsidRPr="00C35833">
        <w:rPr>
          <w:rFonts w:ascii="Book Antiqua" w:eastAsia="Book Antiqua" w:hAnsi="Book Antiqua" w:cs="Book Antiqua"/>
          <w:i/>
          <w:color w:val="000000"/>
        </w:rPr>
        <w:t>P</w:t>
      </w:r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&lt;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0.001;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risk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=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4.35,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95%CI: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2.19</w:t>
      </w:r>
      <w:r w:rsidR="00C35833">
        <w:rPr>
          <w:rFonts w:ascii="Book Antiqua" w:hAnsi="Book Antiqua" w:cs="Book Antiqua" w:hint="eastAsia"/>
          <w:color w:val="000000"/>
          <w:lang w:eastAsia="zh-CN"/>
        </w:rPr>
        <w:t>-</w:t>
      </w:r>
      <w:r w:rsidRPr="00343B51">
        <w:rPr>
          <w:rFonts w:ascii="Book Antiqua" w:eastAsia="Book Antiqua" w:hAnsi="Book Antiqua" w:cs="Book Antiqua"/>
          <w:color w:val="000000"/>
        </w:rPr>
        <w:t>8.63,</w:t>
      </w:r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C35833" w:rsidRPr="00C35833">
        <w:rPr>
          <w:rFonts w:ascii="Book Antiqua" w:eastAsia="Book Antiqua" w:hAnsi="Book Antiqua" w:cs="Book Antiqua"/>
          <w:i/>
          <w:color w:val="000000"/>
        </w:rPr>
        <w:t>P</w:t>
      </w:r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&lt;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0.001).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Twenty-nine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experienced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relapses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three-year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follow-up.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21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(72.4%,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21/29)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relapse,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BP.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duration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shorter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(9.63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±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10.4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C35833" w:rsidRPr="00C35833">
        <w:rPr>
          <w:rFonts w:ascii="Book Antiqua" w:eastAsia="Book Antiqua" w:hAnsi="Book Antiqua" w:cs="Book Antiqua"/>
          <w:i/>
          <w:color w:val="000000"/>
        </w:rPr>
        <w:t>vs</w:t>
      </w:r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3.38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±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3.77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343B51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C35833" w:rsidRPr="00C35833">
        <w:rPr>
          <w:rFonts w:ascii="Book Antiqua" w:eastAsia="Book Antiqua" w:hAnsi="Book Antiqua" w:cs="Book Antiqua"/>
          <w:i/>
          <w:color w:val="000000"/>
        </w:rPr>
        <w:t>P</w:t>
      </w:r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=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0.022);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most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patients,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interval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less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month.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risk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symptoms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based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changes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4.35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(95%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confidence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interval: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2.19–8.63,</w:t>
      </w:r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C35833" w:rsidRPr="00C35833">
        <w:rPr>
          <w:rFonts w:ascii="Book Antiqua" w:eastAsia="Book Antiqua" w:hAnsi="Book Antiqua" w:cs="Book Antiqua"/>
          <w:i/>
          <w:color w:val="000000"/>
        </w:rPr>
        <w:t>P</w:t>
      </w:r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&lt;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0.001),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area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under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ROC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curve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detecting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changes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based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duration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0.756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(95%</w:t>
      </w:r>
      <w:r w:rsidR="00C35833">
        <w:rPr>
          <w:rFonts w:ascii="Book Antiqua" w:hAnsi="Book Antiqua" w:cs="Book Antiqua" w:hint="eastAsia"/>
          <w:color w:val="000000"/>
          <w:lang w:eastAsia="zh-CN"/>
        </w:rPr>
        <w:t>CI</w:t>
      </w:r>
      <w:r w:rsidRPr="00343B51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0.562</w:t>
      </w:r>
      <w:r w:rsidR="00C35833" w:rsidRPr="00C35833">
        <w:rPr>
          <w:rFonts w:ascii="Book Antiqua" w:eastAsia="Book Antiqua" w:hAnsi="Book Antiqua" w:cs="Book Antiqua"/>
          <w:color w:val="000000"/>
        </w:rPr>
        <w:t>-</w:t>
      </w:r>
      <w:r w:rsidRPr="00343B51">
        <w:rPr>
          <w:rFonts w:ascii="Book Antiqua" w:eastAsia="Book Antiqua" w:hAnsi="Book Antiqua" w:cs="Book Antiqua"/>
          <w:color w:val="000000"/>
        </w:rPr>
        <w:t>0.895,</w:t>
      </w:r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C35833" w:rsidRPr="00C35833">
        <w:rPr>
          <w:rFonts w:ascii="Book Antiqua" w:eastAsia="Book Antiqua" w:hAnsi="Book Antiqua" w:cs="Book Antiqua"/>
          <w:i/>
          <w:color w:val="000000"/>
        </w:rPr>
        <w:t>P</w:t>
      </w:r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=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0.007).</w:t>
      </w:r>
    </w:p>
    <w:p w14:paraId="46641445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086A72A9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color w:val="000000"/>
        </w:rPr>
        <w:t>CONCLUSION</w:t>
      </w:r>
    </w:p>
    <w:p w14:paraId="76BD7DD4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color w:val="000000"/>
        </w:rPr>
        <w:t>It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beneficial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suspect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change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strategy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experiencing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early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relapse.</w:t>
      </w:r>
    </w:p>
    <w:p w14:paraId="5E91364F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03DD5E21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therapy;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Major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disorder;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Bipolar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disorder;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Antidepressant;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Prognosis;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Retrospective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cohort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study</w:t>
      </w:r>
    </w:p>
    <w:p w14:paraId="5E70BAE7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25BF227C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color w:val="000000"/>
        </w:rPr>
        <w:t>Kurimoto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N,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Inagaki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Aoki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Kadotani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Kurimoto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Kuriyama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K,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Yamada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N,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Ozeki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Y.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4A4614" w:rsidRPr="004A4614">
        <w:rPr>
          <w:rFonts w:ascii="Book Antiqua" w:eastAsia="Book Antiqua" w:hAnsi="Book Antiqua" w:cs="Book Antiqua"/>
          <w:color w:val="000000"/>
        </w:rPr>
        <w:t>Factors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4A4614" w:rsidRPr="004A4614">
        <w:rPr>
          <w:rFonts w:ascii="Book Antiqua" w:eastAsia="Book Antiqua" w:hAnsi="Book Antiqua" w:cs="Book Antiqua"/>
          <w:color w:val="000000"/>
        </w:rPr>
        <w:t>causing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4A4614" w:rsidRPr="004A461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4A4614" w:rsidRPr="004A461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4A4614" w:rsidRPr="004A461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4A4614" w:rsidRPr="004A4614">
        <w:rPr>
          <w:rFonts w:ascii="Book Antiqua" w:eastAsia="Book Antiqua" w:hAnsi="Book Antiqua" w:cs="Book Antiqua"/>
          <w:color w:val="000000"/>
        </w:rPr>
        <w:t>major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4A4614" w:rsidRPr="004A461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4A4614" w:rsidRPr="004A4614">
        <w:rPr>
          <w:rFonts w:ascii="Book Antiqua" w:eastAsia="Book Antiqua" w:hAnsi="Book Antiqua" w:cs="Book Antiqua"/>
          <w:color w:val="000000"/>
        </w:rPr>
        <w:t>disorders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4A4614" w:rsidRPr="004A4614">
        <w:rPr>
          <w:rFonts w:ascii="Book Antiqua" w:eastAsia="Book Antiqua" w:hAnsi="Book Antiqua" w:cs="Book Antiqua"/>
          <w:color w:val="000000"/>
        </w:rPr>
        <w:t>following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4A4614" w:rsidRPr="004A4614">
        <w:rPr>
          <w:rFonts w:ascii="Book Antiqua" w:eastAsia="Book Antiqua" w:hAnsi="Book Antiqua" w:cs="Book Antiqua"/>
          <w:color w:val="000000"/>
        </w:rPr>
        <w:t>successful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4A4614" w:rsidRPr="004A4614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4A4614" w:rsidRPr="004A4614">
        <w:rPr>
          <w:rFonts w:ascii="Book Antiqua" w:eastAsia="Book Antiqua" w:hAnsi="Book Antiqua" w:cs="Book Antiqua"/>
          <w:color w:val="000000"/>
        </w:rPr>
        <w:t>therapy: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4A4614" w:rsidRPr="004A461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4A4614" w:rsidRPr="004A4614">
        <w:rPr>
          <w:rFonts w:ascii="Book Antiqua" w:eastAsia="Book Antiqua" w:hAnsi="Book Antiqua" w:cs="Book Antiqua"/>
          <w:color w:val="000000"/>
        </w:rPr>
        <w:t>retrospective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4A4614" w:rsidRPr="004A4614">
        <w:rPr>
          <w:rFonts w:ascii="Book Antiqua" w:eastAsia="Book Antiqua" w:hAnsi="Book Antiqua" w:cs="Book Antiqua"/>
          <w:color w:val="000000"/>
        </w:rPr>
        <w:t>cohort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4A4614" w:rsidRPr="004A4614">
        <w:rPr>
          <w:rFonts w:ascii="Book Antiqua" w:eastAsia="Book Antiqua" w:hAnsi="Book Antiqua" w:cs="Book Antiqua"/>
          <w:color w:val="000000"/>
        </w:rPr>
        <w:t>study</w:t>
      </w:r>
      <w:r w:rsidRPr="00343B51">
        <w:rPr>
          <w:rFonts w:ascii="Book Antiqua" w:eastAsia="Book Antiqua" w:hAnsi="Book Antiqua" w:cs="Book Antiqua"/>
          <w:color w:val="000000"/>
        </w:rPr>
        <w:t>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2021;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press</w:t>
      </w:r>
    </w:p>
    <w:p w14:paraId="309ABE79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3B89F01D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diagnosed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C35833" w:rsidRPr="00343B51">
        <w:rPr>
          <w:rFonts w:ascii="Book Antiqua" w:eastAsia="Book Antiqua" w:hAnsi="Book Antiqua" w:cs="Book Antiqua"/>
          <w:color w:val="000000"/>
        </w:rPr>
        <w:t>major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C35833" w:rsidRPr="00343B51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C35833" w:rsidRPr="00343B51">
        <w:rPr>
          <w:rFonts w:ascii="Book Antiqua" w:eastAsia="Book Antiqua" w:hAnsi="Book Antiqua" w:cs="Book Antiqua"/>
          <w:color w:val="000000"/>
        </w:rPr>
        <w:t>disorder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C35833" w:rsidRPr="00343B51">
        <w:rPr>
          <w:rFonts w:ascii="Book Antiqua" w:eastAsia="Book Antiqua" w:hAnsi="Book Antiqua" w:cs="Book Antiqua"/>
          <w:color w:val="000000"/>
        </w:rPr>
        <w:t>(MDD)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but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repeatedly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C35833" w:rsidRPr="00343B51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C35833" w:rsidRPr="00343B51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C35833" w:rsidRPr="00343B51">
        <w:rPr>
          <w:rFonts w:ascii="Book Antiqua" w:eastAsia="Book Antiqua" w:hAnsi="Book Antiqua" w:cs="Book Antiqua"/>
          <w:color w:val="000000"/>
        </w:rPr>
        <w:t>(ECT)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require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continuation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and/or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(C/M-ECT)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phase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C35833" w:rsidRPr="00C35833">
        <w:rPr>
          <w:rFonts w:ascii="Book Antiqua" w:eastAsia="Book Antiqua" w:hAnsi="Book Antiqua" w:cs="Book Antiqua"/>
          <w:color w:val="000000"/>
        </w:rPr>
        <w:t>bipolar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C35833" w:rsidRPr="00C35833">
        <w:rPr>
          <w:rFonts w:ascii="Book Antiqua" w:eastAsia="Book Antiqua" w:hAnsi="Book Antiqua" w:cs="Book Antiqua"/>
          <w:color w:val="000000"/>
        </w:rPr>
        <w:t>disorder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C35833" w:rsidRPr="00C35833">
        <w:rPr>
          <w:rFonts w:ascii="Book Antiqua" w:eastAsia="Book Antiqua" w:hAnsi="Book Antiqua" w:cs="Book Antiqua"/>
          <w:color w:val="000000"/>
        </w:rPr>
        <w:t>(BP)</w:t>
      </w:r>
      <w:r w:rsidRPr="00343B51">
        <w:rPr>
          <w:rFonts w:ascii="Book Antiqua" w:eastAsia="Book Antiqua" w:hAnsi="Book Antiqua" w:cs="Book Antiqua"/>
          <w:color w:val="000000"/>
        </w:rPr>
        <w:t>.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Rather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repeating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C/M-ECT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alone,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even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without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obvious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symptoms,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have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revised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within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month.</w:t>
      </w:r>
    </w:p>
    <w:p w14:paraId="35CD5F4E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22CDF3DA" w14:textId="77777777" w:rsidR="00A77B3E" w:rsidRPr="00343B51" w:rsidRDefault="00C35833" w:rsidP="00343B5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2603F4" w:rsidRPr="00343B51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210B4BB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options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major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disorder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(MDD)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resistant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pharmaceutical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extremely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3B51">
        <w:rPr>
          <w:rFonts w:ascii="Book Antiqua" w:eastAsia="Book Antiqua" w:hAnsi="Book Antiqua" w:cs="Book Antiqua"/>
          <w:color w:val="000000"/>
        </w:rPr>
        <w:t>limited</w:t>
      </w:r>
      <w:r w:rsidRPr="00343B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3B5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343B51">
        <w:rPr>
          <w:rFonts w:ascii="Book Antiqua" w:eastAsia="Book Antiqua" w:hAnsi="Book Antiqua" w:cs="Book Antiqua"/>
          <w:color w:val="000000"/>
        </w:rPr>
        <w:t>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Currently,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(ECT)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most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promising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therapeutic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modality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MDD,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including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drug-resistant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3B51">
        <w:rPr>
          <w:rFonts w:ascii="Book Antiqua" w:eastAsia="Book Antiqua" w:hAnsi="Book Antiqua" w:cs="Book Antiqua"/>
          <w:color w:val="000000"/>
        </w:rPr>
        <w:t>depression</w:t>
      </w:r>
      <w:r w:rsidRPr="00343B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3B51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343B51">
        <w:rPr>
          <w:rFonts w:ascii="Book Antiqua" w:eastAsia="Book Antiqua" w:hAnsi="Book Antiqua" w:cs="Book Antiqua"/>
          <w:color w:val="000000"/>
        </w:rPr>
        <w:t>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efficacy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reportedly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50</w:t>
      </w:r>
      <w:r w:rsidR="00C35833" w:rsidRPr="00343B51">
        <w:rPr>
          <w:rFonts w:ascii="Book Antiqua" w:eastAsia="Book Antiqua" w:hAnsi="Book Antiqua" w:cs="Book Antiqua"/>
          <w:color w:val="000000"/>
        </w:rPr>
        <w:t>%</w:t>
      </w:r>
      <w:r w:rsidRPr="00343B51">
        <w:rPr>
          <w:rFonts w:ascii="Book Antiqua" w:eastAsia="Book Antiqua" w:hAnsi="Book Antiqua" w:cs="Book Antiqua"/>
          <w:color w:val="000000"/>
        </w:rPr>
        <w:t>–60%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drug-resistant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depression,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irrespective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presence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psychotic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3B51">
        <w:rPr>
          <w:rFonts w:ascii="Book Antiqua" w:eastAsia="Book Antiqua" w:hAnsi="Book Antiqua" w:cs="Book Antiqua"/>
          <w:color w:val="000000"/>
        </w:rPr>
        <w:t>features</w:t>
      </w:r>
      <w:r w:rsidRPr="00343B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3B51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343B51">
        <w:rPr>
          <w:rFonts w:ascii="Book Antiqua" w:eastAsia="Book Antiqua" w:hAnsi="Book Antiqua" w:cs="Book Antiqua"/>
          <w:color w:val="000000"/>
        </w:rPr>
        <w:t>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However,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most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ECT-treated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continue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pharmacotherapy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experience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within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6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receiving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adequate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3B51">
        <w:rPr>
          <w:rFonts w:ascii="Book Antiqua" w:eastAsia="Book Antiqua" w:hAnsi="Book Antiqua" w:cs="Book Antiqua"/>
          <w:color w:val="000000"/>
        </w:rPr>
        <w:t>ECT</w:t>
      </w:r>
      <w:r w:rsidRPr="00343B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3B51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343B51">
        <w:rPr>
          <w:rFonts w:ascii="Book Antiqua" w:eastAsia="Book Antiqua" w:hAnsi="Book Antiqua" w:cs="Book Antiqua"/>
          <w:color w:val="000000"/>
        </w:rPr>
        <w:t>.</w:t>
      </w:r>
    </w:p>
    <w:p w14:paraId="65F24F29" w14:textId="77777777" w:rsidR="00A77B3E" w:rsidRPr="00343B51" w:rsidRDefault="002603F4" w:rsidP="00C3583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color w:val="000000"/>
        </w:rPr>
        <w:t>Thus,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some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therapies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adequate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usually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utilized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prevent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initial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results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complete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depression.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been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reported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combination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lithium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antidepressant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more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effective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antidepressants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3B51">
        <w:rPr>
          <w:rFonts w:ascii="Book Antiqua" w:eastAsia="Book Antiqua" w:hAnsi="Book Antiqua" w:cs="Book Antiqua"/>
          <w:color w:val="000000"/>
        </w:rPr>
        <w:t>alone</w:t>
      </w:r>
      <w:r w:rsidRPr="00343B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3B51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343B51">
        <w:rPr>
          <w:rFonts w:ascii="Book Antiqua" w:eastAsia="Book Antiqua" w:hAnsi="Book Antiqua" w:cs="Book Antiqua"/>
          <w:color w:val="000000"/>
        </w:rPr>
        <w:t>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Moreover,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cumulative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evidence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suggests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continuation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and/or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C35833" w:rsidRPr="00343B51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(C/M-ECT)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combined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pharmacotherapy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maintains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significantly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higher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several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months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initial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3B51">
        <w:rPr>
          <w:rFonts w:ascii="Book Antiqua" w:eastAsia="Book Antiqua" w:hAnsi="Book Antiqua" w:cs="Book Antiqua"/>
          <w:color w:val="000000"/>
        </w:rPr>
        <w:t>ECT</w:t>
      </w:r>
      <w:r w:rsidRPr="00343B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3B51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343B51">
        <w:rPr>
          <w:rFonts w:ascii="Book Antiqua" w:eastAsia="Book Antiqua" w:hAnsi="Book Antiqua" w:cs="Book Antiqua"/>
          <w:color w:val="000000"/>
        </w:rPr>
        <w:t>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Recent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reviews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meta-analyses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have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recommended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C/M-ECT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combined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pharmacotherapy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3B51">
        <w:rPr>
          <w:rFonts w:ascii="Book Antiqua" w:eastAsia="Book Antiqua" w:hAnsi="Book Antiqua" w:cs="Book Antiqua"/>
          <w:color w:val="000000"/>
        </w:rPr>
        <w:t>MDD</w:t>
      </w:r>
      <w:r w:rsidRPr="00343B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3B51">
        <w:rPr>
          <w:rFonts w:ascii="Book Antiqua" w:eastAsia="Book Antiqua" w:hAnsi="Book Antiqua" w:cs="Book Antiqua"/>
          <w:color w:val="000000"/>
          <w:vertAlign w:val="superscript"/>
        </w:rPr>
        <w:t>11,12]</w:t>
      </w:r>
      <w:r w:rsidRPr="00343B51">
        <w:rPr>
          <w:rFonts w:ascii="Book Antiqua" w:eastAsia="Book Antiqua" w:hAnsi="Book Antiqua" w:cs="Book Antiqua"/>
          <w:color w:val="000000"/>
        </w:rPr>
        <w:t>.</w:t>
      </w:r>
    </w:p>
    <w:p w14:paraId="1BD3C0F2" w14:textId="77777777" w:rsidR="00A77B3E" w:rsidRPr="00343B51" w:rsidRDefault="002603F4" w:rsidP="00C3583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color w:val="000000"/>
        </w:rPr>
        <w:t>However,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remains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unclear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whether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recommended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therapeutic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strategy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obscures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potential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risk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future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episode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since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both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mood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stabilizers,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such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lithium,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effective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both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symptoms.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considerable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proportion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bipolar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disorder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(BP)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misdiagnosed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their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3B51">
        <w:rPr>
          <w:rFonts w:ascii="Book Antiqua" w:eastAsia="Book Antiqua" w:hAnsi="Book Antiqua" w:cs="Book Antiqua"/>
          <w:color w:val="000000"/>
        </w:rPr>
        <w:t>visit</w:t>
      </w:r>
      <w:r w:rsidRPr="00343B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3B51">
        <w:rPr>
          <w:rFonts w:ascii="Book Antiqua" w:eastAsia="Book Antiqua" w:hAnsi="Book Antiqua" w:cs="Book Antiqua"/>
          <w:color w:val="000000"/>
          <w:vertAlign w:val="superscript"/>
        </w:rPr>
        <w:t>13-15]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because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their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episodes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emerge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depression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more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often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mania.</w:t>
      </w:r>
    </w:p>
    <w:p w14:paraId="259DD0B8" w14:textId="77777777" w:rsidR="00A77B3E" w:rsidRPr="00343B51" w:rsidRDefault="002603F4" w:rsidP="00C3583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color w:val="000000"/>
        </w:rPr>
        <w:t>Several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studies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have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reported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change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43B51">
        <w:rPr>
          <w:rFonts w:ascii="Book Antiqua" w:eastAsia="Book Antiqua" w:hAnsi="Book Antiqua" w:cs="Book Antiqua"/>
          <w:color w:val="000000"/>
        </w:rPr>
        <w:t>MDD</w:t>
      </w:r>
      <w:r w:rsidRPr="00343B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43B51">
        <w:rPr>
          <w:rFonts w:ascii="Book Antiqua" w:eastAsia="Book Antiqua" w:hAnsi="Book Antiqua" w:cs="Book Antiqua"/>
          <w:color w:val="000000"/>
          <w:vertAlign w:val="superscript"/>
        </w:rPr>
        <w:t>14-18]</w:t>
      </w:r>
      <w:r w:rsidRPr="00343B51">
        <w:rPr>
          <w:rFonts w:ascii="Book Antiqua" w:eastAsia="Book Antiqua" w:hAnsi="Book Antiqua" w:cs="Book Antiqua"/>
          <w:color w:val="000000"/>
        </w:rPr>
        <w:t>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However,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prognosis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antidepressant-resistant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using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not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been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systematically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investigated.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Therefore,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hypothesized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depression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followed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relapse,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even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receiving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antidepressant-based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without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mood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stabilizers,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indicative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BP.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test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our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hypothesis,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conducted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retrospective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cohort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study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involving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3-year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follow-up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experienced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depression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undergoing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our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hospital.</w:t>
      </w:r>
    </w:p>
    <w:p w14:paraId="325CDD4A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2FA22D6F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5E42D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25BD4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E42D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25BD4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BB5D516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09BC9E10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recruited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admitted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Department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Psychiatry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Shiga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University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Medical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Science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Hospital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their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between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January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2009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December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2011.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</w:p>
    <w:p w14:paraId="24088309" w14:textId="6EE942B0" w:rsidR="00825BD4" w:rsidRPr="00825BD4" w:rsidRDefault="00825BD4" w:rsidP="00513CA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Diagnoses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psychiatry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department,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based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Statistical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Manual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Mental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Disorders,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Fourth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Edition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(DSM-</w:t>
      </w:r>
      <w:proofErr w:type="gramStart"/>
      <w:r w:rsidRPr="00825BD4">
        <w:rPr>
          <w:rFonts w:ascii="Book Antiqua" w:eastAsia="Book Antiqua" w:hAnsi="Book Antiqua" w:cs="Book Antiqua"/>
          <w:color w:val="000000"/>
        </w:rPr>
        <w:t>IV)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5BD4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routinely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made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consensus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multiple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psychiatrists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members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Japanese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Board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Psychiatry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weekly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conferences.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Decisions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manic/hypomanic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episodes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also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made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conferences.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included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initially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=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112)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without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other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mental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neurological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disorders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(Figure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1).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initially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mixed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episodes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included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</w:p>
    <w:p w14:paraId="7597C516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5A70CE82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Definitions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remission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relapse</w:t>
      </w:r>
    </w:p>
    <w:p w14:paraId="34AF3242" w14:textId="343FC968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defined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successful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follows: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13CA9">
        <w:rPr>
          <w:rFonts w:ascii="Book Antiqua" w:hAnsi="Book Antiqua" w:cs="Book Antiqua" w:hint="eastAsia"/>
          <w:color w:val="000000"/>
          <w:lang w:eastAsia="zh-CN"/>
        </w:rPr>
        <w:t>(</w:t>
      </w:r>
      <w:r w:rsidRPr="00825BD4">
        <w:rPr>
          <w:rFonts w:ascii="Book Antiqua" w:eastAsia="Book Antiqua" w:hAnsi="Book Antiqua" w:cs="Book Antiqua"/>
          <w:color w:val="000000"/>
        </w:rPr>
        <w:t>1)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13CA9">
        <w:rPr>
          <w:rFonts w:ascii="Book Antiqua" w:hAnsi="Book Antiqua" w:cs="Book Antiqua" w:hint="eastAsia"/>
          <w:color w:val="000000"/>
          <w:lang w:eastAsia="zh-CN"/>
        </w:rPr>
        <w:t>T</w:t>
      </w:r>
      <w:r w:rsidRPr="00825BD4">
        <w:rPr>
          <w:rFonts w:ascii="Book Antiqua" w:eastAsia="Book Antiqua" w:hAnsi="Book Antiqua" w:cs="Book Antiqua"/>
          <w:color w:val="000000"/>
        </w:rPr>
        <w:t>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longer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conformed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criteria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13CA9">
        <w:rPr>
          <w:rFonts w:ascii="Book Antiqua" w:hAnsi="Book Antiqua" w:cs="Book Antiqua" w:hint="eastAsia"/>
          <w:color w:val="000000"/>
          <w:lang w:eastAsia="zh-CN"/>
        </w:rPr>
        <w:t>(</w:t>
      </w:r>
      <w:r w:rsidRPr="00825BD4">
        <w:rPr>
          <w:rFonts w:ascii="Book Antiqua" w:eastAsia="Book Antiqua" w:hAnsi="Book Antiqua" w:cs="Book Antiqua"/>
          <w:color w:val="000000"/>
        </w:rPr>
        <w:t>2)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13CA9" w:rsidRPr="00513CA9">
        <w:rPr>
          <w:rFonts w:ascii="Book Antiqua" w:eastAsia="Book Antiqua" w:hAnsi="Book Antiqua" w:cs="Book Antiqua"/>
          <w:color w:val="000000"/>
        </w:rPr>
        <w:t>Hamilton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13CA9" w:rsidRPr="00513CA9">
        <w:rPr>
          <w:rFonts w:ascii="Book Antiqua" w:eastAsia="Book Antiqua" w:hAnsi="Book Antiqua" w:cs="Book Antiqua"/>
          <w:color w:val="000000"/>
        </w:rPr>
        <w:t>Depression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13CA9" w:rsidRPr="00513CA9">
        <w:rPr>
          <w:rFonts w:ascii="Book Antiqua" w:eastAsia="Book Antiqua" w:hAnsi="Book Antiqua" w:cs="Book Antiqua"/>
          <w:color w:val="000000"/>
        </w:rPr>
        <w:t>Scale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13CA9" w:rsidRPr="00513CA9">
        <w:rPr>
          <w:rFonts w:ascii="Book Antiqua" w:eastAsia="Book Antiqua" w:hAnsi="Book Antiqua" w:cs="Book Antiqua"/>
          <w:color w:val="000000"/>
        </w:rPr>
        <w:t>21-Item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13CA9">
        <w:rPr>
          <w:rFonts w:ascii="Book Antiqua" w:hAnsi="Book Antiqua" w:cs="Book Antiqua" w:hint="eastAsia"/>
          <w:color w:val="000000"/>
          <w:lang w:eastAsia="zh-CN"/>
        </w:rPr>
        <w:t>(</w:t>
      </w:r>
      <w:r w:rsidRPr="00825BD4">
        <w:rPr>
          <w:rFonts w:ascii="Book Antiqua" w:eastAsia="Book Antiqua" w:hAnsi="Book Antiqua" w:cs="Book Antiqua"/>
          <w:color w:val="000000"/>
        </w:rPr>
        <w:t>HAMD-21</w:t>
      </w:r>
      <w:r w:rsidR="00513CA9">
        <w:rPr>
          <w:rFonts w:ascii="Book Antiqua" w:hAnsi="Book Antiqua" w:cs="Book Antiqua" w:hint="eastAsia"/>
          <w:color w:val="000000"/>
          <w:lang w:eastAsia="zh-CN"/>
        </w:rPr>
        <w:t>)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66EA9" w:rsidRPr="00825BD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66EA9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score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improved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≥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60%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admission;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13CA9">
        <w:rPr>
          <w:rFonts w:ascii="Book Antiqua" w:hAnsi="Book Antiqua" w:cs="Book Antiqua" w:hint="eastAsia"/>
          <w:color w:val="000000"/>
          <w:lang w:eastAsia="zh-CN"/>
        </w:rPr>
        <w:t>(</w:t>
      </w:r>
      <w:r w:rsidRPr="00825BD4">
        <w:rPr>
          <w:rFonts w:ascii="Book Antiqua" w:eastAsia="Book Antiqua" w:hAnsi="Book Antiqua" w:cs="Book Antiqua"/>
          <w:color w:val="000000"/>
        </w:rPr>
        <w:t>3)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discharged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resumed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normal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activity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home.</w:t>
      </w:r>
    </w:p>
    <w:p w14:paraId="4027F06F" w14:textId="77777777" w:rsidR="00825BD4" w:rsidRPr="00825BD4" w:rsidRDefault="00825BD4" w:rsidP="00513CA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defined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reappearance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criteria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</w:p>
    <w:p w14:paraId="573F9FB9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3EDF6E66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Criterion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changing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</w:p>
    <w:p w14:paraId="1C9B1201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When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manic/hypomanic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episode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meeting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DSM-IV-</w:t>
      </w:r>
      <w:r w:rsidR="00513CA9" w:rsidRPr="00825BD4">
        <w:rPr>
          <w:rFonts w:ascii="Book Antiqua" w:eastAsia="Book Antiqua" w:hAnsi="Book Antiqua" w:cs="Book Antiqua"/>
          <w:color w:val="000000"/>
        </w:rPr>
        <w:t>Text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13CA9" w:rsidRPr="00825BD4">
        <w:rPr>
          <w:rFonts w:ascii="Book Antiqua" w:eastAsia="Book Antiqua" w:hAnsi="Book Antiqua" w:cs="Book Antiqua"/>
          <w:color w:val="000000"/>
        </w:rPr>
        <w:t>Revision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13CA9">
        <w:rPr>
          <w:rFonts w:ascii="Book Antiqua" w:hAnsi="Book Antiqua" w:cs="Book Antiqua" w:hint="eastAsia"/>
          <w:color w:val="000000"/>
          <w:lang w:eastAsia="zh-CN"/>
        </w:rPr>
        <w:t>(</w:t>
      </w:r>
      <w:r w:rsidR="00513CA9" w:rsidRPr="00825BD4">
        <w:rPr>
          <w:rFonts w:ascii="Book Antiqua" w:eastAsia="Book Antiqua" w:hAnsi="Book Antiqua" w:cs="Book Antiqua"/>
          <w:color w:val="000000"/>
        </w:rPr>
        <w:t>DSM-IV-</w:t>
      </w:r>
      <w:proofErr w:type="gramStart"/>
      <w:r w:rsidRPr="00825BD4">
        <w:rPr>
          <w:rFonts w:ascii="Book Antiqua" w:eastAsia="Book Antiqua" w:hAnsi="Book Antiqua" w:cs="Book Antiqua"/>
          <w:color w:val="000000"/>
        </w:rPr>
        <w:t>TR</w:t>
      </w:r>
      <w:r w:rsidR="00513CA9">
        <w:rPr>
          <w:rFonts w:ascii="Book Antiqua" w:hAnsi="Book Antiqua" w:cs="Book Antiqua" w:hint="eastAsia"/>
          <w:color w:val="000000"/>
          <w:lang w:eastAsia="zh-CN"/>
        </w:rPr>
        <w:t>)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5BD4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5E42D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criteria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follow-up,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hypomanic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episodes,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respectively.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strategy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among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made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week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manic/hypomanic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episodes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observed.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Manic/hypomanic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episodes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outpatients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determined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manic/hypomanic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persisted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least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four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days.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Moreover,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other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psychotic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epileptic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dominant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DSM-IV-</w:t>
      </w:r>
      <w:proofErr w:type="gramStart"/>
      <w:r w:rsidRPr="00825BD4">
        <w:rPr>
          <w:rFonts w:ascii="Book Antiqua" w:eastAsia="Book Antiqua" w:hAnsi="Book Antiqua" w:cs="Book Antiqua"/>
          <w:color w:val="000000"/>
        </w:rPr>
        <w:t>TR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5BD4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5E42D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criteria,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schizophrenia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epilepsy,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respectively.</w:t>
      </w:r>
    </w:p>
    <w:p w14:paraId="040E66C4" w14:textId="2A68AC88" w:rsidR="00825BD4" w:rsidRPr="00825BD4" w:rsidRDefault="00825BD4" w:rsidP="00513CA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typically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according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American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Psychiatric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Association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(APA)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5BD4">
        <w:rPr>
          <w:rFonts w:ascii="Book Antiqua" w:eastAsia="Book Antiqua" w:hAnsi="Book Antiqua" w:cs="Book Antiqua"/>
          <w:color w:val="000000"/>
        </w:rPr>
        <w:t>guidelines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5BD4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825BD4">
        <w:rPr>
          <w:rFonts w:ascii="Book Antiqua" w:eastAsia="Book Antiqua" w:hAnsi="Book Antiqua" w:cs="Book Antiqua"/>
          <w:color w:val="000000"/>
        </w:rPr>
        <w:t>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carefully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applied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according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APA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Practice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5BD4">
        <w:rPr>
          <w:rFonts w:ascii="Book Antiqua" w:eastAsia="Book Antiqua" w:hAnsi="Book Antiqua" w:cs="Book Antiqua"/>
          <w:color w:val="000000"/>
        </w:rPr>
        <w:t>Guideline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5BD4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National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Institute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Health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Excellence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(NICE)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guidelines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United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Kingdom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66EA9" w:rsidRPr="00825BD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66EA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25BD4">
        <w:rPr>
          <w:rFonts w:ascii="Book Antiqua" w:eastAsia="Book Antiqua" w:hAnsi="Book Antiqua" w:cs="Book Antiqua"/>
          <w:color w:val="000000"/>
        </w:rPr>
        <w:t>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least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following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criteria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administration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13CA9">
        <w:rPr>
          <w:rFonts w:ascii="Book Antiqua" w:hAnsi="Book Antiqua" w:cs="Book Antiqua" w:hint="eastAsia"/>
          <w:color w:val="000000"/>
          <w:lang w:eastAsia="zh-CN"/>
        </w:rPr>
        <w:t>: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13CA9">
        <w:rPr>
          <w:rFonts w:ascii="Book Antiqua" w:hAnsi="Book Antiqua" w:cs="Book Antiqua" w:hint="eastAsia"/>
          <w:color w:val="000000"/>
          <w:lang w:eastAsia="zh-CN"/>
        </w:rPr>
        <w:t>(</w:t>
      </w:r>
      <w:r w:rsidRPr="00825BD4">
        <w:rPr>
          <w:rFonts w:ascii="Book Antiqua" w:eastAsia="Book Antiqua" w:hAnsi="Book Antiqua" w:cs="Book Antiqua"/>
          <w:color w:val="000000"/>
        </w:rPr>
        <w:t>1)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experience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despite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receiving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sufficient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two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(drug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resistance)</w:t>
      </w:r>
      <w:r w:rsidR="00513CA9">
        <w:rPr>
          <w:rFonts w:ascii="Book Antiqua" w:hAnsi="Book Antiqua" w:cs="Book Antiqua" w:hint="eastAsia"/>
          <w:color w:val="000000"/>
          <w:lang w:eastAsia="zh-CN"/>
        </w:rPr>
        <w:t>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13CA9">
        <w:rPr>
          <w:rFonts w:ascii="Book Antiqua" w:hAnsi="Book Antiqua" w:cs="Book Antiqua" w:hint="eastAsia"/>
          <w:color w:val="000000"/>
          <w:lang w:eastAsia="zh-CN"/>
        </w:rPr>
        <w:t>(</w:t>
      </w:r>
      <w:r w:rsidRPr="00825BD4">
        <w:rPr>
          <w:rFonts w:ascii="Book Antiqua" w:eastAsia="Book Antiqua" w:hAnsi="Book Antiqua" w:cs="Book Antiqua"/>
          <w:color w:val="000000"/>
        </w:rPr>
        <w:t>2)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serious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suicidal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thoughts</w:t>
      </w:r>
      <w:r w:rsidR="00513CA9">
        <w:rPr>
          <w:rFonts w:ascii="Book Antiqua" w:hAnsi="Book Antiqua" w:cs="Book Antiqua" w:hint="eastAsia"/>
          <w:color w:val="000000"/>
          <w:lang w:eastAsia="zh-CN"/>
        </w:rPr>
        <w:t>;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13CA9">
        <w:rPr>
          <w:rFonts w:ascii="Book Antiqua" w:hAnsi="Book Antiqua" w:cs="Book Antiqua" w:hint="eastAsia"/>
          <w:color w:val="000000"/>
          <w:lang w:eastAsia="zh-CN"/>
        </w:rPr>
        <w:t>and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13CA9">
        <w:rPr>
          <w:rFonts w:ascii="Book Antiqua" w:hAnsi="Book Antiqua" w:cs="Book Antiqua" w:hint="eastAsia"/>
          <w:color w:val="000000"/>
          <w:lang w:eastAsia="zh-CN"/>
        </w:rPr>
        <w:t>(</w:t>
      </w:r>
      <w:r w:rsidRPr="00825BD4">
        <w:rPr>
          <w:rFonts w:ascii="Book Antiqua" w:eastAsia="Book Antiqua" w:hAnsi="Book Antiqua" w:cs="Book Antiqua"/>
          <w:color w:val="000000"/>
        </w:rPr>
        <w:t>3)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difficult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administer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pharmacotherapy,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unable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take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food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oral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medications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psychomotor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retardation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hypobulia</w:t>
      </w:r>
      <w:proofErr w:type="spellEnd"/>
      <w:r w:rsidRPr="00825BD4">
        <w:rPr>
          <w:rFonts w:ascii="Book Antiqua" w:eastAsia="Book Antiqua" w:hAnsi="Book Antiqua" w:cs="Book Antiqua"/>
          <w:color w:val="000000"/>
        </w:rPr>
        <w:t>.</w:t>
      </w:r>
    </w:p>
    <w:p w14:paraId="37891BBC" w14:textId="77777777" w:rsidR="00825BD4" w:rsidRPr="00825BD4" w:rsidRDefault="00825BD4" w:rsidP="00513CA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excluded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failed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achieve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=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11)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schizophrenia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=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3),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epilepsy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=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1),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chronic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=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2),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Alzheimer's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disease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=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4)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follow-up.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could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follow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6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moved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out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(Figure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1).</w:t>
      </w:r>
    </w:p>
    <w:p w14:paraId="21F9CD6C" w14:textId="032AEB22" w:rsidR="00825BD4" w:rsidRPr="005E42D6" w:rsidRDefault="00825BD4" w:rsidP="00513CA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825BD4">
        <w:rPr>
          <w:rFonts w:ascii="Book Antiqua" w:eastAsia="Book Antiqua" w:hAnsi="Book Antiqua" w:cs="Book Antiqua"/>
          <w:color w:val="000000"/>
        </w:rPr>
        <w:t>Eighty-five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significant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improvement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successful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course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naturally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observed.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severity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psychosocial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dysfunction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assessed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using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HAMD-21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66EA9" w:rsidRPr="00825BD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66EA9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Global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Assessment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Functioning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scale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(GAF)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DSM-IV-</w:t>
      </w:r>
      <w:proofErr w:type="gramStart"/>
      <w:r w:rsidRPr="00825BD4">
        <w:rPr>
          <w:rFonts w:ascii="Book Antiqua" w:eastAsia="Book Antiqua" w:hAnsi="Book Antiqua" w:cs="Book Antiqua"/>
          <w:color w:val="000000"/>
        </w:rPr>
        <w:t>TR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5BD4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825BD4">
        <w:rPr>
          <w:rFonts w:ascii="Book Antiqua" w:eastAsia="Book Antiqua" w:hAnsi="Book Antiqua" w:cs="Book Antiqua"/>
          <w:color w:val="000000"/>
        </w:rPr>
        <w:t>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follow-up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observation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36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achieved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course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Anxiety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included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which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included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criteria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DSM-IV-TR.</w:t>
      </w:r>
    </w:p>
    <w:p w14:paraId="074A5EB6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conducted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according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guidelines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Declaration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Helsinki.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Written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informed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consent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obtained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because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retrospective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nature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displayed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protocol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hospital’s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website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outpatient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units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hospital.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offered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opportunity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opt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out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protocol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approved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Shiga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University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Medical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Science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Ethics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Committee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(27-178)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registered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UMIN-CTR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(UMIN000030458).</w:t>
      </w:r>
    </w:p>
    <w:p w14:paraId="4B20219E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obtained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data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medical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records: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E42D6">
        <w:rPr>
          <w:rFonts w:ascii="Book Antiqua" w:hAnsi="Book Antiqua" w:cs="Book Antiqua" w:hint="eastAsia"/>
          <w:color w:val="000000"/>
          <w:lang w:eastAsia="zh-CN"/>
        </w:rPr>
        <w:t>A</w:t>
      </w:r>
      <w:r w:rsidRPr="00825BD4">
        <w:rPr>
          <w:rFonts w:ascii="Book Antiqua" w:eastAsia="Book Antiqua" w:hAnsi="Book Antiqua" w:cs="Book Antiqua"/>
          <w:color w:val="000000"/>
        </w:rPr>
        <w:t>ge,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sex,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number,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HAMD-21,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GAF,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onset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disease,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medication,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psychotic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features,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all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essential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medical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data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cross-checked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doctors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charge.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missing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data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included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study.</w:t>
      </w:r>
    </w:p>
    <w:p w14:paraId="2AB67867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3535BE44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Group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classification</w:t>
      </w:r>
    </w:p>
    <w:p w14:paraId="69D10F0B" w14:textId="1232FAD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retrospectively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classified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066EA9">
        <w:rPr>
          <w:rFonts w:ascii="Book Antiqua" w:eastAsia="Book Antiqua" w:hAnsi="Book Antiqua" w:cs="Book Antiqua"/>
          <w:color w:val="000000"/>
        </w:rPr>
        <w:t xml:space="preserve">four </w:t>
      </w:r>
      <w:r w:rsidRPr="00825BD4">
        <w:rPr>
          <w:rFonts w:ascii="Book Antiqua" w:eastAsia="Book Antiqua" w:hAnsi="Book Antiqua" w:cs="Book Antiqua"/>
          <w:color w:val="000000"/>
        </w:rPr>
        <w:t>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based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their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clinical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course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(Figure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Four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included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analyzed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study.</w:t>
      </w:r>
    </w:p>
    <w:p w14:paraId="143AF8C2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3565E333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Groups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B</w:t>
      </w:r>
    </w:p>
    <w:p w14:paraId="20C9E243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Fifty-six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experience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course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classified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pharmacotherapy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based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their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respective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diagnoses.</w:t>
      </w:r>
    </w:p>
    <w:p w14:paraId="7BF9E9CC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Group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included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45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40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remained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continuous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single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remained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concomitant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lithium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some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antidepressants.</w:t>
      </w:r>
    </w:p>
    <w:p w14:paraId="3D8B1F8F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Group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included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eleven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based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manic/hypomanic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their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course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subsequent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Six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II,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respectively.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continued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discontinued.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All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group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maintained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mood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stabilizers.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</w:p>
    <w:p w14:paraId="1D4692E2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377DAB17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Groups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</w:p>
    <w:p w14:paraId="6B1953AA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Twenty-nine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experienced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course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classified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All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achieved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second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course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switched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C/M-ECT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</w:p>
    <w:p w14:paraId="45AB9772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Group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included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eight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experienced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repeated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maintained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SSRIs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SNRIs;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two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experienced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maintained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tricyclic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aripiprazole;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experienced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but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maintained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lithium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C/M-ECT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discontinued.</w:t>
      </w:r>
    </w:p>
    <w:p w14:paraId="62DDBF76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Group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included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twenty-one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because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manic/hypomanic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C/M-ECT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which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persisted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discontinued.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Two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nineteen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II,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respectively.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group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maintained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mood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stabilizers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without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C/M-ECT.</w:t>
      </w:r>
    </w:p>
    <w:p w14:paraId="700703E8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582DC6A7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ECT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procedures</w:t>
      </w:r>
    </w:p>
    <w:p w14:paraId="6F2AD9BE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performed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using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THYMATRON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SYSTEM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IV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instrument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Somatics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LLC,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Lake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Bluff,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IL,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USA).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Procedures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anesthesia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determination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seizure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adequacy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followed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standardized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clinical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protocol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consistent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current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standards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5BD4">
        <w:rPr>
          <w:rFonts w:ascii="Book Antiqua" w:eastAsia="Book Antiqua" w:hAnsi="Book Antiqua" w:cs="Book Antiqua"/>
          <w:color w:val="000000"/>
        </w:rPr>
        <w:t>care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5BD4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825BD4">
        <w:rPr>
          <w:rFonts w:ascii="Book Antiqua" w:eastAsia="Book Antiqua" w:hAnsi="Book Antiqua" w:cs="Book Antiqua"/>
          <w:color w:val="000000"/>
        </w:rPr>
        <w:t>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Anesthesia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procedure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included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intravenous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thiamylal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(1.0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1.5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mg/kg)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succinylcholine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(1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mg/kg).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pre-oxygenated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manually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ventilated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using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valve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mask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100%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oxygen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showed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adequate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muscle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relaxation.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electrodes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placed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bilaterally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forehead.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electrical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short-term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course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estimated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using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‘‘half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method.”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median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number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sessions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8.47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±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3.72.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same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energy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required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short-term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second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course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C/M-ECT.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short-term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course,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received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two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three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weekly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sessions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until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remission.</w:t>
      </w:r>
    </w:p>
    <w:p w14:paraId="59F04F80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7326B68A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Follow-up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regimens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F35D28E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Pharmaceutical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administered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all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following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course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Tricyclic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(TCAs)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preferentially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selected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all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tolerable.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Sackeim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25BD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E42D6"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42D6" w:rsidRPr="00825BD4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5E42D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reported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nortriptyline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increases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compared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venlafaxine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concomitantly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administered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Venlafaxine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available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Japan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period.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Fifty-two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primarily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received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TCAs,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41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received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selective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serotonin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norepinephrine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reuptake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inhibitors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(SSRI/SNRIs).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All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prescribed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DFDFD"/>
        </w:rPr>
        <w:t>equivalent</w:t>
      </w:r>
      <w:r w:rsidR="005E42D6">
        <w:rPr>
          <w:rFonts w:ascii="Book Antiqua" w:eastAsia="Book Antiqua" w:hAnsi="Book Antiqua" w:cs="Book Antiqua"/>
          <w:color w:val="000000"/>
          <w:shd w:val="clear" w:color="auto" w:fill="FDFDFD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DFDFD"/>
        </w:rPr>
        <w:t>to</w:t>
      </w:r>
      <w:r w:rsidR="005E42D6">
        <w:rPr>
          <w:rFonts w:ascii="Book Antiqua" w:eastAsia="Book Antiqua" w:hAnsi="Book Antiqua" w:cs="Book Antiqua"/>
          <w:color w:val="000000"/>
          <w:shd w:val="clear" w:color="auto" w:fill="FDFDFD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DFDFD"/>
        </w:rPr>
        <w:t>150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imipramine,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DFDFD"/>
        </w:rPr>
        <w:t>which</w:t>
      </w:r>
      <w:r w:rsidR="005E42D6">
        <w:rPr>
          <w:rFonts w:ascii="Book Antiqua" w:eastAsia="Book Antiqua" w:hAnsi="Book Antiqua" w:cs="Book Antiqua"/>
          <w:color w:val="000000"/>
          <w:shd w:val="clear" w:color="auto" w:fill="FDFDFD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DFDFD"/>
        </w:rPr>
        <w:t>satisfied</w:t>
      </w:r>
      <w:r w:rsidR="005E42D6">
        <w:rPr>
          <w:rFonts w:ascii="Book Antiqua" w:eastAsia="Book Antiqua" w:hAnsi="Book Antiqua" w:cs="Book Antiqua"/>
          <w:color w:val="000000"/>
          <w:shd w:val="clear" w:color="auto" w:fill="FDFDFD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DFDFD"/>
        </w:rPr>
        <w:t>the</w:t>
      </w:r>
      <w:r w:rsidR="005E42D6">
        <w:rPr>
          <w:rFonts w:ascii="Book Antiqua" w:eastAsia="Book Antiqua" w:hAnsi="Book Antiqua" w:cs="Book Antiqua"/>
          <w:color w:val="000000"/>
          <w:shd w:val="clear" w:color="auto" w:fill="FDFDFD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DFDFD"/>
        </w:rPr>
        <w:t>maximum</w:t>
      </w:r>
      <w:r w:rsidR="005E42D6">
        <w:rPr>
          <w:rFonts w:ascii="Book Antiqua" w:eastAsia="Book Antiqua" w:hAnsi="Book Antiqua" w:cs="Book Antiqua"/>
          <w:color w:val="000000"/>
          <w:shd w:val="clear" w:color="auto" w:fill="FDFDFD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DFDFD"/>
        </w:rPr>
        <w:t>allowable</w:t>
      </w:r>
      <w:r w:rsidR="005E42D6">
        <w:rPr>
          <w:rFonts w:ascii="Book Antiqua" w:eastAsia="Book Antiqua" w:hAnsi="Book Antiqua" w:cs="Book Antiqua"/>
          <w:color w:val="000000"/>
          <w:shd w:val="clear" w:color="auto" w:fill="FDFDFD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DFDFD"/>
        </w:rPr>
        <w:t>dose</w:t>
      </w:r>
      <w:r w:rsidRPr="00825BD4">
        <w:rPr>
          <w:rFonts w:ascii="Book Antiqua" w:eastAsia="Book Antiqua" w:hAnsi="Book Antiqua" w:cs="Book Antiqua"/>
          <w:color w:val="000000"/>
        </w:rPr>
        <w:t>.</w:t>
      </w:r>
    </w:p>
    <w:p w14:paraId="3EDB6655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When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29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experienced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second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course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administered,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achieved.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Subsequently,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C/M-ECT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observed,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intervals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C/M-ECTs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gradually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increased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six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months.</w:t>
      </w:r>
    </w:p>
    <w:p w14:paraId="01F18F11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terminated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C/M-ECT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maintained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6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new-onset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psychiatric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</w:t>
      </w:r>
      <w:r w:rsidRPr="005E42D6">
        <w:rPr>
          <w:rFonts w:ascii="Book Antiqua" w:eastAsia="Book Antiqua" w:hAnsi="Book Antiqua" w:cs="Book Antiqua"/>
          <w:i/>
          <w:color w:val="000000"/>
        </w:rPr>
        <w:t>e.g.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mood-incongruent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delusions)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dominant.</w:t>
      </w:r>
    </w:p>
    <w:p w14:paraId="2B0A3DE4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42F52EF2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</w:p>
    <w:p w14:paraId="5316BF99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clinical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characteristics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presented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±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standard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deviation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(SD).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performed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chi-square</w:t>
      </w:r>
      <w:r w:rsidR="005E42D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test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t-</w:t>
      </w:r>
      <w:r w:rsidRPr="00825BD4">
        <w:rPr>
          <w:rFonts w:ascii="Book Antiqua" w:eastAsia="Book Antiqua" w:hAnsi="Book Antiqua" w:cs="Book Antiqua"/>
          <w:color w:val="000000"/>
        </w:rPr>
        <w:t>test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investigate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intergroup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differences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following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items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needed: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(1)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E42D6">
        <w:rPr>
          <w:rFonts w:ascii="Book Antiqua" w:hAnsi="Book Antiqua" w:cs="Book Antiqua" w:hint="eastAsia"/>
          <w:color w:val="000000"/>
          <w:lang w:eastAsia="zh-CN"/>
        </w:rPr>
        <w:t>D</w:t>
      </w:r>
      <w:r w:rsidRPr="00825BD4">
        <w:rPr>
          <w:rFonts w:ascii="Book Antiqua" w:eastAsia="Book Antiqua" w:hAnsi="Book Antiqua" w:cs="Book Antiqua"/>
          <w:color w:val="000000"/>
        </w:rPr>
        <w:t>emographic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data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(sex,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onset,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disease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until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session);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(2)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E42D6">
        <w:rPr>
          <w:rFonts w:ascii="Book Antiqua" w:hAnsi="Book Antiqua" w:cs="Book Antiqua" w:hint="eastAsia"/>
          <w:color w:val="000000"/>
          <w:lang w:eastAsia="zh-CN"/>
        </w:rPr>
        <w:t>A</w:t>
      </w:r>
      <w:r w:rsidRPr="00825BD4">
        <w:rPr>
          <w:rFonts w:ascii="Book Antiqua" w:eastAsia="Book Antiqua" w:hAnsi="Book Antiqua" w:cs="Book Antiqua"/>
          <w:color w:val="000000"/>
        </w:rPr>
        <w:t>dmission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data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(HAMD-21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score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admission,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GAF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score,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presence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psychotic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features,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number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performed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course);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(3)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E42D6">
        <w:rPr>
          <w:rFonts w:ascii="Book Antiqua" w:hAnsi="Book Antiqua" w:cs="Book Antiqua" w:hint="eastAsia"/>
          <w:color w:val="000000"/>
          <w:lang w:eastAsia="zh-CN"/>
        </w:rPr>
        <w:t>D</w:t>
      </w:r>
      <w:r w:rsidRPr="00825BD4">
        <w:rPr>
          <w:rFonts w:ascii="Book Antiqua" w:eastAsia="Book Antiqua" w:hAnsi="Book Antiqua" w:cs="Book Antiqua"/>
          <w:color w:val="000000"/>
        </w:rPr>
        <w:t>ischarge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data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(HAMD-21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score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discharge,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GAF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score,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type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therapy);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(4)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E42D6">
        <w:rPr>
          <w:rFonts w:ascii="Book Antiqua" w:hAnsi="Book Antiqua" w:cs="Book Antiqua" w:hint="eastAsia"/>
          <w:color w:val="000000"/>
          <w:lang w:eastAsia="zh-CN"/>
        </w:rPr>
        <w:t>P</w:t>
      </w:r>
      <w:r w:rsidRPr="00825BD4">
        <w:rPr>
          <w:rFonts w:ascii="Book Antiqua" w:eastAsia="Book Antiqua" w:hAnsi="Book Antiqua" w:cs="Book Antiqua"/>
          <w:color w:val="000000"/>
        </w:rPr>
        <w:t>ost-discharge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data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period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C/M-ECT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36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final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</w:p>
    <w:p w14:paraId="2AC12793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risk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(RR)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95%CIs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calculated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according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three-year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follow-up.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Receiver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operating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characteristic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(ROC)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curves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generated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evaluate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accuracy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predicting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between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MedCalc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Software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Ver.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19.7.2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(Ostend,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Belgium)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statistical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analyses.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Statistical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significance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5E42D6">
        <w:rPr>
          <w:rFonts w:ascii="Book Antiqua" w:eastAsia="Book Antiqua" w:hAnsi="Book Antiqua" w:cs="Book Antiqua"/>
          <w:i/>
          <w:color w:val="000000"/>
        </w:rPr>
        <w:t>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&lt;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0.05.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sensitivity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analysis,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performed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non-parametric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analysis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(Mann-Whitney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test).</w:t>
      </w:r>
    </w:p>
    <w:p w14:paraId="4F1807D2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Sample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power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analyses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performed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using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G*Power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3.1.9.7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(University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Kiel,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Germany).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Kellner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5E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825BD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5E42D6" w:rsidRPr="00825BD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5E42D6" w:rsidRPr="00825BD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23]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average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duration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relapse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9.1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ECT.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determined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size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SDs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groups,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hypothesized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difference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durations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9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clinically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significant.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α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=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0.05,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power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=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0.80,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difference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=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9,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SD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sample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size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estimation.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estimated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sample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size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22.</w:t>
      </w:r>
    </w:p>
    <w:p w14:paraId="67F0DFD3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statistical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methods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reviewed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Prof.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Hiromu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Kutsumi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Mr.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Shoji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Momokawa</w:t>
      </w:r>
      <w:proofErr w:type="spellEnd"/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Center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Clinical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Research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Advanced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Medicine,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Shiga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University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Medical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Science.</w:t>
      </w:r>
    </w:p>
    <w:p w14:paraId="1EC78802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67B96CD9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F919C8B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202F66ED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This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included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85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56.0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±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17.0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years;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31.8%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males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=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27)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(Table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Figure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average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initial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episode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started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51.7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±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17.4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years,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administered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53.1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±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83.2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All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followed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36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recovered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scores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HAMD-21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22.3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±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13.8,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7.13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±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5.03,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&lt;0.001)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GAF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32.9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±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15.5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66.6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±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7.70,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E42D6" w:rsidRPr="005E42D6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&lt;0.001).</w:t>
      </w:r>
    </w:p>
    <w:p w14:paraId="558C5130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included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three-year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follow-up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initial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Figure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2).</w:t>
      </w:r>
    </w:p>
    <w:p w14:paraId="03137608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included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three-year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follow-up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initial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Figure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2).</w:t>
      </w:r>
    </w:p>
    <w:p w14:paraId="1CA3D159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included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experienced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episodes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course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maintained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C).</w:t>
      </w:r>
    </w:p>
    <w:p w14:paraId="53A2FEE7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included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because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manic/hypomanic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C/M-ECT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(group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Subjects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group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experienced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course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but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maintained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treatment.</w:t>
      </w:r>
    </w:p>
    <w:p w14:paraId="2F19BDE9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Three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subjects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without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excluded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two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subjects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(one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female)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schizophrenia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psychotic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episodes.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another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epileptic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because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seizure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episodes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psychotic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features.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</w:p>
    <w:p w14:paraId="09974CE5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Seven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subjects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also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excluded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Four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subjects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(two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women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two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men)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their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concomitant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Alzheimer's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dementia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their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consistent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mnemonic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impairments;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two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males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their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concomitant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chronic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pain,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another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schizophrenia.</w:t>
      </w:r>
    </w:p>
    <w:p w14:paraId="0C6D97FB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636C20CB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Diagnostic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group-specific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(MDD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BP)</w:t>
      </w:r>
    </w:p>
    <w:p w14:paraId="4632F6D2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compared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demographic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data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three-year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follow-up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significant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differences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between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two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sex,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age,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onset,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HAMD-21/GAF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scores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discharge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(Table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However,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onset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significantly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shorter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(33.5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±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48.1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5E42D6">
        <w:rPr>
          <w:rFonts w:ascii="Book Antiqua" w:eastAsia="Book Antiqua" w:hAnsi="Book Antiqua" w:cs="Book Antiqua"/>
          <w:i/>
          <w:color w:val="000000"/>
        </w:rPr>
        <w:t>vs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85.8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±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114.9%,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=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0.009),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while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psychotic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features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prominent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(43.4%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5E42D6">
        <w:rPr>
          <w:rFonts w:ascii="Book Antiqua" w:eastAsia="Book Antiqua" w:hAnsi="Book Antiqua" w:cs="Book Antiqua"/>
          <w:i/>
          <w:color w:val="000000"/>
        </w:rPr>
        <w:t>vs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21.9%,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=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0.046).</w:t>
      </w:r>
    </w:p>
    <w:p w14:paraId="2C339F6C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(Group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5E42D6">
        <w:rPr>
          <w:rFonts w:ascii="Book Antiqua" w:eastAsia="Book Antiqua" w:hAnsi="Book Antiqua" w:cs="Book Antiqua"/>
          <w:i/>
          <w:color w:val="000000"/>
        </w:rPr>
        <w:t>vs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similar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demographic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data,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except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(Table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1).</w:t>
      </w:r>
    </w:p>
    <w:p w14:paraId="5377B080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31BAF62B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Diagnostic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change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due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manic/hypomanic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episodes</w:t>
      </w:r>
    </w:p>
    <w:p w14:paraId="6C829706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85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32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(37.6%)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their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because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manic/hypomanic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episodes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experienced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C/M-ECT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period</w:t>
      </w:r>
      <w:r w:rsidR="00611B33">
        <w:rPr>
          <w:rFonts w:ascii="Book Antiqua" w:eastAsia="Book Antiqua" w:hAnsi="Book Antiqua" w:cs="Book Antiqua"/>
          <w:color w:val="000000"/>
        </w:rPr>
        <w:t xml:space="preserve"> </w:t>
      </w:r>
      <w:r w:rsidR="00611B33" w:rsidRPr="00825BD4">
        <w:rPr>
          <w:rFonts w:ascii="Book Antiqua" w:eastAsia="Book Antiqua" w:hAnsi="Book Antiqua" w:cs="Book Antiqua"/>
          <w:color w:val="000000"/>
        </w:rPr>
        <w:t>(Groups</w:t>
      </w:r>
      <w:r w:rsidR="00611B33">
        <w:rPr>
          <w:rFonts w:ascii="Book Antiqua" w:eastAsia="Book Antiqua" w:hAnsi="Book Antiqua" w:cs="Book Antiqua"/>
          <w:color w:val="000000"/>
        </w:rPr>
        <w:t xml:space="preserve"> </w:t>
      </w:r>
      <w:r w:rsidR="00611B33" w:rsidRPr="00825BD4">
        <w:rPr>
          <w:rFonts w:ascii="Book Antiqua" w:eastAsia="Book Antiqua" w:hAnsi="Book Antiqua" w:cs="Book Antiqua"/>
          <w:color w:val="000000"/>
        </w:rPr>
        <w:t>B</w:t>
      </w:r>
      <w:r w:rsidR="00611B33">
        <w:rPr>
          <w:rFonts w:ascii="Book Antiqua" w:eastAsia="Book Antiqua" w:hAnsi="Book Antiqua" w:cs="Book Antiqua"/>
          <w:color w:val="000000"/>
        </w:rPr>
        <w:t xml:space="preserve"> </w:t>
      </w:r>
      <w:r w:rsidR="00611B33" w:rsidRPr="00825BD4">
        <w:rPr>
          <w:rFonts w:ascii="Book Antiqua" w:eastAsia="Book Antiqua" w:hAnsi="Book Antiqua" w:cs="Book Antiqua"/>
          <w:color w:val="000000"/>
        </w:rPr>
        <w:t>and</w:t>
      </w:r>
      <w:r w:rsidR="00611B33">
        <w:rPr>
          <w:rFonts w:ascii="Book Antiqua" w:eastAsia="Book Antiqua" w:hAnsi="Book Antiqua" w:cs="Book Antiqua"/>
          <w:color w:val="000000"/>
        </w:rPr>
        <w:t xml:space="preserve"> </w:t>
      </w:r>
      <w:r w:rsidR="00611B33" w:rsidRPr="00825BD4">
        <w:rPr>
          <w:rFonts w:ascii="Book Antiqua" w:eastAsia="Book Antiqua" w:hAnsi="Book Antiqua" w:cs="Book Antiqua"/>
          <w:color w:val="000000"/>
        </w:rPr>
        <w:t>D;</w:t>
      </w:r>
      <w:r w:rsidR="00611B33">
        <w:rPr>
          <w:rFonts w:ascii="Book Antiqua" w:eastAsia="Book Antiqua" w:hAnsi="Book Antiqua" w:cs="Book Antiqua"/>
          <w:color w:val="000000"/>
        </w:rPr>
        <w:t xml:space="preserve"> </w:t>
      </w:r>
      <w:r w:rsidR="00611B33" w:rsidRPr="00825BD4">
        <w:rPr>
          <w:rFonts w:ascii="Book Antiqua" w:eastAsia="Book Antiqua" w:hAnsi="Book Antiqua" w:cs="Book Antiqua"/>
          <w:color w:val="000000"/>
        </w:rPr>
        <w:t>Figure</w:t>
      </w:r>
      <w:r w:rsidR="00611B33">
        <w:rPr>
          <w:rFonts w:ascii="Book Antiqua" w:eastAsia="Book Antiqua" w:hAnsi="Book Antiqua" w:cs="Book Antiqua"/>
          <w:color w:val="000000"/>
        </w:rPr>
        <w:t xml:space="preserve"> </w:t>
      </w:r>
      <w:r w:rsidR="00611B33" w:rsidRPr="00825BD4">
        <w:rPr>
          <w:rFonts w:ascii="Book Antiqua" w:eastAsia="Book Antiqua" w:hAnsi="Book Antiqua" w:cs="Book Antiqua"/>
          <w:color w:val="000000"/>
        </w:rPr>
        <w:t>2)</w:t>
      </w:r>
      <w:r w:rsidRPr="00825BD4">
        <w:rPr>
          <w:rFonts w:ascii="Book Antiqua" w:eastAsia="Book Antiqua" w:hAnsi="Book Antiqua" w:cs="Book Antiqua"/>
          <w:color w:val="000000"/>
        </w:rPr>
        <w:t>.</w:t>
      </w:r>
    </w:p>
    <w:p w14:paraId="68E8C55A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44E7F76B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Higher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relapse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among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diagnostic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changes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than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those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without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120BA907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observed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significantly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higher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risk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and C) (RR = 4.35, 95%CI: 2.19-</w:t>
      </w:r>
      <w:r w:rsidRPr="00825BD4">
        <w:rPr>
          <w:rFonts w:ascii="Book Antiqua" w:eastAsia="Book Antiqua" w:hAnsi="Book Antiqua" w:cs="Book Antiqua"/>
          <w:color w:val="000000"/>
        </w:rPr>
        <w:t>8.63,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E42D6" w:rsidRPr="005E42D6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5E42D6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&lt;0.001).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higher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percentage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found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(65.6%: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Group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D/Groups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+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(15.1%: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Group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C/Groups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+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</w:t>
      </w:r>
      <w:r w:rsidR="005E42D6" w:rsidRPr="005E42D6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&lt;0.001)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(Figure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addition,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types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(SSRI/SNRI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TCA)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similar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among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chi-square</w:t>
      </w:r>
      <w:r w:rsidR="005E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test,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=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0.77).</w:t>
      </w:r>
    </w:p>
    <w:p w14:paraId="64602D42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58B53443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Period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until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relapse</w:t>
      </w:r>
    </w:p>
    <w:p w14:paraId="3AA2CEC6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investigated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significantly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earlier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group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(Group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group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without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(Group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t-</w:t>
      </w:r>
      <w:r w:rsidRPr="00825BD4">
        <w:rPr>
          <w:rFonts w:ascii="Book Antiqua" w:eastAsia="Book Antiqua" w:hAnsi="Book Antiqua" w:cs="Book Antiqua"/>
          <w:color w:val="000000"/>
        </w:rPr>
        <w:t>test,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=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0.022;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Figure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3).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sensitivity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analysis,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performed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non-parametric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analysis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(Mann-Whitney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test)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between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D),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similar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finding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E42D6" w:rsidRPr="005E42D6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value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0.034.</w:t>
      </w:r>
    </w:p>
    <w:p w14:paraId="12E35301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determine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predictive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value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until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performed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ROC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analysis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(Figure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4).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experienced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3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75%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whereas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61.9%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remained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relapse-free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least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3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</w:p>
    <w:p w14:paraId="35F4155F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period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less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demonstrated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</w:t>
      </w:r>
      <w:r w:rsidR="005E42D6">
        <w:rPr>
          <w:rFonts w:ascii="Book Antiqua" w:eastAsia="Book Antiqua" w:hAnsi="Book Antiqua" w:cs="Book Antiqua"/>
          <w:color w:val="000000"/>
        </w:rPr>
        <w:t>nsitivity of 38.1% (95%CI: 18.1</w:t>
      </w:r>
      <w:r w:rsidR="005E42D6" w:rsidRPr="00825BD4">
        <w:rPr>
          <w:rFonts w:ascii="Book Antiqua" w:eastAsia="Book Antiqua" w:hAnsi="Book Antiqua" w:cs="Book Antiqua"/>
          <w:color w:val="000000"/>
        </w:rPr>
        <w:t>%</w:t>
      </w:r>
      <w:r w:rsidR="005E42D6">
        <w:rPr>
          <w:rFonts w:ascii="Book Antiqua" w:eastAsia="Book Antiqua" w:hAnsi="Book Antiqua" w:cs="Book Antiqua"/>
          <w:color w:val="000000"/>
        </w:rPr>
        <w:t>-</w:t>
      </w:r>
      <w:r w:rsidRPr="00825BD4">
        <w:rPr>
          <w:rFonts w:ascii="Book Antiqua" w:eastAsia="Book Antiqua" w:hAnsi="Book Antiqua" w:cs="Book Antiqua"/>
          <w:color w:val="000000"/>
        </w:rPr>
        <w:t>61.6%),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specificity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100%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(95%CI: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63.1</w:t>
      </w:r>
      <w:r w:rsidR="005E42D6" w:rsidRPr="00825BD4">
        <w:rPr>
          <w:rFonts w:ascii="Book Antiqua" w:eastAsia="Book Antiqua" w:hAnsi="Book Antiqua" w:cs="Book Antiqua"/>
          <w:color w:val="000000"/>
        </w:rPr>
        <w:t>%</w:t>
      </w:r>
      <w:r w:rsidR="005E42D6">
        <w:rPr>
          <w:rFonts w:ascii="Book Antiqua" w:eastAsia="Book Antiqua" w:hAnsi="Book Antiqua" w:cs="Book Antiqua"/>
          <w:color w:val="000000"/>
        </w:rPr>
        <w:t>-</w:t>
      </w:r>
      <w:r w:rsidRPr="00825BD4">
        <w:rPr>
          <w:rFonts w:ascii="Book Antiqua" w:eastAsia="Book Antiqua" w:hAnsi="Book Antiqua" w:cs="Book Antiqua"/>
          <w:color w:val="000000"/>
        </w:rPr>
        <w:t>100%),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area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under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</w:t>
      </w:r>
      <w:r w:rsidR="005E42D6">
        <w:rPr>
          <w:rFonts w:ascii="Book Antiqua" w:eastAsia="Book Antiqua" w:hAnsi="Book Antiqua" w:cs="Book Antiqua"/>
          <w:color w:val="000000"/>
        </w:rPr>
        <w:t>OC curve of 0.756 (95%CI: 0.562-</w:t>
      </w:r>
      <w:r w:rsidRPr="00825BD4">
        <w:rPr>
          <w:rFonts w:ascii="Book Antiqua" w:eastAsia="Book Antiqua" w:hAnsi="Book Antiqua" w:cs="Book Antiqua"/>
          <w:color w:val="000000"/>
        </w:rPr>
        <w:t>0.895)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=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0.007),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which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indicated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moderately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predictive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BP.</w:t>
      </w:r>
    </w:p>
    <w:p w14:paraId="6FE4A657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31CE46BA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17C0F6E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BP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are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more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likely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experience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relapses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ECT</w:t>
      </w:r>
    </w:p>
    <w:p w14:paraId="1F68E234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investigated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prognosis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85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initially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underwent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experienced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over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3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years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identify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effect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subsequent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pharmacotherapy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Our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results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indicate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29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experienced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despite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their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course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subsequently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required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C/M-ECT.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Twenty-one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(group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their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Therefore,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overlooked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potential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episodes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underwent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likely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experience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5BD4">
        <w:rPr>
          <w:rFonts w:ascii="Book Antiqua" w:eastAsia="Book Antiqua" w:hAnsi="Book Antiqua" w:cs="Book Antiqua"/>
          <w:color w:val="000000"/>
        </w:rPr>
        <w:t>antidepressants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5BD4">
        <w:rPr>
          <w:rFonts w:ascii="Book Antiqua" w:eastAsia="Book Antiqua" w:hAnsi="Book Antiqua" w:cs="Book Antiqua"/>
          <w:color w:val="000000"/>
          <w:vertAlign w:val="superscript"/>
        </w:rPr>
        <w:t>24,25]</w:t>
      </w:r>
      <w:r w:rsidRPr="00825BD4">
        <w:rPr>
          <w:rFonts w:ascii="Book Antiqua" w:eastAsia="Book Antiqua" w:hAnsi="Book Antiqua" w:cs="Book Antiqua"/>
          <w:color w:val="000000"/>
        </w:rPr>
        <w:t>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major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reason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drug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resistance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necessitates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repeated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C/M-ECT.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</w:p>
    <w:p w14:paraId="15BAA64E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There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established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guidelines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management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ECT–induced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mania,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little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guide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clinicians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beyond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experience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5BD4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case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report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Lee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25BD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5BD4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described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ECT-induced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aborting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adding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mood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stabilizer.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Another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case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report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Thomas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25BD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5BD4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described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ECT-induced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repeated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alone.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aborted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mood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stabilizers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ECT–induced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mania.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</w:p>
    <w:p w14:paraId="348AC7C4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Generally,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large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proportion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BP-associated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misdiagnosed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initially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alone.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Regardless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resistance,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their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[14-18]</w:t>
      </w:r>
      <w:r w:rsidRPr="00825BD4">
        <w:rPr>
          <w:rFonts w:ascii="Book Antiqua" w:eastAsia="Book Antiqua" w:hAnsi="Book Antiqua" w:cs="Book Antiqua"/>
          <w:color w:val="000000"/>
        </w:rPr>
        <w:t>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agreement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this,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found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proportion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similar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higher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reported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previous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studies,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although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studies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involved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smaller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samples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reported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shorter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follow-ups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current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[14-18]</w:t>
      </w:r>
      <w:r w:rsidRPr="00825BD4">
        <w:rPr>
          <w:rFonts w:ascii="Book Antiqua" w:eastAsia="Book Antiqua" w:hAnsi="Book Antiqua" w:cs="Book Antiqua"/>
          <w:color w:val="000000"/>
        </w:rPr>
        <w:t>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our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knowledge,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report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focuses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possibility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which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repeatedly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indicated,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experience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phase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never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experienced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manic/hypomanic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episodes,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cannot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therefore,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remain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until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manic/hypomanic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episode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occurs.</w:t>
      </w:r>
    </w:p>
    <w:p w14:paraId="4B1E8457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Predictors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conversion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include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prevalence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psychotic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5BD4">
        <w:rPr>
          <w:rFonts w:ascii="Book Antiqua" w:eastAsia="Book Antiqua" w:hAnsi="Book Antiqua" w:cs="Book Antiqua"/>
          <w:color w:val="000000"/>
        </w:rPr>
        <w:t>depression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5BD4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825BD4">
        <w:rPr>
          <w:rFonts w:ascii="Book Antiqua" w:eastAsia="Book Antiqua" w:hAnsi="Book Antiqua" w:cs="Book Antiqua"/>
          <w:color w:val="000000"/>
        </w:rPr>
        <w:t>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Psychotic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features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prevalent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among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which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relatively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old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group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(51.7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±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17.4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years).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</w:p>
    <w:p w14:paraId="6CC7EB26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4C950013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Requirements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augmentation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pharmacotherapy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as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potential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predictor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future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BP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</w:p>
    <w:p w14:paraId="0B30A8B4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53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ultimately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45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(84.9%)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remained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single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irrespective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type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(TCA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SSRI/SNRI).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Although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antidepressant-antipsychotic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known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effective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psychotic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5BD4">
        <w:rPr>
          <w:rFonts w:ascii="Book Antiqua" w:eastAsia="Book Antiqua" w:hAnsi="Book Antiqua" w:cs="Book Antiqua"/>
          <w:color w:val="000000"/>
        </w:rPr>
        <w:t>depression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5BD4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established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guidelines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management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manifesting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psychotic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ECT.</w:t>
      </w:r>
    </w:p>
    <w:p w14:paraId="64C4C606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group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three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group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required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lithium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aripiprazole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augmentation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maintain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(15.1%: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(5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+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3)/(45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+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8)),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whereas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45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maintained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using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single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without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requiring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lithium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E42D6" w:rsidRPr="00825BD4">
        <w:rPr>
          <w:rFonts w:ascii="Book Antiqua" w:eastAsia="Book Antiqua" w:hAnsi="Book Antiqua" w:cs="Book Antiqua"/>
          <w:color w:val="000000"/>
        </w:rPr>
        <w:t>[</w:t>
      </w:r>
      <w:r w:rsidRPr="00825BD4">
        <w:rPr>
          <w:rFonts w:ascii="Book Antiqua" w:eastAsia="Book Antiqua" w:hAnsi="Book Antiqua" w:cs="Book Antiqua"/>
          <w:color w:val="000000"/>
        </w:rPr>
        <w:t>84.9%: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E42D6" w:rsidRPr="00825BD4">
        <w:rPr>
          <w:rFonts w:ascii="Book Antiqua" w:eastAsia="Book Antiqua" w:hAnsi="Book Antiqua" w:cs="Book Antiqua"/>
          <w:color w:val="000000"/>
        </w:rPr>
        <w:t>(</w:t>
      </w:r>
      <w:r w:rsidRPr="00825BD4">
        <w:rPr>
          <w:rFonts w:ascii="Book Antiqua" w:eastAsia="Book Antiqua" w:hAnsi="Book Antiqua" w:cs="Book Antiqua"/>
          <w:color w:val="000000"/>
        </w:rPr>
        <w:t>40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+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5</w:t>
      </w:r>
      <w:r w:rsidR="005E42D6">
        <w:rPr>
          <w:rFonts w:ascii="Book Antiqua" w:hAnsi="Book Antiqua" w:cs="Book Antiqua" w:hint="eastAsia"/>
          <w:color w:val="000000"/>
          <w:lang w:eastAsia="zh-CN"/>
        </w:rPr>
        <w:t>)</w:t>
      </w:r>
      <w:r w:rsidRPr="00825BD4">
        <w:rPr>
          <w:rFonts w:ascii="Book Antiqua" w:eastAsia="Book Antiqua" w:hAnsi="Book Antiqua" w:cs="Book Antiqua"/>
          <w:color w:val="000000"/>
        </w:rPr>
        <w:t>/</w:t>
      </w:r>
      <w:r w:rsidR="005E42D6">
        <w:rPr>
          <w:rFonts w:ascii="Book Antiqua" w:hAnsi="Book Antiqua" w:cs="Book Antiqua" w:hint="eastAsia"/>
          <w:color w:val="000000"/>
          <w:lang w:eastAsia="zh-CN"/>
        </w:rPr>
        <w:t>(</w:t>
      </w:r>
      <w:r w:rsidRPr="00825BD4">
        <w:rPr>
          <w:rFonts w:ascii="Book Antiqua" w:eastAsia="Book Antiqua" w:hAnsi="Book Antiqua" w:cs="Book Antiqua"/>
          <w:color w:val="000000"/>
        </w:rPr>
        <w:t>45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+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8</w:t>
      </w:r>
      <w:r w:rsidR="005E42D6">
        <w:rPr>
          <w:rFonts w:ascii="Book Antiqua" w:hAnsi="Book Antiqua" w:cs="Book Antiqua" w:hint="eastAsia"/>
          <w:color w:val="000000"/>
          <w:lang w:eastAsia="zh-CN"/>
        </w:rPr>
        <w:t>)</w:t>
      </w:r>
      <w:r w:rsidRPr="00825BD4">
        <w:rPr>
          <w:rFonts w:ascii="Book Antiqua" w:eastAsia="Book Antiqua" w:hAnsi="Book Antiqua" w:cs="Book Antiqua"/>
          <w:color w:val="000000"/>
        </w:rPr>
        <w:t>].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Sackeim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25BD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E42D6"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42D6" w:rsidRPr="00825BD4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(2001)</w:t>
      </w:r>
      <w:r w:rsidR="005E42D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indicated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concomitant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lithium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effective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nortriptyline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alone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maintaining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Likewise,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aripiprazole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also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reported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popular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augmentation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agent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5BD4">
        <w:rPr>
          <w:rFonts w:ascii="Book Antiqua" w:eastAsia="Book Antiqua" w:hAnsi="Book Antiqua" w:cs="Book Antiqua"/>
          <w:color w:val="000000"/>
        </w:rPr>
        <w:t>depression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5BD4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825BD4">
        <w:rPr>
          <w:rFonts w:ascii="Book Antiqua" w:eastAsia="Book Antiqua" w:hAnsi="Book Antiqua" w:cs="Book Antiqua"/>
          <w:color w:val="000000"/>
        </w:rPr>
        <w:t>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Although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considered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possibility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lithium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augmentation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could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DFDFD"/>
        </w:rPr>
        <w:t>obscure</w:t>
      </w:r>
      <w:r w:rsidR="005E42D6">
        <w:rPr>
          <w:rFonts w:ascii="Book Antiqua" w:eastAsia="Book Antiqua" w:hAnsi="Book Antiqua" w:cs="Book Antiqua"/>
          <w:color w:val="000000"/>
          <w:shd w:val="clear" w:color="auto" w:fill="FDFDFD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DFDFD"/>
        </w:rPr>
        <w:t>the</w:t>
      </w:r>
      <w:r w:rsidR="005E42D6">
        <w:rPr>
          <w:rFonts w:ascii="Book Antiqua" w:eastAsia="Book Antiqua" w:hAnsi="Book Antiqua" w:cs="Book Antiqua"/>
          <w:color w:val="000000"/>
          <w:shd w:val="clear" w:color="auto" w:fill="FDFDFD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DFDFD"/>
        </w:rPr>
        <w:t>actual</w:t>
      </w:r>
      <w:r w:rsidR="005E42D6">
        <w:rPr>
          <w:rFonts w:ascii="Book Antiqua" w:eastAsia="Book Antiqua" w:hAnsi="Book Antiqua" w:cs="Book Antiqua"/>
          <w:color w:val="000000"/>
          <w:shd w:val="clear" w:color="auto" w:fill="FDFDFD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DFDFD"/>
        </w:rPr>
        <w:t>diagnosis,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results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indicated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common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group.</w:t>
      </w:r>
    </w:p>
    <w:p w14:paraId="6BEDBCB4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recent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observational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reported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significant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difference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ratio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between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receiving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one-year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follow-</w:t>
      </w:r>
      <w:proofErr w:type="gramStart"/>
      <w:r w:rsidRPr="00825BD4">
        <w:rPr>
          <w:rFonts w:ascii="Book Antiqua" w:eastAsia="Book Antiqua" w:hAnsi="Book Antiqua" w:cs="Book Antiqua"/>
          <w:color w:val="000000"/>
        </w:rPr>
        <w:t>up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5BD4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825BD4">
        <w:rPr>
          <w:rFonts w:ascii="Book Antiqua" w:eastAsia="Book Antiqua" w:hAnsi="Book Antiqua" w:cs="Book Antiqua"/>
          <w:color w:val="000000"/>
        </w:rPr>
        <w:t>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However,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valproate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pharmacotherapy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associated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lower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risk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valproate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(multivariate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analysis,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hazard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ratio: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0.091;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=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0.022).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</w:p>
    <w:p w14:paraId="1A6D2E25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current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large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proportion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(84.9%,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45/53)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remained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three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years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single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Thus,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adequate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monotherapy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maintain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good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tolerability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accurate.</w:t>
      </w:r>
    </w:p>
    <w:p w14:paraId="698FF284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These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results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indicate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importance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initial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Moreover,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occurs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seems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major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predictor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later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diagnosis.</w:t>
      </w:r>
    </w:p>
    <w:p w14:paraId="5257B12E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09351BE3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Average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time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relapse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administration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initial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ECT</w:t>
      </w:r>
    </w:p>
    <w:p w14:paraId="557B95B3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occurred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significantly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earlier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course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indicating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difficult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prevent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through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pharmacological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action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Paradoxically,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large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proportion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could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maintain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single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least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3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years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achieved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time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threshold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month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until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good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predictor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diagnosis.</w:t>
      </w:r>
    </w:p>
    <w:p w14:paraId="012AE3C0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Although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large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proportion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requires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mood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stabilizers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maintain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all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recovered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explain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earlier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current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time-to-relapse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good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indicator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predicting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prospective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occurrence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manic/hypomanic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episodes.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Early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repetitive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adequate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milestone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predicting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strategies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maintaining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5BD4">
        <w:rPr>
          <w:rFonts w:ascii="Book Antiqua" w:eastAsia="Book Antiqua" w:hAnsi="Book Antiqua" w:cs="Book Antiqua"/>
          <w:color w:val="000000"/>
        </w:rPr>
        <w:t>remission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5BD4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825BD4">
        <w:rPr>
          <w:rFonts w:ascii="Book Antiqua" w:eastAsia="Book Antiqua" w:hAnsi="Book Antiqua" w:cs="Book Antiqua"/>
          <w:color w:val="000000"/>
        </w:rPr>
        <w:t>.</w:t>
      </w:r>
    </w:p>
    <w:p w14:paraId="656FE98E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115FDE42" w14:textId="77777777" w:rsidR="00825BD4" w:rsidRPr="00825BD4" w:rsidRDefault="005E42D6" w:rsidP="00825BD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25BD4" w:rsidRPr="00825BD4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</w:p>
    <w:p w14:paraId="25DE379C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major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limitation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naturalistic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retrospective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cohort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based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clinical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setting.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based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consensus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multiple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psychiatrists,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Structured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Clinical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Interview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DSM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5BD4">
        <w:rPr>
          <w:rFonts w:ascii="Book Antiqua" w:eastAsia="Book Antiqua" w:hAnsi="Book Antiqua" w:cs="Book Antiqua"/>
          <w:color w:val="000000"/>
        </w:rPr>
        <w:t>Disorders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5BD4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5E42D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performed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Scales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Mood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Disorder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5BD4">
        <w:rPr>
          <w:rFonts w:ascii="Book Antiqua" w:eastAsia="Book Antiqua" w:hAnsi="Book Antiqua" w:cs="Book Antiqua"/>
          <w:color w:val="000000"/>
        </w:rPr>
        <w:t>Questionnaire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5BD4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Bipolar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Spectrum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Scale</w:t>
      </w:r>
      <w:r w:rsidR="005E42D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used.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Although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family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history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predictors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conversion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5BD4">
        <w:rPr>
          <w:rFonts w:ascii="Book Antiqua" w:eastAsia="Book Antiqua" w:hAnsi="Book Antiqua" w:cs="Book Antiqua"/>
          <w:color w:val="000000"/>
        </w:rPr>
        <w:t>BP</w:t>
      </w:r>
      <w:r w:rsidRPr="00825B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5BD4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family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history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analyzed.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</w:p>
    <w:p w14:paraId="590826E6" w14:textId="77777777" w:rsidR="00825BD4" w:rsidRPr="00825BD4" w:rsidRDefault="00825BD4" w:rsidP="005E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Furthermore,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number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relatively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small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single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perspective,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which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could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generalization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bias.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Retrospective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clinical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investigations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could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perfectly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exclude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ambiguity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because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clinical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diversity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flexibility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often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required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optimal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Comprehensive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judgments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required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clinical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history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current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agonizing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mixed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states,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among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others,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However,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strictly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adheres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therapeutic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strategy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maintaining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using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single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Thus,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current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results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ensure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novelty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detecting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margin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drug-resistant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achieving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limitations,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our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suggests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C/M-ECT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commonly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required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initially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subsequently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unable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continue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using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require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C/M-ECT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C/M-ECT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plus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lithium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prevents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both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relapses;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however,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several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side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effects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lead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lost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opportunity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validating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remission.</w:t>
      </w:r>
    </w:p>
    <w:p w14:paraId="28C92D7B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48E29F0D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8FC879F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Appropriate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withdrawal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C/M-ECT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multiple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dosing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regimens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contribute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improvements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quality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life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suppression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medical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social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welfare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costs.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reasonable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considered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experience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month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course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even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manic/hypomanic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episode.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development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method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predict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manic/hypomanic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episodes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prevent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exacerbation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overtreatment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maintain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initial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ECT.</w:t>
      </w:r>
    </w:p>
    <w:p w14:paraId="4AEBA6B1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4D66BC87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5E42D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25BD4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95B53EB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E42D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FAF4626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Certain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proportions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(ECT),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important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explore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ways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maintain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remission.</w:t>
      </w:r>
    </w:p>
    <w:p w14:paraId="4222E94F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505D5CCE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E42D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8BE3443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Since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2001,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Sackeim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reported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addition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lithium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symptomatic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measures,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continuation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continuation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and/or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E42D6" w:rsidRPr="005E42D6">
        <w:rPr>
          <w:rFonts w:ascii="Book Antiqua" w:eastAsia="Book Antiqua" w:hAnsi="Book Antiqua" w:cs="Book Antiqua"/>
          <w:color w:val="000000"/>
        </w:rPr>
        <w:t>ECT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5E42D6" w:rsidRPr="005E42D6">
        <w:rPr>
          <w:rFonts w:ascii="Book Antiqua" w:eastAsia="Book Antiqua" w:hAnsi="Book Antiqua" w:cs="Book Antiqua"/>
          <w:color w:val="000000"/>
        </w:rPr>
        <w:t>continuation and/or maintenance</w:t>
      </w:r>
      <w:r w:rsidR="005E42D6">
        <w:rPr>
          <w:rFonts w:ascii="Book Antiqua" w:hAnsi="Book Antiqua" w:cs="Book Antiqua" w:hint="eastAsia"/>
          <w:color w:val="000000"/>
          <w:lang w:eastAsia="zh-CN"/>
        </w:rPr>
        <w:t>-ECT</w:t>
      </w:r>
      <w:r w:rsidR="005E42D6" w:rsidRP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(C/M-ECT)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proposed,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new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findings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leading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fundamental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solution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years.</w:t>
      </w:r>
    </w:p>
    <w:p w14:paraId="23E7B79F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0B7C1AF8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E42D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3234528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objective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our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investigate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factors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strategies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associated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depression.</w:t>
      </w:r>
    </w:p>
    <w:p w14:paraId="6B20D7AF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65FF51B4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E42D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EEE4D6C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analyzed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relationships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between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major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disorder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(MDD)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bipolar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disorder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(BP),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strategies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initial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administration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performed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3-year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retrospective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cohort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prognosis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85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Shiga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University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Medical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Science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Hospital.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risk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calculated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based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receiver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operating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characteristic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(ROC)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curve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generated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evaluate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accuracy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predicting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based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between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symptoms.</w:t>
      </w:r>
    </w:p>
    <w:p w14:paraId="671CD258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57BE56F4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E42D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C1AB871" w14:textId="77777777" w:rsidR="00825BD4" w:rsidRPr="00825BD4" w:rsidRDefault="00825BD4" w:rsidP="009D28A2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Compared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greater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proportion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experienced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required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continuation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and/or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maintaining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remission.</w:t>
      </w:r>
      <w:r w:rsidR="009D28A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duration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shorter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patients.</w:t>
      </w:r>
      <w:r w:rsidR="005E42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68228CCF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1080BF2A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E42D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6325931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Instead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repeating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C/M-ECT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without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definitive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evidence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resolution,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benefit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changing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C/M-ECT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depression,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which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includes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mood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stabilizers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without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antidepressants.</w:t>
      </w:r>
    </w:p>
    <w:p w14:paraId="449489B6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1173EDF3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E42D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77C4D29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It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also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necessary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develop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method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predicting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occurrence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episodes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prevent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exacerbation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well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overtreatment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maintaining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remission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severe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MDD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initial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ECT.</w:t>
      </w:r>
    </w:p>
    <w:p w14:paraId="66A8D51D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7604B4B7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D95C200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thank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staff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Department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Psychiatry,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Shiga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University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Medical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Science,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their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assistance.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thank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Prof.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Kutsumi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Mr.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Momokawa</w:t>
      </w:r>
      <w:proofErr w:type="spellEnd"/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Center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Clinical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Research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Advanced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Medicine,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Shiga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University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Medical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Science,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their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technical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statistical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support.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</w:p>
    <w:p w14:paraId="654034AB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</w:p>
    <w:p w14:paraId="6B316693" w14:textId="77777777" w:rsidR="00825BD4" w:rsidRPr="00825BD4" w:rsidRDefault="00825BD4" w:rsidP="00825BD4">
      <w:pPr>
        <w:spacing w:line="360" w:lineRule="auto"/>
        <w:jc w:val="both"/>
        <w:rPr>
          <w:rFonts w:ascii="Book Antiqua" w:hAnsi="Book Antiqua"/>
        </w:rPr>
      </w:pPr>
      <w:r w:rsidRPr="00825BD4">
        <w:rPr>
          <w:rFonts w:ascii="Book Antiqua" w:eastAsia="Book Antiqua" w:hAnsi="Book Antiqua" w:cs="Book Antiqua"/>
          <w:b/>
          <w:color w:val="000000"/>
        </w:rPr>
        <w:t>REFERENCES</w:t>
      </w:r>
    </w:p>
    <w:p w14:paraId="6139092A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1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Luan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Zhao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MG,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Shi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YC,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Cao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YJ,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Feng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HX,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Zhang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ZJ.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Mechanisms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repetitive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transcranial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magnetic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stimulation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anti-depression: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Evidence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preclinical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studies.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2020;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223-233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33134113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10.5498/wjp.v10.i10.223]</w:t>
      </w:r>
    </w:p>
    <w:p w14:paraId="64218286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2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Landry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Lafrenière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Patry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Potvin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Lemasson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clinical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relevance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titration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systematic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review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literature.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2020;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294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113497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33039882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10.1016/j.psychres.2020.113497]</w:t>
      </w:r>
    </w:p>
    <w:p w14:paraId="74992897" w14:textId="1401CC01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  <w:highlight w:val="yellow"/>
        </w:rPr>
        <w:t>3</w:t>
      </w:r>
      <w:r w:rsidR="005E42D6">
        <w:rPr>
          <w:rFonts w:ascii="Book Antiqua" w:hAnsi="Book Antiqua" w:cs="Book Antiqua" w:hint="eastAsia"/>
          <w:color w:val="000000"/>
          <w:highlight w:val="yellow"/>
          <w:lang w:eastAsia="zh-CN"/>
        </w:rPr>
        <w:t xml:space="preserve"> </w:t>
      </w:r>
      <w:r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>Guideline</w:t>
      </w:r>
      <w:r w:rsidR="005E42D6"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>committee</w:t>
      </w:r>
      <w:r w:rsidR="005E42D6"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>for</w:t>
      </w:r>
      <w:r w:rsidR="005E42D6"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>affective</w:t>
      </w:r>
      <w:r w:rsidR="005E42D6"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>disorders</w:t>
      </w:r>
      <w:r w:rsidR="005E42D6"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>in</w:t>
      </w:r>
      <w:r w:rsidR="005E42D6"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>the</w:t>
      </w:r>
      <w:r w:rsidR="005E42D6"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>Japanese</w:t>
      </w:r>
      <w:r w:rsidR="005E42D6"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>Society</w:t>
      </w:r>
      <w:r w:rsidR="005E42D6"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>of</w:t>
      </w:r>
      <w:r w:rsidR="005E42D6"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>Mood</w:t>
      </w:r>
      <w:r w:rsidR="005E42D6"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B3EB1">
        <w:rPr>
          <w:rFonts w:ascii="Book Antiqua" w:eastAsia="Book Antiqua" w:hAnsi="Book Antiqua" w:cs="Book Antiqua"/>
          <w:b/>
          <w:bCs/>
          <w:color w:val="000000"/>
          <w:highlight w:val="yellow"/>
        </w:rPr>
        <w:t>Disorders.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Treatment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guideline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major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depressive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disorders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by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Japanese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Society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Mood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Disorders.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066EA9">
        <w:rPr>
          <w:rFonts w:ascii="Book Antiqua" w:eastAsia="Book Antiqua" w:hAnsi="Book Antiqua" w:cs="Book Antiqua"/>
          <w:color w:val="000000"/>
          <w:highlight w:val="yellow"/>
        </w:rPr>
        <w:t xml:space="preserve">Tokyo: </w:t>
      </w:r>
      <w:r w:rsidR="00066EA9" w:rsidRPr="00825BD4">
        <w:rPr>
          <w:rFonts w:ascii="Book Antiqua" w:eastAsia="Book Antiqua" w:hAnsi="Book Antiqua" w:cs="Book Antiqua"/>
          <w:color w:val="000000"/>
          <w:highlight w:val="yellow"/>
        </w:rPr>
        <w:t>Japanese</w:t>
      </w:r>
      <w:r w:rsidR="00066EA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066EA9" w:rsidRPr="00825BD4">
        <w:rPr>
          <w:rFonts w:ascii="Book Antiqua" w:eastAsia="Book Antiqua" w:hAnsi="Book Antiqua" w:cs="Book Antiqua"/>
          <w:color w:val="000000"/>
          <w:highlight w:val="yellow"/>
        </w:rPr>
        <w:t>Society</w:t>
      </w:r>
      <w:r w:rsidR="00066EA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066EA9" w:rsidRPr="00825BD4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066EA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066EA9" w:rsidRPr="00825BD4">
        <w:rPr>
          <w:rFonts w:ascii="Book Antiqua" w:eastAsia="Book Antiqua" w:hAnsi="Book Antiqua" w:cs="Book Antiqua"/>
          <w:color w:val="000000"/>
          <w:highlight w:val="yellow"/>
        </w:rPr>
        <w:t>Mood</w:t>
      </w:r>
      <w:r w:rsidR="00066EA9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066EA9" w:rsidRPr="00825BD4">
        <w:rPr>
          <w:rFonts w:ascii="Book Antiqua" w:eastAsia="Book Antiqua" w:hAnsi="Book Antiqua" w:cs="Book Antiqua"/>
          <w:color w:val="000000"/>
          <w:highlight w:val="yellow"/>
        </w:rPr>
        <w:t>Disorders</w:t>
      </w:r>
      <w:r w:rsidR="00066EA9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066EA9" w:rsidRPr="00825BD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2016</w:t>
      </w:r>
      <w:r w:rsidR="00AB3EB1">
        <w:rPr>
          <w:rFonts w:ascii="Book Antiqua" w:hAnsi="Book Antiqua" w:cs="Book Antiqua" w:hint="eastAsia"/>
          <w:color w:val="000000"/>
          <w:highlight w:val="yellow"/>
          <w:lang w:eastAsia="zh-CN"/>
        </w:rPr>
        <w:t>.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28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February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2021].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from: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https://www.secretariat.ne.jp/jsmd/iinkai/katsudou/data/20190724-02.pdf</w:t>
      </w:r>
    </w:p>
    <w:p w14:paraId="32B727DC" w14:textId="6EDD2D1D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  <w:highlight w:val="yellow"/>
        </w:rPr>
        <w:t>4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  <w:highlight w:val="yellow"/>
        </w:rPr>
        <w:t>American</w:t>
      </w:r>
      <w:r w:rsidR="005E42D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  <w:highlight w:val="yellow"/>
        </w:rPr>
        <w:t>Psychiatric</w:t>
      </w:r>
      <w:r w:rsidR="005E42D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  <w:highlight w:val="yellow"/>
        </w:rPr>
        <w:t>Association.</w:t>
      </w:r>
      <w:r w:rsidR="005E42D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American</w:t>
      </w:r>
      <w:r w:rsidR="005E42D6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Psychiatric</w:t>
      </w:r>
      <w:r w:rsidR="005E42D6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Association</w:t>
      </w:r>
      <w:r w:rsidR="005E42D6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Practice</w:t>
      </w:r>
      <w:r w:rsidR="005E42D6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Guidelines</w:t>
      </w:r>
      <w:r w:rsidR="005E42D6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for</w:t>
      </w:r>
      <w:r w:rsidR="005E42D6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the</w:t>
      </w:r>
      <w:r w:rsidR="005E42D6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Treatment</w:t>
      </w:r>
      <w:r w:rsidR="005E42D6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of</w:t>
      </w:r>
      <w:r w:rsidR="005E42D6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Psychiatric</w:t>
      </w:r>
      <w:r w:rsidR="005E42D6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Disorders:</w:t>
      </w:r>
      <w:r w:rsidR="005E42D6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Compendium</w:t>
      </w:r>
      <w:r w:rsidR="005E42D6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2006.</w:t>
      </w:r>
      <w:r w:rsidR="005E42D6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Arlington:</w:t>
      </w:r>
      <w:r w:rsidR="005E42D6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American</w:t>
      </w:r>
      <w:r w:rsidR="005E42D6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Psychiatric</w:t>
      </w:r>
      <w:r w:rsidR="005E42D6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Publishing,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Inc.,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2006</w:t>
      </w:r>
      <w:r w:rsidR="005E42D6">
        <w:rPr>
          <w:rFonts w:ascii="Book Antiqua" w:hAnsi="Book Antiqua" w:cs="Book Antiqua" w:hint="eastAsia"/>
          <w:color w:val="000000"/>
          <w:highlight w:val="yellow"/>
          <w:lang w:eastAsia="zh-CN"/>
        </w:rPr>
        <w:t xml:space="preserve"> </w:t>
      </w:r>
    </w:p>
    <w:p w14:paraId="3780F844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5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Khalid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Atkins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Tredget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Giles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Champney</w:t>
      </w:r>
      <w:proofErr w:type="spellEnd"/>
      <w:r w:rsidRPr="00825BD4">
        <w:rPr>
          <w:rFonts w:ascii="Book Antiqua" w:eastAsia="Book Antiqua" w:hAnsi="Book Antiqua" w:cs="Book Antiqua"/>
          <w:color w:val="000000"/>
        </w:rPr>
        <w:t>-Smith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Kirov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effectiveness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treatment-resistant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depression: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naturalistic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2008;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141-145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18580559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10.1097/YCT.0b013e318157ac58]</w:t>
      </w:r>
    </w:p>
    <w:p w14:paraId="69C11E45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6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UK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ECT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Group</w:t>
      </w:r>
      <w:r w:rsidRPr="00825BD4">
        <w:rPr>
          <w:rFonts w:ascii="Book Antiqua" w:eastAsia="Book Antiqua" w:hAnsi="Book Antiqua" w:cs="Book Antiqua"/>
          <w:color w:val="000000"/>
        </w:rPr>
        <w:t>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Efficacy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safety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disorders: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systematic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review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meta-analysis.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2003;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361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799-808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12642045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10.1016/S0140-6736(03)12705-5]</w:t>
      </w:r>
    </w:p>
    <w:p w14:paraId="30B3278A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7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b/>
          <w:bCs/>
          <w:color w:val="000000"/>
        </w:rPr>
        <w:t>Sackeim</w:t>
      </w:r>
      <w:proofErr w:type="spellEnd"/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Haskett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RF,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Mulsant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BH,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Thase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JJ,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Pettinati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Greenberg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Crowe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RR,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Cooper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TB,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Prudic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Continuation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pharmacotherapy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prevention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following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randomized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controlled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trial.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2001;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285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1299-1307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11255384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10.1001/jama.285.10.1299]</w:t>
      </w:r>
    </w:p>
    <w:p w14:paraId="6400B73E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8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b/>
          <w:bCs/>
          <w:color w:val="000000"/>
        </w:rPr>
        <w:t>Prudic</w:t>
      </w:r>
      <w:proofErr w:type="spellEnd"/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Haskett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RF,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McCall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WV,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Isenberg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Cooper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Rosenquist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PB,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Mulsant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BH,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Sackeim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Pharmacological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strategies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prevention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2013;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3-12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23303417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10.1097/YCT.0b013e31826ea8c4]</w:t>
      </w:r>
    </w:p>
    <w:p w14:paraId="0A82A4C3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9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Serra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Gastó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Navarro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V,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Torres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X,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Blanch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Masana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elderly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psychotic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unipolar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depression].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825BD4">
        <w:rPr>
          <w:rFonts w:ascii="Book Antiqua" w:eastAsia="Book Antiqua" w:hAnsi="Book Antiqua" w:cs="Book Antiqua"/>
          <w:i/>
          <w:iCs/>
          <w:color w:val="000000"/>
        </w:rPr>
        <w:t>Barc</w:t>
      </w:r>
      <w:proofErr w:type="spellEnd"/>
      <w:r w:rsidRPr="00825BD4">
        <w:rPr>
          <w:rFonts w:ascii="Book Antiqua" w:eastAsia="Book Antiqua" w:hAnsi="Book Antiqua" w:cs="Book Antiqua"/>
          <w:i/>
          <w:iCs/>
          <w:color w:val="000000"/>
        </w:rPr>
        <w:t>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2006;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491-492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16624227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10.1157/13086850]</w:t>
      </w:r>
    </w:p>
    <w:p w14:paraId="50F77B25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10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b/>
          <w:bCs/>
          <w:color w:val="000000"/>
        </w:rPr>
        <w:t>Petrides</w:t>
      </w:r>
      <w:proofErr w:type="spellEnd"/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Tobias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KG,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Kellner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Rudorfer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MV.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Continuation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mood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disorders: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review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literature.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i/>
          <w:iCs/>
          <w:color w:val="000000"/>
        </w:rPr>
        <w:t>Neuropsychobiology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2011;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129-140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21811083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10.1159/000328943]</w:t>
      </w:r>
    </w:p>
    <w:p w14:paraId="413C1E05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11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ED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Lee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Scott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Cummings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GG.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Efficacy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continuation/maintenance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prevention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recurrence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major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episode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adults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unipolar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depression: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systematic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review.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2014;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195-202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24979654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10.1097/YCT.0000000000000085]</w:t>
      </w:r>
    </w:p>
    <w:p w14:paraId="3A588F04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12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Elias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Phutane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VH,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Clarke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Prudic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continuation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maintenance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depression: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Systematic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review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meta-analyses.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Aust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Z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2018;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415-424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29256252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10.1177/0004867417743343]</w:t>
      </w:r>
    </w:p>
    <w:p w14:paraId="72736730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13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Ratheesh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Davey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Hetrick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Alvarez-Jimenez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Voutier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Bechdolf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McGorry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PD,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Scott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Berk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Cotton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SM.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systematic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review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meta-analysis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prospective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transition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major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bipolar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disorder.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2017;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135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273-284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28097648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10.1111/acps.12686]</w:t>
      </w:r>
    </w:p>
    <w:p w14:paraId="504A9B5E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14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b/>
          <w:bCs/>
          <w:color w:val="000000"/>
        </w:rPr>
        <w:t>Akiskal</w:t>
      </w:r>
      <w:proofErr w:type="spellEnd"/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HS,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Maser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JD,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Zeller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PJ,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Endicott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Coryell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Keller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Warshaw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Clayton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Goodwin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Switching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'unipolar'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bipolar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II.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11-year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prospective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clinical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temperamental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predictors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559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color w:val="000000"/>
        </w:rPr>
        <w:t>Arch</w:t>
      </w:r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color w:val="000000"/>
        </w:rPr>
        <w:t>Gen</w:t>
      </w:r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color w:val="000000"/>
        </w:rPr>
        <w:t>Psychiatry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1995;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color w:val="000000"/>
        </w:rPr>
        <w:t>52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114</w:t>
      </w:r>
      <w:r>
        <w:rPr>
          <w:rFonts w:ascii="Book Antiqua" w:eastAsia="Book Antiqua" w:hAnsi="Book Antiqua" w:cs="Book Antiqua"/>
          <w:color w:val="000000"/>
        </w:rPr>
        <w:t>-</w:t>
      </w:r>
      <w:r w:rsidRPr="00825BD4">
        <w:rPr>
          <w:rFonts w:ascii="Book Antiqua" w:eastAsia="Book Antiqua" w:hAnsi="Book Antiqua" w:cs="Book Antiqua"/>
          <w:color w:val="000000"/>
        </w:rPr>
        <w:t>123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[DOI: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10.1001/archpsyc.1995.03950140032004]</w:t>
      </w:r>
    </w:p>
    <w:p w14:paraId="59373399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15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Xiang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YT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Zhang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Hu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Ungvari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Dickerson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FB,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Kilbourne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Fang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YR,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Lu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Z,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Yang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HC,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Lai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Lee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EH,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Hu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ZY,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Huang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Wang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XP,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HC,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Zhang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JB,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Chiu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HF.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Sociodemographic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clinical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features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bipolar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disorder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misdiagnosed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major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disorder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China.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Bipolar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2013;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199-205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23437963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10.1111/bdi.12052]</w:t>
      </w:r>
    </w:p>
    <w:p w14:paraId="35C3553E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16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Angst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Azorin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Bowden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CL,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Perugi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Vieta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Gamma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Young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AH;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BRIDGE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Group.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Prevalence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characteristics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undiagnosed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bipolar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disorders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major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episode: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BRIDGE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2011;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791-798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21810644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10.1001/archgenpsychiatry.2011.87]</w:t>
      </w:r>
    </w:p>
    <w:p w14:paraId="21A9EB24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17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Khan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Smith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closer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look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resistant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depression: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due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bipolar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diathesis?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Affect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2005;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251-257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15708423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10.1016/j.jad.2004.01.015]</w:t>
      </w:r>
    </w:p>
    <w:p w14:paraId="0EAE7FB9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18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Inoue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Nakagawa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Kitaichi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Izumi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Tanaka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Masui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Kusumi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Denda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Koyama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Long-term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outcome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antidepressant-refractory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depression: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relevance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unrecognized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bipolarity.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Affect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2006;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61-67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16797078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10.1016/j.jad.2006.04.020]</w:t>
      </w:r>
    </w:p>
    <w:p w14:paraId="5766A629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  <w:highlight w:val="yellow"/>
        </w:rPr>
        <w:t>19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  <w:highlight w:val="yellow"/>
        </w:rPr>
        <w:t>American</w:t>
      </w:r>
      <w:r w:rsidR="005E42D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  <w:highlight w:val="yellow"/>
        </w:rPr>
        <w:t>Psychiatric</w:t>
      </w:r>
      <w:r w:rsidR="005E42D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  <w:highlight w:val="yellow"/>
        </w:rPr>
        <w:t>Association</w:t>
      </w:r>
      <w:r w:rsidRPr="000C0537">
        <w:rPr>
          <w:rFonts w:ascii="Book Antiqua" w:eastAsia="Book Antiqua" w:hAnsi="Book Antiqua" w:cs="Book Antiqua"/>
          <w:bCs/>
          <w:color w:val="000000"/>
          <w:highlight w:val="yellow"/>
        </w:rPr>
        <w:t>.</w:t>
      </w:r>
      <w:r w:rsidR="005E42D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Diagnostic</w:t>
      </w:r>
      <w:r w:rsidR="005E42D6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and</w:t>
      </w:r>
      <w:r w:rsidR="005E42D6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Statistical</w:t>
      </w:r>
      <w:r w:rsidR="005E42D6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Manual</w:t>
      </w:r>
      <w:r w:rsidR="005E42D6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of</w:t>
      </w:r>
      <w:r w:rsidR="005E42D6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Mental</w:t>
      </w:r>
      <w:r w:rsidR="005E42D6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bCs/>
          <w:color w:val="000000"/>
          <w:highlight w:val="yellow"/>
        </w:rPr>
        <w:t>Disorders,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4th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ed.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Washington,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DC: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American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Psychiatric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Association,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  <w:highlight w:val="yellow"/>
        </w:rPr>
        <w:t>1994</w:t>
      </w:r>
    </w:p>
    <w:p w14:paraId="39FBE073" w14:textId="77777777" w:rsidR="00D838D4" w:rsidRDefault="00825BD4" w:rsidP="00D838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20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838D4" w:rsidRPr="00825BD4">
        <w:rPr>
          <w:rFonts w:ascii="Book Antiqua" w:eastAsia="Book Antiqua" w:hAnsi="Book Antiqua" w:cs="Book Antiqua"/>
          <w:b/>
          <w:bCs/>
          <w:color w:val="000000"/>
        </w:rPr>
        <w:t>HAMILTON</w:t>
      </w:r>
      <w:r w:rsidR="00D838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838D4" w:rsidRPr="00825BD4">
        <w:rPr>
          <w:rFonts w:ascii="Book Antiqua" w:eastAsia="Book Antiqua" w:hAnsi="Book Antiqua" w:cs="Book Antiqua"/>
          <w:b/>
          <w:bCs/>
          <w:color w:val="000000"/>
        </w:rPr>
        <w:t>M</w:t>
      </w:r>
      <w:r w:rsidR="00D838D4" w:rsidRPr="00825BD4">
        <w:rPr>
          <w:rFonts w:ascii="Book Antiqua" w:eastAsia="Book Antiqua" w:hAnsi="Book Antiqua" w:cs="Book Antiqua"/>
          <w:color w:val="000000"/>
        </w:rPr>
        <w:t>.</w:t>
      </w:r>
      <w:r w:rsidR="00D838D4">
        <w:rPr>
          <w:rFonts w:ascii="Book Antiqua" w:eastAsia="Book Antiqua" w:hAnsi="Book Antiqua" w:cs="Book Antiqua"/>
          <w:color w:val="000000"/>
        </w:rPr>
        <w:t xml:space="preserve"> </w:t>
      </w:r>
      <w:r w:rsidR="00D838D4" w:rsidRPr="00825BD4">
        <w:rPr>
          <w:rFonts w:ascii="Book Antiqua" w:eastAsia="Book Antiqua" w:hAnsi="Book Antiqua" w:cs="Book Antiqua"/>
          <w:color w:val="000000"/>
        </w:rPr>
        <w:t>A</w:t>
      </w:r>
      <w:r w:rsidR="00D838D4">
        <w:rPr>
          <w:rFonts w:ascii="Book Antiqua" w:eastAsia="Book Antiqua" w:hAnsi="Book Antiqua" w:cs="Book Antiqua"/>
          <w:color w:val="000000"/>
        </w:rPr>
        <w:t xml:space="preserve"> </w:t>
      </w:r>
      <w:r w:rsidR="00D838D4" w:rsidRPr="00825BD4">
        <w:rPr>
          <w:rFonts w:ascii="Book Antiqua" w:eastAsia="Book Antiqua" w:hAnsi="Book Antiqua" w:cs="Book Antiqua"/>
          <w:color w:val="000000"/>
        </w:rPr>
        <w:t>rating</w:t>
      </w:r>
      <w:r w:rsidR="00D838D4">
        <w:rPr>
          <w:rFonts w:ascii="Book Antiqua" w:eastAsia="Book Antiqua" w:hAnsi="Book Antiqua" w:cs="Book Antiqua"/>
          <w:color w:val="000000"/>
        </w:rPr>
        <w:t xml:space="preserve"> </w:t>
      </w:r>
      <w:r w:rsidR="00D838D4" w:rsidRPr="00825BD4">
        <w:rPr>
          <w:rFonts w:ascii="Book Antiqua" w:eastAsia="Book Antiqua" w:hAnsi="Book Antiqua" w:cs="Book Antiqua"/>
          <w:color w:val="000000"/>
        </w:rPr>
        <w:t>scale</w:t>
      </w:r>
      <w:r w:rsidR="00D838D4">
        <w:rPr>
          <w:rFonts w:ascii="Book Antiqua" w:eastAsia="Book Antiqua" w:hAnsi="Book Antiqua" w:cs="Book Antiqua"/>
          <w:color w:val="000000"/>
        </w:rPr>
        <w:t xml:space="preserve"> </w:t>
      </w:r>
      <w:r w:rsidR="00D838D4" w:rsidRPr="00825BD4">
        <w:rPr>
          <w:rFonts w:ascii="Book Antiqua" w:eastAsia="Book Antiqua" w:hAnsi="Book Antiqua" w:cs="Book Antiqua"/>
          <w:color w:val="000000"/>
        </w:rPr>
        <w:t>for</w:t>
      </w:r>
      <w:r w:rsidR="00D838D4">
        <w:rPr>
          <w:rFonts w:ascii="Book Antiqua" w:eastAsia="Book Antiqua" w:hAnsi="Book Antiqua" w:cs="Book Antiqua"/>
          <w:color w:val="000000"/>
        </w:rPr>
        <w:t xml:space="preserve"> </w:t>
      </w:r>
      <w:r w:rsidR="00D838D4" w:rsidRPr="00825BD4">
        <w:rPr>
          <w:rFonts w:ascii="Book Antiqua" w:eastAsia="Book Antiqua" w:hAnsi="Book Antiqua" w:cs="Book Antiqua"/>
          <w:color w:val="000000"/>
        </w:rPr>
        <w:t>depression.</w:t>
      </w:r>
      <w:r w:rsidR="00D838D4">
        <w:rPr>
          <w:rFonts w:ascii="Book Antiqua" w:eastAsia="Book Antiqua" w:hAnsi="Book Antiqua" w:cs="Book Antiqua"/>
          <w:color w:val="000000"/>
        </w:rPr>
        <w:t xml:space="preserve"> </w:t>
      </w:r>
      <w:r w:rsidR="00D838D4" w:rsidRPr="00825B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D838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838D4" w:rsidRPr="00825BD4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D838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838D4" w:rsidRPr="00825BD4">
        <w:rPr>
          <w:rFonts w:ascii="Book Antiqua" w:eastAsia="Book Antiqua" w:hAnsi="Book Antiqua" w:cs="Book Antiqua"/>
          <w:i/>
          <w:iCs/>
          <w:color w:val="000000"/>
        </w:rPr>
        <w:t>Neurosurg</w:t>
      </w:r>
      <w:proofErr w:type="spellEnd"/>
      <w:r w:rsidR="00D838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838D4" w:rsidRPr="00825BD4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D838D4">
        <w:rPr>
          <w:rFonts w:ascii="Book Antiqua" w:eastAsia="Book Antiqua" w:hAnsi="Book Antiqua" w:cs="Book Antiqua"/>
          <w:color w:val="000000"/>
        </w:rPr>
        <w:t xml:space="preserve"> </w:t>
      </w:r>
      <w:r w:rsidR="00D838D4" w:rsidRPr="00825BD4">
        <w:rPr>
          <w:rFonts w:ascii="Book Antiqua" w:eastAsia="Book Antiqua" w:hAnsi="Book Antiqua" w:cs="Book Antiqua"/>
          <w:color w:val="000000"/>
        </w:rPr>
        <w:t>1960;</w:t>
      </w:r>
      <w:r w:rsidR="00D838D4">
        <w:rPr>
          <w:rFonts w:ascii="Book Antiqua" w:eastAsia="Book Antiqua" w:hAnsi="Book Antiqua" w:cs="Book Antiqua"/>
          <w:color w:val="000000"/>
        </w:rPr>
        <w:t xml:space="preserve"> </w:t>
      </w:r>
      <w:r w:rsidR="00D838D4" w:rsidRPr="00825BD4">
        <w:rPr>
          <w:rFonts w:ascii="Book Antiqua" w:eastAsia="Book Antiqua" w:hAnsi="Book Antiqua" w:cs="Book Antiqua"/>
          <w:b/>
          <w:bCs/>
          <w:color w:val="000000"/>
        </w:rPr>
        <w:t>23</w:t>
      </w:r>
      <w:r w:rsidR="00D838D4" w:rsidRPr="00825BD4">
        <w:rPr>
          <w:rFonts w:ascii="Book Antiqua" w:eastAsia="Book Antiqua" w:hAnsi="Book Antiqua" w:cs="Book Antiqua"/>
          <w:color w:val="000000"/>
        </w:rPr>
        <w:t>:</w:t>
      </w:r>
      <w:r w:rsidR="00D838D4">
        <w:rPr>
          <w:rFonts w:ascii="Book Antiqua" w:eastAsia="Book Antiqua" w:hAnsi="Book Antiqua" w:cs="Book Antiqua"/>
          <w:color w:val="000000"/>
        </w:rPr>
        <w:t xml:space="preserve"> </w:t>
      </w:r>
      <w:r w:rsidR="00D838D4" w:rsidRPr="00825BD4">
        <w:rPr>
          <w:rFonts w:ascii="Book Antiqua" w:eastAsia="Book Antiqua" w:hAnsi="Book Antiqua" w:cs="Book Antiqua"/>
          <w:color w:val="000000"/>
        </w:rPr>
        <w:t>56-62</w:t>
      </w:r>
      <w:r w:rsidR="00D838D4">
        <w:rPr>
          <w:rFonts w:ascii="Book Antiqua" w:eastAsia="Book Antiqua" w:hAnsi="Book Antiqua" w:cs="Book Antiqua"/>
          <w:color w:val="000000"/>
        </w:rPr>
        <w:t xml:space="preserve"> </w:t>
      </w:r>
      <w:r w:rsidR="00D838D4" w:rsidRPr="00825BD4">
        <w:rPr>
          <w:rFonts w:ascii="Book Antiqua" w:eastAsia="Book Antiqua" w:hAnsi="Book Antiqua" w:cs="Book Antiqua"/>
          <w:color w:val="000000"/>
        </w:rPr>
        <w:t>[PMID:</w:t>
      </w:r>
      <w:r w:rsidR="00D838D4">
        <w:rPr>
          <w:rFonts w:ascii="Book Antiqua" w:eastAsia="Book Antiqua" w:hAnsi="Book Antiqua" w:cs="Book Antiqua"/>
          <w:color w:val="000000"/>
        </w:rPr>
        <w:t xml:space="preserve"> </w:t>
      </w:r>
      <w:r w:rsidR="00D838D4" w:rsidRPr="00825BD4">
        <w:rPr>
          <w:rFonts w:ascii="Book Antiqua" w:eastAsia="Book Antiqua" w:hAnsi="Book Antiqua" w:cs="Book Antiqua"/>
          <w:color w:val="000000"/>
        </w:rPr>
        <w:t>14399272</w:t>
      </w:r>
      <w:r w:rsidR="00D838D4">
        <w:rPr>
          <w:rFonts w:ascii="Book Antiqua" w:eastAsia="Book Antiqua" w:hAnsi="Book Antiqua" w:cs="Book Antiqua"/>
          <w:color w:val="000000"/>
        </w:rPr>
        <w:t xml:space="preserve"> </w:t>
      </w:r>
      <w:r w:rsidR="00D838D4" w:rsidRPr="00825BD4">
        <w:rPr>
          <w:rFonts w:ascii="Book Antiqua" w:eastAsia="Book Antiqua" w:hAnsi="Book Antiqua" w:cs="Book Antiqua"/>
          <w:color w:val="000000"/>
        </w:rPr>
        <w:t>DOI:</w:t>
      </w:r>
      <w:r w:rsidR="00D838D4">
        <w:rPr>
          <w:rFonts w:ascii="Book Antiqua" w:eastAsia="Book Antiqua" w:hAnsi="Book Antiqua" w:cs="Book Antiqua"/>
          <w:color w:val="000000"/>
        </w:rPr>
        <w:t xml:space="preserve"> </w:t>
      </w:r>
      <w:r w:rsidR="00D838D4" w:rsidRPr="00825BD4">
        <w:rPr>
          <w:rFonts w:ascii="Book Antiqua" w:eastAsia="Book Antiqua" w:hAnsi="Book Antiqua" w:cs="Book Antiqua"/>
          <w:color w:val="000000"/>
        </w:rPr>
        <w:t>10.1136/jnnp.23.1.56]</w:t>
      </w:r>
    </w:p>
    <w:p w14:paraId="10AC96CC" w14:textId="735B6EF2" w:rsidR="00D838D4" w:rsidRPr="00825BD4" w:rsidRDefault="00D838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C0537">
        <w:rPr>
          <w:rFonts w:ascii="Book Antiqua" w:eastAsia="Book Antiqua" w:hAnsi="Book Antiqua" w:cs="Book Antiqua"/>
          <w:b/>
          <w:color w:val="000000"/>
        </w:rPr>
        <w:t>National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0537">
        <w:rPr>
          <w:rFonts w:ascii="Book Antiqua" w:eastAsia="Book Antiqua" w:hAnsi="Book Antiqua" w:cs="Book Antiqua"/>
          <w:b/>
          <w:color w:val="000000"/>
        </w:rPr>
        <w:t>Institute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0537">
        <w:rPr>
          <w:rFonts w:ascii="Book Antiqua" w:eastAsia="Book Antiqua" w:hAnsi="Book Antiqua" w:cs="Book Antiqua"/>
          <w:b/>
          <w:color w:val="000000"/>
        </w:rPr>
        <w:t>for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0537">
        <w:rPr>
          <w:rFonts w:ascii="Book Antiqua" w:eastAsia="Book Antiqua" w:hAnsi="Book Antiqua" w:cs="Book Antiqua"/>
          <w:b/>
          <w:color w:val="000000"/>
        </w:rPr>
        <w:t>Clinical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0537">
        <w:rPr>
          <w:rFonts w:ascii="Book Antiqua" w:eastAsia="Book Antiqua" w:hAnsi="Book Antiqua" w:cs="Book Antiqua"/>
          <w:b/>
          <w:color w:val="000000"/>
        </w:rPr>
        <w:t>Excellence</w:t>
      </w:r>
      <w:r w:rsidRPr="00825BD4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Guidance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Electroconvulsive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Technology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Appraisal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Guidance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59.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</w:rPr>
        <w:t>[cited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8 </w:t>
      </w:r>
      <w:r w:rsidRPr="000C0537">
        <w:rPr>
          <w:rFonts w:ascii="Book Antiqua" w:eastAsia="Book Antiqua" w:hAnsi="Book Antiqua" w:cs="Book Antiqua"/>
          <w:color w:val="000000"/>
        </w:rPr>
        <w:t>February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</w:rPr>
        <w:t>2021].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</w:rPr>
        <w:t>Available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</w:rPr>
        <w:t>from: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https://www.nice.org.uk/guidance/ta59.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2003</w:t>
      </w:r>
    </w:p>
    <w:p w14:paraId="2A19BEDA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22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b/>
          <w:bCs/>
          <w:color w:val="000000"/>
        </w:rPr>
        <w:t>Sackeim</w:t>
      </w:r>
      <w:proofErr w:type="spellEnd"/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Dillingham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Prudic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Cooper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McCall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WV,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Rosenquist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Isenberg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Garcia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Mulsant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BH,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Haskett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RF.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Effect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concomitant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pharmacotherapy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outcomes: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short-term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efficacy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adverse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effects.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2009;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729-737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19581564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10.1001/archgenpsychiatry.2009.75]</w:t>
      </w:r>
    </w:p>
    <w:p w14:paraId="38BB6845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23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Kellner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CH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Knapp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RG,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Petrides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Rummans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TA,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Husain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Rasmussen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Mueller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Bernstein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HJ,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O'Connor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Smith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Biggs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Bailine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SH,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Malur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Yim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McClintock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Sampson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Fink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Continuation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vs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pharmacotherapy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prevention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major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depression: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multisite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study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Consortium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Research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(CORE).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2006;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1337-1344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17146008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10.1001/archpsyc.63.12.1337]</w:t>
      </w:r>
    </w:p>
    <w:p w14:paraId="089BE5F4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24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b/>
          <w:bCs/>
          <w:color w:val="000000"/>
        </w:rPr>
        <w:t>McInerney</w:t>
      </w:r>
      <w:proofErr w:type="spellEnd"/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Kennedy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SH.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Review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evidence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bipolar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depression.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Prim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Companion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CNS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2014;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16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25667812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10.4088/PCC.14r01653]</w:t>
      </w:r>
    </w:p>
    <w:p w14:paraId="5FD16EAC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25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Bowden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CL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Perlis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RH,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Thase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Ketter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TA,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Ostacher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Calabrese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JR,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Reilly-Harrington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NA,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Gonzalez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Singh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V,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Nierenberg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AA,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Sachs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Aims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results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NIMH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systematic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enhancement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program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bipolar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disorder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(STEP-BD).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CNS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2012;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243-249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22070541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10.1111/j.1755-5949.2011.00257.x]</w:t>
      </w:r>
    </w:p>
    <w:p w14:paraId="008F9CB2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26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RK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White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PJ,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Dursun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therapy-induced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Evidence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ultra-mood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stabilizer.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SAGE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2018;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2050313X18799236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30214809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10.1177/2050313X18799236]</w:t>
      </w:r>
    </w:p>
    <w:p w14:paraId="207B14D5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27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Arcand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Narang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Lippmann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ECT-induced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Mania.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i/>
          <w:iCs/>
          <w:color w:val="000000"/>
        </w:rPr>
        <w:t>Innov</w:t>
      </w:r>
      <w:proofErr w:type="spellEnd"/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2014;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27-29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25621185]</w:t>
      </w:r>
    </w:p>
    <w:p w14:paraId="2CDB03C0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28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Kessing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LV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Willer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Andersen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PK,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Bukh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predictors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conversion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unipolar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bipolar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disorder: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systematic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review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meta-analysis.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Bipolar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2017;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324-335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28714575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10.1111/bdi.12513]</w:t>
      </w:r>
    </w:p>
    <w:p w14:paraId="692BAFF5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29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Farahani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Correll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CU.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antipsychotics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needed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psychotic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depression?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systematic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review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meta-analysis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trials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comparing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antidepressant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antipsychotic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monotherapy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combination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2012;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486-496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22579147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10.4088/JCP.11r07324]</w:t>
      </w:r>
    </w:p>
    <w:p w14:paraId="4C0A2BF9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30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b/>
          <w:bCs/>
          <w:color w:val="000000"/>
        </w:rPr>
        <w:t>Arandjelovic</w:t>
      </w:r>
      <w:proofErr w:type="spellEnd"/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Eyre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Lavretsky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Clinicians'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Views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Treatment-Resistant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Depression: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2016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Survey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Reports.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i/>
          <w:iCs/>
          <w:color w:val="000000"/>
        </w:rPr>
        <w:t>Geriatr</w:t>
      </w:r>
      <w:proofErr w:type="spellEnd"/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2016;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913-917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27591914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10.1016/j.jagp.2016.05.010]</w:t>
      </w:r>
    </w:p>
    <w:p w14:paraId="3D45C912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31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b/>
          <w:bCs/>
          <w:color w:val="000000"/>
        </w:rPr>
        <w:t>Itagaki</w:t>
      </w:r>
      <w:proofErr w:type="spellEnd"/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K,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Takebayashi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Shibasaki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Kajitani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Abe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Okada-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Tsuchioka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Yamawaki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Factors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associated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response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unipolar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vs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bipolar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depression.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0C0537">
        <w:rPr>
          <w:rFonts w:ascii="Book Antiqua" w:eastAsia="Book Antiqua" w:hAnsi="Book Antiqua" w:cs="Book Antiqua"/>
          <w:i/>
          <w:color w:val="000000"/>
        </w:rPr>
        <w:t>J</w:t>
      </w:r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0537">
        <w:rPr>
          <w:rFonts w:ascii="Book Antiqua" w:eastAsia="Book Antiqua" w:hAnsi="Book Antiqua" w:cs="Book Antiqua"/>
          <w:i/>
          <w:color w:val="000000"/>
        </w:rPr>
        <w:t>Affect</w:t>
      </w:r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C0537">
        <w:rPr>
          <w:rFonts w:ascii="Book Antiqua" w:eastAsia="Book Antiqua" w:hAnsi="Book Antiqua" w:cs="Book Antiqua"/>
          <w:i/>
          <w:color w:val="000000"/>
        </w:rPr>
        <w:t>Disord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2017;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0C0537">
        <w:rPr>
          <w:rFonts w:ascii="Book Antiqua" w:eastAsia="Book Antiqua" w:hAnsi="Book Antiqua" w:cs="Book Antiqua"/>
          <w:b/>
          <w:color w:val="000000"/>
        </w:rPr>
        <w:t>208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113-119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[DOI:</w:t>
      </w:r>
      <w:r w:rsidR="005E42D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10.1016/j.jad.2016.08.047]</w:t>
      </w:r>
    </w:p>
    <w:p w14:paraId="393F9AAC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32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Sugawara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Sakamoto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Harada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Ishigooka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Predictors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efficacy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lithium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augmentation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treatment-resistant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depression.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Affect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2010;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125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165-168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20089312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10.1016/j.jad.2009.12.025]</w:t>
      </w:r>
    </w:p>
    <w:p w14:paraId="581D77DF" w14:textId="5979AEEA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C0537">
        <w:rPr>
          <w:rFonts w:ascii="Book Antiqua" w:eastAsia="Book Antiqua" w:hAnsi="Book Antiqua" w:cs="Book Antiqua"/>
          <w:color w:val="000000"/>
          <w:highlight w:val="yellow"/>
        </w:rPr>
        <w:t>33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b/>
          <w:bCs/>
          <w:color w:val="000000"/>
          <w:highlight w:val="yellow"/>
        </w:rPr>
        <w:t>First</w:t>
      </w:r>
      <w:r w:rsidR="005E42D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b/>
          <w:bCs/>
          <w:color w:val="000000"/>
          <w:highlight w:val="yellow"/>
        </w:rPr>
        <w:t>MB,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Spitzer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RL,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Gibbon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M,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Williams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JBW.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Structured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Clinical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Interview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DSM-IV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Axis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I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Disorders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SCID-I: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Clinician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Version,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Administration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Booklet.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American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Psychiatric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Publishing,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Inc.,</w:t>
      </w:r>
      <w:r w:rsidR="005E42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C0537">
        <w:rPr>
          <w:rFonts w:ascii="Book Antiqua" w:eastAsia="Book Antiqua" w:hAnsi="Book Antiqua" w:cs="Book Antiqua"/>
          <w:color w:val="000000"/>
          <w:highlight w:val="yellow"/>
        </w:rPr>
        <w:t>1997</w:t>
      </w:r>
    </w:p>
    <w:p w14:paraId="7D8C9979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34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Hirschfeld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Williams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JB,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Spitzer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RL,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Calabrese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JR,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Flynn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Keck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Jr,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Lewis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L,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McElroy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SL,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Post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Rapport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DJ,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Russell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JM,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Sachs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GS,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Zajecka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Development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validation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screening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instrument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bipolar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spectrum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disorder: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Mood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Disorder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Questionnaire.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2000;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157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1873-1875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11058490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10.1176/appi.ajp.157.11.1873]</w:t>
      </w:r>
    </w:p>
    <w:p w14:paraId="15E8B3A4" w14:textId="77777777" w:rsidR="00825BD4" w:rsidRPr="00825BD4" w:rsidRDefault="00825BD4" w:rsidP="00825BD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5BD4">
        <w:rPr>
          <w:rFonts w:ascii="Book Antiqua" w:eastAsia="Book Antiqua" w:hAnsi="Book Antiqua" w:cs="Book Antiqua"/>
          <w:color w:val="000000"/>
        </w:rPr>
        <w:t>35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Nassir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b/>
          <w:bCs/>
          <w:color w:val="000000"/>
        </w:rPr>
        <w:t>Ghaemi</w:t>
      </w:r>
      <w:proofErr w:type="spellEnd"/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25BD4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Miller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CJ,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color w:val="000000"/>
        </w:rPr>
        <w:t>Berv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DA,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Klugman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J,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Rosenquist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KJ,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Pies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RW.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Sensitivity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specificity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new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bipolar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spectrum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scale.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i/>
          <w:iCs/>
          <w:color w:val="000000"/>
        </w:rPr>
        <w:t>Affect</w:t>
      </w:r>
      <w:r w:rsidR="005E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25BD4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2005;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825BD4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273-277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[PMID: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15708426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DOI: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825BD4">
        <w:rPr>
          <w:rFonts w:ascii="Book Antiqua" w:eastAsia="Book Antiqua" w:hAnsi="Book Antiqua" w:cs="Book Antiqua"/>
          <w:color w:val="000000"/>
        </w:rPr>
        <w:t>10.1016/S0165-0327(03)00196-4]</w:t>
      </w:r>
    </w:p>
    <w:p w14:paraId="1B4057A6" w14:textId="77777777" w:rsidR="00A77B3E" w:rsidRPr="00343B51" w:rsidRDefault="00A77B3E" w:rsidP="00825BD4">
      <w:pPr>
        <w:spacing w:line="360" w:lineRule="auto"/>
        <w:jc w:val="both"/>
        <w:rPr>
          <w:rFonts w:ascii="Book Antiqua" w:hAnsi="Book Antiqua"/>
        </w:rPr>
      </w:pPr>
    </w:p>
    <w:p w14:paraId="0E6F3035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  <w:sectPr w:rsidR="00A77B3E" w:rsidRPr="00343B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991DDF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color w:val="000000"/>
        </w:rPr>
        <w:t>Footnotes</w:t>
      </w:r>
    </w:p>
    <w:p w14:paraId="3F1BCBD4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study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protocol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approved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Shiga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University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Medical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Science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Ethics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Committee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(27-178)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registered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UMIN-CTR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(UMIN000030458).</w:t>
      </w:r>
    </w:p>
    <w:p w14:paraId="2867595C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1FDBF3FE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All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provided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informed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consent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through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opt-out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methodology.</w:t>
      </w:r>
    </w:p>
    <w:p w14:paraId="542C1B62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3B235CB6" w14:textId="2C381C94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NK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reports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honoraria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lectures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Otsuka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Pharmaceutical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Ltd.,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Takeda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Pharmaceutical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Ltd.,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Janssen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Pharmaceutical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K.K.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reports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honoraria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lectures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Otsuka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Pharmaceutical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Ltd.,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Yoshitomiyakuhin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Corporation,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Lundbeck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Japan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K.K.,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Janssen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Pharmaceutical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K.K.;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honoraria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manuscript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writing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Kitaohji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Syobo</w:t>
      </w:r>
      <w:proofErr w:type="spellEnd"/>
      <w:r w:rsidRPr="00343B51">
        <w:rPr>
          <w:rFonts w:ascii="Book Antiqua" w:eastAsia="Book Antiqua" w:hAnsi="Book Antiqua" w:cs="Book Antiqua"/>
          <w:color w:val="000000"/>
        </w:rPr>
        <w:t>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Maruzen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Publishing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Ltd.,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SEIKAISHA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Ltd.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KK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reports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grants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Otsuka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Pharmaceutical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Ltd.,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Meiji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Seika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Pharma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Ltd.,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MSD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K.K.,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Eisai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Ltd.,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Takeda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Pharmaceutical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Ltd.,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Pfizer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Jaoan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Inc.,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Shionogi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Pharma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Ltd.,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Mitsubishi-Tanabe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Pharma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Corporation,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Tsumura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9D28A2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Kao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Corporation,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honoraria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lectures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Meiji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Seika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Pharma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Ltd.,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Eli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Lilly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Japan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K.K.,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Eisai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Ltd.,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MSD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K.K.,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Yoshitomiyakuhin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Corporation,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Tsumura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9D28A2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Takeda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Pharmaceutical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Ltd.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H.K.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associated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laboratory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supported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donations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Fukuda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Lifetech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Ltd.,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Fukuda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Life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Tech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Keiji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Ltd.,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Tanaka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Sleep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Clinic,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Akita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Sleep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Clinic,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AiAi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Ltd.,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Shiga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University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Medical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Science.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H.K.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received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grants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Eisai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Ltd.,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Merck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Sharp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Dohme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Corp/MSD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K.K.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(Investigator-Initiated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Studies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Program).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reports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honoraria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lectures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Eisai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Ltd.,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Nobelpharma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Ltd.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Shiga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prefecture,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honoraria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manuscript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writing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Nipponrinsyosya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Ltd.,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Life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Science,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Asakura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Publishing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Ltd.,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consulting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fees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Takeda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Pharmaceutical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Co.,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Ltd.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Grants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personal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fees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companies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not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directly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study.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opinions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expressed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paper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authors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not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necessarily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represent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those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companies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including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Merck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Sharp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Dohme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Corp/MSD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K.K.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other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authors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declare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no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conflicts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interest.</w:t>
      </w:r>
    </w:p>
    <w:p w14:paraId="56A8915A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1BDCFE5E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datasets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analyzed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current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study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available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corresponding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author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upon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reasonable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request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28A2">
        <w:rPr>
          <w:rFonts w:ascii="Book Antiqua" w:eastAsia="Book Antiqua" w:hAnsi="Book Antiqua" w:cs="Book Antiqua"/>
          <w:color w:val="000000"/>
        </w:rPr>
        <w:t>kadotanisleep@gmail</w:t>
      </w:r>
      <w:proofErr w:type="spellEnd"/>
      <w:r w:rsidRPr="009D28A2">
        <w:rPr>
          <w:rFonts w:ascii="Book Antiqua" w:eastAsia="Book Antiqua" w:hAnsi="Book Antiqua" w:cs="Book Antiqua"/>
          <w:color w:val="000000"/>
        </w:rPr>
        <w:t>.</w:t>
      </w:r>
      <w:r w:rsidR="005E42D6" w:rsidRPr="009D28A2">
        <w:rPr>
          <w:rFonts w:ascii="Book Antiqua" w:eastAsia="Book Antiqua" w:hAnsi="Book Antiqua" w:cs="Book Antiqua"/>
          <w:color w:val="000000"/>
        </w:rPr>
        <w:t xml:space="preserve"> </w:t>
      </w:r>
      <w:r w:rsidRPr="009D28A2">
        <w:rPr>
          <w:rFonts w:ascii="Book Antiqua" w:eastAsia="Book Antiqua" w:hAnsi="Book Antiqua" w:cs="Book Antiqua"/>
          <w:color w:val="000000"/>
        </w:rPr>
        <w:t>com</w:t>
      </w:r>
      <w:r w:rsidRPr="00343B51">
        <w:rPr>
          <w:rFonts w:ascii="Book Antiqua" w:eastAsia="Book Antiqua" w:hAnsi="Book Antiqua" w:cs="Book Antiqua"/>
          <w:color w:val="000000"/>
        </w:rPr>
        <w:t>.</w:t>
      </w:r>
    </w:p>
    <w:p w14:paraId="0817195E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7934EDFB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STROBE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Statement—checklist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items,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STROBE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Statement—checklist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E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  <w:shd w:val="clear" w:color="auto" w:fill="FFFFFF"/>
        </w:rPr>
        <w:t>items.</w:t>
      </w:r>
    </w:p>
    <w:p w14:paraId="7E9AB748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1076442A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article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open-access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article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that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selected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in-house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editor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fully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peer-reviewed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external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reviewers.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distributed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accordance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with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Creative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Commons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Attribution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3B5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(CC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BY-NC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4.0)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license,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which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permits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others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distribute,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remix,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adapt,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build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upon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work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non-commercially,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license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their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derivative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works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different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terms,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provided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original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work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properly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cited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use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non-commercial.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See: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421AE3D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3B262FBB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color w:val="000000"/>
        </w:rPr>
        <w:t>Manuscript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source: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Invited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9D28A2">
        <w:rPr>
          <w:rFonts w:ascii="Book Antiqua" w:hAnsi="Book Antiqua" w:cs="Book Antiqua" w:hint="eastAsia"/>
          <w:color w:val="000000"/>
          <w:lang w:eastAsia="zh-CN"/>
        </w:rPr>
        <w:t>m</w:t>
      </w:r>
      <w:r w:rsidRPr="00343B51">
        <w:rPr>
          <w:rFonts w:ascii="Book Antiqua" w:eastAsia="Book Antiqua" w:hAnsi="Book Antiqua" w:cs="Book Antiqua"/>
          <w:color w:val="000000"/>
        </w:rPr>
        <w:t>anuscript</w:t>
      </w:r>
    </w:p>
    <w:p w14:paraId="4301DD0B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color w:val="000000"/>
        </w:rPr>
        <w:t>Corresponding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Author's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Membership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in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Professional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Societies: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Japanese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Society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Psychiatry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Neurology,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21270.</w:t>
      </w:r>
    </w:p>
    <w:p w14:paraId="3989CD1B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768E640A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color w:val="000000"/>
        </w:rPr>
        <w:t>Peer-review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started: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March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28,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2021</w:t>
      </w:r>
    </w:p>
    <w:p w14:paraId="4FA0CEAA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color w:val="000000"/>
        </w:rPr>
        <w:t>First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decision: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July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15,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2021</w:t>
      </w:r>
    </w:p>
    <w:p w14:paraId="6725337C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color w:val="000000"/>
        </w:rPr>
        <w:t>Article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in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press: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9351330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242DC493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color w:val="000000"/>
        </w:rPr>
        <w:t>Specialty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type: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Psychiatry</w:t>
      </w:r>
    </w:p>
    <w:p w14:paraId="0ADAEE5B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color w:val="000000"/>
        </w:rPr>
        <w:t>Country/Territory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of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origin: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Japan</w:t>
      </w:r>
    </w:p>
    <w:p w14:paraId="0BF6E052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color w:val="000000"/>
        </w:rPr>
        <w:t>Peer-review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report’s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scientific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quality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908534D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color w:val="000000"/>
        </w:rPr>
        <w:t>Grade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(Excellent):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0</w:t>
      </w:r>
    </w:p>
    <w:p w14:paraId="6F707C93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color w:val="000000"/>
        </w:rPr>
        <w:t>Grade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(Very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good):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0</w:t>
      </w:r>
    </w:p>
    <w:p w14:paraId="4967F7CE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color w:val="000000"/>
        </w:rPr>
        <w:t>Grade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(Good):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</w:t>
      </w:r>
    </w:p>
    <w:p w14:paraId="349A82F6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color w:val="000000"/>
        </w:rPr>
        <w:t>Grade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(Fair):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0</w:t>
      </w:r>
    </w:p>
    <w:p w14:paraId="269EEB24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color w:val="000000"/>
        </w:rPr>
        <w:t>Grade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(Poor):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0</w:t>
      </w:r>
    </w:p>
    <w:p w14:paraId="39AF7A67" w14:textId="77777777" w:rsidR="00A77B3E" w:rsidRPr="00343B51" w:rsidRDefault="00A77B3E" w:rsidP="00343B51">
      <w:pPr>
        <w:spacing w:line="360" w:lineRule="auto"/>
        <w:jc w:val="both"/>
        <w:rPr>
          <w:rFonts w:ascii="Book Antiqua" w:hAnsi="Book Antiqua"/>
        </w:rPr>
      </w:pPr>
    </w:p>
    <w:p w14:paraId="1BF78F59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  <w:sectPr w:rsidR="00A77B3E" w:rsidRPr="00343B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43B51">
        <w:rPr>
          <w:rFonts w:ascii="Book Antiqua" w:eastAsia="Book Antiqua" w:hAnsi="Book Antiqua" w:cs="Book Antiqua"/>
          <w:b/>
          <w:color w:val="000000"/>
        </w:rPr>
        <w:t>P-Reviewer: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Chakrabarti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S-Editor: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Wang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9D28A2">
        <w:rPr>
          <w:rFonts w:ascii="Book Antiqua" w:hAnsi="Book Antiqua" w:cs="Book Antiqua" w:hint="eastAsia"/>
          <w:color w:val="000000"/>
          <w:lang w:eastAsia="zh-CN"/>
        </w:rPr>
        <w:t>L</w:t>
      </w:r>
      <w:r w:rsidRPr="00343B51">
        <w:rPr>
          <w:rFonts w:ascii="Book Antiqua" w:eastAsia="Book Antiqua" w:hAnsi="Book Antiqua" w:cs="Book Antiqua"/>
          <w:color w:val="000000"/>
        </w:rPr>
        <w:t>L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L-Editor: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P-Editor: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342F937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343B51">
        <w:rPr>
          <w:rFonts w:ascii="Book Antiqua" w:eastAsia="Book Antiqua" w:hAnsi="Book Antiqua" w:cs="Book Antiqua"/>
          <w:b/>
          <w:color w:val="000000"/>
        </w:rPr>
        <w:t>Figure</w:t>
      </w:r>
      <w:r w:rsidR="005E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color w:val="000000"/>
        </w:rPr>
        <w:t>Legends</w:t>
      </w:r>
    </w:p>
    <w:p w14:paraId="3B5F6914" w14:textId="77777777" w:rsidR="00A72121" w:rsidRPr="00343B51" w:rsidRDefault="009D28A2" w:rsidP="00343B5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D56CDE8" wp14:editId="06263E63">
            <wp:extent cx="5660571" cy="306521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911" cy="3065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4F03A7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1</w:t>
      </w:r>
      <w:r w:rsidR="009D28A2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participants.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ECT</w:t>
      </w:r>
      <w:r w:rsidR="009D28A2">
        <w:rPr>
          <w:rFonts w:ascii="Book Antiqua" w:hAnsi="Book Antiqua" w:cs="Book Antiqua" w:hint="eastAsia"/>
          <w:color w:val="000000"/>
          <w:lang w:eastAsia="zh-CN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9D28A2">
        <w:rPr>
          <w:rFonts w:ascii="Book Antiqua" w:hAnsi="Book Antiqua" w:cs="Book Antiqua" w:hint="eastAsia"/>
          <w:color w:val="000000"/>
          <w:lang w:eastAsia="zh-CN"/>
        </w:rPr>
        <w:t>E</w:t>
      </w:r>
      <w:r w:rsidRPr="00343B51">
        <w:rPr>
          <w:rFonts w:ascii="Book Antiqua" w:eastAsia="Book Antiqua" w:hAnsi="Book Antiqua" w:cs="Book Antiqua"/>
          <w:color w:val="000000"/>
        </w:rPr>
        <w:t>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therapy;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MDD</w:t>
      </w:r>
      <w:r w:rsidR="009D28A2">
        <w:rPr>
          <w:rFonts w:ascii="Book Antiqua" w:hAnsi="Book Antiqua" w:cs="Book Antiqua" w:hint="eastAsia"/>
          <w:color w:val="000000"/>
          <w:lang w:eastAsia="zh-CN"/>
        </w:rPr>
        <w:t>: M</w:t>
      </w:r>
      <w:r w:rsidRPr="00343B51">
        <w:rPr>
          <w:rFonts w:ascii="Book Antiqua" w:eastAsia="Book Antiqua" w:hAnsi="Book Antiqua" w:cs="Book Antiqua"/>
          <w:color w:val="000000"/>
        </w:rPr>
        <w:t>ajor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disorder.</w:t>
      </w:r>
    </w:p>
    <w:p w14:paraId="304BF0EA" w14:textId="77777777" w:rsidR="00A77B3E" w:rsidRPr="00343B51" w:rsidRDefault="00A72121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hAnsi="Book Antiqua"/>
        </w:rPr>
        <w:br w:type="page"/>
      </w:r>
      <w:r w:rsidRPr="00343B51">
        <w:rPr>
          <w:rFonts w:ascii="Book Antiqua" w:hAnsi="Book Antiqua"/>
          <w:noProof/>
          <w:lang w:eastAsia="zh-CN"/>
        </w:rPr>
        <w:drawing>
          <wp:inline distT="0" distB="0" distL="0" distR="0" wp14:anchorId="04340E3F" wp14:editId="5C1335CA">
            <wp:extent cx="5943600" cy="31413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CE99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61347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2</w:t>
      </w:r>
      <w:r w:rsidR="009D28A2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Changes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in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diagnosis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based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on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relapse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manic/hypomanic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episodes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remission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first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D28A2" w:rsidRPr="009D28A2">
        <w:rPr>
          <w:rFonts w:ascii="Book Antiqua" w:eastAsia="Book Antiqua" w:hAnsi="Book Antiqua" w:cs="Book Antiqua"/>
          <w:b/>
          <w:bCs/>
          <w:color w:val="000000"/>
        </w:rPr>
        <w:t>electroconvulsive therapy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.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Relapses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characterized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more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criteria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9D28A2" w:rsidRPr="009D28A2">
        <w:rPr>
          <w:rFonts w:ascii="Book Antiqua" w:eastAsia="Book Antiqua" w:hAnsi="Book Antiqua" w:cs="Book Antiqua"/>
          <w:color w:val="000000"/>
        </w:rPr>
        <w:t>major depressive disorder</w:t>
      </w:r>
      <w:r w:rsidRPr="00343B51">
        <w:rPr>
          <w:rFonts w:ascii="Book Antiqua" w:eastAsia="Book Antiqua" w:hAnsi="Book Antiqua" w:cs="Book Antiqua"/>
          <w:color w:val="000000"/>
        </w:rPr>
        <w:t>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not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experience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course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9D28A2" w:rsidRPr="009D28A2">
        <w:rPr>
          <w:rFonts w:ascii="Book Antiqua" w:eastAsia="Book Antiqua" w:hAnsi="Book Antiqua" w:cs="Book Antiqua"/>
          <w:color w:val="000000"/>
        </w:rPr>
        <w:t xml:space="preserve">electroconvulsive therapy </w:t>
      </w:r>
      <w:r w:rsidR="009D28A2">
        <w:rPr>
          <w:rFonts w:ascii="Book Antiqua" w:hAnsi="Book Antiqua" w:cs="Book Antiqua" w:hint="eastAsia"/>
          <w:color w:val="000000"/>
          <w:lang w:eastAsia="zh-CN"/>
        </w:rPr>
        <w:t>(</w:t>
      </w:r>
      <w:r w:rsidRPr="00343B51">
        <w:rPr>
          <w:rFonts w:ascii="Book Antiqua" w:eastAsia="Book Antiqua" w:hAnsi="Book Antiqua" w:cs="Book Antiqua"/>
          <w:color w:val="000000"/>
        </w:rPr>
        <w:t>ECT</w:t>
      </w:r>
      <w:r w:rsidR="009D28A2">
        <w:rPr>
          <w:rFonts w:ascii="Book Antiqua" w:hAnsi="Book Antiqua" w:cs="Book Antiqua" w:hint="eastAsia"/>
          <w:color w:val="000000"/>
          <w:lang w:eastAsia="zh-CN"/>
        </w:rPr>
        <w:t>)</w:t>
      </w:r>
      <w:r w:rsidRPr="00343B51">
        <w:rPr>
          <w:rFonts w:ascii="Book Antiqua" w:eastAsia="Book Antiqua" w:hAnsi="Book Antiqua" w:cs="Book Antiqua"/>
          <w:color w:val="000000"/>
        </w:rPr>
        <w:t>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Patients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groups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experienced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after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course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ECT.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When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manic/hypomanic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episode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during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follow-up,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diagnosis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changed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9D28A2" w:rsidRPr="00343B51">
        <w:rPr>
          <w:rFonts w:ascii="Book Antiqua" w:eastAsia="Book Antiqua" w:hAnsi="Book Antiqua" w:cs="Book Antiqua"/>
          <w:color w:val="000000"/>
        </w:rPr>
        <w:t>major</w:t>
      </w:r>
      <w:r w:rsidR="009D28A2">
        <w:rPr>
          <w:rFonts w:ascii="Book Antiqua" w:eastAsia="Book Antiqua" w:hAnsi="Book Antiqua" w:cs="Book Antiqua"/>
          <w:color w:val="000000"/>
        </w:rPr>
        <w:t xml:space="preserve"> </w:t>
      </w:r>
      <w:r w:rsidR="009D28A2" w:rsidRPr="00343B51">
        <w:rPr>
          <w:rFonts w:ascii="Book Antiqua" w:eastAsia="Book Antiqua" w:hAnsi="Book Antiqua" w:cs="Book Antiqua"/>
          <w:color w:val="000000"/>
        </w:rPr>
        <w:t>depressive</w:t>
      </w:r>
      <w:r w:rsidR="009D28A2">
        <w:rPr>
          <w:rFonts w:ascii="Book Antiqua" w:eastAsia="Book Antiqua" w:hAnsi="Book Antiqua" w:cs="Book Antiqua"/>
          <w:color w:val="000000"/>
        </w:rPr>
        <w:t xml:space="preserve"> </w:t>
      </w:r>
      <w:r w:rsidR="009D28A2" w:rsidRPr="00343B51">
        <w:rPr>
          <w:rFonts w:ascii="Book Antiqua" w:eastAsia="Book Antiqua" w:hAnsi="Book Antiqua" w:cs="Book Antiqua"/>
          <w:color w:val="000000"/>
        </w:rPr>
        <w:t>disorder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9D28A2" w:rsidRPr="00343B51">
        <w:rPr>
          <w:rFonts w:ascii="Book Antiqua" w:eastAsia="Book Antiqua" w:hAnsi="Book Antiqua" w:cs="Book Antiqua"/>
          <w:color w:val="000000"/>
        </w:rPr>
        <w:t>bipolar</w:t>
      </w:r>
      <w:r w:rsidR="009D28A2">
        <w:rPr>
          <w:rFonts w:ascii="Book Antiqua" w:eastAsia="Book Antiqua" w:hAnsi="Book Antiqua" w:cs="Book Antiqua"/>
          <w:color w:val="000000"/>
        </w:rPr>
        <w:t xml:space="preserve"> </w:t>
      </w:r>
      <w:r w:rsidR="009D28A2" w:rsidRPr="00343B51">
        <w:rPr>
          <w:rFonts w:ascii="Book Antiqua" w:eastAsia="Book Antiqua" w:hAnsi="Book Antiqua" w:cs="Book Antiqua"/>
          <w:color w:val="000000"/>
        </w:rPr>
        <w:t>disorder</w:t>
      </w:r>
      <w:r w:rsidRPr="00343B51">
        <w:rPr>
          <w:rFonts w:ascii="Book Antiqua" w:eastAsia="Book Antiqua" w:hAnsi="Book Antiqua" w:cs="Book Antiqua"/>
          <w:color w:val="000000"/>
        </w:rPr>
        <w:t>.</w:t>
      </w:r>
      <w:r w:rsidR="009D28A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ECT</w:t>
      </w:r>
      <w:r w:rsidR="009D28A2">
        <w:rPr>
          <w:rFonts w:ascii="Book Antiqua" w:hAnsi="Book Antiqua" w:cs="Book Antiqua" w:hint="eastAsia"/>
          <w:color w:val="000000"/>
          <w:lang w:eastAsia="zh-CN"/>
        </w:rPr>
        <w:t>: E</w:t>
      </w:r>
      <w:r w:rsidRPr="00343B51">
        <w:rPr>
          <w:rFonts w:ascii="Book Antiqua" w:eastAsia="Book Antiqua" w:hAnsi="Book Antiqua" w:cs="Book Antiqua"/>
          <w:color w:val="000000"/>
        </w:rPr>
        <w:t>lectroconvulsive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therapy;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MDD</w:t>
      </w:r>
      <w:r w:rsidR="009D28A2">
        <w:rPr>
          <w:rFonts w:ascii="Book Antiqua" w:hAnsi="Book Antiqua" w:cs="Book Antiqua" w:hint="eastAsia"/>
          <w:color w:val="000000"/>
          <w:lang w:eastAsia="zh-CN"/>
        </w:rPr>
        <w:t>: M</w:t>
      </w:r>
      <w:r w:rsidRPr="00343B51">
        <w:rPr>
          <w:rFonts w:ascii="Book Antiqua" w:eastAsia="Book Antiqua" w:hAnsi="Book Antiqua" w:cs="Book Antiqua"/>
          <w:color w:val="000000"/>
        </w:rPr>
        <w:t>ajor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disorder;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BP</w:t>
      </w:r>
      <w:r w:rsidR="009D28A2">
        <w:rPr>
          <w:rFonts w:ascii="Book Antiqua" w:hAnsi="Book Antiqua" w:cs="Book Antiqua" w:hint="eastAsia"/>
          <w:color w:val="000000"/>
          <w:lang w:eastAsia="zh-CN"/>
        </w:rPr>
        <w:t>: B</w:t>
      </w:r>
      <w:r w:rsidRPr="00343B51">
        <w:rPr>
          <w:rFonts w:ascii="Book Antiqua" w:eastAsia="Book Antiqua" w:hAnsi="Book Antiqua" w:cs="Book Antiqua"/>
          <w:color w:val="000000"/>
        </w:rPr>
        <w:t>ipolar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disorder;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Li</w:t>
      </w:r>
      <w:r w:rsidR="009D28A2">
        <w:rPr>
          <w:rFonts w:ascii="Book Antiqua" w:hAnsi="Book Antiqua" w:cs="Book Antiqua" w:hint="eastAsia"/>
          <w:color w:val="000000"/>
          <w:lang w:eastAsia="zh-CN"/>
        </w:rPr>
        <w:t>: L</w:t>
      </w:r>
      <w:r w:rsidRPr="00343B51">
        <w:rPr>
          <w:rFonts w:ascii="Book Antiqua" w:eastAsia="Book Antiqua" w:hAnsi="Book Antiqua" w:cs="Book Antiqua"/>
          <w:color w:val="000000"/>
        </w:rPr>
        <w:t>ithium;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ARP</w:t>
      </w:r>
      <w:r w:rsidR="009D28A2">
        <w:rPr>
          <w:rFonts w:ascii="Book Antiqua" w:hAnsi="Book Antiqua" w:cs="Book Antiqua" w:hint="eastAsia"/>
          <w:color w:val="000000"/>
          <w:lang w:eastAsia="zh-CN"/>
        </w:rPr>
        <w:t>: A</w:t>
      </w:r>
      <w:r w:rsidRPr="00343B51">
        <w:rPr>
          <w:rFonts w:ascii="Book Antiqua" w:eastAsia="Book Antiqua" w:hAnsi="Book Antiqua" w:cs="Book Antiqua"/>
          <w:color w:val="000000"/>
        </w:rPr>
        <w:t>ripiprazole.</w:t>
      </w:r>
    </w:p>
    <w:p w14:paraId="22FE7591" w14:textId="77777777" w:rsidR="00A77B3E" w:rsidRPr="00343B51" w:rsidRDefault="00A72121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hAnsi="Book Antiqua"/>
        </w:rPr>
        <w:br w:type="page"/>
      </w:r>
      <w:r w:rsidRPr="00343B51">
        <w:rPr>
          <w:rFonts w:ascii="Book Antiqua" w:hAnsi="Book Antiqua"/>
          <w:noProof/>
          <w:lang w:eastAsia="zh-CN"/>
        </w:rPr>
        <w:drawing>
          <wp:inline distT="0" distB="0" distL="0" distR="0" wp14:anchorId="68037B58" wp14:editId="689FCD90">
            <wp:extent cx="3711262" cy="281202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C3D5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262" cy="281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10F60" w14:textId="77777777" w:rsidR="00A77B3E" w:rsidRPr="00343B51" w:rsidRDefault="002603F4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3</w:t>
      </w:r>
      <w:r w:rsidR="009D28A2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Period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to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relapse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in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D28A2" w:rsidRPr="009D28A2">
        <w:rPr>
          <w:rFonts w:ascii="Book Antiqua" w:eastAsia="Book Antiqua" w:hAnsi="Book Antiqua" w:cs="Book Antiqua"/>
          <w:b/>
          <w:bCs/>
          <w:color w:val="000000"/>
        </w:rPr>
        <w:t>continuation and/or maintenance electroconvulsive therapy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group.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box-and-whisker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plot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displays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statistical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summary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variables.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central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box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shows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values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lower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upper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quartiles.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middle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line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represents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median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values.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horizontal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line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extends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minimum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maximum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value,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excluding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outliers,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which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displayed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separate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points.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group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experienced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significantly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earlier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than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9D28A2">
        <w:rPr>
          <w:rFonts w:ascii="Book Antiqua" w:hAnsi="Book Antiqua" w:cs="Book Antiqua" w:hint="eastAsia"/>
          <w:color w:val="000000"/>
          <w:lang w:eastAsia="zh-CN"/>
        </w:rPr>
        <w:t>m</w:t>
      </w:r>
      <w:r w:rsidR="009D28A2" w:rsidRPr="009D28A2">
        <w:rPr>
          <w:rFonts w:ascii="Book Antiqua" w:eastAsia="Book Antiqua" w:hAnsi="Book Antiqua" w:cs="Book Antiqua"/>
          <w:color w:val="000000"/>
        </w:rPr>
        <w:t>ajor depressive disorder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participants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in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group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C.</w:t>
      </w:r>
    </w:p>
    <w:p w14:paraId="38E7853B" w14:textId="77777777" w:rsidR="00A77B3E" w:rsidRPr="00343B51" w:rsidRDefault="00A72121" w:rsidP="00343B51">
      <w:pPr>
        <w:spacing w:line="360" w:lineRule="auto"/>
        <w:jc w:val="both"/>
        <w:rPr>
          <w:rFonts w:ascii="Book Antiqua" w:hAnsi="Book Antiqua"/>
        </w:rPr>
      </w:pPr>
      <w:r w:rsidRPr="00343B51">
        <w:rPr>
          <w:rFonts w:ascii="Book Antiqua" w:hAnsi="Book Antiqua"/>
        </w:rPr>
        <w:br w:type="page"/>
      </w:r>
      <w:r w:rsidRPr="00343B51">
        <w:rPr>
          <w:rFonts w:ascii="Book Antiqua" w:hAnsi="Book Antiqua"/>
          <w:noProof/>
          <w:lang w:eastAsia="zh-CN"/>
        </w:rPr>
        <w:drawing>
          <wp:inline distT="0" distB="0" distL="0" distR="0" wp14:anchorId="559DEB0C" wp14:editId="264F0E1E">
            <wp:extent cx="2682472" cy="256054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C8EE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472" cy="256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EFA7B" w14:textId="77777777" w:rsidR="0078396A" w:rsidRPr="00343B51" w:rsidRDefault="002603F4" w:rsidP="00343B5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3B5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4</w:t>
      </w:r>
      <w:r w:rsidR="009D28A2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9D28A2" w:rsidRPr="009D28A2">
        <w:rPr>
          <w:rFonts w:ascii="Book Antiqua" w:eastAsia="Book Antiqua" w:hAnsi="Book Antiqua" w:cs="Book Antiqua"/>
          <w:b/>
          <w:bCs/>
          <w:color w:val="000000"/>
        </w:rPr>
        <w:t>Receiver operating characteristic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determining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accuracy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diagnosis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based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on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duration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period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until</w:t>
      </w:r>
      <w:r w:rsidR="005E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b/>
          <w:bCs/>
          <w:color w:val="000000"/>
        </w:rPr>
        <w:t>relapse.</w:t>
      </w:r>
      <w:r w:rsidR="009D28A2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Receiver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operating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characteristic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(ROC)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curves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were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generated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evaluate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accuracy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predicting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changes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9D28A2">
        <w:rPr>
          <w:rFonts w:ascii="Book Antiqua" w:hAnsi="Book Antiqua" w:cs="Book Antiqua" w:hint="eastAsia"/>
          <w:color w:val="000000"/>
          <w:lang w:eastAsia="zh-CN"/>
        </w:rPr>
        <w:t>m</w:t>
      </w:r>
      <w:r w:rsidR="009D28A2" w:rsidRPr="009D28A2">
        <w:rPr>
          <w:rFonts w:ascii="Book Antiqua" w:eastAsia="Book Antiqua" w:hAnsi="Book Antiqua" w:cs="Book Antiqua"/>
          <w:color w:val="000000"/>
        </w:rPr>
        <w:t>ajor depressive disorder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28A2" w:rsidRPr="009D28A2">
        <w:rPr>
          <w:rFonts w:ascii="Book Antiqua" w:eastAsia="Book Antiqua" w:hAnsi="Book Antiqua" w:cs="Book Antiqua"/>
          <w:color w:val="000000"/>
        </w:rPr>
        <w:t>Bipolar disorder</w:t>
      </w:r>
      <w:proofErr w:type="gramEnd"/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from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duration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between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first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="009D28A2">
        <w:rPr>
          <w:rFonts w:ascii="Book Antiqua" w:hAnsi="Book Antiqua" w:cs="Book Antiqua" w:hint="eastAsia"/>
          <w:color w:val="000000"/>
          <w:lang w:eastAsia="zh-CN"/>
        </w:rPr>
        <w:t>e</w:t>
      </w:r>
      <w:r w:rsidR="009D28A2" w:rsidRPr="009D28A2">
        <w:rPr>
          <w:rFonts w:ascii="Book Antiqua" w:eastAsia="Book Antiqua" w:hAnsi="Book Antiqua" w:cs="Book Antiqua"/>
          <w:color w:val="000000"/>
        </w:rPr>
        <w:t>lectroconvulsive therapy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and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of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depressive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symptoms.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area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under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the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ROC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curve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to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for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detecting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diagnostic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changes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by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based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relapse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duration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was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0.756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(95%</w:t>
      </w:r>
      <w:r w:rsidR="00611B33">
        <w:rPr>
          <w:rFonts w:ascii="Book Antiqua" w:hAnsi="Book Antiqua" w:cs="Book Antiqua" w:hint="eastAsia"/>
          <w:color w:val="000000"/>
          <w:lang w:eastAsia="zh-CN"/>
        </w:rPr>
        <w:t>CI</w:t>
      </w:r>
      <w:r w:rsidRPr="00343B51">
        <w:rPr>
          <w:rFonts w:ascii="Book Antiqua" w:eastAsia="Book Antiqua" w:hAnsi="Book Antiqua" w:cs="Book Antiqua"/>
          <w:color w:val="000000"/>
        </w:rPr>
        <w:t>: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0.562</w:t>
      </w:r>
      <w:r w:rsidR="00611B33">
        <w:rPr>
          <w:rFonts w:ascii="Book Antiqua" w:hAnsi="Book Antiqua" w:cs="Book Antiqua" w:hint="eastAsia"/>
          <w:color w:val="000000"/>
          <w:lang w:eastAsia="zh-CN"/>
        </w:rPr>
        <w:t>-</w:t>
      </w:r>
      <w:r w:rsidRPr="00343B51">
        <w:rPr>
          <w:rFonts w:ascii="Book Antiqua" w:eastAsia="Book Antiqua" w:hAnsi="Book Antiqua" w:cs="Book Antiqua"/>
          <w:color w:val="000000"/>
        </w:rPr>
        <w:t>0.895,</w:t>
      </w:r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C35833" w:rsidRPr="00C35833">
        <w:rPr>
          <w:rFonts w:ascii="Book Antiqua" w:eastAsia="Book Antiqua" w:hAnsi="Book Antiqua" w:cs="Book Antiqua"/>
          <w:i/>
          <w:color w:val="000000"/>
        </w:rPr>
        <w:t>P</w:t>
      </w:r>
      <w:r w:rsidR="005E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=</w:t>
      </w:r>
      <w:r w:rsidR="005E42D6">
        <w:rPr>
          <w:rFonts w:ascii="Book Antiqua" w:eastAsia="Book Antiqua" w:hAnsi="Book Antiqua" w:cs="Book Antiqua"/>
          <w:color w:val="000000"/>
        </w:rPr>
        <w:t xml:space="preserve"> </w:t>
      </w:r>
      <w:r w:rsidRPr="00343B51">
        <w:rPr>
          <w:rFonts w:ascii="Book Antiqua" w:eastAsia="Book Antiqua" w:hAnsi="Book Antiqua" w:cs="Book Antiqua"/>
          <w:color w:val="000000"/>
        </w:rPr>
        <w:t>0.007).</w:t>
      </w:r>
    </w:p>
    <w:p w14:paraId="7F0C168C" w14:textId="77777777" w:rsidR="0078396A" w:rsidRPr="0078396A" w:rsidRDefault="0078396A" w:rsidP="00343B51">
      <w:pPr>
        <w:spacing w:line="360" w:lineRule="auto"/>
        <w:jc w:val="both"/>
        <w:rPr>
          <w:rFonts w:ascii="Book Antiqua" w:eastAsia="Yu Mincho" w:hAnsi="Book Antiqua" w:cs="Arial Unicode MS"/>
          <w:color w:val="000000"/>
          <w:kern w:val="2"/>
          <w:u w:color="000000"/>
          <w:lang w:eastAsia="ja-JP"/>
        </w:rPr>
      </w:pPr>
      <w:r w:rsidRPr="00343B51">
        <w:rPr>
          <w:rFonts w:ascii="Book Antiqua" w:eastAsia="Book Antiqua" w:hAnsi="Book Antiqua" w:cs="Book Antiqua"/>
          <w:color w:val="000000"/>
        </w:rPr>
        <w:br w:type="page"/>
      </w:r>
      <w:r w:rsidRPr="0078396A">
        <w:rPr>
          <w:rFonts w:ascii="Book Antiqua" w:eastAsia="Yu Mincho" w:hAnsi="Book Antiqua" w:cs="Arial Unicode MS"/>
          <w:b/>
          <w:bCs/>
          <w:color w:val="000000"/>
          <w:kern w:val="2"/>
          <w:u w:color="000000"/>
          <w:lang w:eastAsia="ja-JP"/>
        </w:rPr>
        <w:t>Table</w:t>
      </w:r>
      <w:r w:rsidR="005E42D6">
        <w:rPr>
          <w:rFonts w:ascii="Book Antiqua" w:eastAsia="Yu Mincho" w:hAnsi="Book Antiqua" w:cs="Arial Unicode MS"/>
          <w:b/>
          <w:bCs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 Unicode MS"/>
          <w:b/>
          <w:bCs/>
          <w:color w:val="000000"/>
          <w:kern w:val="2"/>
          <w:u w:color="000000"/>
          <w:lang w:eastAsia="ja-JP"/>
        </w:rPr>
        <w:t>1</w:t>
      </w:r>
      <w:r w:rsidR="005E42D6">
        <w:rPr>
          <w:rFonts w:ascii="Book Antiqua" w:hAnsi="Book Antiqua" w:cs="MS Mincho"/>
          <w:b/>
          <w:bCs/>
          <w:color w:val="000000"/>
          <w:kern w:val="2"/>
          <w:u w:color="000000"/>
          <w:lang w:eastAsia="zh-CN"/>
        </w:rPr>
        <w:t xml:space="preserve"> </w:t>
      </w:r>
      <w:r w:rsidRPr="0078396A">
        <w:rPr>
          <w:rFonts w:ascii="Book Antiqua" w:eastAsia="Yu Mincho" w:hAnsi="Book Antiqua" w:cs="Arial Unicode MS"/>
          <w:b/>
          <w:bCs/>
          <w:color w:val="000000"/>
          <w:kern w:val="2"/>
          <w:u w:color="000000"/>
          <w:lang w:eastAsia="ja-JP"/>
        </w:rPr>
        <w:t>Characteristics</w:t>
      </w:r>
      <w:r w:rsidR="005E42D6">
        <w:rPr>
          <w:rFonts w:ascii="Book Antiqua" w:eastAsia="Yu Mincho" w:hAnsi="Book Antiqua" w:cs="Arial Unicode MS"/>
          <w:b/>
          <w:bCs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 Unicode MS"/>
          <w:b/>
          <w:bCs/>
          <w:color w:val="000000"/>
          <w:kern w:val="2"/>
          <w:u w:color="000000"/>
          <w:lang w:eastAsia="ja-JP"/>
        </w:rPr>
        <w:t>of</w:t>
      </w:r>
      <w:r w:rsidR="005E42D6">
        <w:rPr>
          <w:rFonts w:ascii="Book Antiqua" w:eastAsia="Yu Mincho" w:hAnsi="Book Antiqua" w:cs="Arial Unicode MS"/>
          <w:b/>
          <w:bCs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 Unicode MS"/>
          <w:b/>
          <w:bCs/>
          <w:color w:val="000000"/>
          <w:kern w:val="2"/>
          <w:u w:color="000000"/>
          <w:lang w:eastAsia="ja-JP"/>
        </w:rPr>
        <w:t>the</w:t>
      </w:r>
      <w:r w:rsidR="005E42D6">
        <w:rPr>
          <w:rFonts w:ascii="Book Antiqua" w:eastAsia="Yu Mincho" w:hAnsi="Book Antiqua" w:cs="Arial Unicode MS"/>
          <w:b/>
          <w:bCs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 Unicode MS"/>
          <w:b/>
          <w:bCs/>
          <w:color w:val="000000"/>
          <w:kern w:val="2"/>
          <w:u w:color="000000"/>
          <w:lang w:eastAsia="ja-JP"/>
        </w:rPr>
        <w:t>participants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4"/>
        <w:gridCol w:w="1242"/>
        <w:gridCol w:w="1226"/>
        <w:gridCol w:w="1347"/>
        <w:gridCol w:w="942"/>
        <w:gridCol w:w="1278"/>
        <w:gridCol w:w="1278"/>
        <w:gridCol w:w="951"/>
      </w:tblGrid>
      <w:tr w:rsidR="00343B51" w:rsidRPr="00611B33" w14:paraId="11DD99BA" w14:textId="77777777" w:rsidTr="00611B33">
        <w:trPr>
          <w:trHeight w:val="563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9FF36" w14:textId="77777777" w:rsidR="00343B51" w:rsidRPr="00611B33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b/>
                <w:u w:color="000000"/>
                <w:lang w:eastAsia="ja-JP"/>
              </w:rPr>
            </w:pPr>
            <w:r w:rsidRPr="00611B33">
              <w:rPr>
                <w:rFonts w:ascii="Book Antiqua" w:eastAsia="Yu Gothic" w:hAnsi="Book Antiqua" w:cs="Calibri"/>
                <w:b/>
                <w:u w:color="000000"/>
                <w:lang w:eastAsia="ja-JP"/>
              </w:rPr>
              <w:t>Variables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61F5" w14:textId="77777777" w:rsidR="00343B51" w:rsidRPr="00611B33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b/>
                <w:color w:val="000000"/>
                <w:u w:color="000000"/>
                <w:lang w:eastAsia="ja-JP"/>
              </w:rPr>
            </w:pPr>
            <w:r w:rsidRPr="00611B33">
              <w:rPr>
                <w:rFonts w:ascii="Book Antiqua" w:eastAsia="Yu Gothic" w:hAnsi="Book Antiqua" w:cs="Calibri"/>
                <w:b/>
                <w:color w:val="000000"/>
                <w:u w:color="000000"/>
                <w:lang w:eastAsia="ja-JP"/>
              </w:rPr>
              <w:t>Total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AB558" w14:textId="77777777" w:rsidR="00343B51" w:rsidRPr="00611B33" w:rsidRDefault="00343B51" w:rsidP="00611B33">
            <w:pPr>
              <w:spacing w:line="360" w:lineRule="auto"/>
              <w:jc w:val="both"/>
              <w:rPr>
                <w:rFonts w:ascii="Book Antiqua" w:eastAsia="Yu Gothic" w:hAnsi="Book Antiqua" w:cs="Calibri"/>
                <w:b/>
                <w:u w:color="000000"/>
                <w:lang w:eastAsia="ja-JP"/>
              </w:rPr>
            </w:pPr>
            <w:r w:rsidRPr="00611B33">
              <w:rPr>
                <w:rFonts w:ascii="Book Antiqua" w:eastAsia="Yu Gothic" w:hAnsi="Book Antiqua" w:cs="Calibri"/>
                <w:b/>
                <w:u w:color="000000"/>
                <w:lang w:eastAsia="ja-JP"/>
              </w:rPr>
              <w:t>MDD</w:t>
            </w:r>
            <w:r w:rsidR="005E42D6" w:rsidRPr="00611B33">
              <w:rPr>
                <w:rFonts w:ascii="Book Antiqua" w:eastAsia="Yu Gothic" w:hAnsi="Book Antiqua" w:cs="Calibri"/>
                <w:b/>
                <w:u w:color="000000"/>
                <w:lang w:eastAsia="ja-JP"/>
              </w:rPr>
              <w:t xml:space="preserve"> </w:t>
            </w:r>
            <w:r w:rsidRPr="00611B33">
              <w:rPr>
                <w:rFonts w:ascii="Book Antiqua" w:eastAsia="Yu Gothic" w:hAnsi="Book Antiqua" w:cs="Calibri"/>
                <w:b/>
                <w:u w:color="000000"/>
                <w:lang w:eastAsia="ja-JP"/>
              </w:rPr>
              <w:t>patients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BB36E" w14:textId="77777777" w:rsidR="00343B51" w:rsidRPr="00611B33" w:rsidRDefault="00343B51" w:rsidP="00611B33">
            <w:pPr>
              <w:spacing w:line="360" w:lineRule="auto"/>
              <w:jc w:val="both"/>
              <w:rPr>
                <w:rFonts w:ascii="Book Antiqua" w:eastAsia="Yu Gothic" w:hAnsi="Book Antiqua" w:cs="Calibri"/>
                <w:b/>
                <w:u w:color="000000"/>
                <w:lang w:eastAsia="ja-JP"/>
              </w:rPr>
            </w:pPr>
            <w:r w:rsidRPr="00611B33">
              <w:rPr>
                <w:rFonts w:ascii="Book Antiqua" w:eastAsia="Yu Gothic" w:hAnsi="Book Antiqua" w:cs="Calibri"/>
                <w:b/>
                <w:u w:color="000000"/>
                <w:lang w:eastAsia="ja-JP"/>
              </w:rPr>
              <w:t>BP</w:t>
            </w:r>
            <w:r w:rsidR="005E42D6" w:rsidRPr="00611B33">
              <w:rPr>
                <w:rFonts w:ascii="Book Antiqua" w:eastAsia="Yu Gothic" w:hAnsi="Book Antiqua" w:cs="Calibri"/>
                <w:b/>
                <w:u w:color="000000"/>
                <w:lang w:eastAsia="ja-JP"/>
              </w:rPr>
              <w:t xml:space="preserve"> </w:t>
            </w:r>
            <w:r w:rsidRPr="00611B33">
              <w:rPr>
                <w:rFonts w:ascii="Book Antiqua" w:eastAsia="Yu Gothic" w:hAnsi="Book Antiqua" w:cs="Calibri"/>
                <w:b/>
                <w:u w:color="000000"/>
                <w:lang w:eastAsia="ja-JP"/>
              </w:rPr>
              <w:t>patients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F6138" w14:textId="77777777" w:rsidR="00343B51" w:rsidRPr="00611B33" w:rsidRDefault="00611B33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b/>
                <w:u w:color="000000"/>
                <w:lang w:eastAsia="ja-JP"/>
              </w:rPr>
            </w:pPr>
            <w:r w:rsidRPr="00611B33">
              <w:rPr>
                <w:rFonts w:ascii="Book Antiqua" w:hAnsi="Book Antiqua" w:cs="Calibri" w:hint="eastAsia"/>
                <w:b/>
                <w:i/>
                <w:u w:color="000000"/>
                <w:lang w:eastAsia="zh-CN"/>
              </w:rPr>
              <w:t>P</w:t>
            </w:r>
            <w:r>
              <w:rPr>
                <w:rFonts w:ascii="Book Antiqua" w:hAnsi="Book Antiqua" w:cs="Calibri" w:hint="eastAsia"/>
                <w:b/>
                <w:u w:color="000000"/>
                <w:lang w:eastAsia="zh-CN"/>
              </w:rPr>
              <w:t xml:space="preserve"> </w:t>
            </w:r>
            <w:r w:rsidR="00343B51" w:rsidRPr="00611B33">
              <w:rPr>
                <w:rFonts w:ascii="Book Antiqua" w:eastAsia="Yu Gothic" w:hAnsi="Book Antiqua" w:cs="Calibri"/>
                <w:b/>
                <w:u w:color="000000"/>
                <w:lang w:eastAsia="ja-JP"/>
              </w:rPr>
              <w:t>values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18E85" w14:textId="77777777" w:rsidR="00343B51" w:rsidRPr="00611B33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b/>
                <w:u w:color="000000"/>
                <w:lang w:eastAsia="ja-JP"/>
              </w:rPr>
            </w:pPr>
            <w:r w:rsidRPr="00611B33">
              <w:rPr>
                <w:rFonts w:ascii="Book Antiqua" w:eastAsia="Yu Gothic" w:hAnsi="Book Antiqua" w:cs="Calibri"/>
                <w:b/>
                <w:u w:color="000000"/>
                <w:lang w:eastAsia="ja-JP"/>
              </w:rPr>
              <w:t>MDD</w:t>
            </w:r>
            <w:r w:rsidR="005E42D6" w:rsidRPr="00611B33">
              <w:rPr>
                <w:rFonts w:ascii="Book Antiqua" w:eastAsia="Yu Gothic" w:hAnsi="Book Antiqua" w:cs="Calibri"/>
                <w:b/>
                <w:u w:color="000000"/>
                <w:lang w:eastAsia="ja-JP"/>
              </w:rPr>
              <w:t xml:space="preserve"> </w:t>
            </w:r>
            <w:r w:rsidRPr="00611B33">
              <w:rPr>
                <w:rFonts w:ascii="Book Antiqua" w:eastAsia="Yu Gothic" w:hAnsi="Book Antiqua" w:cs="Calibri"/>
                <w:b/>
                <w:u w:color="000000"/>
                <w:lang w:eastAsia="ja-JP"/>
              </w:rPr>
              <w:t>with</w:t>
            </w:r>
            <w:r w:rsidR="005E42D6" w:rsidRPr="00611B33">
              <w:rPr>
                <w:rFonts w:ascii="Book Antiqua" w:eastAsia="Yu Gothic" w:hAnsi="Book Antiqua" w:cs="Calibri"/>
                <w:b/>
                <w:u w:color="000000"/>
                <w:lang w:eastAsia="ja-JP"/>
              </w:rPr>
              <w:t xml:space="preserve"> </w:t>
            </w:r>
            <w:r w:rsidRPr="00611B33">
              <w:rPr>
                <w:rFonts w:ascii="Book Antiqua" w:eastAsia="Yu Gothic" w:hAnsi="Book Antiqua" w:cs="Calibri"/>
                <w:b/>
                <w:u w:color="000000"/>
                <w:lang w:eastAsia="ja-JP"/>
              </w:rPr>
              <w:t>remission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52A74" w14:textId="77777777" w:rsidR="00343B51" w:rsidRPr="00611B33" w:rsidRDefault="00343B51" w:rsidP="00611B33">
            <w:pPr>
              <w:spacing w:line="360" w:lineRule="auto"/>
              <w:jc w:val="both"/>
              <w:rPr>
                <w:rFonts w:ascii="Book Antiqua" w:eastAsia="Yu Gothic" w:hAnsi="Book Antiqua" w:cs="Calibri"/>
                <w:b/>
                <w:u w:color="000000"/>
                <w:lang w:eastAsia="ja-JP"/>
              </w:rPr>
            </w:pPr>
            <w:r w:rsidRPr="00611B33">
              <w:rPr>
                <w:rFonts w:ascii="Book Antiqua" w:eastAsia="Yu Gothic" w:hAnsi="Book Antiqua" w:cs="Calibri"/>
                <w:b/>
                <w:u w:color="000000"/>
                <w:lang w:eastAsia="ja-JP"/>
              </w:rPr>
              <w:t>BP</w:t>
            </w:r>
            <w:r w:rsidR="005E42D6" w:rsidRPr="00611B33">
              <w:rPr>
                <w:rFonts w:ascii="Book Antiqua" w:eastAsia="Yu Gothic" w:hAnsi="Book Antiqua" w:cs="Calibri"/>
                <w:b/>
                <w:u w:color="000000"/>
                <w:lang w:eastAsia="ja-JP"/>
              </w:rPr>
              <w:t xml:space="preserve"> </w:t>
            </w:r>
            <w:r w:rsidRPr="00611B33">
              <w:rPr>
                <w:rFonts w:ascii="Book Antiqua" w:eastAsia="Yu Gothic" w:hAnsi="Book Antiqua" w:cs="Calibri"/>
                <w:b/>
                <w:u w:color="000000"/>
                <w:lang w:eastAsia="ja-JP"/>
              </w:rPr>
              <w:t>with</w:t>
            </w:r>
            <w:r w:rsidR="005E42D6" w:rsidRPr="00611B33">
              <w:rPr>
                <w:rFonts w:ascii="Book Antiqua" w:eastAsia="Yu Gothic" w:hAnsi="Book Antiqua" w:cs="Calibri"/>
                <w:b/>
                <w:u w:color="000000"/>
                <w:lang w:eastAsia="ja-JP"/>
              </w:rPr>
              <w:t xml:space="preserve"> </w:t>
            </w:r>
            <w:r w:rsidRPr="00611B33">
              <w:rPr>
                <w:rFonts w:ascii="Book Antiqua" w:eastAsia="Yu Gothic" w:hAnsi="Book Antiqua" w:cs="Calibri"/>
                <w:b/>
                <w:u w:color="000000"/>
                <w:lang w:eastAsia="ja-JP"/>
              </w:rPr>
              <w:t>remission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A8F6F" w14:textId="77777777" w:rsidR="00343B51" w:rsidRPr="00611B33" w:rsidRDefault="00611B33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b/>
                <w:color w:val="000000"/>
                <w:u w:color="000000"/>
                <w:lang w:eastAsia="ja-JP"/>
              </w:rPr>
            </w:pPr>
            <w:r w:rsidRPr="00611B33">
              <w:rPr>
                <w:rFonts w:ascii="Book Antiqua" w:hAnsi="Book Antiqua" w:cs="Calibri" w:hint="eastAsia"/>
                <w:b/>
                <w:i/>
                <w:u w:color="000000"/>
                <w:lang w:eastAsia="zh-CN"/>
              </w:rPr>
              <w:t>P</w:t>
            </w:r>
            <w:r>
              <w:rPr>
                <w:rFonts w:ascii="Book Antiqua" w:hAnsi="Book Antiqua" w:cs="Calibri" w:hint="eastAsia"/>
                <w:b/>
                <w:u w:color="000000"/>
                <w:lang w:eastAsia="zh-CN"/>
              </w:rPr>
              <w:t xml:space="preserve"> </w:t>
            </w:r>
            <w:r w:rsidRPr="00611B33">
              <w:rPr>
                <w:rFonts w:ascii="Book Antiqua" w:eastAsia="Yu Gothic" w:hAnsi="Book Antiqua" w:cs="Calibri"/>
                <w:b/>
                <w:u w:color="000000"/>
                <w:lang w:eastAsia="ja-JP"/>
              </w:rPr>
              <w:t>values</w:t>
            </w:r>
          </w:p>
        </w:tc>
      </w:tr>
      <w:tr w:rsidR="00343B51" w:rsidRPr="00343B51" w14:paraId="030CF088" w14:textId="77777777" w:rsidTr="00611B33">
        <w:trPr>
          <w:trHeight w:val="301"/>
        </w:trPr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7D5F268B" w14:textId="77777777" w:rsidR="00343B51" w:rsidRPr="00611B33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i/>
                <w:u w:color="000000"/>
                <w:lang w:eastAsia="ja-JP"/>
              </w:rPr>
            </w:pPr>
            <w:r w:rsidRPr="00611B33">
              <w:rPr>
                <w:rFonts w:ascii="Book Antiqua" w:eastAsia="Yu Gothic" w:hAnsi="Book Antiqua" w:cs="Calibri"/>
                <w:i/>
                <w:u w:color="000000"/>
                <w:lang w:eastAsia="ja-JP"/>
              </w:rPr>
              <w:t>n</w:t>
            </w:r>
          </w:p>
        </w:tc>
        <w:tc>
          <w:tcPr>
            <w:tcW w:w="660" w:type="pct"/>
            <w:tcBorders>
              <w:top w:val="single" w:sz="4" w:space="0" w:color="auto"/>
            </w:tcBorders>
            <w:vAlign w:val="center"/>
          </w:tcPr>
          <w:p w14:paraId="4656A89E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85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058F94A3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53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14:paraId="7045DF85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32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14:paraId="439CD4E5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72A03E76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8</w:t>
            </w:r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</w:tcPr>
          <w:p w14:paraId="08893CF1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21</w:t>
            </w:r>
          </w:p>
        </w:tc>
        <w:tc>
          <w:tcPr>
            <w:tcW w:w="509" w:type="pct"/>
            <w:tcBorders>
              <w:top w:val="single" w:sz="4" w:space="0" w:color="auto"/>
            </w:tcBorders>
            <w:vAlign w:val="center"/>
          </w:tcPr>
          <w:p w14:paraId="13F397A2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</w:p>
        </w:tc>
      </w:tr>
      <w:tr w:rsidR="00343B51" w:rsidRPr="00343B51" w14:paraId="1A35BEB0" w14:textId="77777777" w:rsidTr="00611B33">
        <w:trPr>
          <w:trHeight w:val="342"/>
        </w:trPr>
        <w:tc>
          <w:tcPr>
            <w:tcW w:w="652" w:type="pct"/>
            <w:vAlign w:val="center"/>
          </w:tcPr>
          <w:p w14:paraId="22743A3F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Male,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n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(%)</w:t>
            </w:r>
          </w:p>
        </w:tc>
        <w:tc>
          <w:tcPr>
            <w:tcW w:w="660" w:type="pct"/>
            <w:vAlign w:val="center"/>
          </w:tcPr>
          <w:p w14:paraId="5FEB3623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27</w:t>
            </w:r>
            <w:r w:rsidR="00611B33">
              <w:rPr>
                <w:rFonts w:ascii="Book Antiqua" w:hAnsi="Book Antiqua" w:cs="Calibri" w:hint="eastAsia"/>
                <w:color w:val="000000"/>
                <w:u w:color="000000"/>
                <w:lang w:eastAsia="zh-CN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(31.8)</w:t>
            </w:r>
          </w:p>
        </w:tc>
        <w:tc>
          <w:tcPr>
            <w:tcW w:w="652" w:type="pct"/>
            <w:vAlign w:val="center"/>
          </w:tcPr>
          <w:p w14:paraId="5D88D6D9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16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(30.2)</w:t>
            </w:r>
          </w:p>
        </w:tc>
        <w:tc>
          <w:tcPr>
            <w:tcW w:w="715" w:type="pct"/>
            <w:vAlign w:val="center"/>
          </w:tcPr>
          <w:p w14:paraId="65A71F84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11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(34.4)</w:t>
            </w:r>
          </w:p>
        </w:tc>
        <w:tc>
          <w:tcPr>
            <w:tcW w:w="503" w:type="pct"/>
            <w:vAlign w:val="center"/>
          </w:tcPr>
          <w:p w14:paraId="5770FF3E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0.690</w:t>
            </w:r>
          </w:p>
        </w:tc>
        <w:tc>
          <w:tcPr>
            <w:tcW w:w="678" w:type="pct"/>
            <w:vAlign w:val="center"/>
          </w:tcPr>
          <w:p w14:paraId="24FCC3C5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2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(25.0)</w:t>
            </w:r>
          </w:p>
        </w:tc>
        <w:tc>
          <w:tcPr>
            <w:tcW w:w="630" w:type="pct"/>
            <w:vAlign w:val="center"/>
          </w:tcPr>
          <w:p w14:paraId="0FEF12AB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7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(33.3)</w:t>
            </w:r>
          </w:p>
        </w:tc>
        <w:tc>
          <w:tcPr>
            <w:tcW w:w="509" w:type="pct"/>
            <w:vAlign w:val="center"/>
          </w:tcPr>
          <w:p w14:paraId="61ABE324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0.670</w:t>
            </w:r>
          </w:p>
        </w:tc>
      </w:tr>
      <w:tr w:rsidR="00343B51" w:rsidRPr="00343B51" w14:paraId="32B5F7FA" w14:textId="77777777" w:rsidTr="00611B33">
        <w:trPr>
          <w:trHeight w:val="342"/>
        </w:trPr>
        <w:tc>
          <w:tcPr>
            <w:tcW w:w="652" w:type="pct"/>
            <w:vAlign w:val="center"/>
          </w:tcPr>
          <w:p w14:paraId="1AE11AEA" w14:textId="77777777" w:rsidR="00343B51" w:rsidRPr="00611B33" w:rsidRDefault="00343B51" w:rsidP="00611B33">
            <w:pPr>
              <w:spacing w:line="360" w:lineRule="auto"/>
              <w:jc w:val="both"/>
              <w:rPr>
                <w:rFonts w:ascii="Book Antiqua" w:hAnsi="Book Antiqua" w:cs="Calibri"/>
                <w:u w:color="000000"/>
                <w:lang w:eastAsia="zh-CN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Age,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proofErr w:type="spellStart"/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y</w:t>
            </w:r>
            <w:r w:rsidR="00611B33">
              <w:rPr>
                <w:rFonts w:ascii="Book Antiqua" w:hAnsi="Book Antiqua" w:cs="Calibri" w:hint="eastAsia"/>
                <w:u w:color="000000"/>
                <w:lang w:eastAsia="zh-CN"/>
              </w:rPr>
              <w:t>r</w:t>
            </w:r>
            <w:proofErr w:type="spellEnd"/>
          </w:p>
        </w:tc>
        <w:tc>
          <w:tcPr>
            <w:tcW w:w="660" w:type="pct"/>
            <w:vAlign w:val="center"/>
          </w:tcPr>
          <w:p w14:paraId="48D24698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56.0</w:t>
            </w:r>
            <w:r w:rsidR="00611B33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17.0</w:t>
            </w:r>
          </w:p>
        </w:tc>
        <w:tc>
          <w:tcPr>
            <w:tcW w:w="652" w:type="pct"/>
            <w:vAlign w:val="center"/>
          </w:tcPr>
          <w:p w14:paraId="45EB08EA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56.6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17.6</w:t>
            </w:r>
          </w:p>
        </w:tc>
        <w:tc>
          <w:tcPr>
            <w:tcW w:w="715" w:type="pct"/>
            <w:vAlign w:val="center"/>
          </w:tcPr>
          <w:p w14:paraId="64C1CEB9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55.0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16.1</w:t>
            </w:r>
          </w:p>
        </w:tc>
        <w:tc>
          <w:tcPr>
            <w:tcW w:w="503" w:type="pct"/>
            <w:vAlign w:val="center"/>
          </w:tcPr>
          <w:p w14:paraId="7A24879D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0.676</w:t>
            </w:r>
          </w:p>
        </w:tc>
        <w:tc>
          <w:tcPr>
            <w:tcW w:w="678" w:type="pct"/>
            <w:vAlign w:val="center"/>
          </w:tcPr>
          <w:p w14:paraId="66738E44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55.0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21.3</w:t>
            </w:r>
          </w:p>
        </w:tc>
        <w:tc>
          <w:tcPr>
            <w:tcW w:w="630" w:type="pct"/>
            <w:vAlign w:val="center"/>
          </w:tcPr>
          <w:p w14:paraId="7A25A6D5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51.9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14.9</w:t>
            </w:r>
          </w:p>
        </w:tc>
        <w:tc>
          <w:tcPr>
            <w:tcW w:w="509" w:type="pct"/>
            <w:vAlign w:val="center"/>
          </w:tcPr>
          <w:p w14:paraId="117E3B4F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0.656</w:t>
            </w:r>
          </w:p>
        </w:tc>
      </w:tr>
      <w:tr w:rsidR="00343B51" w:rsidRPr="00343B51" w14:paraId="5ADDF00A" w14:textId="77777777" w:rsidTr="00611B33">
        <w:trPr>
          <w:trHeight w:val="708"/>
        </w:trPr>
        <w:tc>
          <w:tcPr>
            <w:tcW w:w="652" w:type="pct"/>
            <w:vAlign w:val="center"/>
          </w:tcPr>
          <w:p w14:paraId="09F70718" w14:textId="77777777" w:rsidR="00343B51" w:rsidRPr="00611B33" w:rsidRDefault="00343B51" w:rsidP="00611B33">
            <w:pPr>
              <w:spacing w:line="360" w:lineRule="auto"/>
              <w:jc w:val="both"/>
              <w:rPr>
                <w:rFonts w:ascii="Book Antiqua" w:hAnsi="Book Antiqua" w:cs="Calibri"/>
                <w:u w:color="000000"/>
                <w:lang w:eastAsia="zh-CN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Onset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age,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proofErr w:type="spellStart"/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y</w:t>
            </w:r>
            <w:r w:rsidR="00611B33">
              <w:rPr>
                <w:rFonts w:ascii="Book Antiqua" w:hAnsi="Book Antiqua" w:cs="Calibri" w:hint="eastAsia"/>
                <w:u w:color="000000"/>
                <w:lang w:eastAsia="zh-CN"/>
              </w:rPr>
              <w:t>r</w:t>
            </w:r>
            <w:proofErr w:type="spellEnd"/>
          </w:p>
        </w:tc>
        <w:tc>
          <w:tcPr>
            <w:tcW w:w="660" w:type="pct"/>
            <w:vAlign w:val="center"/>
          </w:tcPr>
          <w:p w14:paraId="64D7CBF4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51.7</w:t>
            </w:r>
            <w:r w:rsidR="00611B33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17.4</w:t>
            </w:r>
          </w:p>
        </w:tc>
        <w:tc>
          <w:tcPr>
            <w:tcW w:w="652" w:type="pct"/>
            <w:vAlign w:val="center"/>
          </w:tcPr>
          <w:p w14:paraId="45B83E3C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53.7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18.3</w:t>
            </w:r>
          </w:p>
        </w:tc>
        <w:tc>
          <w:tcPr>
            <w:tcW w:w="715" w:type="pct"/>
            <w:vAlign w:val="center"/>
          </w:tcPr>
          <w:p w14:paraId="48386188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48.5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15.3</w:t>
            </w:r>
          </w:p>
        </w:tc>
        <w:tc>
          <w:tcPr>
            <w:tcW w:w="503" w:type="pct"/>
            <w:vAlign w:val="center"/>
          </w:tcPr>
          <w:p w14:paraId="3602812A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0.179</w:t>
            </w:r>
          </w:p>
        </w:tc>
        <w:tc>
          <w:tcPr>
            <w:tcW w:w="678" w:type="pct"/>
            <w:vAlign w:val="center"/>
          </w:tcPr>
          <w:p w14:paraId="1921EB2C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51.4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23.3</w:t>
            </w:r>
          </w:p>
        </w:tc>
        <w:tc>
          <w:tcPr>
            <w:tcW w:w="630" w:type="pct"/>
            <w:vAlign w:val="center"/>
          </w:tcPr>
          <w:p w14:paraId="4547B254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47.0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13.2</w:t>
            </w:r>
          </w:p>
        </w:tc>
        <w:tc>
          <w:tcPr>
            <w:tcW w:w="509" w:type="pct"/>
            <w:vAlign w:val="center"/>
          </w:tcPr>
          <w:p w14:paraId="6A9114F5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0.527</w:t>
            </w:r>
          </w:p>
        </w:tc>
      </w:tr>
      <w:tr w:rsidR="00343B51" w:rsidRPr="00343B51" w14:paraId="7AC289B8" w14:textId="77777777" w:rsidTr="00611B33">
        <w:trPr>
          <w:trHeight w:val="1157"/>
        </w:trPr>
        <w:tc>
          <w:tcPr>
            <w:tcW w:w="652" w:type="pct"/>
            <w:vAlign w:val="center"/>
          </w:tcPr>
          <w:p w14:paraId="0F4EA533" w14:textId="77777777" w:rsidR="00343B51" w:rsidRPr="0078396A" w:rsidRDefault="00343B51" w:rsidP="00611B33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Duration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from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onset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to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first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ECT,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proofErr w:type="spellStart"/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mo</w:t>
            </w:r>
            <w:proofErr w:type="spellEnd"/>
          </w:p>
        </w:tc>
        <w:tc>
          <w:tcPr>
            <w:tcW w:w="660" w:type="pct"/>
            <w:vAlign w:val="center"/>
          </w:tcPr>
          <w:p w14:paraId="572448C7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53.1</w:t>
            </w:r>
            <w:r w:rsidR="00611B33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83.2</w:t>
            </w:r>
          </w:p>
        </w:tc>
        <w:tc>
          <w:tcPr>
            <w:tcW w:w="652" w:type="pct"/>
            <w:vAlign w:val="center"/>
          </w:tcPr>
          <w:p w14:paraId="2608DD6D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33.5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48.1</w:t>
            </w:r>
          </w:p>
        </w:tc>
        <w:tc>
          <w:tcPr>
            <w:tcW w:w="715" w:type="pct"/>
            <w:vAlign w:val="center"/>
          </w:tcPr>
          <w:p w14:paraId="3D235DFD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85.8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115</w:t>
            </w:r>
          </w:p>
        </w:tc>
        <w:tc>
          <w:tcPr>
            <w:tcW w:w="503" w:type="pct"/>
            <w:vAlign w:val="center"/>
          </w:tcPr>
          <w:p w14:paraId="10D98004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0.009</w:t>
            </w:r>
          </w:p>
        </w:tc>
        <w:tc>
          <w:tcPr>
            <w:tcW w:w="678" w:type="pct"/>
            <w:vAlign w:val="center"/>
          </w:tcPr>
          <w:p w14:paraId="0310C969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36.9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37.9</w:t>
            </w:r>
          </w:p>
        </w:tc>
        <w:tc>
          <w:tcPr>
            <w:tcW w:w="630" w:type="pct"/>
            <w:vAlign w:val="center"/>
          </w:tcPr>
          <w:p w14:paraId="360B7E36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67.1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86.1</w:t>
            </w:r>
          </w:p>
        </w:tc>
        <w:tc>
          <w:tcPr>
            <w:tcW w:w="509" w:type="pct"/>
            <w:vAlign w:val="center"/>
          </w:tcPr>
          <w:p w14:paraId="71F5B8E1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0.385</w:t>
            </w:r>
          </w:p>
        </w:tc>
      </w:tr>
      <w:tr w:rsidR="00343B51" w:rsidRPr="00343B51" w14:paraId="0AC380DC" w14:textId="77777777" w:rsidTr="00611B33">
        <w:trPr>
          <w:trHeight w:val="1116"/>
        </w:trPr>
        <w:tc>
          <w:tcPr>
            <w:tcW w:w="652" w:type="pct"/>
            <w:vAlign w:val="center"/>
          </w:tcPr>
          <w:p w14:paraId="142A4CF6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Psychotic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features,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n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(%)</w:t>
            </w:r>
          </w:p>
        </w:tc>
        <w:tc>
          <w:tcPr>
            <w:tcW w:w="660" w:type="pct"/>
            <w:vAlign w:val="center"/>
          </w:tcPr>
          <w:p w14:paraId="35D7293F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30</w:t>
            </w:r>
            <w:r w:rsidR="005E42D6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 xml:space="preserve"> </w:t>
            </w:r>
            <w:r w:rsidR="00611B33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(35.3</w:t>
            </w: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)</w:t>
            </w:r>
          </w:p>
        </w:tc>
        <w:tc>
          <w:tcPr>
            <w:tcW w:w="652" w:type="pct"/>
            <w:vAlign w:val="center"/>
          </w:tcPr>
          <w:p w14:paraId="1A56325A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23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>(43.4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)</w:t>
            </w:r>
          </w:p>
        </w:tc>
        <w:tc>
          <w:tcPr>
            <w:tcW w:w="715" w:type="pct"/>
            <w:vAlign w:val="center"/>
          </w:tcPr>
          <w:p w14:paraId="77D65FB6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7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>(21.9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)</w:t>
            </w:r>
          </w:p>
        </w:tc>
        <w:tc>
          <w:tcPr>
            <w:tcW w:w="503" w:type="pct"/>
            <w:vAlign w:val="center"/>
          </w:tcPr>
          <w:p w14:paraId="7622D215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0.046</w:t>
            </w:r>
          </w:p>
        </w:tc>
        <w:tc>
          <w:tcPr>
            <w:tcW w:w="678" w:type="pct"/>
            <w:vAlign w:val="center"/>
          </w:tcPr>
          <w:p w14:paraId="30E27155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3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>(37.5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)</w:t>
            </w:r>
          </w:p>
        </w:tc>
        <w:tc>
          <w:tcPr>
            <w:tcW w:w="630" w:type="pct"/>
            <w:vAlign w:val="center"/>
          </w:tcPr>
          <w:p w14:paraId="7A228D89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5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>(23.8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)</w:t>
            </w:r>
          </w:p>
        </w:tc>
        <w:tc>
          <w:tcPr>
            <w:tcW w:w="509" w:type="pct"/>
            <w:vAlign w:val="center"/>
          </w:tcPr>
          <w:p w14:paraId="1A9CC1CC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0.469</w:t>
            </w:r>
          </w:p>
        </w:tc>
      </w:tr>
      <w:tr w:rsidR="00343B51" w:rsidRPr="00343B51" w14:paraId="1BDF37FD" w14:textId="77777777" w:rsidTr="00611B33">
        <w:trPr>
          <w:trHeight w:val="1116"/>
        </w:trPr>
        <w:tc>
          <w:tcPr>
            <w:tcW w:w="652" w:type="pct"/>
            <w:vAlign w:val="center"/>
          </w:tcPr>
          <w:p w14:paraId="093331EC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HAMD-21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on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admission</w:t>
            </w:r>
          </w:p>
        </w:tc>
        <w:tc>
          <w:tcPr>
            <w:tcW w:w="660" w:type="pct"/>
            <w:vAlign w:val="center"/>
          </w:tcPr>
          <w:p w14:paraId="0C0ECE7B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22.3</w:t>
            </w:r>
            <w:r w:rsidR="00611B33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13.8</w:t>
            </w:r>
          </w:p>
        </w:tc>
        <w:tc>
          <w:tcPr>
            <w:tcW w:w="652" w:type="pct"/>
            <w:vAlign w:val="center"/>
          </w:tcPr>
          <w:p w14:paraId="2F13EA73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24.4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15.1</w:t>
            </w:r>
          </w:p>
        </w:tc>
        <w:tc>
          <w:tcPr>
            <w:tcW w:w="715" w:type="pct"/>
            <w:vAlign w:val="center"/>
          </w:tcPr>
          <w:p w14:paraId="2A16063C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18.9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10.9</w:t>
            </w:r>
          </w:p>
        </w:tc>
        <w:tc>
          <w:tcPr>
            <w:tcW w:w="503" w:type="pct"/>
            <w:vAlign w:val="center"/>
          </w:tcPr>
          <w:p w14:paraId="29F9F813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0.079</w:t>
            </w:r>
          </w:p>
        </w:tc>
        <w:tc>
          <w:tcPr>
            <w:tcW w:w="678" w:type="pct"/>
            <w:vAlign w:val="center"/>
          </w:tcPr>
          <w:p w14:paraId="75AEC74B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26.4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11.0</w:t>
            </w:r>
          </w:p>
        </w:tc>
        <w:tc>
          <w:tcPr>
            <w:tcW w:w="630" w:type="pct"/>
            <w:vAlign w:val="center"/>
          </w:tcPr>
          <w:p w14:paraId="4D2072A5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19.1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10.2</w:t>
            </w:r>
          </w:p>
        </w:tc>
        <w:tc>
          <w:tcPr>
            <w:tcW w:w="509" w:type="pct"/>
            <w:vAlign w:val="center"/>
          </w:tcPr>
          <w:p w14:paraId="70DAFB15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0.103</w:t>
            </w:r>
          </w:p>
        </w:tc>
      </w:tr>
      <w:tr w:rsidR="00343B51" w:rsidRPr="00343B51" w14:paraId="599B813E" w14:textId="77777777" w:rsidTr="00611B33">
        <w:trPr>
          <w:trHeight w:val="1116"/>
        </w:trPr>
        <w:tc>
          <w:tcPr>
            <w:tcW w:w="652" w:type="pct"/>
            <w:vAlign w:val="center"/>
          </w:tcPr>
          <w:p w14:paraId="5D7392FD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HAMD-21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on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discharge</w:t>
            </w:r>
          </w:p>
        </w:tc>
        <w:tc>
          <w:tcPr>
            <w:tcW w:w="660" w:type="pct"/>
            <w:vAlign w:val="center"/>
          </w:tcPr>
          <w:p w14:paraId="35DAE8F3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7.13</w:t>
            </w:r>
            <w:r w:rsidR="00611B33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5.03</w:t>
            </w:r>
          </w:p>
        </w:tc>
        <w:tc>
          <w:tcPr>
            <w:tcW w:w="652" w:type="pct"/>
            <w:vAlign w:val="center"/>
          </w:tcPr>
          <w:p w14:paraId="2A27817A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6.77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4.14</w:t>
            </w:r>
          </w:p>
        </w:tc>
        <w:tc>
          <w:tcPr>
            <w:tcW w:w="715" w:type="pct"/>
            <w:vAlign w:val="center"/>
          </w:tcPr>
          <w:p w14:paraId="489EFEEF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7.72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6.26</w:t>
            </w:r>
          </w:p>
        </w:tc>
        <w:tc>
          <w:tcPr>
            <w:tcW w:w="503" w:type="pct"/>
            <w:vAlign w:val="center"/>
          </w:tcPr>
          <w:p w14:paraId="16A6F9F5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0.008</w:t>
            </w:r>
          </w:p>
        </w:tc>
        <w:tc>
          <w:tcPr>
            <w:tcW w:w="678" w:type="pct"/>
            <w:vAlign w:val="center"/>
          </w:tcPr>
          <w:p w14:paraId="1ECFEB65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8.75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4.59</w:t>
            </w:r>
          </w:p>
        </w:tc>
        <w:tc>
          <w:tcPr>
            <w:tcW w:w="630" w:type="pct"/>
            <w:vAlign w:val="center"/>
          </w:tcPr>
          <w:p w14:paraId="29864ECB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6.90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5.43</w:t>
            </w:r>
          </w:p>
        </w:tc>
        <w:tc>
          <w:tcPr>
            <w:tcW w:w="509" w:type="pct"/>
            <w:vAlign w:val="center"/>
          </w:tcPr>
          <w:p w14:paraId="20899811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0.403</w:t>
            </w:r>
          </w:p>
        </w:tc>
      </w:tr>
      <w:tr w:rsidR="00343B51" w:rsidRPr="00343B51" w14:paraId="2AAC8FF7" w14:textId="77777777" w:rsidTr="00611B33">
        <w:trPr>
          <w:trHeight w:val="836"/>
        </w:trPr>
        <w:tc>
          <w:tcPr>
            <w:tcW w:w="652" w:type="pct"/>
            <w:vAlign w:val="center"/>
          </w:tcPr>
          <w:p w14:paraId="3DBA02C9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GAF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on</w:t>
            </w:r>
            <w:r w:rsidR="005E42D6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admission</w:t>
            </w:r>
          </w:p>
        </w:tc>
        <w:tc>
          <w:tcPr>
            <w:tcW w:w="660" w:type="pct"/>
            <w:vAlign w:val="center"/>
          </w:tcPr>
          <w:p w14:paraId="2409BC00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32.9</w:t>
            </w:r>
            <w:r w:rsidR="00611B33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15.5</w:t>
            </w:r>
          </w:p>
        </w:tc>
        <w:tc>
          <w:tcPr>
            <w:tcW w:w="652" w:type="pct"/>
            <w:vAlign w:val="center"/>
          </w:tcPr>
          <w:p w14:paraId="247E23D1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31.0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16.0</w:t>
            </w:r>
          </w:p>
        </w:tc>
        <w:tc>
          <w:tcPr>
            <w:tcW w:w="715" w:type="pct"/>
            <w:vAlign w:val="center"/>
          </w:tcPr>
          <w:p w14:paraId="1630DE46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36.0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14.5</w:t>
            </w:r>
          </w:p>
        </w:tc>
        <w:tc>
          <w:tcPr>
            <w:tcW w:w="503" w:type="pct"/>
            <w:vAlign w:val="center"/>
          </w:tcPr>
          <w:p w14:paraId="6BCBD2A2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0.150</w:t>
            </w:r>
          </w:p>
        </w:tc>
        <w:tc>
          <w:tcPr>
            <w:tcW w:w="678" w:type="pct"/>
            <w:vAlign w:val="center"/>
          </w:tcPr>
          <w:p w14:paraId="055C7B54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37.9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9.88</w:t>
            </w:r>
          </w:p>
        </w:tc>
        <w:tc>
          <w:tcPr>
            <w:tcW w:w="630" w:type="pct"/>
            <w:vAlign w:val="center"/>
          </w:tcPr>
          <w:p w14:paraId="47F3FD56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39.0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16.0</w:t>
            </w:r>
          </w:p>
        </w:tc>
        <w:tc>
          <w:tcPr>
            <w:tcW w:w="509" w:type="pct"/>
            <w:vAlign w:val="center"/>
          </w:tcPr>
          <w:p w14:paraId="764AB271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0.861</w:t>
            </w:r>
          </w:p>
        </w:tc>
      </w:tr>
      <w:tr w:rsidR="00343B51" w:rsidRPr="00343B51" w14:paraId="013ADF2C" w14:textId="77777777" w:rsidTr="00611B33">
        <w:trPr>
          <w:trHeight w:val="836"/>
        </w:trPr>
        <w:tc>
          <w:tcPr>
            <w:tcW w:w="652" w:type="pct"/>
            <w:vAlign w:val="center"/>
          </w:tcPr>
          <w:p w14:paraId="391BB466" w14:textId="77777777" w:rsidR="00343B51" w:rsidRPr="0078396A" w:rsidRDefault="005E42D6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="00343B51"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GAF</w:t>
            </w:r>
            <w:r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="00343B51"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on</w:t>
            </w:r>
            <w:r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</w:t>
            </w:r>
            <w:r w:rsidR="00343B51"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discharge</w:t>
            </w:r>
          </w:p>
        </w:tc>
        <w:tc>
          <w:tcPr>
            <w:tcW w:w="660" w:type="pct"/>
            <w:vAlign w:val="center"/>
          </w:tcPr>
          <w:p w14:paraId="76E47356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66.6</w:t>
            </w:r>
            <w:r w:rsidR="00611B33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7.70</w:t>
            </w:r>
          </w:p>
        </w:tc>
        <w:tc>
          <w:tcPr>
            <w:tcW w:w="652" w:type="pct"/>
            <w:vAlign w:val="center"/>
          </w:tcPr>
          <w:p w14:paraId="3529929E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66.4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7.52</w:t>
            </w:r>
          </w:p>
        </w:tc>
        <w:tc>
          <w:tcPr>
            <w:tcW w:w="715" w:type="pct"/>
            <w:vAlign w:val="center"/>
          </w:tcPr>
          <w:p w14:paraId="16EA924A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67.0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8.08</w:t>
            </w:r>
          </w:p>
        </w:tc>
        <w:tc>
          <w:tcPr>
            <w:tcW w:w="503" w:type="pct"/>
            <w:vAlign w:val="center"/>
          </w:tcPr>
          <w:p w14:paraId="3FFAE106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0.720</w:t>
            </w:r>
          </w:p>
        </w:tc>
        <w:tc>
          <w:tcPr>
            <w:tcW w:w="678" w:type="pct"/>
            <w:vAlign w:val="center"/>
          </w:tcPr>
          <w:p w14:paraId="1697693E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66.5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9.07</w:t>
            </w:r>
          </w:p>
        </w:tc>
        <w:tc>
          <w:tcPr>
            <w:tcW w:w="630" w:type="pct"/>
            <w:vAlign w:val="center"/>
          </w:tcPr>
          <w:p w14:paraId="49AD1CA1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69.2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5.97</w:t>
            </w:r>
          </w:p>
        </w:tc>
        <w:tc>
          <w:tcPr>
            <w:tcW w:w="509" w:type="pct"/>
            <w:vAlign w:val="center"/>
          </w:tcPr>
          <w:p w14:paraId="113033AB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0.348</w:t>
            </w:r>
          </w:p>
        </w:tc>
      </w:tr>
      <w:tr w:rsidR="00343B51" w:rsidRPr="00343B51" w14:paraId="43605162" w14:textId="77777777" w:rsidTr="00611B33">
        <w:trPr>
          <w:trHeight w:val="1395"/>
        </w:trPr>
        <w:tc>
          <w:tcPr>
            <w:tcW w:w="652" w:type="pct"/>
            <w:vAlign w:val="center"/>
          </w:tcPr>
          <w:p w14:paraId="4A90495D" w14:textId="77777777" w:rsidR="00343B51" w:rsidRPr="0078396A" w:rsidRDefault="00343B51" w:rsidP="00611B33">
            <w:pPr>
              <w:spacing w:line="360" w:lineRule="auto"/>
              <w:jc w:val="both"/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Duration</w:t>
            </w:r>
            <w:r w:rsidR="005E42D6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from</w:t>
            </w:r>
            <w:r w:rsidR="005E42D6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first</w:t>
            </w:r>
            <w:r w:rsidR="005E42D6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ECT</w:t>
            </w:r>
            <w:r w:rsidR="005E42D6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to</w:t>
            </w:r>
            <w:r w:rsidR="005E42D6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 xml:space="preserve"> </w:t>
            </w: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remission,</w:t>
            </w:r>
            <w:r w:rsidR="005E42D6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 xml:space="preserve"> </w:t>
            </w:r>
            <w:proofErr w:type="spellStart"/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mo</w:t>
            </w:r>
            <w:proofErr w:type="spellEnd"/>
          </w:p>
        </w:tc>
        <w:tc>
          <w:tcPr>
            <w:tcW w:w="660" w:type="pct"/>
            <w:vAlign w:val="center"/>
          </w:tcPr>
          <w:p w14:paraId="1C5B5F56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</w:pPr>
          </w:p>
        </w:tc>
        <w:tc>
          <w:tcPr>
            <w:tcW w:w="652" w:type="pct"/>
            <w:vAlign w:val="center"/>
          </w:tcPr>
          <w:p w14:paraId="7865306B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Mincho" w:hAnsi="Book Antiqua"/>
                <w:u w:color="000000"/>
                <w:lang w:eastAsia="ja-JP"/>
              </w:rPr>
            </w:pPr>
          </w:p>
        </w:tc>
        <w:tc>
          <w:tcPr>
            <w:tcW w:w="715" w:type="pct"/>
            <w:vAlign w:val="center"/>
          </w:tcPr>
          <w:p w14:paraId="5CFF7254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Mincho" w:hAnsi="Book Antiqua"/>
                <w:u w:color="000000"/>
                <w:lang w:eastAsia="ja-JP"/>
              </w:rPr>
            </w:pPr>
          </w:p>
        </w:tc>
        <w:tc>
          <w:tcPr>
            <w:tcW w:w="503" w:type="pct"/>
            <w:vAlign w:val="center"/>
          </w:tcPr>
          <w:p w14:paraId="4ED1EB4A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Mincho" w:hAnsi="Book Antiqua"/>
                <w:u w:color="000000"/>
                <w:lang w:eastAsia="ja-JP"/>
              </w:rPr>
            </w:pPr>
          </w:p>
        </w:tc>
        <w:tc>
          <w:tcPr>
            <w:tcW w:w="678" w:type="pct"/>
            <w:vAlign w:val="center"/>
          </w:tcPr>
          <w:p w14:paraId="663C4980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9.63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10.4</w:t>
            </w:r>
          </w:p>
        </w:tc>
        <w:tc>
          <w:tcPr>
            <w:tcW w:w="630" w:type="pct"/>
            <w:vAlign w:val="center"/>
          </w:tcPr>
          <w:p w14:paraId="31DCA89D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3.38</w:t>
            </w:r>
            <w:r w:rsidR="00611B33">
              <w:rPr>
                <w:rFonts w:ascii="Book Antiqua" w:eastAsia="Yu Gothic" w:hAnsi="Book Antiqua" w:cs="Calibri"/>
                <w:u w:color="000000"/>
                <w:lang w:eastAsia="ja-JP"/>
              </w:rPr>
              <w:t xml:space="preserve"> ± </w:t>
            </w:r>
            <w:r w:rsidRPr="0078396A">
              <w:rPr>
                <w:rFonts w:ascii="Book Antiqua" w:eastAsia="Yu Gothic" w:hAnsi="Book Antiqua" w:cs="Calibri"/>
                <w:u w:color="000000"/>
                <w:lang w:eastAsia="ja-JP"/>
              </w:rPr>
              <w:t>3.77</w:t>
            </w:r>
          </w:p>
        </w:tc>
        <w:tc>
          <w:tcPr>
            <w:tcW w:w="509" w:type="pct"/>
            <w:vAlign w:val="center"/>
          </w:tcPr>
          <w:p w14:paraId="793D6533" w14:textId="77777777" w:rsidR="00343B51" w:rsidRPr="0078396A" w:rsidRDefault="00343B51" w:rsidP="00343B51">
            <w:pPr>
              <w:spacing w:line="360" w:lineRule="auto"/>
              <w:jc w:val="both"/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</w:pPr>
            <w:r w:rsidRPr="0078396A">
              <w:rPr>
                <w:rFonts w:ascii="Book Antiqua" w:eastAsia="Yu Gothic" w:hAnsi="Book Antiqua" w:cs="Calibri"/>
                <w:color w:val="000000"/>
                <w:u w:color="000000"/>
                <w:lang w:eastAsia="ja-JP"/>
              </w:rPr>
              <w:t>0.022</w:t>
            </w:r>
          </w:p>
        </w:tc>
      </w:tr>
    </w:tbl>
    <w:p w14:paraId="611F002E" w14:textId="77777777" w:rsidR="00A77B3E" w:rsidRPr="00343B51" w:rsidRDefault="0078396A" w:rsidP="00611B33">
      <w:pPr>
        <w:widowControl w:val="0"/>
        <w:spacing w:line="360" w:lineRule="auto"/>
        <w:jc w:val="both"/>
        <w:rPr>
          <w:rFonts w:ascii="Book Antiqua" w:hAnsi="Book Antiqua"/>
        </w:rPr>
      </w:pPr>
      <w:bookmarkStart w:id="0" w:name="_Hlk78111341"/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Results</w:t>
      </w:r>
      <w:r w:rsidR="005E42D6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showed</w:t>
      </w:r>
      <w:r w:rsidR="005E42D6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as</w:t>
      </w:r>
      <w:r w:rsidR="005E42D6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mean</w:t>
      </w:r>
      <w:r w:rsidR="005E42D6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±</w:t>
      </w:r>
      <w:r w:rsidR="005E42D6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 xml:space="preserve"> </w:t>
      </w:r>
      <w:r w:rsidR="00611B33">
        <w:rPr>
          <w:rFonts w:ascii="Book Antiqua" w:hAnsi="Book Antiqua" w:cs="Arial" w:hint="eastAsia"/>
          <w:color w:val="000000"/>
          <w:kern w:val="2"/>
          <w:u w:color="000000"/>
          <w:lang w:eastAsia="zh-CN"/>
        </w:rPr>
        <w:t>SD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.</w:t>
      </w:r>
      <w:r w:rsidR="005E42D6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MDD</w:t>
      </w:r>
      <w:r w:rsidR="00611B33">
        <w:rPr>
          <w:rFonts w:ascii="Book Antiqua" w:hAnsi="Book Antiqua" w:cs="Arial" w:hint="eastAsia"/>
          <w:color w:val="000000"/>
          <w:kern w:val="2"/>
          <w:u w:color="000000"/>
          <w:lang w:eastAsia="zh-CN"/>
        </w:rPr>
        <w:t>: M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ajor</w:t>
      </w:r>
      <w:r w:rsidR="005E42D6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depressive</w:t>
      </w:r>
      <w:r w:rsidR="005E42D6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disorder;</w:t>
      </w:r>
      <w:r w:rsidR="005E42D6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BP</w:t>
      </w:r>
      <w:r w:rsidR="00611B33">
        <w:rPr>
          <w:rFonts w:ascii="Book Antiqua" w:hAnsi="Book Antiqua" w:cs="Arial" w:hint="eastAsia"/>
          <w:color w:val="000000"/>
          <w:kern w:val="2"/>
          <w:u w:color="000000"/>
          <w:lang w:eastAsia="zh-CN"/>
        </w:rPr>
        <w:t>: B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ipolar</w:t>
      </w:r>
      <w:r w:rsidR="005E42D6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disorder;</w:t>
      </w:r>
      <w:r w:rsidR="005E42D6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ECT</w:t>
      </w:r>
      <w:r w:rsidR="00611B33">
        <w:rPr>
          <w:rFonts w:ascii="Book Antiqua" w:hAnsi="Book Antiqua" w:cs="Arial" w:hint="eastAsia"/>
          <w:color w:val="000000"/>
          <w:kern w:val="2"/>
          <w:u w:color="000000"/>
          <w:lang w:eastAsia="zh-CN"/>
        </w:rPr>
        <w:t>: E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lectroconvulsive</w:t>
      </w:r>
      <w:r w:rsidR="005E42D6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therapy;</w:t>
      </w:r>
      <w:r w:rsidR="005E42D6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HAMD-21</w:t>
      </w:r>
      <w:r w:rsidR="00611B33">
        <w:rPr>
          <w:rFonts w:ascii="Book Antiqua" w:hAnsi="Book Antiqua" w:cs="Arial Unicode MS" w:hint="eastAsia"/>
          <w:color w:val="000000"/>
          <w:kern w:val="2"/>
          <w:u w:color="000000"/>
          <w:lang w:eastAsia="zh-CN"/>
        </w:rPr>
        <w:t xml:space="preserve">: 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Hamilton</w:t>
      </w:r>
      <w:r w:rsidR="005E42D6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Depression</w:t>
      </w:r>
      <w:r w:rsidR="005E42D6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Scale</w:t>
      </w:r>
      <w:r w:rsidRPr="0078396A">
        <w:rPr>
          <w:rFonts w:ascii="Book Antiqua" w:eastAsia="Yu Mincho" w:hAnsi="Book Antiqua" w:cs="Arial Unicode MS"/>
          <w:color w:val="000000"/>
          <w:kern w:val="2"/>
          <w:u w:color="000000"/>
          <w:lang w:eastAsia="ja-JP"/>
        </w:rPr>
        <w:t>;</w:t>
      </w:r>
      <w:r w:rsidR="005E42D6">
        <w:rPr>
          <w:rFonts w:ascii="Book Antiqua" w:eastAsia="Yu Mincho" w:hAnsi="Book Antiqua" w:cs="Arial Unicode MS"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 Unicode MS"/>
          <w:color w:val="000000"/>
          <w:kern w:val="2"/>
          <w:u w:color="000000"/>
          <w:lang w:eastAsia="ja-JP"/>
        </w:rPr>
        <w:t>GAF</w:t>
      </w:r>
      <w:r w:rsidR="00611B33">
        <w:rPr>
          <w:rFonts w:ascii="Book Antiqua" w:hAnsi="Book Antiqua" w:cs="Arial Unicode MS" w:hint="eastAsia"/>
          <w:color w:val="000000"/>
          <w:kern w:val="2"/>
          <w:u w:color="000000"/>
          <w:lang w:eastAsia="zh-CN"/>
        </w:rPr>
        <w:t>:</w:t>
      </w:r>
      <w:r w:rsidR="005E42D6">
        <w:rPr>
          <w:rFonts w:ascii="Book Antiqua" w:eastAsia="Yu Mincho" w:hAnsi="Book Antiqua" w:cs="Arial Unicode MS"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Global</w:t>
      </w:r>
      <w:r w:rsidR="005E42D6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Assessment</w:t>
      </w:r>
      <w:r w:rsidR="005E42D6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of</w:t>
      </w:r>
      <w:r w:rsidR="005E42D6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Functioning</w:t>
      </w:r>
      <w:r w:rsidR="005E42D6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 xml:space="preserve"> </w:t>
      </w:r>
      <w:r w:rsidRPr="0078396A">
        <w:rPr>
          <w:rFonts w:ascii="Book Antiqua" w:eastAsia="Yu Mincho" w:hAnsi="Book Antiqua" w:cs="Arial"/>
          <w:color w:val="000000"/>
          <w:kern w:val="2"/>
          <w:u w:color="000000"/>
          <w:lang w:eastAsia="ja-JP"/>
        </w:rPr>
        <w:t>Scale.</w:t>
      </w:r>
      <w:bookmarkEnd w:id="0"/>
    </w:p>
    <w:sectPr w:rsidR="00A77B3E" w:rsidRPr="00343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7BBE" w14:textId="77777777" w:rsidR="001C43AF" w:rsidRDefault="001C43AF" w:rsidP="00343B51">
      <w:r>
        <w:separator/>
      </w:r>
    </w:p>
  </w:endnote>
  <w:endnote w:type="continuationSeparator" w:id="0">
    <w:p w14:paraId="07C5DA15" w14:textId="77777777" w:rsidR="001C43AF" w:rsidRDefault="001C43AF" w:rsidP="0034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苹方-简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3326" w14:textId="77777777" w:rsidR="005E42D6" w:rsidRPr="00343B51" w:rsidRDefault="005E42D6" w:rsidP="00343B51">
    <w:pPr>
      <w:pStyle w:val="a7"/>
      <w:jc w:val="right"/>
      <w:rPr>
        <w:rFonts w:ascii="Book Antiqua" w:hAnsi="Book Antiqua"/>
        <w:sz w:val="24"/>
        <w:szCs w:val="24"/>
      </w:rPr>
    </w:pPr>
    <w:r w:rsidRPr="00343B51">
      <w:rPr>
        <w:rFonts w:ascii="Book Antiqua" w:hAnsi="Book Antiqua"/>
        <w:sz w:val="24"/>
        <w:szCs w:val="24"/>
      </w:rPr>
      <w:fldChar w:fldCharType="begin"/>
    </w:r>
    <w:r w:rsidRPr="00343B51">
      <w:rPr>
        <w:rFonts w:ascii="Book Antiqua" w:hAnsi="Book Antiqua"/>
        <w:sz w:val="24"/>
        <w:szCs w:val="24"/>
      </w:rPr>
      <w:instrText xml:space="preserve"> PAGE  \* Arabic  \* MERGEFORMAT </w:instrText>
    </w:r>
    <w:r w:rsidRPr="00343B51">
      <w:rPr>
        <w:rFonts w:ascii="Book Antiqua" w:hAnsi="Book Antiqua"/>
        <w:sz w:val="24"/>
        <w:szCs w:val="24"/>
      </w:rPr>
      <w:fldChar w:fldCharType="separate"/>
    </w:r>
    <w:r w:rsidR="00AB3EB1">
      <w:rPr>
        <w:rFonts w:ascii="Book Antiqua" w:hAnsi="Book Antiqua"/>
        <w:noProof/>
        <w:sz w:val="24"/>
        <w:szCs w:val="24"/>
      </w:rPr>
      <w:t>22</w:t>
    </w:r>
    <w:r w:rsidRPr="00343B51">
      <w:rPr>
        <w:rFonts w:ascii="Book Antiqua" w:hAnsi="Book Antiqua"/>
        <w:sz w:val="24"/>
        <w:szCs w:val="24"/>
      </w:rPr>
      <w:fldChar w:fldCharType="end"/>
    </w:r>
    <w:r w:rsidRPr="00343B51">
      <w:rPr>
        <w:rFonts w:ascii="Book Antiqua" w:hAnsi="Book Antiqua"/>
        <w:sz w:val="24"/>
        <w:szCs w:val="24"/>
      </w:rPr>
      <w:t>/</w:t>
    </w:r>
    <w:r w:rsidRPr="00343B51">
      <w:rPr>
        <w:rFonts w:ascii="Book Antiqua" w:hAnsi="Book Antiqua"/>
        <w:sz w:val="24"/>
        <w:szCs w:val="24"/>
      </w:rPr>
      <w:fldChar w:fldCharType="begin"/>
    </w:r>
    <w:r w:rsidRPr="00343B51">
      <w:rPr>
        <w:rFonts w:ascii="Book Antiqua" w:hAnsi="Book Antiqua"/>
        <w:sz w:val="24"/>
        <w:szCs w:val="24"/>
      </w:rPr>
      <w:instrText xml:space="preserve"> NUMPAGES   \* MERGEFORMAT </w:instrText>
    </w:r>
    <w:r w:rsidRPr="00343B51">
      <w:rPr>
        <w:rFonts w:ascii="Book Antiqua" w:hAnsi="Book Antiqua"/>
        <w:sz w:val="24"/>
        <w:szCs w:val="24"/>
      </w:rPr>
      <w:fldChar w:fldCharType="separate"/>
    </w:r>
    <w:r w:rsidR="00AB3EB1">
      <w:rPr>
        <w:rFonts w:ascii="Book Antiqua" w:hAnsi="Book Antiqua"/>
        <w:noProof/>
        <w:sz w:val="24"/>
        <w:szCs w:val="24"/>
      </w:rPr>
      <w:t>33</w:t>
    </w:r>
    <w:r w:rsidRPr="00343B51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5A6B" w14:textId="77777777" w:rsidR="001C43AF" w:rsidRDefault="001C43AF" w:rsidP="00343B51">
      <w:r>
        <w:separator/>
      </w:r>
    </w:p>
  </w:footnote>
  <w:footnote w:type="continuationSeparator" w:id="0">
    <w:p w14:paraId="2C3FED7E" w14:textId="77777777" w:rsidR="001C43AF" w:rsidRDefault="001C43AF" w:rsidP="00343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66EA9"/>
    <w:rsid w:val="00072BFE"/>
    <w:rsid w:val="00095E67"/>
    <w:rsid w:val="000C0537"/>
    <w:rsid w:val="001C43AF"/>
    <w:rsid w:val="002603F4"/>
    <w:rsid w:val="00343B51"/>
    <w:rsid w:val="004A4614"/>
    <w:rsid w:val="004F7A6C"/>
    <w:rsid w:val="00513CA9"/>
    <w:rsid w:val="005E42D6"/>
    <w:rsid w:val="00611B33"/>
    <w:rsid w:val="0078396A"/>
    <w:rsid w:val="00825BD4"/>
    <w:rsid w:val="00930716"/>
    <w:rsid w:val="009A6E9F"/>
    <w:rsid w:val="009D28A2"/>
    <w:rsid w:val="00A72121"/>
    <w:rsid w:val="00A77B3E"/>
    <w:rsid w:val="00AB0C2B"/>
    <w:rsid w:val="00AB3EB1"/>
    <w:rsid w:val="00C35833"/>
    <w:rsid w:val="00C50B60"/>
    <w:rsid w:val="00CA2A55"/>
    <w:rsid w:val="00D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60E246"/>
  <w15:docId w15:val="{89AF2F58-7447-4D60-A658-DA7A400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2121"/>
    <w:rPr>
      <w:sz w:val="18"/>
      <w:szCs w:val="18"/>
    </w:rPr>
  </w:style>
  <w:style w:type="character" w:customStyle="1" w:styleId="a4">
    <w:name w:val="批注框文本 字符"/>
    <w:basedOn w:val="a0"/>
    <w:link w:val="a3"/>
    <w:rsid w:val="00A72121"/>
    <w:rPr>
      <w:sz w:val="18"/>
      <w:szCs w:val="18"/>
    </w:rPr>
  </w:style>
  <w:style w:type="paragraph" w:styleId="a5">
    <w:name w:val="header"/>
    <w:basedOn w:val="a"/>
    <w:link w:val="a6"/>
    <w:rsid w:val="00343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43B51"/>
    <w:rPr>
      <w:sz w:val="18"/>
      <w:szCs w:val="18"/>
    </w:rPr>
  </w:style>
  <w:style w:type="paragraph" w:styleId="a7">
    <w:name w:val="footer"/>
    <w:basedOn w:val="a"/>
    <w:link w:val="a8"/>
    <w:rsid w:val="00343B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43B51"/>
    <w:rPr>
      <w:sz w:val="18"/>
      <w:szCs w:val="18"/>
    </w:rPr>
  </w:style>
  <w:style w:type="paragraph" w:styleId="a9">
    <w:name w:val="Revision"/>
    <w:hidden/>
    <w:uiPriority w:val="99"/>
    <w:semiHidden/>
    <w:rsid w:val="00AB3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tmp"/><Relationship Id="rId4" Type="http://schemas.openxmlformats.org/officeDocument/2006/relationships/footnotes" Target="footnote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33</Pages>
  <Words>7462</Words>
  <Characters>42540</Characters>
  <Application>Microsoft Office Word</Application>
  <DocSecurity>0</DocSecurity>
  <Lines>354</Lines>
  <Paragraphs>99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Jin-Lei Wang</cp:lastModifiedBy>
  <cp:revision>13</cp:revision>
  <cp:lastPrinted>2021-08-27T14:50:00Z</cp:lastPrinted>
  <dcterms:created xsi:type="dcterms:W3CDTF">2021-08-26T01:56:00Z</dcterms:created>
  <dcterms:modified xsi:type="dcterms:W3CDTF">2021-08-30T09:19:00Z</dcterms:modified>
</cp:coreProperties>
</file>