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CBD9" w14:textId="44E2D980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00A3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00A3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00A3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F00A3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5A5FFAD4" w14:textId="56E14BFA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66478</w:t>
      </w:r>
    </w:p>
    <w:p w14:paraId="2F267D4B" w14:textId="3509D75C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72A17DC2" w14:textId="77777777" w:rsidR="00A77B3E" w:rsidRDefault="00A77B3E">
      <w:pPr>
        <w:spacing w:line="360" w:lineRule="auto"/>
        <w:jc w:val="both"/>
      </w:pPr>
    </w:p>
    <w:p w14:paraId="386281AD" w14:textId="3D384EE9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New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drugs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metastatic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</w:p>
    <w:p w14:paraId="3615899D" w14:textId="77777777" w:rsidR="00A77B3E" w:rsidRDefault="00A77B3E">
      <w:pPr>
        <w:spacing w:line="360" w:lineRule="auto"/>
        <w:jc w:val="both"/>
      </w:pPr>
    </w:p>
    <w:p w14:paraId="734D159D" w14:textId="6E7E6205" w:rsidR="00A77B3E" w:rsidRDefault="00265D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Cherri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="00F00A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65D87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F00A3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65D87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F00A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cancer</w:t>
      </w:r>
    </w:p>
    <w:p w14:paraId="6F43101C" w14:textId="77777777" w:rsidR="00A77B3E" w:rsidRDefault="00A77B3E">
      <w:pPr>
        <w:spacing w:line="360" w:lineRule="auto"/>
        <w:jc w:val="both"/>
      </w:pPr>
    </w:p>
    <w:p w14:paraId="7ACDE78C" w14:textId="3F46695B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Sara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Cherri,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Michela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Libertini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Zaniboni</w:t>
      </w:r>
      <w:proofErr w:type="spellEnd"/>
    </w:p>
    <w:p w14:paraId="4838DCEC" w14:textId="77777777" w:rsidR="00A77B3E" w:rsidRDefault="00A77B3E">
      <w:pPr>
        <w:spacing w:line="360" w:lineRule="auto"/>
        <w:jc w:val="both"/>
      </w:pPr>
    </w:p>
    <w:p w14:paraId="48801556" w14:textId="2147E2DD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Sara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Cherri,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Michela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Libertini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Alberto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Zaniboni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Fondazione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Poliambulanza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Brescia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25124,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74BF68A5" w14:textId="77777777" w:rsidR="00A77B3E" w:rsidRDefault="00A77B3E">
      <w:pPr>
        <w:spacing w:line="360" w:lineRule="auto"/>
        <w:jc w:val="both"/>
      </w:pPr>
    </w:p>
    <w:p w14:paraId="6E1E6B10" w14:textId="29BFAF18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Cherri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Libertini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Zaniboni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1FFE3F06" w14:textId="77777777" w:rsidR="00A77B3E" w:rsidRDefault="00A77B3E">
      <w:pPr>
        <w:spacing w:line="360" w:lineRule="auto"/>
        <w:jc w:val="both"/>
      </w:pPr>
    </w:p>
    <w:p w14:paraId="77C4868B" w14:textId="33E232B7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Sara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Cherri,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Fondazione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Poliambulanza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AF262C" w:rsidRPr="00AF262C">
        <w:rPr>
          <w:rFonts w:ascii="Book Antiqua" w:eastAsia="Book Antiqua" w:hAnsi="Book Antiqua" w:cs="Book Antiqua"/>
          <w:color w:val="000000"/>
        </w:rPr>
        <w:t>Via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AF262C" w:rsidRPr="00AF262C">
        <w:rPr>
          <w:rFonts w:ascii="Book Antiqua" w:eastAsia="Book Antiqua" w:hAnsi="Book Antiqua" w:cs="Book Antiqua"/>
          <w:color w:val="000000"/>
        </w:rPr>
        <w:t>L.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262C" w:rsidRPr="00AF262C">
        <w:rPr>
          <w:rFonts w:ascii="Book Antiqua" w:eastAsia="Book Antiqua" w:hAnsi="Book Antiqua" w:cs="Book Antiqua"/>
          <w:color w:val="000000"/>
        </w:rPr>
        <w:t>Bissolati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AF262C" w:rsidRPr="00AF262C">
        <w:rPr>
          <w:rFonts w:ascii="Book Antiqua" w:eastAsia="Book Antiqua" w:hAnsi="Book Antiqua" w:cs="Book Antiqua"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Brescia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25124,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sara.cherri@poliambulanza.it</w:t>
      </w:r>
    </w:p>
    <w:p w14:paraId="496A79A2" w14:textId="77777777" w:rsidR="00A77B3E" w:rsidRDefault="00A77B3E">
      <w:pPr>
        <w:spacing w:line="360" w:lineRule="auto"/>
        <w:jc w:val="both"/>
      </w:pPr>
    </w:p>
    <w:p w14:paraId="14C90E80" w14:textId="65614039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03E0564" w14:textId="500CFA96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6618C57" w14:textId="230D5E06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6836">
        <w:rPr>
          <w:rFonts w:ascii="Book Antiqua" w:eastAsia="Book Antiqua" w:hAnsi="Book Antiqua" w:cs="Book Antiqua"/>
          <w:color w:val="000000"/>
        </w:rPr>
        <w:t>September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DA6836">
        <w:rPr>
          <w:rFonts w:ascii="Book Antiqua" w:eastAsia="Book Antiqua" w:hAnsi="Book Antiqua" w:cs="Book Antiqua"/>
          <w:color w:val="000000"/>
        </w:rPr>
        <w:t>8,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DA6836">
        <w:rPr>
          <w:rFonts w:ascii="Book Antiqua" w:eastAsia="Book Antiqua" w:hAnsi="Book Antiqua" w:cs="Book Antiqua"/>
          <w:color w:val="000000"/>
        </w:rPr>
        <w:t>2021</w:t>
      </w:r>
    </w:p>
    <w:p w14:paraId="670D58F4" w14:textId="65BDB625" w:rsidR="00F953AF" w:rsidRPr="002710F2" w:rsidRDefault="000217C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53AF">
        <w:rPr>
          <w:rFonts w:ascii="Book Antiqua" w:eastAsia="宋体" w:hAnsi="Book Antiqua"/>
          <w:color w:val="000000" w:themeColor="text1"/>
        </w:rPr>
        <w:t>N</w:t>
      </w:r>
      <w:r w:rsidR="00F953AF">
        <w:rPr>
          <w:rFonts w:ascii="Book Antiqua" w:eastAsia="宋体" w:hAnsi="Book Antiqua" w:hint="eastAsia"/>
          <w:color w:val="000000" w:themeColor="text1"/>
          <w:lang w:eastAsia="zh-CN"/>
        </w:rPr>
        <w:t>ovember</w:t>
      </w:r>
      <w:r w:rsidR="00F00A3C">
        <w:rPr>
          <w:rFonts w:ascii="Book Antiqua" w:eastAsia="宋体" w:hAnsi="Book Antiqua"/>
          <w:color w:val="000000" w:themeColor="text1"/>
        </w:rPr>
        <w:t xml:space="preserve"> </w:t>
      </w:r>
      <w:r w:rsidR="00F953AF" w:rsidRPr="003E216A">
        <w:rPr>
          <w:rFonts w:ascii="Book Antiqua" w:eastAsia="宋体" w:hAnsi="Book Antiqua"/>
          <w:color w:val="000000" w:themeColor="text1"/>
        </w:rPr>
        <w:t>15,</w:t>
      </w:r>
      <w:r w:rsidR="00F00A3C">
        <w:rPr>
          <w:rFonts w:ascii="Book Antiqua" w:eastAsia="宋体" w:hAnsi="Book Antiqua"/>
          <w:color w:val="000000" w:themeColor="text1"/>
        </w:rPr>
        <w:t xml:space="preserve"> </w:t>
      </w:r>
      <w:r w:rsidR="00F953AF" w:rsidRPr="003E216A">
        <w:rPr>
          <w:rFonts w:ascii="Book Antiqua" w:eastAsia="宋体" w:hAnsi="Book Antiqua"/>
          <w:color w:val="000000" w:themeColor="text1"/>
        </w:rPr>
        <w:t>2021</w:t>
      </w:r>
    </w:p>
    <w:p w14:paraId="33BB2452" w14:textId="77777777" w:rsidR="00F56234" w:rsidRDefault="00F5623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528FD605" w14:textId="7BC0EFC4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1252B5" w14:textId="10A81D37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landscape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);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F00A3C">
        <w:rPr>
          <w:rFonts w:ascii="Book Antiqua" w:eastAsia="Book Antiqua" w:hAnsi="Book Antiqua" w:cs="Book Antiqua"/>
          <w:caps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armamentarium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uture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directions.</w:t>
      </w:r>
    </w:p>
    <w:p w14:paraId="20FBE23E" w14:textId="77777777" w:rsidR="00A77B3E" w:rsidRDefault="00A77B3E">
      <w:pPr>
        <w:spacing w:line="360" w:lineRule="auto"/>
        <w:jc w:val="both"/>
      </w:pPr>
    </w:p>
    <w:p w14:paraId="7A231AFE" w14:textId="5DD1D1EE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Key</w:t>
      </w:r>
      <w:r w:rsidR="00F00A3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Words:</w:t>
      </w:r>
      <w:r w:rsidR="00F00A3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</w:p>
    <w:p w14:paraId="2FCF8480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589172F3" w14:textId="77777777" w:rsidR="00E71726" w:rsidRDefault="00E71726" w:rsidP="00E71726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A79DBA7" w14:textId="77777777" w:rsidR="00F56234" w:rsidRPr="00E71726" w:rsidRDefault="00F56234">
      <w:pPr>
        <w:spacing w:line="360" w:lineRule="auto"/>
        <w:jc w:val="both"/>
        <w:rPr>
          <w:lang w:eastAsia="zh-CN"/>
        </w:rPr>
      </w:pPr>
    </w:p>
    <w:p w14:paraId="7E16CD88" w14:textId="38941137" w:rsidR="00F56234" w:rsidRPr="006F5CD7" w:rsidRDefault="00E7172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0217CA">
        <w:rPr>
          <w:rFonts w:ascii="Book Antiqua" w:eastAsia="Book Antiqua" w:hAnsi="Book Antiqua" w:cs="Book Antiqua"/>
          <w:color w:val="000000"/>
        </w:rPr>
        <w:t>Cherri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17CA">
        <w:rPr>
          <w:rFonts w:ascii="Book Antiqua" w:eastAsia="Book Antiqua" w:hAnsi="Book Antiqua" w:cs="Book Antiqua"/>
          <w:color w:val="000000"/>
        </w:rPr>
        <w:t>Libertini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17CA">
        <w:rPr>
          <w:rFonts w:ascii="Book Antiqua" w:eastAsia="Book Antiqua" w:hAnsi="Book Antiqua" w:cs="Book Antiqua"/>
          <w:color w:val="000000"/>
        </w:rPr>
        <w:t>Zaniboni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A.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217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217CA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217CA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F953AF" w:rsidRPr="003E216A">
        <w:rPr>
          <w:rFonts w:ascii="Book Antiqua" w:eastAsia="Book Antiqua" w:hAnsi="Book Antiqua" w:cs="Book Antiqua"/>
          <w:color w:val="000000"/>
        </w:rPr>
        <w:t>2021;</w:t>
      </w:r>
      <w:r w:rsidR="00F00A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53AF" w:rsidRPr="003E216A">
        <w:rPr>
          <w:rFonts w:ascii="Book Antiqua" w:eastAsia="Book Antiqua" w:hAnsi="Book Antiqua" w:cs="Book Antiqua"/>
          <w:color w:val="000000"/>
        </w:rPr>
        <w:t>13(1</w:t>
      </w:r>
      <w:r w:rsidR="00F953AF">
        <w:rPr>
          <w:rFonts w:ascii="Book Antiqua" w:eastAsia="Book Antiqua" w:hAnsi="Book Antiqua" w:cs="Book Antiqua"/>
          <w:color w:val="000000"/>
        </w:rPr>
        <w:t>1</w:t>
      </w:r>
      <w:r w:rsidR="00F953AF" w:rsidRPr="003E216A">
        <w:rPr>
          <w:rFonts w:ascii="Book Antiqua" w:eastAsia="Book Antiqua" w:hAnsi="Book Antiqua" w:cs="Book Antiqua"/>
          <w:color w:val="000000"/>
        </w:rPr>
        <w:t>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6F5CD7">
        <w:rPr>
          <w:rFonts w:ascii="Book Antiqua" w:hAnsi="Book Antiqua" w:cs="Book Antiqua" w:hint="eastAsia"/>
          <w:color w:val="000000"/>
          <w:lang w:eastAsia="zh-CN"/>
        </w:rPr>
        <w:t>1551</w:t>
      </w:r>
      <w:r w:rsidR="00F953AF" w:rsidRPr="003E216A">
        <w:rPr>
          <w:rFonts w:ascii="Book Antiqua" w:eastAsia="Book Antiqua" w:hAnsi="Book Antiqua" w:cs="Book Antiqua"/>
          <w:color w:val="000000"/>
        </w:rPr>
        <w:t>-</w:t>
      </w:r>
      <w:r w:rsidR="006F5CD7">
        <w:rPr>
          <w:rFonts w:ascii="Book Antiqua" w:hAnsi="Book Antiqua" w:cs="Book Antiqua" w:hint="eastAsia"/>
          <w:color w:val="000000"/>
          <w:lang w:eastAsia="zh-CN"/>
        </w:rPr>
        <w:t>1560</w:t>
      </w:r>
    </w:p>
    <w:p w14:paraId="139E7470" w14:textId="1D60B3D4" w:rsidR="00F56234" w:rsidRDefault="00F953A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56234">
        <w:rPr>
          <w:rFonts w:ascii="Book Antiqua" w:eastAsia="Book Antiqua" w:hAnsi="Book Antiqua" w:cs="Book Antiqua"/>
          <w:b/>
          <w:color w:val="000000"/>
        </w:rPr>
        <w:t>URL:</w:t>
      </w:r>
      <w:r w:rsidR="00F00A3C" w:rsidRPr="00F562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https://www.wjgnet.com/1948-5204/full/v13/i1</w:t>
      </w:r>
      <w:r>
        <w:rPr>
          <w:rFonts w:ascii="Book Antiqua" w:eastAsia="Book Antiqua" w:hAnsi="Book Antiqua" w:cs="Book Antiqua"/>
          <w:color w:val="000000"/>
        </w:rPr>
        <w:t>1</w:t>
      </w:r>
      <w:r w:rsidRPr="003E216A">
        <w:rPr>
          <w:rFonts w:ascii="Book Antiqua" w:eastAsia="Book Antiqua" w:hAnsi="Book Antiqua" w:cs="Book Antiqua"/>
          <w:color w:val="000000"/>
        </w:rPr>
        <w:t>/</w:t>
      </w:r>
      <w:r w:rsidR="006F5CD7">
        <w:rPr>
          <w:rFonts w:ascii="Book Antiqua" w:hAnsi="Book Antiqua" w:cs="Book Antiqua" w:hint="eastAsia"/>
          <w:color w:val="000000"/>
          <w:lang w:eastAsia="zh-CN"/>
        </w:rPr>
        <w:t>1551</w:t>
      </w:r>
      <w:r w:rsidRPr="003E216A">
        <w:rPr>
          <w:rFonts w:ascii="Book Antiqua" w:eastAsia="Book Antiqua" w:hAnsi="Book Antiqua" w:cs="Book Antiqua"/>
          <w:color w:val="000000"/>
        </w:rPr>
        <w:t>.htm</w:t>
      </w:r>
    </w:p>
    <w:p w14:paraId="471AF0A6" w14:textId="504C0ED5" w:rsidR="00A77B3E" w:rsidRPr="006F5CD7" w:rsidRDefault="00F953AF">
      <w:pPr>
        <w:spacing w:line="360" w:lineRule="auto"/>
        <w:jc w:val="both"/>
        <w:rPr>
          <w:lang w:eastAsia="zh-CN"/>
        </w:rPr>
      </w:pPr>
      <w:r w:rsidRPr="00F56234">
        <w:rPr>
          <w:rFonts w:ascii="Book Antiqua" w:eastAsia="Book Antiqua" w:hAnsi="Book Antiqua" w:cs="Book Antiqua"/>
          <w:b/>
          <w:color w:val="000000"/>
        </w:rPr>
        <w:t>DOI:</w:t>
      </w:r>
      <w:r w:rsidR="00F00A3C" w:rsidRPr="00F562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</w:rPr>
        <w:t>https://dx.doi.org/10.4251/wjgo.v13.i</w:t>
      </w:r>
      <w:r>
        <w:rPr>
          <w:rFonts w:ascii="Book Antiqua" w:eastAsia="Book Antiqua" w:hAnsi="Book Antiqua" w:cs="Book Antiqua"/>
        </w:rPr>
        <w:t>11</w:t>
      </w:r>
      <w:r w:rsidRPr="003E216A">
        <w:rPr>
          <w:rFonts w:ascii="Book Antiqua" w:eastAsia="Book Antiqua" w:hAnsi="Book Antiqua" w:cs="Book Antiqua"/>
        </w:rPr>
        <w:t>.</w:t>
      </w:r>
      <w:r w:rsidR="006F5CD7">
        <w:rPr>
          <w:rFonts w:ascii="Book Antiqua" w:hAnsi="Book Antiqua" w:cs="Book Antiqua" w:hint="eastAsia"/>
          <w:lang w:eastAsia="zh-CN"/>
        </w:rPr>
        <w:t>1551</w:t>
      </w:r>
    </w:p>
    <w:p w14:paraId="6F8EFB73" w14:textId="77777777" w:rsidR="00A77B3E" w:rsidRDefault="00A77B3E">
      <w:pPr>
        <w:spacing w:line="360" w:lineRule="auto"/>
        <w:jc w:val="both"/>
      </w:pPr>
    </w:p>
    <w:p w14:paraId="5C0C41BE" w14:textId="66B5C118" w:rsidR="00A77B3E" w:rsidRDefault="000217C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F00A3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F00A3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difficulties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4FEB04F5" w14:textId="77777777" w:rsidR="00F56234" w:rsidRDefault="00F56234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5D42F508" w14:textId="2D6D29D8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CBF1A08" w14:textId="34553DEA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drastically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landscape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anti-vascular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anti-epidermal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bevacizumab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panitumumab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regorafenib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world's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265D87">
        <w:rPr>
          <w:rFonts w:ascii="Book Antiqua" w:eastAsia="Book Antiqua" w:hAnsi="Book Antiqua" w:cs="Book Antiqua"/>
          <w:color w:val="000000"/>
        </w:rPr>
        <w:t>deadly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265D87">
        <w:rPr>
          <w:rFonts w:ascii="Book Antiqua" w:eastAsia="Book Antiqua" w:hAnsi="Book Antiqua" w:cs="Book Antiqua"/>
          <w:color w:val="000000"/>
        </w:rPr>
        <w:t>cancer,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265D87"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265D87">
        <w:rPr>
          <w:rFonts w:ascii="Book Antiqua" w:eastAsia="Book Antiqua" w:hAnsi="Book Antiqua" w:cs="Book Antiqua"/>
          <w:color w:val="000000"/>
        </w:rPr>
        <w:t>almost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265D87">
        <w:rPr>
          <w:rFonts w:ascii="Book Antiqua" w:eastAsia="Book Antiqua" w:hAnsi="Book Antiqua" w:cs="Book Antiqua"/>
          <w:color w:val="000000"/>
        </w:rPr>
        <w:t>900</w:t>
      </w:r>
      <w:r>
        <w:rPr>
          <w:rFonts w:ascii="Book Antiqua" w:eastAsia="Book Antiqua" w:hAnsi="Book Antiqua" w:cs="Book Antiqua"/>
          <w:color w:val="000000"/>
        </w:rPr>
        <w:t>000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annually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desperately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</w:p>
    <w:p w14:paraId="7A5694D9" w14:textId="77777777" w:rsidR="00A77B3E" w:rsidRDefault="00A77B3E">
      <w:pPr>
        <w:spacing w:line="360" w:lineRule="auto"/>
        <w:jc w:val="both"/>
      </w:pPr>
    </w:p>
    <w:p w14:paraId="6699310E" w14:textId="3C336C74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Main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limitations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targeted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mCRC</w:t>
      </w:r>
    </w:p>
    <w:p w14:paraId="1DFBD967" w14:textId="7E03EA86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panitumumab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anti-angiogenesis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bevacizumab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aflibercept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Regorafenib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third-line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61D00CCC" w14:textId="06A332BD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emblematic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V600E-mutated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V600E,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protein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enthusiastic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anti-BRAF/MEK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BRAF/MEK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(progression-free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(overall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BRAF/MEK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encorafenib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binimetinib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third-line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BEACON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0.52,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profile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87D9C9" w14:textId="4578AC43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Innate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anti-VEGF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</w:p>
    <w:p w14:paraId="47BAA82B" w14:textId="0C48B9B3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Concerning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</w:p>
    <w:p w14:paraId="5ED263A5" w14:textId="753C5CDA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erythroblastosis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Erb</w:t>
      </w:r>
      <w:proofErr w:type="spellEnd"/>
      <w:r>
        <w:rPr>
          <w:rFonts w:ascii="Book Antiqua" w:eastAsia="Book Antiqua" w:hAnsi="Book Antiqua" w:cs="Book Antiqua"/>
          <w:color w:val="000000"/>
        </w:rPr>
        <w:t>)/human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HER).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2%–3%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(HER1),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RAS/RAF/MEK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resistance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Her2-overexpressing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Pr="00463EEA">
        <w:rPr>
          <w:rFonts w:ascii="Book Antiqua" w:eastAsia="Book Antiqua" w:hAnsi="Book Antiqua" w:cs="Book Antiqua"/>
          <w:i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MyPathway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trastuzumab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HER2-amplified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(8/57)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458B9B" w14:textId="1C8128C3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Compensatory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(IGF-1R),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JAK/STAT,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drugs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098AE8" w14:textId="57A35842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antiangiogenic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bevacizumab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(VEGF-A)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aflibercept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regorafenib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third-line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antiangiogenic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</w:p>
    <w:p w14:paraId="1C22B8B4" w14:textId="4F51F5AB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bevacizumab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antiangiogenic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antiangiogenic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drug-resistant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upregulation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IL-1,231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(macrophage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PDGFR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14A3BC" w14:textId="204737DF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Ultimately,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dilemma.</w:t>
      </w:r>
    </w:p>
    <w:p w14:paraId="61DA5509" w14:textId="77777777" w:rsidR="00A77B3E" w:rsidRDefault="00A77B3E">
      <w:pPr>
        <w:spacing w:line="360" w:lineRule="auto"/>
        <w:ind w:firstLine="240"/>
        <w:jc w:val="both"/>
      </w:pPr>
    </w:p>
    <w:p w14:paraId="0FFD3049" w14:textId="5A0A6287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New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armamentarium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that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could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escape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primary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secondary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resistance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lead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more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personalized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mCRC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7F321737" w14:textId="205B1A63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Primary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scenario.</w:t>
      </w:r>
    </w:p>
    <w:p w14:paraId="3FB189BF" w14:textId="4B8930A5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V600E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V600E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BEACON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V600E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encorafenib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binimetinib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MEK1/2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binimetinib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encorafenib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encorafenib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ulixertinib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FE4C77" w14:textId="39D68819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2%–3%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trastuzumab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lapatinib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HERACLES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trastuzumab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tucatinib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HER2–3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MOUNTANEER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trastuzumab-emtansine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(TDM1)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HERACLES-B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HER2-amplificated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Her2-amplified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</w:p>
    <w:p w14:paraId="6EC8302B" w14:textId="22F881B9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FRESCO-2,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(NCT04322539),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Pr="00463EEA">
          <w:rPr>
            <w:rFonts w:ascii="Book Antiqua" w:eastAsia="Book Antiqua" w:hAnsi="Book Antiqua" w:cs="Book Antiqua"/>
            <w:color w:val="000000"/>
          </w:rPr>
          <w:t>highly</w:t>
        </w:r>
        <w:r w:rsidR="00F00A3C">
          <w:rPr>
            <w:rFonts w:ascii="Book Antiqua" w:eastAsia="Book Antiqua" w:hAnsi="Book Antiqua" w:cs="Book Antiqua"/>
            <w:color w:val="000000"/>
          </w:rPr>
          <w:t xml:space="preserve"> </w:t>
        </w:r>
        <w:r w:rsidRPr="00463EEA">
          <w:rPr>
            <w:rFonts w:ascii="Book Antiqua" w:eastAsia="Book Antiqua" w:hAnsi="Book Antiqua" w:cs="Book Antiqua"/>
            <w:color w:val="000000"/>
          </w:rPr>
          <w:t>selective</w:t>
        </w:r>
        <w:r w:rsidR="00F00A3C">
          <w:rPr>
            <w:rFonts w:ascii="Book Antiqua" w:eastAsia="Book Antiqua" w:hAnsi="Book Antiqua" w:cs="Book Antiqua"/>
            <w:color w:val="000000"/>
          </w:rPr>
          <w:t xml:space="preserve"> </w:t>
        </w:r>
        <w:r w:rsidRPr="00463EEA">
          <w:rPr>
            <w:rFonts w:ascii="Book Antiqua" w:eastAsia="Book Antiqua" w:hAnsi="Book Antiqua" w:cs="Book Antiqua"/>
            <w:color w:val="000000"/>
          </w:rPr>
          <w:t>small</w:t>
        </w:r>
        <w:r w:rsidR="00F00A3C">
          <w:rPr>
            <w:rFonts w:ascii="Book Antiqua" w:eastAsia="Book Antiqua" w:hAnsi="Book Antiqua" w:cs="Book Antiqua"/>
            <w:color w:val="000000"/>
          </w:rPr>
          <w:t xml:space="preserve"> </w:t>
        </w:r>
        <w:r w:rsidRPr="00463EEA">
          <w:rPr>
            <w:rFonts w:ascii="Book Antiqua" w:eastAsia="Book Antiqua" w:hAnsi="Book Antiqua" w:cs="Book Antiqua"/>
            <w:color w:val="000000"/>
          </w:rPr>
          <w:t>molecule</w:t>
        </w:r>
        <w:r w:rsidR="00F00A3C">
          <w:rPr>
            <w:rFonts w:ascii="Book Antiqua" w:eastAsia="Book Antiqua" w:hAnsi="Book Antiqua" w:cs="Book Antiqua"/>
            <w:color w:val="000000"/>
          </w:rPr>
          <w:t xml:space="preserve"> </w:t>
        </w:r>
        <w:r w:rsidRPr="00463EEA">
          <w:rPr>
            <w:rFonts w:ascii="Book Antiqua" w:eastAsia="Book Antiqua" w:hAnsi="Book Antiqua" w:cs="Book Antiqua"/>
            <w:color w:val="000000"/>
          </w:rPr>
          <w:t>inhibitor</w:t>
        </w:r>
        <w:r w:rsidR="00F00A3C">
          <w:rPr>
            <w:rFonts w:ascii="Book Antiqua" w:eastAsia="Book Antiqua" w:hAnsi="Book Antiqua" w:cs="Book Antiqua"/>
            <w:color w:val="000000"/>
          </w:rPr>
          <w:t xml:space="preserve"> </w:t>
        </w:r>
        <w:r w:rsidRPr="00463EEA">
          <w:rPr>
            <w:rFonts w:ascii="Book Antiqua" w:eastAsia="Book Antiqua" w:hAnsi="Book Antiqua" w:cs="Book Antiqua"/>
            <w:color w:val="000000"/>
          </w:rPr>
          <w:t>of</w:t>
        </w:r>
        <w:r w:rsidR="00F00A3C">
          <w:rPr>
            <w:rFonts w:ascii="Book Antiqua" w:eastAsia="Book Antiqua" w:hAnsi="Book Antiqua" w:cs="Book Antiqua"/>
            <w:color w:val="000000"/>
          </w:rPr>
          <w:t xml:space="preserve"> </w:t>
        </w:r>
        <w:r w:rsidRPr="00463EEA">
          <w:rPr>
            <w:rFonts w:ascii="Book Antiqua" w:eastAsia="Book Antiqua" w:hAnsi="Book Antiqua" w:cs="Book Antiqua"/>
            <w:color w:val="000000"/>
          </w:rPr>
          <w:t>VEGFR</w:t>
        </w:r>
        <w:r w:rsidR="00F00A3C">
          <w:rPr>
            <w:rFonts w:ascii="Book Antiqua" w:eastAsia="Book Antiqua" w:hAnsi="Book Antiqua" w:cs="Book Antiqua"/>
            <w:color w:val="000000"/>
          </w:rPr>
          <w:t xml:space="preserve"> </w:t>
        </w:r>
        <w:r w:rsidRPr="00463EEA">
          <w:rPr>
            <w:rFonts w:ascii="Book Antiqua" w:eastAsia="Book Antiqua" w:hAnsi="Book Antiqua" w:cs="Book Antiqua"/>
            <w:color w:val="000000"/>
          </w:rPr>
          <w:t>1,</w:t>
        </w:r>
        <w:r w:rsidR="00F00A3C">
          <w:rPr>
            <w:rFonts w:ascii="Book Antiqua" w:eastAsia="Book Antiqua" w:hAnsi="Book Antiqua" w:cs="Book Antiqua"/>
            <w:color w:val="000000"/>
          </w:rPr>
          <w:t xml:space="preserve"> </w:t>
        </w:r>
        <w:r w:rsidRPr="00463EEA">
          <w:rPr>
            <w:rFonts w:ascii="Book Antiqua" w:eastAsia="Book Antiqua" w:hAnsi="Book Antiqua" w:cs="Book Antiqua"/>
            <w:color w:val="000000"/>
          </w:rPr>
          <w:t>2,</w:t>
        </w:r>
        <w:r w:rsidR="00F00A3C">
          <w:rPr>
            <w:rFonts w:ascii="Book Antiqua" w:eastAsia="Book Antiqua" w:hAnsi="Book Antiqua" w:cs="Book Antiqua"/>
            <w:color w:val="000000"/>
          </w:rPr>
          <w:t xml:space="preserve"> </w:t>
        </w:r>
        <w:r w:rsidRPr="00463EEA">
          <w:rPr>
            <w:rFonts w:ascii="Book Antiqua" w:eastAsia="Book Antiqua" w:hAnsi="Book Antiqua" w:cs="Book Antiqua"/>
            <w:color w:val="000000"/>
          </w:rPr>
          <w:t>3</w:t>
        </w:r>
      </w:hyperlink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FRESCO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ECD1A4" w14:textId="1EE144C2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Current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Trifluridine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tipiracil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(TAS-102)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bevacizumab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TAS-102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Trifluridina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tipiracil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8334955" w14:textId="73C222AD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microsatellite-deficient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repair/microsatellite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instability-high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dMMR</w:t>
      </w:r>
      <w:proofErr w:type="spellEnd"/>
      <w:r>
        <w:rPr>
          <w:rFonts w:ascii="Book Antiqua" w:eastAsia="Book Antiqua" w:hAnsi="Book Antiqua" w:cs="Book Antiqua"/>
          <w:color w:val="000000"/>
        </w:rPr>
        <w:t>/MSI-high),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KEYNOTE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pembrolizumab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pembrolizumab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dMMR</w:t>
      </w:r>
      <w:proofErr w:type="spellEnd"/>
      <w:r>
        <w:rPr>
          <w:rFonts w:ascii="Book Antiqua" w:eastAsia="Book Antiqua" w:hAnsi="Book Antiqua" w:cs="Book Antiqua"/>
          <w:color w:val="000000"/>
        </w:rPr>
        <w:t>/MSI-high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practice-changing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dMMR</w:t>
      </w:r>
      <w:proofErr w:type="spellEnd"/>
      <w:r>
        <w:rPr>
          <w:rFonts w:ascii="Book Antiqua" w:eastAsia="Book Antiqua" w:hAnsi="Book Antiqua" w:cs="Book Antiqua"/>
          <w:color w:val="000000"/>
        </w:rPr>
        <w:t>/MSI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CheckMate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ipilimumab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dMMR</w:t>
      </w:r>
      <w:proofErr w:type="spellEnd"/>
      <w:r>
        <w:rPr>
          <w:rFonts w:ascii="Book Antiqua" w:eastAsia="Book Antiqua" w:hAnsi="Book Antiqua" w:cs="Book Antiqua"/>
          <w:color w:val="000000"/>
        </w:rPr>
        <w:t>/MSI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profile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912A08" w14:textId="4E429628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Unfortunately,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proficient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pMMR</w:t>
      </w:r>
      <w:proofErr w:type="spellEnd"/>
      <w:r>
        <w:rPr>
          <w:rFonts w:ascii="Book Antiqua" w:eastAsia="Book Antiqua" w:hAnsi="Book Antiqua" w:cs="Book Antiqua"/>
          <w:color w:val="000000"/>
        </w:rPr>
        <w:t>/MSS)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regorafenib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(REGONIVO)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REGOMUNE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regorafenib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avelumab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Bevacizumab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atezolizumab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FOLFOXIRI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oxaliplatin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irinotecan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AtezoTRIBE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unresectable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available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063AD0" w14:textId="1EA335D7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avelumab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rechallenge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180B2976" w14:textId="7D8BD9FB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Fortunately,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cure.</w:t>
      </w:r>
    </w:p>
    <w:p w14:paraId="7F425CEB" w14:textId="77777777" w:rsidR="00A77B3E" w:rsidRDefault="00A77B3E">
      <w:pPr>
        <w:spacing w:line="360" w:lineRule="auto"/>
        <w:ind w:firstLine="240"/>
        <w:jc w:val="both"/>
      </w:pPr>
    </w:p>
    <w:p w14:paraId="2FF3A765" w14:textId="3A617F9B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F00A3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directions</w:t>
      </w:r>
    </w:p>
    <w:p w14:paraId="3169A9A1" w14:textId="117C4BEC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(KRAS,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mutations),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>
        <w:rPr>
          <w:rFonts w:ascii="Book Antiqua" w:eastAsia="Book Antiqua" w:hAnsi="Book Antiqua" w:cs="Book Antiqua"/>
          <w:caps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(microsatellite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ambitious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3D9D5A75" w14:textId="0FAB1103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(ESMO)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32,33]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</w:p>
    <w:p w14:paraId="58A41398" w14:textId="57865A3A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Concerning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conducted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Innocenti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bevacizumab</w:t>
      </w:r>
      <w:proofErr w:type="spellEnd"/>
      <w:r>
        <w:rPr>
          <w:rFonts w:ascii="Book Antiqua" w:eastAsia="Book Antiqua" w:hAnsi="Book Antiqua" w:cs="Book Antiqua"/>
          <w:color w:val="000000"/>
        </w:rPr>
        <w:t>-based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(WT)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FANCI-mutated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(4%)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(1.2–3.3),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F00A3C">
        <w:rPr>
          <w:rFonts w:ascii="Book Antiqua" w:hAnsi="Book Antiqua" w:cs="Book Antiqua" w:hint="eastAsia"/>
          <w:i/>
          <w:iCs/>
          <w:caps/>
          <w:color w:val="000000"/>
          <w:lang w:eastAsia="zh-CN"/>
        </w:rPr>
        <w:t xml:space="preserve"> </w:t>
      </w:r>
      <w:r w:rsidR="00265D87">
        <w:rPr>
          <w:rFonts w:ascii="Book Antiqua" w:hAnsi="Book Antiqua" w:cs="Book Antiqua" w:hint="eastAsia"/>
          <w:i/>
          <w:iCs/>
          <w:caps/>
          <w:color w:val="000000"/>
          <w:lang w:eastAsia="zh-CN"/>
        </w:rPr>
        <w:t>=</w:t>
      </w:r>
      <w:r w:rsidR="00F00A3C">
        <w:rPr>
          <w:rFonts w:ascii="Book Antiqua" w:hAnsi="Book Antiqua" w:cs="Book Antiqua" w:hint="eastAsia"/>
          <w:i/>
          <w:iCs/>
          <w:cap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(1.9–14.8),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F00A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65D87">
        <w:rPr>
          <w:rFonts w:ascii="Book Antiqua" w:hAnsi="Book Antiqua" w:cs="Book Antiqua" w:hint="eastAsia"/>
          <w:color w:val="000000"/>
          <w:lang w:eastAsia="zh-CN"/>
        </w:rPr>
        <w:t>=</w:t>
      </w:r>
      <w:r w:rsidR="00F00A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0.002]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bevacizumab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99086EF" w14:textId="2687EB43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COLOMATE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umbrella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Guardant360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plasma-based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(NCT03765736).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fascinating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28955B10" w14:textId="6330CEF9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Listed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ROS1,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FGFR.</w:t>
      </w:r>
    </w:p>
    <w:p w14:paraId="04D33F4C" w14:textId="43827704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(approximately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(Cox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AD).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pG12C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1%–4%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druggable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KRAS-dependent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pocket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guanosine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diphosphate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(GDP)-bound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sotorasib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(AMG510)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adagrasib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(MRTX849).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CodeBreack100,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sotorasib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G12C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(ORR)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73.8%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(DCR).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disappointing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postulated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G12C-mutant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EGFR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G12C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MRTX849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KRYSTAL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(NCT04793958),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ongoing.</w:t>
      </w:r>
    </w:p>
    <w:p w14:paraId="372FE8DA" w14:textId="6F3162C2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PTEN/PI3K/</w:t>
      </w:r>
      <w:proofErr w:type="spellStart"/>
      <w:r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404CD69" w14:textId="0EF3FF26" w:rsidR="00A77B3E" w:rsidRDefault="000217CA">
      <w:pPr>
        <w:spacing w:line="360" w:lineRule="auto"/>
        <w:ind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Neurotrophic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(NTRK)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(IHC),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(PCR),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hybridization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(FISH)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fusion-positive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(0.9%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0]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right-sided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TRK-selective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entrectinib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entrectinib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data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single-arm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larotrectinib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749034C" w14:textId="42909972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rearrangements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anaplastic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(ALK)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v-</w:t>
      </w:r>
      <w:proofErr w:type="spellStart"/>
      <w:r>
        <w:rPr>
          <w:rFonts w:ascii="Book Antiqua" w:eastAsia="Book Antiqua" w:hAnsi="Book Antiqua" w:cs="Book Antiqua"/>
          <w:color w:val="000000"/>
        </w:rPr>
        <w:t>ros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homologue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(ROS1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alectinib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crizotinib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rearrangements.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(rearranged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transfection)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(2%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message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?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harbouring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RXDX-105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103F65" w14:textId="20A0ECFD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Aberrant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(FGFR)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(NCT04096417,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NCT01976741,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NCT03410693,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NCT03473756).</w:t>
      </w:r>
    </w:p>
    <w:p w14:paraId="655CD5CA" w14:textId="6AB0BFC6" w:rsidR="00A77B3E" w:rsidRDefault="000217C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358286E4" w14:textId="77777777" w:rsidR="00A77B3E" w:rsidRDefault="00A77B3E">
      <w:pPr>
        <w:spacing w:line="360" w:lineRule="auto"/>
        <w:ind w:firstLine="240"/>
        <w:jc w:val="both"/>
      </w:pPr>
    </w:p>
    <w:p w14:paraId="6B7DB0DE" w14:textId="77777777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FF71EE5" w14:textId="2216F0D3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Limitations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antiangiogenic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geared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CRCs;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possibilities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566926E9" w14:textId="77777777" w:rsidR="00A77B3E" w:rsidRDefault="00A77B3E">
      <w:pPr>
        <w:spacing w:line="360" w:lineRule="auto"/>
        <w:jc w:val="both"/>
      </w:pPr>
    </w:p>
    <w:p w14:paraId="1B068BD1" w14:textId="77777777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52E9C3A" w14:textId="603E6FA5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Dekker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Vleugels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Wallace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394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1467-1480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31631858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10.1016/S0140-6736(19)32319-0]</w:t>
      </w:r>
    </w:p>
    <w:p w14:paraId="482C4BF7" w14:textId="02CFF99F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361-373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31693304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10.1002/cam4.2673]</w:t>
      </w:r>
    </w:p>
    <w:p w14:paraId="666B15F9" w14:textId="079086A6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Tie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Gibbs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Lipton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Christie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Jorissen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Burgess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Croxford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Langland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Kosmider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McKay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Bollag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Nolop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Sieber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BRAF(V600E)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128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2075-2084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20635392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10.1002/ijc.25555]</w:t>
      </w:r>
    </w:p>
    <w:p w14:paraId="3536EA18" w14:textId="5DEEA6DB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Corcoran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RB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Ebi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Turke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Cogdill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Della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Pelle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Dias-</w:t>
      </w:r>
      <w:proofErr w:type="spellStart"/>
      <w:r>
        <w:rPr>
          <w:rFonts w:ascii="Book Antiqua" w:eastAsia="Book Antiqua" w:hAnsi="Book Antiqua" w:cs="Book Antiqua"/>
          <w:color w:val="000000"/>
        </w:rPr>
        <w:t>Santagata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Flaherty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Piris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Wargo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Settleman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Mino-</w:t>
      </w:r>
      <w:proofErr w:type="spellStart"/>
      <w:r>
        <w:rPr>
          <w:rFonts w:ascii="Book Antiqua" w:eastAsia="Book Antiqua" w:hAnsi="Book Antiqua" w:cs="Book Antiqua"/>
          <w:color w:val="000000"/>
        </w:rPr>
        <w:t>Kenudson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Engelman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EGFR-mediated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re-activation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insensitivity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vemurafenib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227-235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22448344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10.1158/2159-8290.CD-11-0341]</w:t>
      </w:r>
    </w:p>
    <w:p w14:paraId="16BF5F22" w14:textId="3F22BE67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Prahallad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Nicolantonio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Salazar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Zecchin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Beijersbergen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Bardelli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Bernards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Unresponsiveness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BRAF(V600E)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483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100-103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22281684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10.1038/nature10868]</w:t>
      </w:r>
    </w:p>
    <w:p w14:paraId="46B1489C" w14:textId="51CFC5E1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Corcoran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RB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André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Atreya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Schellens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Bendell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Hollebecque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McRee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Siena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Middleton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Muro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Tabernero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Yaeger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O'Dwyer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Humblet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Brase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Jaeger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Bettinger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Mookerjee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Rangwala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V600E</w:t>
      </w:r>
      <w:r>
        <w:rPr>
          <w:rFonts w:ascii="Book Antiqua" w:eastAsia="Book Antiqua" w:hAnsi="Book Antiqua" w:cs="Book Antiqua"/>
          <w:color w:val="000000"/>
        </w:rPr>
        <w:t>-Mutant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428-443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29431699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10.1158/2159-8290.CD-17-1226]</w:t>
      </w:r>
    </w:p>
    <w:p w14:paraId="1A3B576D" w14:textId="19AE2A70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Kopetz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Grothey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Yaeger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Wasan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Ciardiello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Loupakis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Steeghs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Guren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Arkenau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Garcia-Alfonso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Pfeiffer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Orlov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Lonardi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Elez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Schellens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Dekervel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Calvo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Ferrandiz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Tarpgaard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Braun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Gollerkeri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Keir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Maharry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Pickard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Christy-</w:t>
      </w:r>
      <w:proofErr w:type="spellStart"/>
      <w:r>
        <w:rPr>
          <w:rFonts w:ascii="Book Antiqua" w:eastAsia="Book Antiqua" w:hAnsi="Book Antiqua" w:cs="Book Antiqua"/>
          <w:color w:val="000000"/>
        </w:rPr>
        <w:t>Bittel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Sandor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Tabernero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Encorafenib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Binimetinib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V600E-Mutated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381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1632-1643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31566309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10.1056/NEJMoa1908075]</w:t>
      </w:r>
    </w:p>
    <w:p w14:paraId="7195A066" w14:textId="7921FC3E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Yonesaka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Zejnullahu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Cappuzzo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Souglakos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Ercan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Rogers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Roncalli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Fujisaka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Philips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Maenishi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Destro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Taira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Okabe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Swanson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Itoh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Takada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Lifshits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Engelman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Shivdasani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Nishio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Fukuoka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Varella</w:t>
      </w:r>
      <w:proofErr w:type="spellEnd"/>
      <w:r>
        <w:rPr>
          <w:rFonts w:ascii="Book Antiqua" w:eastAsia="Book Antiqua" w:hAnsi="Book Antiqua" w:cs="Book Antiqua"/>
          <w:color w:val="000000"/>
        </w:rPr>
        <w:t>-Garcia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Nakagawa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Jänne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EGFR-directed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99ra86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21900593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10.1126/scitranslmed.3002442]</w:t>
      </w:r>
    </w:p>
    <w:p w14:paraId="143764EA" w14:textId="1A3AD6CA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Barresi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Privitera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Musso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Caruso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Condorelli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Castorina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trastuzumab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Prolif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435-447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25131935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10.1111/cpr.12125]</w:t>
      </w:r>
    </w:p>
    <w:p w14:paraId="2C27223A" w14:textId="04AB9ADC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Ramanathan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RK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Zamboni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Sinicrope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Safran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Brufsky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Troetschel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Walko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HX,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Finkelstein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HER-2/</w:t>
      </w:r>
      <w:proofErr w:type="spellStart"/>
      <w:r>
        <w:rPr>
          <w:rFonts w:ascii="Book Antiqua" w:eastAsia="Book Antiqua" w:hAnsi="Book Antiqua" w:cs="Book Antiqua"/>
          <w:color w:val="000000"/>
        </w:rPr>
        <w:t>neu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trastuzumab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(Herceptin)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irinotecan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858-865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15641483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10.1081/cnv-200039645]</w:t>
      </w:r>
    </w:p>
    <w:p w14:paraId="7458CDE7" w14:textId="2BF2CE8E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Meric-Bernstam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Hurwitz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Raghav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McWilliams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Fakih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VanderWalde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Swanton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Kurzrock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Burris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Sweeney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Spigel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Beattie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Blotner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Schulze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Cuchelkar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Hainsworth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trastuzumab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HER2-amplified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MyPathway</w:t>
      </w:r>
      <w:proofErr w:type="spellEnd"/>
      <w:r>
        <w:rPr>
          <w:rFonts w:ascii="Book Antiqua" w:eastAsia="Book Antiqua" w:hAnsi="Book Antiqua" w:cs="Book Antiqua"/>
          <w:color w:val="000000"/>
        </w:rPr>
        <w:t>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basket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518-530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30857956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10.1016/S1470-2045(18)30904-5]</w:t>
      </w:r>
    </w:p>
    <w:p w14:paraId="0DE01806" w14:textId="72DF80A9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YH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Transduct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32296018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10.1038/s41392-020-0116-z]</w:t>
      </w:r>
    </w:p>
    <w:p w14:paraId="69065074" w14:textId="4D59BC95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Gacche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RN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Assaraf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YG.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angiogenic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Resist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Updat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47-76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29499837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10.1016/j.drup.2018.01.002]</w:t>
      </w:r>
    </w:p>
    <w:p w14:paraId="32496DC6" w14:textId="3F577D3E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Sullivan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RJ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Infante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Janku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Sosman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Keedy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Shapiro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Tolcher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Wang-</w:t>
      </w:r>
      <w:proofErr w:type="spellStart"/>
      <w:r>
        <w:rPr>
          <w:rFonts w:ascii="Book Antiqua" w:eastAsia="Book Antiqua" w:hAnsi="Book Antiqua" w:cs="Book Antiqua"/>
          <w:color w:val="000000"/>
        </w:rPr>
        <w:t>Gillam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Sznol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Flaherty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Buchbinder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Carvajal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Varghese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Lacouture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Ribas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DeCrescenzo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Groover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Varterasian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Welsch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Hyman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First-in-Class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Ulixertinib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(BVD-523)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Dose-Escalation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184-195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29247021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10.1158/2159-8290.CD-17-1119]</w:t>
      </w:r>
    </w:p>
    <w:p w14:paraId="46051388" w14:textId="21745359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Nowak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yet?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485-502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32773196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10.1016/j.path.2020.05.007]</w:t>
      </w:r>
    </w:p>
    <w:p w14:paraId="4BCB10A3" w14:textId="7F7AA231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Sartore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-Bianchi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Trusolino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Bencardino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Lonardi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Bergamo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Zagonel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Depetris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Martinelli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Troiani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Ciardiello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Racca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Bertotti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Siravegna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Torri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Amatu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Ghezzi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Marrapese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Palmeri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Valtorta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Cassingena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Lauricella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Vanzulli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Regge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Veronese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Comoglio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Bardelli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Marsoni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Siena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trastuzumab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lapatinib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treatment-refractory,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12/13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HER2-positive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(HERACLES):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proof-of-concept,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738-746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27108243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10.1016/S1470-2045(16)00150-9]</w:t>
      </w:r>
    </w:p>
    <w:p w14:paraId="484A1AF3" w14:textId="5573B94C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Strickler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B150A4">
        <w:rPr>
          <w:rFonts w:ascii="Book Antiqua" w:eastAsia="Book Antiqua" w:hAnsi="Book Antiqua" w:cs="Book Antiqua"/>
          <w:bCs/>
          <w:color w:val="000000"/>
        </w:rPr>
        <w:t>,</w:t>
      </w:r>
      <w:r w:rsidR="00F00A3C" w:rsidRPr="00B150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Zemla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Cercek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Hubbard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Jaszewski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Bandel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Schweitzer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Niedzwiecki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Kemeny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Bekaii</w:t>
      </w:r>
      <w:proofErr w:type="spellEnd"/>
      <w:r>
        <w:rPr>
          <w:rFonts w:ascii="Book Antiqua" w:eastAsia="Book Antiqua" w:hAnsi="Book Antiqua" w:cs="Book Antiqua"/>
          <w:color w:val="000000"/>
        </w:rPr>
        <w:t>-Saab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Trastuzumab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tucatinib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MOUNTAINEER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Pr="00265D87">
        <w:rPr>
          <w:rFonts w:ascii="Book Antiqua" w:eastAsia="Book Antiqua" w:hAnsi="Book Antiqua" w:cs="Book Antiqua"/>
          <w:i/>
          <w:color w:val="000000"/>
        </w:rPr>
        <w:t>Ann</w:t>
      </w:r>
      <w:r w:rsidR="00F00A3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265D87">
        <w:rPr>
          <w:rFonts w:ascii="Book Antiqua" w:eastAsia="Book Antiqua" w:hAnsi="Book Antiqua" w:cs="Book Antiqua"/>
          <w:i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Pr="00265D87">
        <w:rPr>
          <w:rFonts w:ascii="Book Antiqua" w:eastAsia="Book Antiqua" w:hAnsi="Book Antiqua" w:cs="Book Antiqua"/>
          <w:b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V200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/mdz246.005]</w:t>
      </w:r>
    </w:p>
    <w:p w14:paraId="5DF8BF08" w14:textId="00A546E6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Sartore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-Bianchi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Lonardi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Fenocchio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Ghezzi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Bergamo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Zagonel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Ciardiello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Ardizzoni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Amatu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Bencardino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Valtorta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Grassi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Torri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Bonoldi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Sapino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Vanzulli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Regge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Cappello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Bardelli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Trusolino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Marsoni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Siena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trastuzumab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emtansine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HER2-amplified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HERACLES-B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ESMO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e000911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32988996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10.1136/esmoopen-2020-000911]</w:t>
      </w:r>
    </w:p>
    <w:p w14:paraId="2AC57F2F" w14:textId="292C0415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1635-1645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25482937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10.4161/15384047.2014.964087]</w:t>
      </w:r>
    </w:p>
    <w:p w14:paraId="75ACE96A" w14:textId="053DD76D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Zhong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FRESCO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319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2486-2496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29946728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10.1001/jama.2018.7855]</w:t>
      </w:r>
    </w:p>
    <w:p w14:paraId="05838252" w14:textId="12312AEA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Pfeiffer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Yilmaz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Möller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Zitnjak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Krogh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Poulsen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LØ,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Winther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Thomsen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Qvortrup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TAS-102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bevacizumab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chemorefractory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investigator-initiated,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412-420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31999946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10.1016/S1470-2045(19)30827-7]</w:t>
      </w:r>
    </w:p>
    <w:p w14:paraId="212B2C2D" w14:textId="3353B053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Arnold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CN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Goel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Compton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Niedzwiecki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Dowell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Wasserman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Inoue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Bertagnolli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hMLH1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hMLH1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hypermethylation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73-78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14726676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10.4161/cbt.3.1.590]</w:t>
      </w:r>
    </w:p>
    <w:p w14:paraId="104A9085" w14:textId="5E75DF74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André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Jensen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Jensen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Garcia-</w:t>
      </w:r>
      <w:proofErr w:type="spellStart"/>
      <w:r>
        <w:rPr>
          <w:rFonts w:ascii="Book Antiqua" w:eastAsia="Book Antiqua" w:hAnsi="Book Antiqua" w:cs="Book Antiqua"/>
          <w:color w:val="000000"/>
        </w:rPr>
        <w:t>Carbonero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Benavides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Gibbs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Fouchardiere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Elez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Bendell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Farooqui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MZH,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Marinello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Diaz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Jr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KEYNOTE-177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Pembrolizumab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Microsatellite-Instability-High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383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2207-2218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33264544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10.1056/NEJMoa2017699]</w:t>
      </w:r>
    </w:p>
    <w:p w14:paraId="1796ED73" w14:textId="06D7CA9E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Overman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Lonardi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Lenz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Gelsomino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Aglietta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McDermott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Sawyer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Hendlisz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Neyns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Svrcek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Ledeine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Kamble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Kopetz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André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Durable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Ipilimumab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Repair-Deficient/Microsatellite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Instability-High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773-779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29355075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10.1200/JCO.2017.76.9901]</w:t>
      </w:r>
    </w:p>
    <w:p w14:paraId="142011EC" w14:textId="5DD27139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anti-angiogenesis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30925919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10.1186/s12943-019-0974-6]</w:t>
      </w:r>
    </w:p>
    <w:p w14:paraId="2D5C469B" w14:textId="29B35877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Fukuoka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Kojima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Kawazoe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Asayama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Kotani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Tamura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Mikamoto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Wakabayashi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Nomura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Togashi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Nishikawa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Regorafenib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Dose-Escalation,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Dose-Expansion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(REGONIVO,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EPOC1603).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2053-2061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32343640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10.1200/JCO.19.03296]</w:t>
      </w:r>
    </w:p>
    <w:p w14:paraId="480D60CE" w14:textId="6984CE0E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Cousin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Cantarel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Guegan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Gomez-Roca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Metges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Adenis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Pernot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Bellera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Auzanneau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Loarer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Soubeyran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Bessede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Italiano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Regorafenib-Avelumab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(REGOMUNE):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Single-arm,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2139-2147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33495314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10.1158/1078-0432.CCR-20-3416]</w:t>
      </w:r>
    </w:p>
    <w:p w14:paraId="44479707" w14:textId="5EE5D047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Antoniotti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Borelli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Rossini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Pietrantonio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Morano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Salvatore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Lonardi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Marmorino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Tamberi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Corallo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Tortora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Bergamo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Brunella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Boccaccino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Grassi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Racca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Tamburini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Aprile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Moretto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Falcone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Cremolini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AtezoTRIBE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FOLFOXIRI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bevacizumab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atezolizumab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unresectable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32698790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10.1186/s12885-020-07169-6]</w:t>
      </w:r>
    </w:p>
    <w:p w14:paraId="0979B95E" w14:textId="55F9E223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Martinelli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Troiani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Pietrantonio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Avallone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Normanno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Nappi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Maiello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Falcone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Santabarbara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Santini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Ciardiello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Terminiello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Borrelli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Napolitano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Famiglietti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Esposito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Ciardiello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Avelumab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pre-treated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rechallenge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cetuximab-avelumab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Pr="00265D87">
        <w:rPr>
          <w:rFonts w:ascii="Book Antiqua" w:eastAsia="Book Antiqua" w:hAnsi="Book Antiqua" w:cs="Book Antiqua"/>
          <w:i/>
          <w:color w:val="000000"/>
        </w:rPr>
        <w:t>Ann</w:t>
      </w:r>
      <w:r w:rsidR="00F00A3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265D87">
        <w:rPr>
          <w:rFonts w:ascii="Book Antiqua" w:eastAsia="Book Antiqua" w:hAnsi="Book Antiqua" w:cs="Book Antiqua"/>
          <w:i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Pr="00265D87">
        <w:rPr>
          <w:rFonts w:ascii="Book Antiqua" w:eastAsia="Book Antiqua" w:hAnsi="Book Antiqua" w:cs="Book Antiqua"/>
          <w:b/>
          <w:color w:val="000000"/>
        </w:rPr>
        <w:t>31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(suppl_4):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S409-S461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10.1016/j.annonc.2020.08.508]</w:t>
      </w:r>
    </w:p>
    <w:p w14:paraId="1DC90C1D" w14:textId="367E30BF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Frampton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GM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Fichtenholtz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Schnall</w:t>
      </w:r>
      <w:proofErr w:type="spellEnd"/>
      <w:r>
        <w:rPr>
          <w:rFonts w:ascii="Book Antiqua" w:eastAsia="Book Antiqua" w:hAnsi="Book Antiqua" w:cs="Book Antiqua"/>
          <w:color w:val="000000"/>
        </w:rPr>
        <w:t>-Levin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Sanford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Juhn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Brennan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Iwanik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Maillet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Buell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Balasubramanian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Terzic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Banning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Mahoney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Zwirko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Donahue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Beltran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Mosquera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Dogan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Hedvat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Pusztai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Lechner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Boshoff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Jarosz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Vietz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Stephens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Lipson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Yelensky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1023-1031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24142049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10.1038/nbt.2696]</w:t>
      </w:r>
    </w:p>
    <w:p w14:paraId="44E27A85" w14:textId="33FDB4C1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Mosele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Remon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Westphalen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Barlesi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Lolkema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Normanno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Scarpa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Robson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Meric-Bernstam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Wagle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Stenzinger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Bonastre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Michiels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Bièche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Rouleau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Jezdic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Douillard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Reis-</w:t>
      </w:r>
      <w:proofErr w:type="spellStart"/>
      <w:r>
        <w:rPr>
          <w:rFonts w:ascii="Book Antiqua" w:eastAsia="Book Antiqua" w:hAnsi="Book Antiqua" w:cs="Book Antiqua"/>
          <w:color w:val="000000"/>
        </w:rPr>
        <w:t>Filho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Dienstmann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André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ESMO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Pr="00265D87">
        <w:rPr>
          <w:rFonts w:ascii="Book Antiqua" w:eastAsia="Book Antiqua" w:hAnsi="Book Antiqua" w:cs="Book Antiqua"/>
          <w:i/>
          <w:color w:val="000000"/>
        </w:rPr>
        <w:t>Ann</w:t>
      </w:r>
      <w:r w:rsidR="00F00A3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265D87">
        <w:rPr>
          <w:rFonts w:ascii="Book Antiqua" w:eastAsia="Book Antiqua" w:hAnsi="Book Antiqua" w:cs="Book Antiqua"/>
          <w:i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10.1016/j.annonc.2020.07.014]</w:t>
      </w:r>
    </w:p>
    <w:p w14:paraId="3F830CD2" w14:textId="2556E2B5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Ciardiello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Normanno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Maiello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Martinelli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Troiani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Pisconti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Giuliani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Barone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Cartenì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Rachiglio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Montesarchio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Tonini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Rizzi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Cinieri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Bordonaro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Febbraro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Orditura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Fenizia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Lambiase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Rinaldi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Tatangelo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Botti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Colucci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CAPRI-GOIM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1756-1761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24942275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/mdu230]</w:t>
      </w:r>
    </w:p>
    <w:p w14:paraId="218F993A" w14:textId="52B9E8C8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Del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Vecchio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Mastroiaco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Compagnoni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Capece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Zazzeroni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Capalbo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Alesse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Tessitore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29221448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10.1186/s12967-017-1353-y]</w:t>
      </w:r>
    </w:p>
    <w:p w14:paraId="1CF5FDBF" w14:textId="64DE0B42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Innocenti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Rashid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Wancen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Denning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Bertagnolli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Blanke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Venook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Kabbarah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4878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mCRC</w:t>
      </w:r>
      <w:proofErr w:type="spellEnd"/>
      <w:r>
        <w:rPr>
          <w:rFonts w:ascii="Book Antiqua" w:eastAsia="Book Antiqua" w:hAnsi="Book Antiqua" w:cs="Book Antiqua"/>
          <w:color w:val="000000"/>
        </w:rPr>
        <w:t>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(Alliance).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Pr="00265D87">
        <w:rPr>
          <w:rFonts w:ascii="Book Antiqua" w:eastAsia="Book Antiqua" w:hAnsi="Book Antiqua" w:cs="Book Antiqua"/>
          <w:i/>
          <w:color w:val="000000"/>
        </w:rPr>
        <w:t>Ann</w:t>
      </w:r>
      <w:r w:rsidR="00F00A3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265D87">
        <w:rPr>
          <w:rFonts w:ascii="Book Antiqua" w:eastAsia="Book Antiqua" w:hAnsi="Book Antiqua" w:cs="Book Antiqua"/>
          <w:i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Pr="00265D87">
        <w:rPr>
          <w:rFonts w:ascii="Book Antiqua" w:eastAsia="Book Antiqua" w:hAnsi="Book Antiqua" w:cs="Book Antiqua"/>
          <w:b/>
          <w:color w:val="000000"/>
        </w:rPr>
        <w:t>30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(suppl_5):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v198-v252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/mdz246]</w:t>
      </w:r>
    </w:p>
    <w:p w14:paraId="24143A4A" w14:textId="42AA1315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Neumann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Zeindl-Eberhart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Kirchner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205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858-862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19679400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10.1016/j.prp.2009.07.010]</w:t>
      </w:r>
    </w:p>
    <w:p w14:paraId="370D01AC" w14:textId="7703B668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Nagasaka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Sukari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Hallak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Azmi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G12C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Thrones,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throne?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84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101974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32014824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10.1016/j.ctrv.2020.101974]</w:t>
      </w:r>
    </w:p>
    <w:p w14:paraId="090606B1" w14:textId="7EA4935C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DS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Fakih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Strickler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Durm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Shapiro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Falchook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Sacher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Denlinger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Krauss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Kuboki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Coveler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Barlesi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Munster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Ramalingam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Meric-Bernstam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Henary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Ngang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Ngarmchamnanrith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Houk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Lipford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Friberg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Lito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Govindan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G12C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Sotorasib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383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1207-1217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32955176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10.1056/NEJMoa1917239]</w:t>
      </w:r>
    </w:p>
    <w:p w14:paraId="473B7AA9" w14:textId="4501E95C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Amodio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Yaeger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Arcella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Cancelliere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Lamba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Lorenzato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Arena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Montone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Mussolin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Whaley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Pinnelli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Murciano-Goroff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Vakiani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Valeri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Bhalkikar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Thyparambil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Stanchina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Marsoni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Siena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Bertotti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Trusolino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Nicolantonio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Bardelli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Misale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EGFR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G12C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1129-1139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32430388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10.1158/2159-8290.CD-20-0187]</w:t>
      </w:r>
    </w:p>
    <w:p w14:paraId="4FDD6E60" w14:textId="6DE2B3D3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248-255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26715098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10.1002/cam4.591]</w:t>
      </w:r>
    </w:p>
    <w:p w14:paraId="7CE02F90" w14:textId="662B2833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Okamura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Boichard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Sicklick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Bazhenova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Kurzrock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NTRK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Pan-Cancer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NTRK-Targeted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JCO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Precis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30637364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10.1200/PO.18.00183]</w:t>
      </w:r>
    </w:p>
    <w:p w14:paraId="3F8DAD96" w14:textId="2015DCCA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Pietrantonio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Nicolantonio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Schrock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Tejpar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Sartore</w:t>
      </w:r>
      <w:proofErr w:type="spellEnd"/>
      <w:r>
        <w:rPr>
          <w:rFonts w:ascii="Book Antiqua" w:eastAsia="Book Antiqua" w:hAnsi="Book Antiqua" w:cs="Book Antiqua"/>
          <w:color w:val="000000"/>
        </w:rPr>
        <w:t>-Bianchi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Hechtman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Christiansen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Novara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Tebbutt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Fucà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Antoniotti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Murphy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Berenato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Morano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Stephens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Lazzari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Shoemaker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Amatu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Milione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Siena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Bardelli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Falcone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Braud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Cremolini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ROS1,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Rearrangements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Natl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Inst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29370427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jnci</w:t>
      </w:r>
      <w:proofErr w:type="spellEnd"/>
      <w:r>
        <w:rPr>
          <w:rFonts w:ascii="Book Antiqua" w:eastAsia="Book Antiqua" w:hAnsi="Book Antiqua" w:cs="Book Antiqua"/>
          <w:color w:val="000000"/>
        </w:rPr>
        <w:t>/djx089]</w:t>
      </w:r>
    </w:p>
    <w:p w14:paraId="39491A26" w14:textId="63F61A7D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Drilon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Laetsch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Kummar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DuBois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Demetri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Nathenson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Doebele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Farago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Pappo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Turpin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Dowlati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Mascarenhas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Federman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</w:rPr>
        <w:t>Deiry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Baik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Deeken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Nagasubramanian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Rudzinski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Meric-Bernstam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Sohal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Raez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Hechtman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Benayed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Tuch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Ebata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Cruickshank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Hawkins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Hyman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Fusion-Positive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378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731-739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29466156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10.1056/NEJMoa1714448]</w:t>
      </w:r>
    </w:p>
    <w:p w14:paraId="447D08A9" w14:textId="0CA53C33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Houang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Toon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Clarkson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Sioson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Immunohistochem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Morphol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134-138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24992173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10.1097/PAI.0000000000000025]</w:t>
      </w:r>
    </w:p>
    <w:p w14:paraId="0BC2019B" w14:textId="6D29A54E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44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Rolle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Klempner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Garrett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Seery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Sanford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Balasubramanian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Stephens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28929-28937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26078337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10.18632/oncotarget.4325]</w:t>
      </w:r>
    </w:p>
    <w:p w14:paraId="1594895E" w14:textId="3A019005" w:rsidR="00E207F5" w:rsidRDefault="000217C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45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Pietrantonio</w:t>
      </w:r>
      <w:proofErr w:type="spellEnd"/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Nicolantonio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Schrock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Morano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Fucà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Nikolinakos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Drilon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Hechtman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Christiansen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Gowen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Frampton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Gasparini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Rossini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Gigliotti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Prisciandaro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Hodgson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Zaniboni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Milione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Bardelli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Novara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Pupa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Sozzi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Bartolomeo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Bertotti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Trusolino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Falcone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Braud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Cremolini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neglected.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00A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1394-1401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29538669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/mdy090]</w:t>
      </w:r>
    </w:p>
    <w:p w14:paraId="146B19D2" w14:textId="77777777" w:rsidR="002710F2" w:rsidRDefault="002710F2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1E870A6" w14:textId="68FEDCD7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D365E01" w14:textId="1B65CFD2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declare.</w:t>
      </w:r>
    </w:p>
    <w:p w14:paraId="59C14B11" w14:textId="77777777" w:rsidR="00A77B3E" w:rsidRDefault="00A77B3E">
      <w:pPr>
        <w:spacing w:line="360" w:lineRule="auto"/>
        <w:jc w:val="both"/>
      </w:pPr>
    </w:p>
    <w:p w14:paraId="6769AB02" w14:textId="309DABD9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BD251C7" w14:textId="77777777" w:rsidR="00A77B3E" w:rsidRDefault="00A77B3E">
      <w:pPr>
        <w:spacing w:line="360" w:lineRule="auto"/>
        <w:jc w:val="both"/>
      </w:pPr>
    </w:p>
    <w:p w14:paraId="7B955E79" w14:textId="77777777" w:rsidR="00AE5EA0" w:rsidRDefault="00AE5EA0" w:rsidP="00AE5EA0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Provenance and peer review: </w:t>
      </w:r>
      <w:r>
        <w:rPr>
          <w:rFonts w:ascii="Book Antiqua" w:hAnsi="Book Antiqua"/>
          <w:bCs/>
        </w:rPr>
        <w:t xml:space="preserve">Invited article; </w:t>
      </w:r>
      <w:proofErr w:type="gramStart"/>
      <w:r>
        <w:rPr>
          <w:rFonts w:ascii="Book Antiqua" w:hAnsi="Book Antiqua"/>
          <w:bCs/>
        </w:rPr>
        <w:t>Externally</w:t>
      </w:r>
      <w:proofErr w:type="gramEnd"/>
      <w:r>
        <w:rPr>
          <w:rFonts w:ascii="Book Antiqua" w:hAnsi="Book Antiqua"/>
          <w:bCs/>
        </w:rPr>
        <w:t xml:space="preserve"> peer reviewed.</w:t>
      </w:r>
    </w:p>
    <w:p w14:paraId="1E4DA4E7" w14:textId="77777777" w:rsidR="00A77B3E" w:rsidRDefault="00A77B3E">
      <w:pPr>
        <w:spacing w:line="360" w:lineRule="auto"/>
        <w:jc w:val="both"/>
      </w:pPr>
    </w:p>
    <w:p w14:paraId="23BBF07C" w14:textId="6A5B1404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C059238" w14:textId="2BF8AB92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CC771FD" w14:textId="5C111649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46B7">
        <w:rPr>
          <w:rFonts w:ascii="Book Antiqua" w:eastAsia="Book Antiqua" w:hAnsi="Book Antiqua" w:cs="Book Antiqua"/>
          <w:color w:val="000000"/>
        </w:rPr>
        <w:t>September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D46B7">
        <w:rPr>
          <w:rFonts w:ascii="Book Antiqua" w:eastAsia="Book Antiqua" w:hAnsi="Book Antiqua" w:cs="Book Antiqua"/>
          <w:color w:val="000000"/>
        </w:rPr>
        <w:t>8,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 w:rsidR="000D46B7">
        <w:rPr>
          <w:rFonts w:ascii="Book Antiqua" w:eastAsia="Book Antiqua" w:hAnsi="Book Antiqua" w:cs="Book Antiqua"/>
          <w:color w:val="000000"/>
        </w:rPr>
        <w:t>2021</w:t>
      </w:r>
    </w:p>
    <w:p w14:paraId="0A6CFCA9" w14:textId="77777777" w:rsidR="00A77B3E" w:rsidRDefault="00A77B3E">
      <w:pPr>
        <w:spacing w:line="360" w:lineRule="auto"/>
        <w:jc w:val="both"/>
      </w:pPr>
    </w:p>
    <w:p w14:paraId="12259BB7" w14:textId="7A4CDBF4" w:rsidR="00A77B3E" w:rsidRPr="00F3002D" w:rsidRDefault="000217CA">
      <w:pPr>
        <w:spacing w:line="360" w:lineRule="auto"/>
        <w:jc w:val="both"/>
        <w:rPr>
          <w:rFonts w:hint="eastAsi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bookmarkStart w:id="0" w:name="_GoBack"/>
      <w:bookmarkEnd w:id="0"/>
    </w:p>
    <w:p w14:paraId="47D3776C" w14:textId="12076633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6995011" w14:textId="23EA0FDF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2A149E3" w14:textId="4B3B1D44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09C354C" w14:textId="50FB791D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3B5886B" w14:textId="63D19691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63F2240" w14:textId="5F4C8F05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F11BFA0" w14:textId="737098F4" w:rsidR="00A77B3E" w:rsidRDefault="000217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6F136D0" w14:textId="77777777" w:rsidR="00A77B3E" w:rsidRDefault="00A77B3E">
      <w:pPr>
        <w:spacing w:line="360" w:lineRule="auto"/>
        <w:jc w:val="both"/>
      </w:pPr>
    </w:p>
    <w:p w14:paraId="5610BCA0" w14:textId="60D5D467" w:rsidR="000D46B7" w:rsidRPr="002710F2" w:rsidRDefault="000217C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Mirallas</w:t>
      </w:r>
      <w:proofErr w:type="spellEnd"/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Sano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F00A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46B7" w:rsidRPr="000D46B7">
        <w:rPr>
          <w:rFonts w:ascii="Book Antiqua" w:eastAsia="Book Antiqua" w:hAnsi="Book Antiqua" w:cs="Book Antiqua"/>
          <w:bCs/>
          <w:color w:val="000000"/>
        </w:rPr>
        <w:t>A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46B7" w:rsidRPr="000D46B7">
        <w:rPr>
          <w:rFonts w:ascii="Book Antiqua" w:eastAsia="Book Antiqua" w:hAnsi="Book Antiqua" w:cs="Book Antiqua"/>
          <w:bCs/>
          <w:color w:val="000000"/>
        </w:rPr>
        <w:t>Li</w:t>
      </w:r>
      <w:r w:rsidR="00F00A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D46B7" w:rsidRPr="000D46B7">
        <w:rPr>
          <w:rFonts w:ascii="Book Antiqua" w:eastAsia="Book Antiqua" w:hAnsi="Book Antiqua" w:cs="Book Antiqua"/>
          <w:bCs/>
          <w:color w:val="000000"/>
        </w:rPr>
        <w:t>X</w:t>
      </w:r>
    </w:p>
    <w:p w14:paraId="3CC7FE8A" w14:textId="77777777" w:rsidR="002710F2" w:rsidRDefault="002710F2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7893C07" w14:textId="06426922" w:rsidR="00A77B3E" w:rsidRDefault="000217C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00A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6D0A618" w14:textId="77777777" w:rsidR="00265D87" w:rsidRPr="00265D87" w:rsidRDefault="000D111A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2210960E" wp14:editId="71596502">
            <wp:extent cx="4330923" cy="3397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923" cy="33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015FB" w14:textId="4403CCD5" w:rsidR="000D46B7" w:rsidRDefault="000217CA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Main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resistance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targeted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metastatic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5D87">
        <w:rPr>
          <w:rFonts w:ascii="Book Antiqua" w:eastAsia="Book Antiqua" w:hAnsi="Book Antiqua" w:cs="Book Antiqua"/>
          <w:b/>
          <w:bCs/>
          <w:color w:val="000000"/>
        </w:rPr>
        <w:t>co</w:t>
      </w:r>
      <w:r>
        <w:rPr>
          <w:rFonts w:ascii="Book Antiqua" w:eastAsia="Book Antiqua" w:hAnsi="Book Antiqua" w:cs="Book Antiqua"/>
          <w:b/>
          <w:bCs/>
          <w:color w:val="000000"/>
        </w:rPr>
        <w:t>lorectal</w:t>
      </w:r>
      <w:r w:rsidR="00F00A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F00A3C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463EEA" w:rsidRPr="00463EEA">
        <w:rPr>
          <w:rFonts w:ascii="Book Antiqua" w:hAnsi="Book Antiqua" w:cs="Book Antiqua" w:hint="eastAsia"/>
          <w:bCs/>
          <w:color w:val="000000"/>
          <w:lang w:eastAsia="zh-CN"/>
        </w:rPr>
        <w:t>EGFR:</w:t>
      </w:r>
      <w:r w:rsidR="00F00A3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63EEA" w:rsidRPr="00463EEA">
        <w:rPr>
          <w:rFonts w:ascii="Book Antiqua" w:hAnsi="Book Antiqua" w:cs="Book Antiqua"/>
          <w:bCs/>
          <w:caps/>
          <w:color w:val="000000"/>
          <w:lang w:eastAsia="zh-CN"/>
        </w:rPr>
        <w:t>e</w:t>
      </w:r>
      <w:r w:rsidR="00463EEA" w:rsidRPr="00463EEA">
        <w:rPr>
          <w:rFonts w:ascii="Book Antiqua" w:hAnsi="Book Antiqua" w:cs="Book Antiqua"/>
          <w:bCs/>
          <w:color w:val="000000"/>
          <w:lang w:eastAsia="zh-CN"/>
        </w:rPr>
        <w:t>pidermal</w:t>
      </w:r>
      <w:r w:rsidR="00F00A3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63EEA" w:rsidRPr="00463EEA">
        <w:rPr>
          <w:rFonts w:ascii="Book Antiqua" w:hAnsi="Book Antiqua" w:cs="Book Antiqua"/>
          <w:bCs/>
          <w:color w:val="000000"/>
          <w:lang w:eastAsia="zh-CN"/>
        </w:rPr>
        <w:t>growth</w:t>
      </w:r>
      <w:r w:rsidR="00F00A3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63EEA" w:rsidRPr="00463EEA">
        <w:rPr>
          <w:rFonts w:ascii="Book Antiqua" w:hAnsi="Book Antiqua" w:cs="Book Antiqua"/>
          <w:bCs/>
          <w:color w:val="000000"/>
          <w:lang w:eastAsia="zh-CN"/>
        </w:rPr>
        <w:t>factor</w:t>
      </w:r>
      <w:r w:rsidR="00F00A3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63EEA" w:rsidRPr="00463EEA">
        <w:rPr>
          <w:rFonts w:ascii="Book Antiqua" w:hAnsi="Book Antiqua" w:cs="Book Antiqua"/>
          <w:bCs/>
          <w:color w:val="000000"/>
          <w:lang w:eastAsia="zh-CN"/>
        </w:rPr>
        <w:t>receptor</w:t>
      </w:r>
      <w:r w:rsidR="00463EEA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F00A3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63EEA">
        <w:rPr>
          <w:rFonts w:ascii="Book Antiqua" w:hAnsi="Book Antiqua" w:cs="Book Antiqua" w:hint="eastAsia"/>
          <w:bCs/>
          <w:color w:val="000000"/>
          <w:lang w:eastAsia="zh-CN"/>
        </w:rPr>
        <w:t>VEGF:</w:t>
      </w:r>
      <w:r w:rsidR="00F00A3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63EEA" w:rsidRPr="00463EEA">
        <w:rPr>
          <w:rFonts w:ascii="Book Antiqua" w:hAnsi="Book Antiqua" w:cs="Book Antiqua"/>
          <w:bCs/>
          <w:caps/>
          <w:color w:val="000000"/>
          <w:lang w:eastAsia="zh-CN"/>
        </w:rPr>
        <w:t>v</w:t>
      </w:r>
      <w:r w:rsidR="00463EEA" w:rsidRPr="00463EEA">
        <w:rPr>
          <w:rFonts w:ascii="Book Antiqua" w:hAnsi="Book Antiqua" w:cs="Book Antiqua"/>
          <w:bCs/>
          <w:color w:val="000000"/>
          <w:lang w:eastAsia="zh-CN"/>
        </w:rPr>
        <w:t>ascular</w:t>
      </w:r>
      <w:r w:rsidR="00F00A3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63EEA" w:rsidRPr="00463EEA">
        <w:rPr>
          <w:rFonts w:ascii="Book Antiqua" w:hAnsi="Book Antiqua" w:cs="Book Antiqua"/>
          <w:bCs/>
          <w:color w:val="000000"/>
          <w:lang w:eastAsia="zh-CN"/>
        </w:rPr>
        <w:t>endothelial</w:t>
      </w:r>
      <w:r w:rsidR="00F00A3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63EEA" w:rsidRPr="00463EEA">
        <w:rPr>
          <w:rFonts w:ascii="Book Antiqua" w:hAnsi="Book Antiqua" w:cs="Book Antiqua"/>
          <w:bCs/>
          <w:color w:val="000000"/>
          <w:lang w:eastAsia="zh-CN"/>
        </w:rPr>
        <w:t>growth</w:t>
      </w:r>
      <w:r w:rsidR="00F00A3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63EEA" w:rsidRPr="00463EEA">
        <w:rPr>
          <w:rFonts w:ascii="Book Antiqua" w:hAnsi="Book Antiqua" w:cs="Book Antiqua"/>
          <w:bCs/>
          <w:color w:val="000000"/>
          <w:lang w:eastAsia="zh-CN"/>
        </w:rPr>
        <w:t>factor</w:t>
      </w:r>
      <w:r w:rsidR="00463EEA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F00A3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63EEA">
        <w:rPr>
          <w:rFonts w:ascii="Book Antiqua" w:hAnsi="Book Antiqua" w:cs="Book Antiqua" w:hint="eastAsia"/>
          <w:bCs/>
          <w:color w:val="000000"/>
          <w:lang w:eastAsia="zh-CN"/>
        </w:rPr>
        <w:t>TGF-</w:t>
      </w:r>
      <w:r w:rsidR="00463EEA" w:rsidRPr="00463EEA">
        <w:rPr>
          <w:rFonts w:ascii="Book Antiqua" w:hAnsi="Book Antiqua" w:cs="Book Antiqua"/>
          <w:bCs/>
          <w:color w:val="000000"/>
          <w:lang w:eastAsia="zh-CN"/>
        </w:rPr>
        <w:t>β</w:t>
      </w:r>
      <w:r w:rsidR="00463EE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F00A3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63EEA">
        <w:rPr>
          <w:rFonts w:ascii="Book Antiqua" w:hAnsi="Book Antiqua" w:cs="Book Antiqua"/>
          <w:bCs/>
          <w:color w:val="000000"/>
          <w:lang w:eastAsia="zh-CN"/>
        </w:rPr>
        <w:t>Transforming</w:t>
      </w:r>
      <w:r w:rsidR="00F00A3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63EEA">
        <w:rPr>
          <w:rFonts w:ascii="Book Antiqua" w:hAnsi="Book Antiqua" w:cs="Book Antiqua"/>
          <w:bCs/>
          <w:color w:val="000000"/>
          <w:lang w:eastAsia="zh-CN"/>
        </w:rPr>
        <w:t>growth</w:t>
      </w:r>
      <w:r w:rsidR="00F00A3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63EEA">
        <w:rPr>
          <w:rFonts w:ascii="Book Antiqua" w:hAnsi="Book Antiqua" w:cs="Book Antiqua"/>
          <w:bCs/>
          <w:color w:val="000000"/>
          <w:lang w:eastAsia="zh-CN"/>
        </w:rPr>
        <w:t>factor-β</w:t>
      </w:r>
      <w:r w:rsidR="00463EEA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F00A3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63EEA">
        <w:rPr>
          <w:rFonts w:ascii="Book Antiqua" w:hAnsi="Book Antiqua" w:cs="Book Antiqua" w:hint="eastAsia"/>
          <w:bCs/>
          <w:color w:val="000000"/>
          <w:lang w:eastAsia="zh-CN"/>
        </w:rPr>
        <w:t>IL1:</w:t>
      </w:r>
      <w:r w:rsidR="00F00A3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63EEA" w:rsidRPr="00463EEA">
        <w:rPr>
          <w:rFonts w:ascii="Book Antiqua" w:hAnsi="Book Antiqua" w:cs="Book Antiqua"/>
          <w:bCs/>
          <w:caps/>
          <w:color w:val="000000"/>
          <w:lang w:eastAsia="zh-CN"/>
        </w:rPr>
        <w:t>i</w:t>
      </w:r>
      <w:r w:rsidR="00463EEA" w:rsidRPr="00463EEA">
        <w:rPr>
          <w:rFonts w:ascii="Book Antiqua" w:hAnsi="Book Antiqua" w:cs="Book Antiqua"/>
          <w:bCs/>
          <w:color w:val="000000"/>
          <w:lang w:eastAsia="zh-CN"/>
        </w:rPr>
        <w:t>nterleukin</w:t>
      </w:r>
      <w:r w:rsidR="00F00A3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63EEA">
        <w:rPr>
          <w:rFonts w:ascii="Book Antiqua" w:hAnsi="Book Antiqua" w:cs="Book Antiqua" w:hint="eastAsia"/>
          <w:bCs/>
          <w:color w:val="000000"/>
          <w:lang w:eastAsia="zh-CN"/>
        </w:rPr>
        <w:t>1.</w:t>
      </w:r>
    </w:p>
    <w:p w14:paraId="4B317935" w14:textId="77777777" w:rsidR="002710F2" w:rsidRDefault="002710F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6F651FBF" w14:textId="6BCA4E79" w:rsidR="00A5548B" w:rsidRPr="00A5548B" w:rsidRDefault="00A5548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A5548B">
        <w:rPr>
          <w:rFonts w:ascii="Book Antiqua" w:hAnsi="Book Antiqua"/>
          <w:b/>
        </w:rPr>
        <w:lastRenderedPageBreak/>
        <w:t>Table</w:t>
      </w:r>
      <w:r w:rsidR="00F00A3C">
        <w:rPr>
          <w:rFonts w:ascii="Book Antiqua" w:hAnsi="Book Antiqua"/>
          <w:b/>
        </w:rPr>
        <w:t xml:space="preserve"> </w:t>
      </w:r>
      <w:r w:rsidRPr="00A5548B">
        <w:rPr>
          <w:rFonts w:ascii="Book Antiqua" w:hAnsi="Book Antiqua"/>
          <w:b/>
        </w:rPr>
        <w:t>1</w:t>
      </w:r>
      <w:r w:rsidR="00F00A3C">
        <w:rPr>
          <w:rFonts w:ascii="Book Antiqua" w:hAnsi="Book Antiqua" w:hint="eastAsia"/>
          <w:b/>
          <w:lang w:eastAsia="zh-CN"/>
        </w:rPr>
        <w:t xml:space="preserve"> </w:t>
      </w:r>
      <w:r w:rsidRPr="00A5548B">
        <w:rPr>
          <w:rFonts w:ascii="Book Antiqua" w:hAnsi="Book Antiqua"/>
          <w:b/>
        </w:rPr>
        <w:t>Main</w:t>
      </w:r>
      <w:r w:rsidR="00F00A3C">
        <w:rPr>
          <w:rFonts w:ascii="Book Antiqua" w:hAnsi="Book Antiqua"/>
          <w:b/>
        </w:rPr>
        <w:t xml:space="preserve"> </w:t>
      </w:r>
      <w:r w:rsidRPr="00A5548B">
        <w:rPr>
          <w:rFonts w:ascii="Book Antiqua" w:hAnsi="Book Antiqua"/>
          <w:b/>
        </w:rPr>
        <w:t>ongoing</w:t>
      </w:r>
      <w:r w:rsidR="00F00A3C">
        <w:rPr>
          <w:rFonts w:ascii="Book Antiqua" w:hAnsi="Book Antiqua"/>
          <w:b/>
        </w:rPr>
        <w:t xml:space="preserve"> </w:t>
      </w:r>
      <w:proofErr w:type="gramStart"/>
      <w:r w:rsidRPr="00A5548B">
        <w:rPr>
          <w:rFonts w:ascii="Book Antiqua" w:hAnsi="Book Antiqua"/>
          <w:b/>
        </w:rPr>
        <w:t>studies</w:t>
      </w:r>
      <w:proofErr w:type="gramEnd"/>
      <w:r w:rsidR="00F00A3C">
        <w:rPr>
          <w:rFonts w:ascii="Book Antiqua" w:hAnsi="Book Antiqua"/>
          <w:b/>
        </w:rPr>
        <w:t xml:space="preserve"> </w:t>
      </w:r>
      <w:r w:rsidRPr="00A5548B">
        <w:rPr>
          <w:rFonts w:ascii="Book Antiqua" w:hAnsi="Book Antiqua"/>
          <w:b/>
        </w:rPr>
        <w:t>(clinicaltrial.gov)</w:t>
      </w:r>
      <w:r w:rsidR="00F00A3C">
        <w:rPr>
          <w:rFonts w:ascii="Book Antiqua" w:hAnsi="Book Antiqua"/>
          <w:b/>
        </w:rPr>
        <w:t xml:space="preserve"> </w:t>
      </w:r>
      <w:r w:rsidRPr="00A5548B">
        <w:rPr>
          <w:rFonts w:ascii="Book Antiqua" w:hAnsi="Book Antiqua"/>
          <w:b/>
        </w:rPr>
        <w:t>for</w:t>
      </w:r>
      <w:r w:rsidR="00F00A3C">
        <w:rPr>
          <w:rFonts w:ascii="Book Antiqua" w:hAnsi="Book Antiqua"/>
          <w:b/>
        </w:rPr>
        <w:t xml:space="preserve"> </w:t>
      </w:r>
      <w:r w:rsidRPr="00A5548B">
        <w:rPr>
          <w:rFonts w:ascii="Book Antiqua" w:hAnsi="Book Antiqua"/>
          <w:b/>
        </w:rPr>
        <w:t>metastatic</w:t>
      </w:r>
      <w:r w:rsidR="00F00A3C">
        <w:rPr>
          <w:rFonts w:ascii="Book Antiqua" w:hAnsi="Book Antiqua"/>
          <w:b/>
        </w:rPr>
        <w:t xml:space="preserve"> </w:t>
      </w:r>
      <w:r w:rsidRPr="00A5548B">
        <w:rPr>
          <w:rFonts w:ascii="Book Antiqua" w:hAnsi="Book Antiqua"/>
          <w:b/>
        </w:rPr>
        <w:t>colorectal</w:t>
      </w:r>
      <w:r w:rsidR="00F00A3C">
        <w:rPr>
          <w:rFonts w:ascii="Book Antiqua" w:hAnsi="Book Antiqua"/>
          <w:b/>
        </w:rPr>
        <w:t xml:space="preserve"> </w:t>
      </w:r>
      <w:r w:rsidRPr="00A5548B">
        <w:rPr>
          <w:rFonts w:ascii="Book Antiqua" w:hAnsi="Book Antiqua"/>
          <w:b/>
        </w:rPr>
        <w:t>cancer</w:t>
      </w:r>
    </w:p>
    <w:tbl>
      <w:tblPr>
        <w:tblW w:w="9595" w:type="dxa"/>
        <w:tblInd w:w="8" w:type="dxa"/>
        <w:tblBorders>
          <w:top w:val="single" w:sz="6" w:space="0" w:color="BFBFBF"/>
          <w:bottom w:val="single" w:sz="6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2436"/>
        <w:gridCol w:w="2487"/>
        <w:gridCol w:w="2336"/>
      </w:tblGrid>
      <w:tr w:rsidR="00A5548B" w:rsidRPr="00A5548B" w14:paraId="2D10460F" w14:textId="77777777" w:rsidTr="00B150A4">
        <w:trPr>
          <w:trHeight w:val="261"/>
        </w:trPr>
        <w:tc>
          <w:tcPr>
            <w:tcW w:w="233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FE643" w14:textId="77777777" w:rsidR="00A5548B" w:rsidRPr="00463EEA" w:rsidRDefault="00A5548B" w:rsidP="0027287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63EEA">
              <w:rPr>
                <w:rFonts w:ascii="Book Antiqua" w:eastAsia="Calibri" w:hAnsi="Book Antiqua" w:cs="Calibri"/>
                <w:b/>
              </w:rPr>
              <w:t>Study</w:t>
            </w:r>
          </w:p>
        </w:tc>
        <w:tc>
          <w:tcPr>
            <w:tcW w:w="243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6630" w14:textId="77777777" w:rsidR="00A5548B" w:rsidRPr="00A5548B" w:rsidRDefault="00A5548B" w:rsidP="0027287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5548B">
              <w:rPr>
                <w:rFonts w:ascii="Book Antiqua" w:eastAsia="Calibri" w:hAnsi="Book Antiqua" w:cs="Calibri"/>
                <w:b/>
              </w:rPr>
              <w:t>Treatment</w:t>
            </w:r>
          </w:p>
        </w:tc>
        <w:tc>
          <w:tcPr>
            <w:tcW w:w="248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3513" w14:textId="12F66D4C" w:rsidR="00A5548B" w:rsidRPr="00A5548B" w:rsidRDefault="00A5548B" w:rsidP="0027287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5548B">
              <w:rPr>
                <w:rFonts w:ascii="Book Antiqua" w:eastAsia="Calibri" w:hAnsi="Book Antiqua" w:cs="Calibri"/>
                <w:b/>
              </w:rPr>
              <w:t>Phase</w:t>
            </w:r>
            <w:r w:rsidR="00F00A3C">
              <w:rPr>
                <w:rFonts w:ascii="Book Antiqua" w:eastAsia="Calibri" w:hAnsi="Book Antiqua" w:cs="Calibri"/>
                <w:b/>
              </w:rPr>
              <w:t xml:space="preserve"> </w:t>
            </w:r>
            <w:r w:rsidRPr="00A5548B">
              <w:rPr>
                <w:rFonts w:ascii="Book Antiqua" w:eastAsia="Calibri" w:hAnsi="Book Antiqua" w:cs="Calibri"/>
                <w:b/>
              </w:rPr>
              <w:t>of</w:t>
            </w:r>
            <w:r w:rsidR="00F00A3C">
              <w:rPr>
                <w:rFonts w:ascii="Book Antiqua" w:eastAsia="Calibri" w:hAnsi="Book Antiqua" w:cs="Calibri"/>
                <w:b/>
              </w:rPr>
              <w:t xml:space="preserve"> </w:t>
            </w:r>
            <w:r w:rsidRPr="00A5548B">
              <w:rPr>
                <w:rFonts w:ascii="Book Antiqua" w:eastAsia="Calibri" w:hAnsi="Book Antiqua" w:cs="Calibri"/>
                <w:b/>
              </w:rPr>
              <w:t>study</w:t>
            </w:r>
          </w:p>
        </w:tc>
        <w:tc>
          <w:tcPr>
            <w:tcW w:w="233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FA7D" w14:textId="2D9911DC" w:rsidR="00A5548B" w:rsidRPr="00A5548B" w:rsidRDefault="00A5548B" w:rsidP="0027287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5548B">
              <w:rPr>
                <w:rFonts w:ascii="Book Antiqua" w:eastAsia="Calibri" w:hAnsi="Book Antiqua" w:cs="Calibri"/>
                <w:b/>
              </w:rPr>
              <w:t>Primary</w:t>
            </w:r>
            <w:r w:rsidR="00F00A3C">
              <w:rPr>
                <w:rFonts w:ascii="Book Antiqua" w:eastAsia="Calibri" w:hAnsi="Book Antiqua" w:cs="Calibri"/>
                <w:b/>
              </w:rPr>
              <w:t xml:space="preserve"> </w:t>
            </w:r>
            <w:r w:rsidRPr="00A5548B">
              <w:rPr>
                <w:rFonts w:ascii="Book Antiqua" w:eastAsia="Calibri" w:hAnsi="Book Antiqua" w:cs="Calibri"/>
                <w:b/>
              </w:rPr>
              <w:t>objectives</w:t>
            </w:r>
          </w:p>
        </w:tc>
      </w:tr>
      <w:tr w:rsidR="00463EEA" w:rsidRPr="00095C60" w14:paraId="48D6A08F" w14:textId="77777777" w:rsidTr="00463EEA">
        <w:trPr>
          <w:trHeight w:val="381"/>
        </w:trPr>
        <w:tc>
          <w:tcPr>
            <w:tcW w:w="9595" w:type="dxa"/>
            <w:gridSpan w:val="4"/>
            <w:tcBorders>
              <w:top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6D36" w14:textId="44F237A0" w:rsidR="00463EEA" w:rsidRPr="00463EEA" w:rsidRDefault="00463EEA" w:rsidP="00272871">
            <w:pPr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463EEA">
              <w:rPr>
                <w:rFonts w:ascii="Book Antiqua" w:eastAsia="Calibri" w:hAnsi="Book Antiqua" w:cs="Calibri"/>
                <w:color w:val="222222"/>
              </w:rPr>
              <w:t>COLOMATE</w:t>
            </w:r>
            <w:r w:rsidR="00F00A3C">
              <w:rPr>
                <w:rFonts w:ascii="Book Antiqua" w:eastAsia="Calibri" w:hAnsi="Book Antiqua" w:cs="Calibri"/>
                <w:color w:val="222222"/>
              </w:rPr>
              <w:t xml:space="preserve"> </w:t>
            </w:r>
            <w:r w:rsidRPr="00463EEA">
              <w:rPr>
                <w:rFonts w:ascii="Book Antiqua" w:eastAsia="Calibri" w:hAnsi="Book Antiqua" w:cs="Calibri"/>
                <w:color w:val="222222"/>
              </w:rPr>
              <w:t>trial</w:t>
            </w:r>
          </w:p>
        </w:tc>
      </w:tr>
      <w:tr w:rsidR="00A5548B" w:rsidRPr="00095C60" w14:paraId="180528B9" w14:textId="77777777" w:rsidTr="00B150A4">
        <w:trPr>
          <w:trHeight w:val="5037"/>
        </w:trPr>
        <w:tc>
          <w:tcPr>
            <w:tcW w:w="2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A7606" w14:textId="77777777" w:rsidR="00A5548B" w:rsidRPr="00463EEA" w:rsidRDefault="00A5548B" w:rsidP="00463EEA">
            <w:pPr>
              <w:spacing w:line="360" w:lineRule="auto"/>
              <w:ind w:leftChars="50" w:left="120"/>
              <w:jc w:val="both"/>
              <w:rPr>
                <w:rFonts w:ascii="Book Antiqua" w:hAnsi="Book Antiqua"/>
                <w:color w:val="222222"/>
                <w:lang w:eastAsia="zh-CN"/>
              </w:rPr>
            </w:pPr>
            <w:r w:rsidRPr="00463EEA">
              <w:rPr>
                <w:rFonts w:ascii="Book Antiqua" w:eastAsia="Calibri" w:hAnsi="Book Antiqua" w:cs="Calibri"/>
              </w:rPr>
              <w:t>NCT03765736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A97C" w14:textId="38E9FFF7" w:rsidR="00A5548B" w:rsidRPr="00A5548B" w:rsidRDefault="00A5548B" w:rsidP="0027287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95C60">
              <w:rPr>
                <w:rFonts w:ascii="Book Antiqua" w:eastAsia="Calibri" w:hAnsi="Book Antiqua" w:cs="Calibri"/>
              </w:rPr>
              <w:t>Specific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targeted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treatment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arms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based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the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molecular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profiles</w:t>
            </w:r>
          </w:p>
        </w:tc>
        <w:tc>
          <w:tcPr>
            <w:tcW w:w="2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C3B4" w14:textId="0E4FB9FC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95C60">
              <w:rPr>
                <w:rFonts w:ascii="Book Antiqua" w:eastAsia="Calibri" w:hAnsi="Book Antiqua" w:cs="Calibri"/>
              </w:rPr>
              <w:t>Phase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II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prospective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trial</w:t>
            </w:r>
          </w:p>
        </w:tc>
        <w:tc>
          <w:tcPr>
            <w:tcW w:w="2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9913" w14:textId="00650D15" w:rsidR="00A5548B" w:rsidRPr="00A5548B" w:rsidRDefault="00A5548B" w:rsidP="0027287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="Calibri" w:hint="eastAsia"/>
                <w:lang w:eastAsia="zh-CN"/>
              </w:rPr>
              <w:t>(1)</w:t>
            </w:r>
            <w:r w:rsidR="00F00A3C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To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perform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blood-based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genomic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profiling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patients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treatment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refractory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metastatic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colorectal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cancer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(CRC)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to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facilitate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accrual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to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molecularly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assigned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therapies</w:t>
            </w:r>
            <w:r>
              <w:rPr>
                <w:rFonts w:ascii="Book Antiqua" w:hAnsi="Book Antiqua" w:cs="Calibri" w:hint="eastAsia"/>
                <w:lang w:eastAsia="zh-CN"/>
              </w:rPr>
              <w:t>;</w:t>
            </w:r>
            <w:r w:rsidR="00F00A3C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 w:hint="eastAsia"/>
                <w:lang w:eastAsia="zh-CN"/>
              </w:rPr>
              <w:t>and</w:t>
            </w:r>
            <w:r w:rsidR="00F00A3C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>
              <w:rPr>
                <w:rFonts w:ascii="Book Antiqua" w:hAnsi="Book Antiqua" w:cs="Calibri" w:hint="eastAsia"/>
                <w:lang w:eastAsia="zh-CN"/>
              </w:rPr>
              <w:t>(2)</w:t>
            </w:r>
            <w:r w:rsidR="00F00A3C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To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facilitate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clinically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annotated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genomic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analyses</w:t>
            </w:r>
          </w:p>
        </w:tc>
      </w:tr>
      <w:tr w:rsidR="00463EEA" w:rsidRPr="00095C60" w14:paraId="7ED3E851" w14:textId="77777777" w:rsidTr="002710F2">
        <w:trPr>
          <w:trHeight w:val="68"/>
        </w:trPr>
        <w:tc>
          <w:tcPr>
            <w:tcW w:w="95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80B3D" w14:textId="7016BA9A" w:rsidR="00463EEA" w:rsidRPr="00463EEA" w:rsidRDefault="00463EEA" w:rsidP="00272871">
            <w:pPr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  <w:r w:rsidRPr="00463EEA">
              <w:rPr>
                <w:rFonts w:ascii="Book Antiqua" w:eastAsia="Calibri" w:hAnsi="Book Antiqua" w:cs="Calibri"/>
              </w:rPr>
              <w:t>CALGB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463EEA">
              <w:rPr>
                <w:rFonts w:ascii="Book Antiqua" w:eastAsia="Calibri" w:hAnsi="Book Antiqua" w:cs="Calibri"/>
              </w:rPr>
              <w:t>(Alliance)/SWOG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463EEA">
              <w:rPr>
                <w:rFonts w:ascii="Book Antiqua" w:eastAsia="Calibri" w:hAnsi="Book Antiqua" w:cs="Calibri"/>
              </w:rPr>
              <w:t>80405</w:t>
            </w:r>
          </w:p>
        </w:tc>
      </w:tr>
      <w:tr w:rsidR="00A5548B" w:rsidRPr="00095C60" w14:paraId="63C1AC3B" w14:textId="77777777" w:rsidTr="002710F2">
        <w:trPr>
          <w:trHeight w:val="1560"/>
        </w:trPr>
        <w:tc>
          <w:tcPr>
            <w:tcW w:w="2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45E5E" w14:textId="77777777" w:rsidR="00A5548B" w:rsidRPr="00463EEA" w:rsidRDefault="00A5548B" w:rsidP="00463EEA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 w:rsidRPr="00463EEA">
              <w:rPr>
                <w:rFonts w:ascii="Book Antiqua" w:eastAsia="Calibri" w:hAnsi="Book Antiqua" w:cs="Calibri"/>
              </w:rPr>
              <w:t>NCT00265850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0833" w14:textId="0760B33F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95C60">
              <w:rPr>
                <w:rFonts w:ascii="Book Antiqua" w:eastAsia="Calibri" w:hAnsi="Book Antiqua" w:cs="Calibri"/>
              </w:rPr>
              <w:t>Bevacizumab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cetuximab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combined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the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same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chemotherapy</w:t>
            </w:r>
          </w:p>
        </w:tc>
        <w:tc>
          <w:tcPr>
            <w:tcW w:w="2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7460" w14:textId="3E37FF4B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5548B">
              <w:rPr>
                <w:rFonts w:ascii="Book Antiqua" w:eastAsia="Calibri" w:hAnsi="Book Antiqua" w:cs="Calibri"/>
                <w:caps/>
              </w:rPr>
              <w:t>p</w:t>
            </w:r>
            <w:r w:rsidRPr="00095C60">
              <w:rPr>
                <w:rFonts w:ascii="Book Antiqua" w:eastAsia="Calibri" w:hAnsi="Book Antiqua" w:cs="Calibri"/>
              </w:rPr>
              <w:t>hase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III,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randomized,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open-label,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multicentre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study</w:t>
            </w:r>
          </w:p>
        </w:tc>
        <w:tc>
          <w:tcPr>
            <w:tcW w:w="2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7DA3" w14:textId="2ACF7F21" w:rsidR="00A5548B" w:rsidRPr="00A5548B" w:rsidRDefault="00A5548B" w:rsidP="0027287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95C60">
              <w:rPr>
                <w:rFonts w:ascii="Book Antiqua" w:eastAsia="Calibri" w:hAnsi="Book Antiqua" w:cs="Calibri"/>
              </w:rPr>
              <w:t>To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determine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the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addition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cetuximab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to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FOLFIRI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FOLFOX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chemotherapy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prolongs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survival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compared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to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FOLFIRI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FOLFOX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bevacizumab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patients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untreated,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advanced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lastRenderedPageBreak/>
              <w:t>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metastatic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colorectal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cancer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who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have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K-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ras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wild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type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tumours</w:t>
            </w:r>
            <w:proofErr w:type="spellEnd"/>
          </w:p>
        </w:tc>
      </w:tr>
      <w:tr w:rsidR="00A5548B" w:rsidRPr="00095C60" w14:paraId="504D0571" w14:textId="77777777" w:rsidTr="002710F2">
        <w:trPr>
          <w:trHeight w:val="181"/>
        </w:trPr>
        <w:tc>
          <w:tcPr>
            <w:tcW w:w="95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415B" w14:textId="21C6BFF6" w:rsidR="00A5548B" w:rsidRPr="00463EEA" w:rsidRDefault="00A5548B" w:rsidP="00272871">
            <w:pPr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  <w:r w:rsidRPr="00463EEA">
              <w:rPr>
                <w:rFonts w:ascii="Book Antiqua" w:eastAsia="Calibri" w:hAnsi="Book Antiqua" w:cs="Calibri"/>
              </w:rPr>
              <w:lastRenderedPageBreak/>
              <w:t>KRYSTAL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463EEA">
              <w:rPr>
                <w:rFonts w:ascii="Book Antiqua" w:eastAsia="Calibri" w:hAnsi="Book Antiqua" w:cs="Calibri"/>
              </w:rPr>
              <w:t>10</w:t>
            </w:r>
          </w:p>
        </w:tc>
      </w:tr>
      <w:tr w:rsidR="00A5548B" w:rsidRPr="00095C60" w14:paraId="1F087D7A" w14:textId="77777777" w:rsidTr="002710F2">
        <w:trPr>
          <w:trHeight w:val="3987"/>
        </w:trPr>
        <w:tc>
          <w:tcPr>
            <w:tcW w:w="2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6A189" w14:textId="77777777" w:rsidR="00A5548B" w:rsidRPr="00463EEA" w:rsidRDefault="00A5548B" w:rsidP="00A5548B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 w:rsidRPr="00463EEA">
              <w:rPr>
                <w:rFonts w:ascii="Book Antiqua" w:eastAsia="Calibri" w:hAnsi="Book Antiqua" w:cs="Calibri"/>
              </w:rPr>
              <w:t>NCT04793958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C450" w14:textId="1D37138F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95C60">
              <w:rPr>
                <w:rFonts w:ascii="Book Antiqua" w:eastAsia="Calibri" w:hAnsi="Book Antiqua" w:cs="Calibri"/>
              </w:rPr>
              <w:t>MRTX849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(inhibitor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KRAS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G12C)</w:t>
            </w:r>
            <w:r w:rsidR="00F00A3C">
              <w:rPr>
                <w:rFonts w:ascii="Book Antiqua" w:eastAsia="Calibri" w:hAnsi="Book Antiqua" w:cs="Calibri"/>
              </w:rPr>
              <w:t xml:space="preserve"> 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Combination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Cetuximab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DC7AB0">
              <w:rPr>
                <w:rFonts w:ascii="Book Antiqua" w:hAnsi="Book Antiqua" w:hint="eastAsia"/>
                <w:i/>
              </w:rPr>
              <w:t>vs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Chemotherapy</w:t>
            </w:r>
          </w:p>
        </w:tc>
        <w:tc>
          <w:tcPr>
            <w:tcW w:w="2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E5BD" w14:textId="4BA2E83F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5548B">
              <w:rPr>
                <w:rFonts w:ascii="Book Antiqua" w:eastAsia="Calibri" w:hAnsi="Book Antiqua" w:cs="Calibri"/>
                <w:caps/>
              </w:rPr>
              <w:t>p</w:t>
            </w:r>
            <w:r w:rsidRPr="00095C60">
              <w:rPr>
                <w:rFonts w:ascii="Book Antiqua" w:eastAsia="Calibri" w:hAnsi="Book Antiqua" w:cs="Calibri"/>
              </w:rPr>
              <w:t>hase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III,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open-label,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randomized</w:t>
            </w:r>
          </w:p>
        </w:tc>
        <w:tc>
          <w:tcPr>
            <w:tcW w:w="2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51BC" w14:textId="1D2E6577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95C60">
              <w:rPr>
                <w:rFonts w:ascii="Book Antiqua" w:eastAsia="Calibri" w:hAnsi="Book Antiqua" w:cs="Calibri"/>
              </w:rPr>
              <w:t>Comparing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the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efficacy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MRTX849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administered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combination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cetuximab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DC7AB0">
              <w:rPr>
                <w:rFonts w:ascii="Book Antiqua" w:eastAsia="Calibri" w:hAnsi="Book Antiqua" w:cs="Calibri"/>
                <w:i/>
              </w:rPr>
              <w:t>vs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chemotherapy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the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second-line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treatment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setting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patients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CRC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KRAS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G12C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mutation</w:t>
            </w:r>
          </w:p>
        </w:tc>
      </w:tr>
      <w:tr w:rsidR="00A5548B" w:rsidRPr="00095C60" w14:paraId="7889DF43" w14:textId="77777777" w:rsidTr="002710F2">
        <w:trPr>
          <w:trHeight w:val="68"/>
        </w:trPr>
        <w:tc>
          <w:tcPr>
            <w:tcW w:w="95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858B" w14:textId="77777777" w:rsidR="00A5548B" w:rsidRPr="00463EEA" w:rsidRDefault="00A5548B" w:rsidP="00272871">
            <w:pPr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  <w:r w:rsidRPr="00463EEA">
              <w:rPr>
                <w:rFonts w:ascii="Book Antiqua" w:eastAsia="Calibri" w:hAnsi="Book Antiqua" w:cs="Calibri"/>
              </w:rPr>
              <w:t>C-PRECISE-01</w:t>
            </w:r>
          </w:p>
        </w:tc>
      </w:tr>
      <w:tr w:rsidR="00A5548B" w:rsidRPr="00095C60" w14:paraId="07042439" w14:textId="77777777" w:rsidTr="00B150A4">
        <w:trPr>
          <w:trHeight w:val="1687"/>
        </w:trPr>
        <w:tc>
          <w:tcPr>
            <w:tcW w:w="2336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7C58" w14:textId="521ED951" w:rsidR="00A5548B" w:rsidRPr="002710F2" w:rsidRDefault="00A5548B" w:rsidP="002710F2">
            <w:pPr>
              <w:spacing w:line="360" w:lineRule="auto"/>
              <w:ind w:leftChars="50" w:left="120"/>
              <w:jc w:val="both"/>
              <w:rPr>
                <w:rFonts w:ascii="Book Antiqua" w:hAnsi="Book Antiqua"/>
                <w:lang w:eastAsia="zh-CN"/>
              </w:rPr>
            </w:pPr>
            <w:r w:rsidRPr="00463EEA">
              <w:rPr>
                <w:rFonts w:ascii="Book Antiqua" w:eastAsia="Calibri" w:hAnsi="Book Antiqua" w:cs="Calibri"/>
              </w:rPr>
              <w:t>NCT04495621</w:t>
            </w:r>
          </w:p>
        </w:tc>
        <w:tc>
          <w:tcPr>
            <w:tcW w:w="2436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113C" w14:textId="6D9C033B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95C60">
              <w:rPr>
                <w:rFonts w:ascii="Book Antiqua" w:eastAsia="Calibri" w:hAnsi="Book Antiqua" w:cs="Calibri"/>
              </w:rPr>
              <w:t>MEN1611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+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Cetuximab</w:t>
            </w:r>
            <w:proofErr w:type="spellEnd"/>
          </w:p>
        </w:tc>
        <w:tc>
          <w:tcPr>
            <w:tcW w:w="2487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1FC2" w14:textId="650BB3D3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5548B">
              <w:rPr>
                <w:rFonts w:ascii="Book Antiqua" w:eastAsia="Calibri" w:hAnsi="Book Antiqua" w:cs="Calibri"/>
                <w:caps/>
              </w:rPr>
              <w:t>p</w:t>
            </w:r>
            <w:r w:rsidRPr="00095C60">
              <w:rPr>
                <w:rFonts w:ascii="Book Antiqua" w:eastAsia="Calibri" w:hAnsi="Book Antiqua" w:cs="Calibri"/>
              </w:rPr>
              <w:t>hase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Ib</w:t>
            </w:r>
            <w:proofErr w:type="spellEnd"/>
            <w:r w:rsidRPr="00095C60">
              <w:rPr>
                <w:rFonts w:ascii="Book Antiqua" w:eastAsia="Calibri" w:hAnsi="Book Antiqua" w:cs="Calibri"/>
              </w:rPr>
              <w:t>/II,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open-label,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multicentre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study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4426" w14:textId="6BEE583A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95C60">
              <w:rPr>
                <w:rFonts w:ascii="Book Antiqua" w:eastAsia="Calibri" w:hAnsi="Book Antiqua" w:cs="Calibri"/>
              </w:rPr>
              <w:t>MEN1611,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PI3K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Inhibitor,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and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Cetuximab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Patients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PIK3CA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Mutated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Metastatic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Colorectal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Cancer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Failing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Irinotecan</w:t>
            </w:r>
            <w:proofErr w:type="spellEnd"/>
            <w:r w:rsidRPr="00095C60">
              <w:rPr>
                <w:rFonts w:ascii="Book Antiqua" w:eastAsia="Calibri" w:hAnsi="Book Antiqua" w:cs="Calibri"/>
              </w:rPr>
              <w:t>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Oxaliplatin</w:t>
            </w:r>
            <w:proofErr w:type="spellEnd"/>
            <w:r w:rsidRPr="00095C60">
              <w:rPr>
                <w:rFonts w:ascii="Book Antiqua" w:eastAsia="Calibri" w:hAnsi="Book Antiqua" w:cs="Calibri"/>
              </w:rPr>
              <w:t>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5-FU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and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Anti-EGFR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Containing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Regimens</w:t>
            </w:r>
          </w:p>
        </w:tc>
      </w:tr>
      <w:tr w:rsidR="00A5548B" w:rsidRPr="00095C60" w14:paraId="1FFA6501" w14:textId="77777777" w:rsidTr="00B150A4">
        <w:trPr>
          <w:trHeight w:val="3261"/>
        </w:trPr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5DF2" w14:textId="77777777" w:rsidR="00A5548B" w:rsidRPr="00463EEA" w:rsidRDefault="00A5548B" w:rsidP="00A5548B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463EEA">
              <w:rPr>
                <w:rFonts w:ascii="Book Antiqua" w:eastAsia="Calibri" w:hAnsi="Book Antiqua" w:cs="Calibri"/>
              </w:rPr>
              <w:lastRenderedPageBreak/>
              <w:t>NCT04096417</w:t>
            </w:r>
          </w:p>
        </w:tc>
        <w:tc>
          <w:tcPr>
            <w:tcW w:w="24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6F272" w14:textId="77777777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95C60">
              <w:rPr>
                <w:rFonts w:ascii="Book Antiqua" w:eastAsia="Calibri" w:hAnsi="Book Antiqua" w:cs="Calibri"/>
              </w:rPr>
              <w:t>Pemigatinib</w:t>
            </w:r>
            <w:proofErr w:type="spellEnd"/>
          </w:p>
        </w:tc>
        <w:tc>
          <w:tcPr>
            <w:tcW w:w="2487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B79C" w14:textId="22F7686C" w:rsidR="00A5548B" w:rsidRPr="002710F2" w:rsidRDefault="00B150A4" w:rsidP="0027287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="Calibri" w:hint="eastAsia"/>
                <w:lang w:eastAsia="zh-CN"/>
              </w:rPr>
              <w:t>P</w:t>
            </w:r>
            <w:r w:rsidR="00A5548B" w:rsidRPr="00095C60">
              <w:rPr>
                <w:rFonts w:ascii="Book Antiqua" w:eastAsia="Calibri" w:hAnsi="Book Antiqua" w:cs="Calibri"/>
              </w:rPr>
              <w:t>hase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="00A5548B" w:rsidRPr="00095C60">
              <w:rPr>
                <w:rFonts w:ascii="Book Antiqua" w:eastAsia="Calibri" w:hAnsi="Book Antiqua" w:cs="Calibri"/>
              </w:rPr>
              <w:t>II,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="00A5548B" w:rsidRPr="00095C60">
              <w:rPr>
                <w:rFonts w:ascii="Book Antiqua" w:eastAsia="Calibri" w:hAnsi="Book Antiqua" w:cs="Calibri"/>
              </w:rPr>
              <w:t>multicentre</w:t>
            </w:r>
            <w:proofErr w:type="spellEnd"/>
            <w:r w:rsidR="00A5548B" w:rsidRPr="00095C60">
              <w:rPr>
                <w:rFonts w:ascii="Book Antiqua" w:eastAsia="Calibri" w:hAnsi="Book Antiqua" w:cs="Calibri"/>
              </w:rPr>
              <w:t>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="00A5548B" w:rsidRPr="00095C60">
              <w:rPr>
                <w:rFonts w:ascii="Book Antiqua" w:eastAsia="Calibri" w:hAnsi="Book Antiqua" w:cs="Calibri"/>
              </w:rPr>
              <w:t>single-Arm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="00A5548B" w:rsidRPr="00095C60">
              <w:rPr>
                <w:rFonts w:ascii="Book Antiqua" w:eastAsia="Calibri" w:hAnsi="Book Antiqua" w:cs="Calibri"/>
              </w:rPr>
              <w:t>study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BE5A" w14:textId="24F55F3E" w:rsidR="00A5548B" w:rsidRPr="00095C60" w:rsidRDefault="00A5548B" w:rsidP="00463EE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95C60">
              <w:rPr>
                <w:rFonts w:ascii="Book Antiqua" w:eastAsia="Calibri" w:hAnsi="Book Antiqua" w:cs="Calibri"/>
              </w:rPr>
              <w:t>To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assess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overall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response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rate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(ORR)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pemigatinib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patients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metastatic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unresectable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="00463EEA" w:rsidRPr="00463EEA">
              <w:rPr>
                <w:rFonts w:ascii="Book Antiqua" w:hAnsi="Book Antiqua" w:cs="Calibri" w:hint="eastAsia"/>
                <w:caps/>
                <w:lang w:eastAsia="zh-CN"/>
              </w:rPr>
              <w:t>crc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harbouring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activating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FGFR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alterations</w:t>
            </w:r>
          </w:p>
        </w:tc>
      </w:tr>
      <w:tr w:rsidR="00A5548B" w:rsidRPr="00095C60" w14:paraId="2C041716" w14:textId="77777777" w:rsidTr="00B150A4">
        <w:trPr>
          <w:trHeight w:val="315"/>
        </w:trPr>
        <w:tc>
          <w:tcPr>
            <w:tcW w:w="9595" w:type="dxa"/>
            <w:gridSpan w:val="4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96D3" w14:textId="77777777" w:rsidR="00A5548B" w:rsidRPr="00463EEA" w:rsidRDefault="00A5548B" w:rsidP="00272871">
            <w:pPr>
              <w:spacing w:line="360" w:lineRule="auto"/>
              <w:rPr>
                <w:rFonts w:ascii="Book Antiqua" w:eastAsia="Calibri" w:hAnsi="Book Antiqua" w:cs="Calibri"/>
              </w:rPr>
            </w:pPr>
            <w:r w:rsidRPr="00463EEA">
              <w:rPr>
                <w:rFonts w:ascii="Book Antiqua" w:eastAsia="Calibri" w:hAnsi="Book Antiqua" w:cs="Calibri"/>
              </w:rPr>
              <w:t>MOUNTAINEER</w:t>
            </w:r>
          </w:p>
        </w:tc>
      </w:tr>
      <w:tr w:rsidR="00A5548B" w:rsidRPr="00095C60" w14:paraId="4C3ABD7B" w14:textId="77777777" w:rsidTr="002710F2">
        <w:trPr>
          <w:trHeight w:val="1630"/>
        </w:trPr>
        <w:tc>
          <w:tcPr>
            <w:tcW w:w="2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7931" w14:textId="77777777" w:rsidR="00A5548B" w:rsidRPr="00463EEA" w:rsidRDefault="00A5548B" w:rsidP="00A5548B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463EEA">
              <w:rPr>
                <w:rFonts w:ascii="Book Antiqua" w:eastAsia="Calibri" w:hAnsi="Book Antiqua" w:cs="Calibri"/>
              </w:rPr>
              <w:t>NCT03043313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C443" w14:textId="0FDCF7BA" w:rsidR="00A5548B" w:rsidRPr="002710F2" w:rsidRDefault="00A5548B" w:rsidP="00272871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095C60">
              <w:rPr>
                <w:rFonts w:ascii="Book Antiqua" w:eastAsia="Calibri" w:hAnsi="Book Antiqua" w:cs="Calibri"/>
              </w:rPr>
              <w:t>Trastuzumab+tucatinib</w:t>
            </w:r>
            <w:proofErr w:type="spellEnd"/>
          </w:p>
        </w:tc>
        <w:tc>
          <w:tcPr>
            <w:tcW w:w="2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B3314" w14:textId="2B185EC2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5548B">
              <w:rPr>
                <w:rFonts w:ascii="Book Antiqua" w:eastAsia="Calibri" w:hAnsi="Book Antiqua" w:cs="Calibri"/>
                <w:caps/>
              </w:rPr>
              <w:t>p</w:t>
            </w:r>
            <w:r w:rsidRPr="00095C60">
              <w:rPr>
                <w:rFonts w:ascii="Book Antiqua" w:eastAsia="Calibri" w:hAnsi="Book Antiqua" w:cs="Calibri"/>
              </w:rPr>
              <w:t>hase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II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open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label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study</w:t>
            </w:r>
          </w:p>
        </w:tc>
        <w:tc>
          <w:tcPr>
            <w:tcW w:w="2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601C" w14:textId="60F7F731" w:rsidR="00A5548B" w:rsidRPr="00095C60" w:rsidRDefault="00A5548B" w:rsidP="00272871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95C60">
              <w:rPr>
                <w:rFonts w:ascii="Book Antiqua" w:eastAsia="Calibri" w:hAnsi="Book Antiqua" w:cs="Calibri"/>
              </w:rPr>
              <w:t>Tucatinib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combined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trastuzumab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patients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HER2+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metastatic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colorectal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cancer</w:t>
            </w:r>
          </w:p>
        </w:tc>
      </w:tr>
      <w:tr w:rsidR="00A5548B" w:rsidRPr="00095C60" w14:paraId="54C43420" w14:textId="77777777" w:rsidTr="002710F2">
        <w:trPr>
          <w:trHeight w:val="315"/>
        </w:trPr>
        <w:tc>
          <w:tcPr>
            <w:tcW w:w="9595" w:type="dxa"/>
            <w:gridSpan w:val="4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F114" w14:textId="77777777" w:rsidR="00A5548B" w:rsidRPr="00463EEA" w:rsidRDefault="00A5548B" w:rsidP="00272871">
            <w:pPr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  <w:r w:rsidRPr="00463EEA">
              <w:rPr>
                <w:rFonts w:ascii="Book Antiqua" w:eastAsia="Calibri" w:hAnsi="Book Antiqua" w:cs="Calibri"/>
              </w:rPr>
              <w:t>NAVIGATE</w:t>
            </w:r>
          </w:p>
        </w:tc>
      </w:tr>
      <w:tr w:rsidR="00A5548B" w:rsidRPr="00095C60" w14:paraId="3113FD68" w14:textId="77777777" w:rsidTr="002710F2">
        <w:trPr>
          <w:trHeight w:val="5043"/>
        </w:trPr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A1BF" w14:textId="77777777" w:rsidR="00A5548B" w:rsidRPr="00463EEA" w:rsidRDefault="00A5548B" w:rsidP="00A5548B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463EEA">
              <w:rPr>
                <w:rFonts w:ascii="Book Antiqua" w:eastAsia="Calibri" w:hAnsi="Book Antiqua" w:cs="Calibri"/>
              </w:rPr>
              <w:t>NCT02576431</w:t>
            </w:r>
          </w:p>
        </w:tc>
        <w:tc>
          <w:tcPr>
            <w:tcW w:w="24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C200" w14:textId="23D2EDEA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95C60">
              <w:rPr>
                <w:rFonts w:ascii="Book Antiqua" w:eastAsia="Calibri" w:hAnsi="Book Antiqua" w:cs="Calibri"/>
              </w:rPr>
              <w:t>Larotrectinib</w:t>
            </w:r>
            <w:proofErr w:type="spellEnd"/>
          </w:p>
        </w:tc>
        <w:tc>
          <w:tcPr>
            <w:tcW w:w="2487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5AE2" w14:textId="6DFDFF0D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5548B">
              <w:rPr>
                <w:rFonts w:ascii="Book Antiqua" w:eastAsia="Calibri" w:hAnsi="Book Antiqua" w:cs="Calibri"/>
                <w:caps/>
              </w:rPr>
              <w:t>p</w:t>
            </w:r>
            <w:r w:rsidRPr="00095C60">
              <w:rPr>
                <w:rFonts w:ascii="Book Antiqua" w:eastAsia="Calibri" w:hAnsi="Book Antiqua" w:cs="Calibri"/>
              </w:rPr>
              <w:t>hase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II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open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label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study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649E" w14:textId="442E75C8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95C60">
              <w:rPr>
                <w:rFonts w:ascii="Book Antiqua" w:eastAsia="Calibri" w:hAnsi="Book Antiqua" w:cs="Calibri"/>
              </w:rPr>
              <w:t>Investigate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the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efficacy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larotrectinib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for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the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treatment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advanced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solid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tumours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harbouring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fusion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neurotrophic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tyrosine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receptor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kinase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(NTRK)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types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1–3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children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and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adults</w:t>
            </w:r>
          </w:p>
        </w:tc>
      </w:tr>
      <w:tr w:rsidR="00A5548B" w:rsidRPr="00095C60" w14:paraId="5EFCBD2F" w14:textId="77777777" w:rsidTr="002710F2">
        <w:trPr>
          <w:trHeight w:val="4253"/>
        </w:trPr>
        <w:tc>
          <w:tcPr>
            <w:tcW w:w="233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49EF" w14:textId="77777777" w:rsidR="00A5548B" w:rsidRPr="00463EEA" w:rsidRDefault="00A5548B" w:rsidP="00A5548B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463EEA">
              <w:rPr>
                <w:rFonts w:ascii="Book Antiqua" w:eastAsia="Calibri" w:hAnsi="Book Antiqua" w:cs="Calibri"/>
              </w:rPr>
              <w:lastRenderedPageBreak/>
              <w:t>NCT03829410</w:t>
            </w:r>
          </w:p>
        </w:tc>
        <w:tc>
          <w:tcPr>
            <w:tcW w:w="243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36C8" w14:textId="45694E40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95C60">
              <w:rPr>
                <w:rFonts w:ascii="Book Antiqua" w:eastAsia="Calibri" w:hAnsi="Book Antiqua" w:cs="Calibri"/>
              </w:rPr>
              <w:t>Onvansertib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(PCM-075)</w:t>
            </w:r>
          </w:p>
        </w:tc>
        <w:tc>
          <w:tcPr>
            <w:tcW w:w="2487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7225" w14:textId="73EBC9DC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5548B">
              <w:rPr>
                <w:rFonts w:ascii="Book Antiqua" w:eastAsia="Calibri" w:hAnsi="Book Antiqua" w:cs="Calibri"/>
                <w:caps/>
              </w:rPr>
              <w:t>p</w:t>
            </w:r>
            <w:r w:rsidRPr="00095C60">
              <w:rPr>
                <w:rFonts w:ascii="Book Antiqua" w:eastAsia="Calibri" w:hAnsi="Book Antiqua" w:cs="Calibri"/>
              </w:rPr>
              <w:t>hase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Ib</w:t>
            </w:r>
            <w:proofErr w:type="spellEnd"/>
            <w:r w:rsidRPr="00095C60">
              <w:rPr>
                <w:rFonts w:ascii="Book Antiqua" w:eastAsia="Calibri" w:hAnsi="Book Antiqua" w:cs="Calibri"/>
              </w:rPr>
              <w:t>/II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open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label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study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C6F7" w14:textId="37ABEA3E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95C60">
              <w:rPr>
                <w:rFonts w:ascii="Book Antiqua" w:eastAsia="Calibri" w:hAnsi="Book Antiqua" w:cs="Calibri"/>
              </w:rPr>
              <w:t>Determine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the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safety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and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efficacy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Onvansertib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combination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FOLFIRI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+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Avastin</w:t>
            </w:r>
            <w:proofErr w:type="spellEnd"/>
            <w:r w:rsidRPr="00095C60">
              <w:rPr>
                <w:rFonts w:ascii="Book Antiqua" w:eastAsia="Calibri" w:hAnsi="Book Antiqua" w:cs="Calibri"/>
              </w:rPr>
              <w:t>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second-line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treatment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adult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patients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who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have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metastatic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colorectal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cancer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Kras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mutation</w:t>
            </w:r>
          </w:p>
        </w:tc>
      </w:tr>
      <w:tr w:rsidR="00A5548B" w:rsidRPr="00095C60" w14:paraId="13B9C181" w14:textId="77777777" w:rsidTr="002710F2">
        <w:trPr>
          <w:trHeight w:val="191"/>
        </w:trPr>
        <w:tc>
          <w:tcPr>
            <w:tcW w:w="95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8A8B" w14:textId="77777777" w:rsidR="00A5548B" w:rsidRPr="00463EEA" w:rsidRDefault="00A5548B" w:rsidP="00272871">
            <w:pPr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  <w:r w:rsidRPr="00463EEA">
              <w:rPr>
                <w:rFonts w:ascii="Book Antiqua" w:eastAsia="Calibri" w:hAnsi="Book Antiqua" w:cs="Calibri"/>
              </w:rPr>
              <w:t>STARTRK-2</w:t>
            </w:r>
          </w:p>
        </w:tc>
      </w:tr>
      <w:tr w:rsidR="00A5548B" w:rsidRPr="00095C60" w14:paraId="06BD3D26" w14:textId="77777777" w:rsidTr="002710F2">
        <w:trPr>
          <w:trHeight w:val="3138"/>
        </w:trPr>
        <w:tc>
          <w:tcPr>
            <w:tcW w:w="2336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1E85" w14:textId="77777777" w:rsidR="00A5548B" w:rsidRPr="00463EEA" w:rsidRDefault="00A5548B" w:rsidP="00A5548B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463EEA">
              <w:rPr>
                <w:rFonts w:ascii="Book Antiqua" w:eastAsia="Calibri" w:hAnsi="Book Antiqua" w:cs="Calibri"/>
              </w:rPr>
              <w:t>NCT02568267</w:t>
            </w:r>
          </w:p>
        </w:tc>
        <w:tc>
          <w:tcPr>
            <w:tcW w:w="2436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B80C" w14:textId="30803C47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95C60">
              <w:rPr>
                <w:rFonts w:ascii="Book Antiqua" w:eastAsia="Calibri" w:hAnsi="Book Antiqua" w:cs="Calibri"/>
              </w:rPr>
              <w:t>Entrectinib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(RXDX-101)</w:t>
            </w:r>
          </w:p>
        </w:tc>
        <w:tc>
          <w:tcPr>
            <w:tcW w:w="2487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7523" w14:textId="594626F6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5548B">
              <w:rPr>
                <w:rFonts w:ascii="Book Antiqua" w:eastAsia="Calibri" w:hAnsi="Book Antiqua" w:cs="Calibri"/>
                <w:caps/>
              </w:rPr>
              <w:t>p</w:t>
            </w:r>
            <w:r w:rsidRPr="00095C60">
              <w:rPr>
                <w:rFonts w:ascii="Book Antiqua" w:eastAsia="Calibri" w:hAnsi="Book Antiqua" w:cs="Calibri"/>
              </w:rPr>
              <w:t>hase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2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basket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study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6BDA" w14:textId="73518E6B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95C60">
              <w:rPr>
                <w:rFonts w:ascii="Book Antiqua" w:eastAsia="Calibri" w:hAnsi="Book Antiqua" w:cs="Calibri"/>
              </w:rPr>
              <w:t>Treatment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patients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Locally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Advanced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metastatic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solid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tumours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that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harbour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463EEA">
              <w:rPr>
                <w:rFonts w:ascii="Book Antiqua" w:eastAsia="Calibri" w:hAnsi="Book Antiqua" w:cs="Calibri"/>
                <w:i/>
              </w:rPr>
              <w:t>NTRK1/2/3</w:t>
            </w:r>
            <w:r w:rsidRPr="00095C60">
              <w:rPr>
                <w:rFonts w:ascii="Book Antiqua" w:eastAsia="Calibri" w:hAnsi="Book Antiqua" w:cs="Calibri"/>
              </w:rPr>
              <w:t>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463EEA">
              <w:rPr>
                <w:rFonts w:ascii="Book Antiqua" w:eastAsia="Calibri" w:hAnsi="Book Antiqua" w:cs="Calibri"/>
                <w:i/>
              </w:rPr>
              <w:t>ROS1</w:t>
            </w:r>
            <w:r w:rsidRPr="00095C60">
              <w:rPr>
                <w:rFonts w:ascii="Book Antiqua" w:eastAsia="Calibri" w:hAnsi="Book Antiqua" w:cs="Calibri"/>
              </w:rPr>
              <w:t>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463EEA">
              <w:rPr>
                <w:rFonts w:ascii="Book Antiqua" w:eastAsia="Calibri" w:hAnsi="Book Antiqua" w:cs="Calibri"/>
                <w:i/>
              </w:rPr>
              <w:t>ALK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gene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rearrangements</w:t>
            </w:r>
          </w:p>
        </w:tc>
      </w:tr>
      <w:tr w:rsidR="00A5548B" w:rsidRPr="00095C60" w14:paraId="2FF488E5" w14:textId="77777777" w:rsidTr="002710F2">
        <w:trPr>
          <w:trHeight w:val="68"/>
        </w:trPr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FA210" w14:textId="77777777" w:rsidR="00A5548B" w:rsidRPr="00463EEA" w:rsidRDefault="00A5548B" w:rsidP="00A5548B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463EEA">
              <w:rPr>
                <w:rFonts w:ascii="Book Antiqua" w:eastAsia="Calibri" w:hAnsi="Book Antiqua" w:cs="Calibri"/>
              </w:rPr>
              <w:t>NCT03724851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90FB0" w14:textId="2332A673" w:rsidR="00A5548B" w:rsidRPr="00095C60" w:rsidRDefault="00A5548B" w:rsidP="00272871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95C60">
              <w:rPr>
                <w:rFonts w:ascii="Book Antiqua" w:eastAsia="Calibri" w:hAnsi="Book Antiqua" w:cs="Calibri"/>
              </w:rPr>
              <w:t>Vactosertib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(TGF-β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receptor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kinase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inhibitor)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+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pembrolizumab</w:t>
            </w:r>
            <w:proofErr w:type="spellEnd"/>
          </w:p>
        </w:tc>
        <w:tc>
          <w:tcPr>
            <w:tcW w:w="24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9E8B" w14:textId="778E251C" w:rsidR="00A5548B" w:rsidRPr="00095C60" w:rsidRDefault="00A5548B" w:rsidP="00272871">
            <w:pPr>
              <w:spacing w:line="360" w:lineRule="auto"/>
              <w:rPr>
                <w:rFonts w:ascii="Book Antiqua" w:hAnsi="Book Antiqua"/>
              </w:rPr>
            </w:pPr>
            <w:r w:rsidRPr="00A5548B">
              <w:rPr>
                <w:rFonts w:ascii="Book Antiqua" w:eastAsia="Calibri" w:hAnsi="Book Antiqua" w:cs="Calibri"/>
                <w:caps/>
              </w:rPr>
              <w:t>p</w:t>
            </w:r>
            <w:r w:rsidRPr="00095C60">
              <w:rPr>
                <w:rFonts w:ascii="Book Antiqua" w:eastAsia="Calibri" w:hAnsi="Book Antiqua" w:cs="Calibri"/>
              </w:rPr>
              <w:t>hase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2,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open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label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study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F889" w14:textId="1AD1A405" w:rsidR="00A5548B" w:rsidRPr="00095C60" w:rsidRDefault="00A5548B" w:rsidP="0027287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33EB">
              <w:rPr>
                <w:rFonts w:ascii="Book Antiqua" w:eastAsia="Calibri" w:hAnsi="Book Antiqua" w:cs="Calibri"/>
              </w:rPr>
              <w:t>S</w:t>
            </w:r>
            <w:r w:rsidRPr="00095C60">
              <w:rPr>
                <w:rFonts w:ascii="Book Antiqua" w:eastAsia="Calibri" w:hAnsi="Book Antiqua" w:cs="Calibri"/>
              </w:rPr>
              <w:t>afety,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tolerability,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pharmacokinetics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and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antitumour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activity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of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vactosertib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combination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pembrolizumab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patients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with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95C60">
              <w:rPr>
                <w:rFonts w:ascii="Book Antiqua" w:eastAsia="Calibri" w:hAnsi="Book Antiqua" w:cs="Calibri"/>
              </w:rPr>
              <w:t>mCRC</w:t>
            </w:r>
            <w:proofErr w:type="spellEnd"/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including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CMS4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or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lastRenderedPageBreak/>
              <w:t>diffuse</w:t>
            </w:r>
            <w:r w:rsidR="00F00A3C">
              <w:rPr>
                <w:rFonts w:ascii="Book Antiqua" w:eastAsia="Calibri" w:hAnsi="Book Antiqua" w:cs="Calibri"/>
              </w:rPr>
              <w:t xml:space="preserve"> </w:t>
            </w:r>
            <w:r w:rsidRPr="00095C60">
              <w:rPr>
                <w:rFonts w:ascii="Book Antiqua" w:eastAsia="Calibri" w:hAnsi="Book Antiqua" w:cs="Calibri"/>
              </w:rPr>
              <w:t>GC/GEJC</w:t>
            </w:r>
          </w:p>
        </w:tc>
      </w:tr>
    </w:tbl>
    <w:p w14:paraId="53348CF6" w14:textId="35802634" w:rsidR="009F0AC5" w:rsidRDefault="00463EEA">
      <w:pPr>
        <w:spacing w:line="360" w:lineRule="auto"/>
        <w:jc w:val="both"/>
        <w:rPr>
          <w:rFonts w:ascii="Book Antiqua" w:hAnsi="Book Antiqua"/>
          <w:lang w:eastAsia="zh-CN"/>
        </w:rPr>
      </w:pPr>
      <w:r w:rsidRPr="00463EEA">
        <w:rPr>
          <w:rFonts w:ascii="Book Antiqua" w:hAnsi="Book Antiqua"/>
          <w:lang w:eastAsia="zh-CN"/>
        </w:rPr>
        <w:lastRenderedPageBreak/>
        <w:t>EGFR:</w:t>
      </w:r>
      <w:r w:rsidR="00F00A3C">
        <w:rPr>
          <w:rFonts w:ascii="Book Antiqua" w:hAnsi="Book Antiqua"/>
          <w:lang w:eastAsia="zh-CN"/>
        </w:rPr>
        <w:t xml:space="preserve"> </w:t>
      </w:r>
      <w:r w:rsidRPr="00463EEA">
        <w:rPr>
          <w:rFonts w:ascii="Book Antiqua" w:hAnsi="Book Antiqua"/>
          <w:caps/>
          <w:lang w:eastAsia="zh-CN"/>
        </w:rPr>
        <w:t>e</w:t>
      </w:r>
      <w:r w:rsidRPr="00463EEA">
        <w:rPr>
          <w:rFonts w:ascii="Book Antiqua" w:hAnsi="Book Antiqua"/>
          <w:lang w:eastAsia="zh-CN"/>
        </w:rPr>
        <w:t>pidermal</w:t>
      </w:r>
      <w:r w:rsidR="00F00A3C">
        <w:rPr>
          <w:rFonts w:ascii="Book Antiqua" w:hAnsi="Book Antiqua"/>
          <w:lang w:eastAsia="zh-CN"/>
        </w:rPr>
        <w:t xml:space="preserve"> </w:t>
      </w:r>
      <w:r w:rsidRPr="00463EEA">
        <w:rPr>
          <w:rFonts w:ascii="Book Antiqua" w:hAnsi="Book Antiqua"/>
          <w:lang w:eastAsia="zh-CN"/>
        </w:rPr>
        <w:t>growth</w:t>
      </w:r>
      <w:r w:rsidR="00F00A3C">
        <w:rPr>
          <w:rFonts w:ascii="Book Antiqua" w:hAnsi="Book Antiqua"/>
          <w:lang w:eastAsia="zh-CN"/>
        </w:rPr>
        <w:t xml:space="preserve"> </w:t>
      </w:r>
      <w:r w:rsidRPr="00463EEA">
        <w:rPr>
          <w:rFonts w:ascii="Book Antiqua" w:hAnsi="Book Antiqua"/>
          <w:lang w:eastAsia="zh-CN"/>
        </w:rPr>
        <w:t>factor</w:t>
      </w:r>
      <w:r w:rsidR="00F00A3C">
        <w:rPr>
          <w:rFonts w:ascii="Book Antiqua" w:hAnsi="Book Antiqua"/>
          <w:lang w:eastAsia="zh-CN"/>
        </w:rPr>
        <w:t xml:space="preserve"> </w:t>
      </w:r>
      <w:r w:rsidRPr="00463EEA">
        <w:rPr>
          <w:rFonts w:ascii="Book Antiqua" w:hAnsi="Book Antiqua"/>
          <w:lang w:eastAsia="zh-CN"/>
        </w:rPr>
        <w:t>receptor;</w:t>
      </w:r>
      <w:r w:rsidR="00F00A3C">
        <w:rPr>
          <w:rFonts w:ascii="Book Antiqua" w:hAnsi="Book Antiqua"/>
          <w:lang w:eastAsia="zh-CN"/>
        </w:rPr>
        <w:t xml:space="preserve"> </w:t>
      </w:r>
      <w:bookmarkStart w:id="1" w:name="OLE_LINK337"/>
      <w:bookmarkStart w:id="2" w:name="OLE_LINK338"/>
      <w:r w:rsidRPr="00463EEA">
        <w:rPr>
          <w:rFonts w:ascii="Book Antiqua" w:hAnsi="Book Antiqua"/>
          <w:lang w:eastAsia="zh-CN"/>
        </w:rPr>
        <w:t>TGF</w:t>
      </w:r>
      <w:bookmarkEnd w:id="1"/>
      <w:bookmarkEnd w:id="2"/>
      <w:r w:rsidRPr="00463EEA">
        <w:rPr>
          <w:rFonts w:ascii="Book Antiqua" w:hAnsi="Book Antiqua"/>
          <w:lang w:eastAsia="zh-CN"/>
        </w:rPr>
        <w:t>-β:</w:t>
      </w:r>
      <w:r w:rsidR="00F00A3C">
        <w:rPr>
          <w:rFonts w:ascii="Book Antiqua" w:hAnsi="Book Antiqua"/>
          <w:lang w:eastAsia="zh-CN"/>
        </w:rPr>
        <w:t xml:space="preserve"> </w:t>
      </w:r>
      <w:r w:rsidRPr="00463EEA">
        <w:rPr>
          <w:rFonts w:ascii="Book Antiqua" w:hAnsi="Book Antiqua"/>
          <w:caps/>
          <w:lang w:eastAsia="zh-CN"/>
        </w:rPr>
        <w:t>t</w:t>
      </w:r>
      <w:r w:rsidRPr="00463EEA">
        <w:rPr>
          <w:rFonts w:ascii="Book Antiqua" w:hAnsi="Book Antiqua"/>
          <w:lang w:eastAsia="zh-CN"/>
        </w:rPr>
        <w:t>ransforming</w:t>
      </w:r>
      <w:r w:rsidR="00F00A3C">
        <w:rPr>
          <w:rFonts w:ascii="Book Antiqua" w:hAnsi="Book Antiqua"/>
          <w:lang w:eastAsia="zh-CN"/>
        </w:rPr>
        <w:t xml:space="preserve"> </w:t>
      </w:r>
      <w:r w:rsidRPr="00463EEA">
        <w:rPr>
          <w:rFonts w:ascii="Book Antiqua" w:hAnsi="Book Antiqua"/>
          <w:lang w:eastAsia="zh-CN"/>
        </w:rPr>
        <w:t>growth</w:t>
      </w:r>
      <w:r w:rsidR="00F00A3C">
        <w:rPr>
          <w:rFonts w:ascii="Book Antiqua" w:hAnsi="Book Antiqua"/>
          <w:lang w:eastAsia="zh-CN"/>
        </w:rPr>
        <w:t xml:space="preserve"> </w:t>
      </w:r>
      <w:r w:rsidRPr="00463EEA">
        <w:rPr>
          <w:rFonts w:ascii="Book Antiqua" w:hAnsi="Book Antiqua"/>
          <w:lang w:eastAsia="zh-CN"/>
        </w:rPr>
        <w:t>factor-β.</w:t>
      </w:r>
    </w:p>
    <w:p w14:paraId="104659A2" w14:textId="77777777" w:rsidR="009F0AC5" w:rsidRDefault="009F0AC5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1659CAC9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0DC548E1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64899AA1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0DFE09DA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65CCB13B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78B817BF" w14:textId="24D78899" w:rsidR="009F0AC5" w:rsidRDefault="009F0AC5" w:rsidP="009F0AC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3A916DF" wp14:editId="2B0CCB14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3E921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7EC382A8" w14:textId="77777777" w:rsidR="009F0AC5" w:rsidRDefault="009F0AC5" w:rsidP="009F0AC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D7867E9" w14:textId="77777777" w:rsidR="009F0AC5" w:rsidRDefault="009F0AC5" w:rsidP="009F0A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F37194D" w14:textId="77777777" w:rsidR="009F0AC5" w:rsidRDefault="009F0AC5" w:rsidP="009F0A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FD29FFF" w14:textId="77777777" w:rsidR="009F0AC5" w:rsidRDefault="009F0AC5" w:rsidP="009F0A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E50F199" w14:textId="77777777" w:rsidR="009F0AC5" w:rsidRDefault="009F0AC5" w:rsidP="009F0A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2514D15" w14:textId="77777777" w:rsidR="009F0AC5" w:rsidRDefault="009F0AC5" w:rsidP="009F0AC5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406D194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24A30863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1D858DD7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279F3CB6" w14:textId="6FC25B13" w:rsidR="009F0AC5" w:rsidRDefault="009F0AC5" w:rsidP="009F0AC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8DF3750" wp14:editId="350A85F8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8D029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588677A8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39A93BCD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2C680429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2D7466D2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65995C88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477FA9DE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07A48909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4E29DA83" w14:textId="77777777" w:rsidR="009F0AC5" w:rsidRDefault="009F0AC5" w:rsidP="009F0AC5">
      <w:pPr>
        <w:jc w:val="center"/>
        <w:rPr>
          <w:rFonts w:ascii="Book Antiqua" w:hAnsi="Book Antiqua"/>
        </w:rPr>
      </w:pPr>
    </w:p>
    <w:p w14:paraId="36B0AEEE" w14:textId="77777777" w:rsidR="009F0AC5" w:rsidRDefault="009F0AC5" w:rsidP="009F0AC5">
      <w:pPr>
        <w:jc w:val="right"/>
        <w:rPr>
          <w:rFonts w:ascii="Book Antiqua" w:hAnsi="Book Antiqua"/>
          <w:color w:val="000000" w:themeColor="text1"/>
        </w:rPr>
      </w:pPr>
    </w:p>
    <w:p w14:paraId="3333A40C" w14:textId="77777777" w:rsidR="009F0AC5" w:rsidRDefault="009F0AC5" w:rsidP="009F0AC5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12FAAB09" w14:textId="77777777" w:rsidR="00A5548B" w:rsidRPr="009F0AC5" w:rsidRDefault="00A5548B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5548B" w:rsidRPr="009F0AC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34B75" w14:textId="77777777" w:rsidR="004D4020" w:rsidRDefault="004D4020" w:rsidP="00463EEA">
      <w:r>
        <w:separator/>
      </w:r>
    </w:p>
  </w:endnote>
  <w:endnote w:type="continuationSeparator" w:id="0">
    <w:p w14:paraId="342FFE20" w14:textId="77777777" w:rsidR="004D4020" w:rsidRDefault="004D4020" w:rsidP="0046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9914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98479F" w14:textId="77777777" w:rsidR="00463EEA" w:rsidRDefault="00463EEA" w:rsidP="00463EEA">
            <w:pPr>
              <w:pStyle w:val="a5"/>
              <w:jc w:val="right"/>
            </w:pPr>
            <w:r w:rsidRPr="00463EE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63E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63EE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63E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3002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22</w:t>
            </w:r>
            <w:r w:rsidRPr="00463E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63EE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63E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63EE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63E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3002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29</w:t>
            </w:r>
            <w:r w:rsidRPr="00463E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08124" w14:textId="77777777" w:rsidR="00463EEA" w:rsidRDefault="00463E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D7C9A" w14:textId="77777777" w:rsidR="004D4020" w:rsidRDefault="004D4020" w:rsidP="00463EEA">
      <w:r>
        <w:separator/>
      </w:r>
    </w:p>
  </w:footnote>
  <w:footnote w:type="continuationSeparator" w:id="0">
    <w:p w14:paraId="6A404CDC" w14:textId="77777777" w:rsidR="004D4020" w:rsidRDefault="004D4020" w:rsidP="00463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7CA"/>
    <w:rsid w:val="00037473"/>
    <w:rsid w:val="000D111A"/>
    <w:rsid w:val="000D46B7"/>
    <w:rsid w:val="001F3FDF"/>
    <w:rsid w:val="00265D87"/>
    <w:rsid w:val="002710F2"/>
    <w:rsid w:val="003A2687"/>
    <w:rsid w:val="004605A1"/>
    <w:rsid w:val="00463EEA"/>
    <w:rsid w:val="004A7601"/>
    <w:rsid w:val="004D4020"/>
    <w:rsid w:val="005074B5"/>
    <w:rsid w:val="005E2B7E"/>
    <w:rsid w:val="006A2159"/>
    <w:rsid w:val="006F5CD7"/>
    <w:rsid w:val="00720700"/>
    <w:rsid w:val="007302ED"/>
    <w:rsid w:val="008B6C07"/>
    <w:rsid w:val="009F0AC5"/>
    <w:rsid w:val="00A5548B"/>
    <w:rsid w:val="00A77B3E"/>
    <w:rsid w:val="00A933EB"/>
    <w:rsid w:val="00AE52FD"/>
    <w:rsid w:val="00AE5EA0"/>
    <w:rsid w:val="00AF262C"/>
    <w:rsid w:val="00B150A4"/>
    <w:rsid w:val="00B572C9"/>
    <w:rsid w:val="00BF5A26"/>
    <w:rsid w:val="00CA2A55"/>
    <w:rsid w:val="00DA6836"/>
    <w:rsid w:val="00DB35A8"/>
    <w:rsid w:val="00E207F5"/>
    <w:rsid w:val="00E71726"/>
    <w:rsid w:val="00F00A3C"/>
    <w:rsid w:val="00F3002D"/>
    <w:rsid w:val="00F340EE"/>
    <w:rsid w:val="00F56234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CA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548B"/>
    <w:rPr>
      <w:sz w:val="18"/>
      <w:szCs w:val="18"/>
    </w:rPr>
  </w:style>
  <w:style w:type="character" w:customStyle="1" w:styleId="Char">
    <w:name w:val="批注框文本 Char"/>
    <w:basedOn w:val="a0"/>
    <w:link w:val="a3"/>
    <w:rsid w:val="00A5548B"/>
    <w:rPr>
      <w:sz w:val="18"/>
      <w:szCs w:val="18"/>
    </w:rPr>
  </w:style>
  <w:style w:type="paragraph" w:styleId="a4">
    <w:name w:val="header"/>
    <w:basedOn w:val="a"/>
    <w:link w:val="Char0"/>
    <w:rsid w:val="00463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63EEA"/>
    <w:rPr>
      <w:sz w:val="18"/>
      <w:szCs w:val="18"/>
    </w:rPr>
  </w:style>
  <w:style w:type="paragraph" w:styleId="a5">
    <w:name w:val="footer"/>
    <w:basedOn w:val="a"/>
    <w:link w:val="Char1"/>
    <w:uiPriority w:val="99"/>
    <w:rsid w:val="00463E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3EEA"/>
    <w:rPr>
      <w:sz w:val="18"/>
      <w:szCs w:val="18"/>
    </w:rPr>
  </w:style>
  <w:style w:type="character" w:styleId="a6">
    <w:name w:val="Hyperlink"/>
    <w:basedOn w:val="a0"/>
    <w:unhideWhenUsed/>
    <w:rsid w:val="00F5623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E5EA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548B"/>
    <w:rPr>
      <w:sz w:val="18"/>
      <w:szCs w:val="18"/>
    </w:rPr>
  </w:style>
  <w:style w:type="character" w:customStyle="1" w:styleId="Char">
    <w:name w:val="批注框文本 Char"/>
    <w:basedOn w:val="a0"/>
    <w:link w:val="a3"/>
    <w:rsid w:val="00A5548B"/>
    <w:rPr>
      <w:sz w:val="18"/>
      <w:szCs w:val="18"/>
    </w:rPr>
  </w:style>
  <w:style w:type="paragraph" w:styleId="a4">
    <w:name w:val="header"/>
    <w:basedOn w:val="a"/>
    <w:link w:val="Char0"/>
    <w:rsid w:val="00463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63EEA"/>
    <w:rPr>
      <w:sz w:val="18"/>
      <w:szCs w:val="18"/>
    </w:rPr>
  </w:style>
  <w:style w:type="paragraph" w:styleId="a5">
    <w:name w:val="footer"/>
    <w:basedOn w:val="a"/>
    <w:link w:val="Char1"/>
    <w:uiPriority w:val="99"/>
    <w:rsid w:val="00463E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3EEA"/>
    <w:rPr>
      <w:sz w:val="18"/>
      <w:szCs w:val="18"/>
    </w:rPr>
  </w:style>
  <w:style w:type="character" w:styleId="a6">
    <w:name w:val="Hyperlink"/>
    <w:basedOn w:val="a0"/>
    <w:unhideWhenUsed/>
    <w:rsid w:val="00F5623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E5EA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462245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6744</Words>
  <Characters>38442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2021-09-08T07:34:00Z</dcterms:created>
  <dcterms:modified xsi:type="dcterms:W3CDTF">2021-11-12T04:38:00Z</dcterms:modified>
</cp:coreProperties>
</file>