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FC" w:rsidRPr="006074AF" w:rsidRDefault="00BE4FFC" w:rsidP="00A2711D">
      <w:pPr>
        <w:adjustRightInd w:val="0"/>
        <w:snapToGrid w:val="0"/>
        <w:spacing w:line="360" w:lineRule="auto"/>
        <w:rPr>
          <w:rFonts w:ascii="Book Antiqua" w:hAnsi="Book Antiqua"/>
          <w:sz w:val="21"/>
          <w:lang w:val="en-US"/>
        </w:rPr>
      </w:pPr>
      <w:r w:rsidRPr="006074AF">
        <w:rPr>
          <w:rFonts w:ascii="Book Antiqua" w:hAnsi="Book Antiqua" w:cs="宋体"/>
          <w:b/>
          <w:sz w:val="21"/>
          <w:lang w:val="en-US"/>
        </w:rPr>
        <w:t>Name of journal:</w:t>
      </w:r>
      <w:r w:rsidRPr="006074AF">
        <w:rPr>
          <w:sz w:val="21"/>
          <w:lang w:val="en-US"/>
        </w:rPr>
        <w:t xml:space="preserve"> </w:t>
      </w:r>
      <w:r w:rsidRPr="006074AF">
        <w:rPr>
          <w:rFonts w:ascii="Book Antiqua" w:hAnsi="Book Antiqua" w:cs="宋体"/>
          <w:b/>
          <w:sz w:val="21"/>
          <w:lang w:val="en-US"/>
        </w:rPr>
        <w:t>World Journal of Stem Cells</w:t>
      </w:r>
    </w:p>
    <w:p w:rsidR="00BE4FFC" w:rsidRPr="006074AF" w:rsidRDefault="00BE4FFC" w:rsidP="00A2711D">
      <w:pPr>
        <w:adjustRightInd w:val="0"/>
        <w:snapToGrid w:val="0"/>
        <w:spacing w:line="360" w:lineRule="auto"/>
        <w:rPr>
          <w:rFonts w:ascii="Book Antiqua" w:hAnsi="Book Antiqua" w:cs="宋体"/>
          <w:b/>
          <w:sz w:val="21"/>
          <w:lang w:val="en-US" w:eastAsia="zh-CN"/>
        </w:rPr>
      </w:pPr>
      <w:r w:rsidRPr="006074AF">
        <w:rPr>
          <w:rFonts w:ascii="Book Antiqua" w:hAnsi="Book Antiqua" w:cs="Arial"/>
          <w:b/>
          <w:sz w:val="21"/>
          <w:lang w:val="en-US"/>
        </w:rPr>
        <w:t>ESPS Manuscript N</w:t>
      </w:r>
      <w:r w:rsidRPr="006074AF">
        <w:rPr>
          <w:rFonts w:ascii="Book Antiqua" w:hAnsi="Book Antiqua" w:cs="Arial"/>
          <w:b/>
          <w:caps/>
          <w:sz w:val="21"/>
          <w:lang w:val="en-US"/>
        </w:rPr>
        <w:t>o</w:t>
      </w:r>
      <w:r w:rsidRPr="006074AF">
        <w:rPr>
          <w:rFonts w:ascii="Book Antiqua" w:hAnsi="Book Antiqua" w:cs="Arial"/>
          <w:b/>
          <w:sz w:val="21"/>
          <w:lang w:val="en-US"/>
        </w:rPr>
        <w:t xml:space="preserve">: </w:t>
      </w:r>
      <w:r w:rsidRPr="006074AF">
        <w:rPr>
          <w:rFonts w:ascii="Book Antiqua" w:hAnsi="Book Antiqua" w:cs="Arial"/>
          <w:b/>
          <w:sz w:val="21"/>
          <w:lang w:val="en-US" w:eastAsia="zh-CN"/>
        </w:rPr>
        <w:t>6648</w:t>
      </w:r>
    </w:p>
    <w:p w:rsidR="00BE4FFC" w:rsidRPr="006074AF" w:rsidRDefault="00BE4FFC" w:rsidP="00A2711D">
      <w:pPr>
        <w:suppressAutoHyphens/>
        <w:autoSpaceDE w:val="0"/>
        <w:autoSpaceDN w:val="0"/>
        <w:adjustRightInd w:val="0"/>
        <w:snapToGrid w:val="0"/>
        <w:spacing w:line="360" w:lineRule="auto"/>
        <w:rPr>
          <w:rFonts w:ascii="Book Antiqua" w:eastAsia="幼圆" w:hAnsi="Book Antiqua"/>
          <w:b/>
          <w:color w:val="000000"/>
          <w:sz w:val="21"/>
          <w:lang w:val="en-US"/>
        </w:rPr>
      </w:pPr>
      <w:bookmarkStart w:id="0" w:name="OLE_LINK1617"/>
      <w:bookmarkStart w:id="1" w:name="OLE_LINK1618"/>
      <w:r w:rsidRPr="006074AF">
        <w:rPr>
          <w:rFonts w:ascii="Book Antiqua" w:hAnsi="Book Antiqua"/>
          <w:b/>
          <w:sz w:val="21"/>
          <w:lang w:val="en-US"/>
        </w:rPr>
        <w:t xml:space="preserve">Columns: </w:t>
      </w:r>
      <w:bookmarkEnd w:id="0"/>
      <w:bookmarkEnd w:id="1"/>
      <w:r w:rsidRPr="006074AF">
        <w:rPr>
          <w:rFonts w:ascii="Book Antiqua" w:eastAsia="幼圆" w:hAnsi="Book Antiqua"/>
          <w:b/>
          <w:color w:val="000000"/>
          <w:sz w:val="21"/>
          <w:lang w:val="en-US"/>
        </w:rPr>
        <w:t>TOPIC HIGHLIGHTS</w:t>
      </w:r>
    </w:p>
    <w:p w:rsidR="00BE4FFC" w:rsidRPr="00266631" w:rsidRDefault="00BE4FFC" w:rsidP="00DE3756">
      <w:pPr>
        <w:spacing w:line="360" w:lineRule="auto"/>
        <w:jc w:val="both"/>
        <w:rPr>
          <w:rFonts w:ascii="Book Antiqua" w:hAnsi="Book Antiqua"/>
          <w:b/>
          <w:lang w:val="en-US" w:eastAsia="zh-CN"/>
        </w:rPr>
      </w:pPr>
    </w:p>
    <w:p w:rsidR="00BE4FFC" w:rsidRPr="00266631" w:rsidRDefault="00BE4FFC" w:rsidP="00D4481A">
      <w:pPr>
        <w:spacing w:line="360" w:lineRule="auto"/>
        <w:rPr>
          <w:rFonts w:ascii="Book Antiqua" w:hAnsi="Book Antiqua"/>
          <w:color w:val="000000"/>
          <w:lang w:val="en-US"/>
        </w:rPr>
      </w:pPr>
      <w:r w:rsidRPr="00266631">
        <w:rPr>
          <w:rFonts w:ascii="Book Antiqua" w:hAnsi="Book Antiqua" w:cs="TwCenMT-Bold"/>
          <w:bCs/>
          <w:lang w:val="en-US"/>
        </w:rPr>
        <w:t xml:space="preserve">WJSC </w:t>
      </w:r>
      <w:r w:rsidRPr="00266631">
        <w:rPr>
          <w:rFonts w:ascii="Book Antiqua" w:hAnsi="Book Antiqua" w:cs="TwCenMT-Bold"/>
          <w:bCs/>
          <w:lang w:val="en-US" w:eastAsia="zh-CN"/>
        </w:rPr>
        <w:t>6</w:t>
      </w:r>
      <w:r w:rsidRPr="009E5A6F">
        <w:rPr>
          <w:rFonts w:ascii="Book Antiqua" w:hAnsi="Book Antiqua" w:cs="TwCenMT-Bold"/>
          <w:bCs/>
          <w:vertAlign w:val="superscript"/>
          <w:lang w:val="en-US"/>
        </w:rPr>
        <w:t>th</w:t>
      </w:r>
      <w:r w:rsidRPr="00266631">
        <w:rPr>
          <w:rFonts w:ascii="Book Antiqua" w:hAnsi="Book Antiqua" w:cs="TwCenMT-Bold"/>
          <w:bCs/>
          <w:lang w:val="en-US"/>
        </w:rPr>
        <w:t xml:space="preserve"> Anniversary Special Issues</w:t>
      </w:r>
      <w:r w:rsidR="00040E85" w:rsidRPr="00266631">
        <w:rPr>
          <w:rFonts w:ascii="Book Antiqua" w:hAnsi="Book Antiqua"/>
          <w:color w:val="000000"/>
          <w:lang w:val="en-US"/>
        </w:rPr>
        <w:t xml:space="preserve"> </w:t>
      </w:r>
      <w:r w:rsidRPr="00266631">
        <w:rPr>
          <w:rFonts w:ascii="Book Antiqua" w:hAnsi="Book Antiqua"/>
          <w:color w:val="000000"/>
          <w:lang w:val="en-US"/>
        </w:rPr>
        <w:t>(2): Mesenchymal stem cells</w:t>
      </w:r>
    </w:p>
    <w:p w:rsidR="00BE4FFC" w:rsidRPr="00266631" w:rsidRDefault="00BE4FFC" w:rsidP="00DE3756">
      <w:pPr>
        <w:spacing w:line="360" w:lineRule="auto"/>
        <w:jc w:val="both"/>
        <w:rPr>
          <w:rFonts w:ascii="Book Antiqua" w:hAnsi="Book Antiqua"/>
          <w:b/>
          <w:lang w:val="en-US" w:eastAsia="zh-CN"/>
        </w:rPr>
      </w:pPr>
    </w:p>
    <w:p w:rsidR="00BE4FFC" w:rsidRPr="00266631" w:rsidRDefault="00BE4FFC" w:rsidP="00DE3756">
      <w:pPr>
        <w:spacing w:line="360" w:lineRule="auto"/>
        <w:jc w:val="both"/>
        <w:rPr>
          <w:rFonts w:ascii="Book Antiqua" w:hAnsi="Book Antiqua"/>
          <w:b/>
          <w:lang w:val="en-GB" w:eastAsia="zh-CN"/>
        </w:rPr>
      </w:pPr>
      <w:r w:rsidRPr="00266631">
        <w:rPr>
          <w:rFonts w:ascii="Book Antiqua" w:hAnsi="Book Antiqua"/>
          <w:b/>
          <w:lang w:val="en-GB"/>
        </w:rPr>
        <w:t xml:space="preserve">Periosteum derived stem cells for regenerative medicine proposals: </w:t>
      </w:r>
      <w:r w:rsidRPr="00993921">
        <w:rPr>
          <w:rFonts w:ascii="Book Antiqua" w:hAnsi="Book Antiqua"/>
          <w:b/>
          <w:caps/>
          <w:lang w:val="en-GB"/>
        </w:rPr>
        <w:t>b</w:t>
      </w:r>
      <w:r w:rsidRPr="00266631">
        <w:rPr>
          <w:rFonts w:ascii="Book Antiqua" w:hAnsi="Book Antiqua"/>
          <w:b/>
          <w:lang w:val="en-GB"/>
        </w:rPr>
        <w:t>oosting current knowledge</w:t>
      </w:r>
    </w:p>
    <w:p w:rsidR="00BE4FFC" w:rsidRPr="00266631" w:rsidRDefault="00BE4FFC" w:rsidP="00DE3756">
      <w:pPr>
        <w:spacing w:line="360" w:lineRule="auto"/>
        <w:jc w:val="both"/>
        <w:rPr>
          <w:rFonts w:ascii="Book Antiqua" w:hAnsi="Book Antiqua"/>
          <w:b/>
          <w:lang w:val="en-GB" w:eastAsia="zh-CN"/>
        </w:rPr>
      </w:pPr>
    </w:p>
    <w:p w:rsidR="00BE4FFC" w:rsidRPr="00266631" w:rsidRDefault="00BE4FFC" w:rsidP="00DE3756">
      <w:pPr>
        <w:spacing w:line="360" w:lineRule="auto"/>
        <w:jc w:val="both"/>
        <w:rPr>
          <w:rFonts w:ascii="Book Antiqua" w:hAnsi="Book Antiqua"/>
          <w:lang w:eastAsia="zh-CN"/>
        </w:rPr>
      </w:pPr>
      <w:r w:rsidRPr="00266631">
        <w:rPr>
          <w:rFonts w:ascii="Book Antiqua" w:hAnsi="Book Antiqua"/>
        </w:rPr>
        <w:t xml:space="preserve">Ferretti </w:t>
      </w:r>
      <w:r w:rsidRPr="00266631">
        <w:rPr>
          <w:rFonts w:ascii="Book Antiqua" w:hAnsi="Book Antiqua"/>
          <w:lang w:eastAsia="zh-CN"/>
        </w:rPr>
        <w:t xml:space="preserve">C </w:t>
      </w:r>
      <w:r w:rsidRPr="00266631">
        <w:rPr>
          <w:rFonts w:ascii="Book Antiqua" w:hAnsi="Book Antiqua"/>
          <w:i/>
          <w:lang w:eastAsia="zh-CN"/>
        </w:rPr>
        <w:t>et al</w:t>
      </w:r>
      <w:r w:rsidRPr="00266631">
        <w:rPr>
          <w:rFonts w:ascii="Book Antiqua" w:hAnsi="Book Antiqua"/>
          <w:lang w:eastAsia="zh-CN"/>
        </w:rPr>
        <w:t xml:space="preserve">. </w:t>
      </w:r>
      <w:r w:rsidRPr="00266631">
        <w:rPr>
          <w:rFonts w:ascii="Book Antiqua" w:hAnsi="Book Antiqua"/>
        </w:rPr>
        <w:t>Periosteum-derived stem cells and regenerative medicine</w:t>
      </w:r>
    </w:p>
    <w:p w:rsidR="00BE4FFC" w:rsidRPr="00266631" w:rsidRDefault="00BE4FFC" w:rsidP="00DE3756">
      <w:pPr>
        <w:spacing w:line="360" w:lineRule="auto"/>
        <w:jc w:val="both"/>
        <w:rPr>
          <w:rFonts w:ascii="Book Antiqua" w:hAnsi="Book Antiqua"/>
          <w:lang w:eastAsia="zh-CN"/>
        </w:rPr>
      </w:pPr>
    </w:p>
    <w:p w:rsidR="00BE4FFC" w:rsidRPr="00266631" w:rsidRDefault="00BE4FFC" w:rsidP="00DE3756">
      <w:pPr>
        <w:spacing w:line="360" w:lineRule="auto"/>
        <w:jc w:val="both"/>
        <w:rPr>
          <w:rFonts w:ascii="Book Antiqua" w:hAnsi="Book Antiqua"/>
        </w:rPr>
      </w:pPr>
      <w:r w:rsidRPr="00266631">
        <w:rPr>
          <w:rFonts w:ascii="Book Antiqua" w:hAnsi="Book Antiqua"/>
        </w:rPr>
        <w:t>Concetta Ferretti</w:t>
      </w:r>
      <w:r w:rsidRPr="00266631">
        <w:rPr>
          <w:rFonts w:ascii="Book Antiqua" w:hAnsi="Book Antiqua"/>
          <w:lang w:eastAsia="zh-CN"/>
        </w:rPr>
        <w:t>,</w:t>
      </w:r>
      <w:r w:rsidRPr="00266631">
        <w:rPr>
          <w:rFonts w:ascii="Book Antiqua" w:hAnsi="Book Antiqua"/>
        </w:rPr>
        <w:t xml:space="preserve"> Monica Mattioli-Belmonte</w:t>
      </w:r>
    </w:p>
    <w:p w:rsidR="00BE4FFC" w:rsidRPr="00266631" w:rsidRDefault="00BE4FFC" w:rsidP="00DE3756">
      <w:pPr>
        <w:spacing w:line="360" w:lineRule="auto"/>
        <w:jc w:val="both"/>
        <w:rPr>
          <w:rFonts w:ascii="Book Antiqua" w:hAnsi="Book Antiqua"/>
          <w:lang w:eastAsia="zh-CN"/>
        </w:rPr>
      </w:pPr>
    </w:p>
    <w:p w:rsidR="00BE4FFC" w:rsidRPr="00266631" w:rsidRDefault="00BE4FFC" w:rsidP="00DE3756">
      <w:pPr>
        <w:spacing w:line="360" w:lineRule="auto"/>
        <w:jc w:val="both"/>
        <w:rPr>
          <w:rFonts w:ascii="Book Antiqua" w:hAnsi="Book Antiqua"/>
          <w:b/>
          <w:lang w:val="en-US" w:eastAsia="zh-CN"/>
        </w:rPr>
      </w:pPr>
      <w:r w:rsidRPr="00266631">
        <w:rPr>
          <w:rFonts w:ascii="Book Antiqua" w:hAnsi="Book Antiqua"/>
          <w:b/>
          <w:lang w:val="en-US"/>
        </w:rPr>
        <w:t>Concetta Ferretti</w:t>
      </w:r>
      <w:r w:rsidRPr="00266631">
        <w:rPr>
          <w:rFonts w:ascii="Book Antiqua" w:hAnsi="Book Antiqua"/>
          <w:b/>
          <w:lang w:val="en-US" w:eastAsia="zh-CN"/>
        </w:rPr>
        <w:t>,</w:t>
      </w:r>
      <w:r w:rsidRPr="00266631">
        <w:rPr>
          <w:rFonts w:ascii="Book Antiqua" w:hAnsi="Book Antiqua"/>
          <w:b/>
          <w:lang w:val="en-US"/>
        </w:rPr>
        <w:t xml:space="preserve"> Monica Mattioli-Belmonte</w:t>
      </w:r>
      <w:r w:rsidRPr="00266631">
        <w:rPr>
          <w:rFonts w:ascii="Book Antiqua" w:hAnsi="Book Antiqua"/>
          <w:b/>
          <w:lang w:val="en-US" w:eastAsia="zh-CN"/>
        </w:rPr>
        <w:t xml:space="preserve">, </w:t>
      </w:r>
      <w:r w:rsidRPr="00266631">
        <w:rPr>
          <w:rFonts w:ascii="Book Antiqua" w:hAnsi="Book Antiqua"/>
          <w:lang w:val="en-US"/>
        </w:rPr>
        <w:t>Depar</w:t>
      </w:r>
      <w:r w:rsidRPr="00266631">
        <w:rPr>
          <w:rFonts w:ascii="Book Antiqua" w:hAnsi="Book Antiqua"/>
          <w:lang w:val="en-US" w:eastAsia="zh-CN"/>
        </w:rPr>
        <w:t>t</w:t>
      </w:r>
      <w:r w:rsidRPr="00266631">
        <w:rPr>
          <w:rFonts w:ascii="Book Antiqua" w:hAnsi="Book Antiqua"/>
          <w:lang w:val="en-US"/>
        </w:rPr>
        <w:t>ment of Clinical and Molecular Sciences, School of Medicine, Università Politecnica delle Marche, 60126 Ancona, Italy</w:t>
      </w:r>
    </w:p>
    <w:p w:rsidR="00BE4FFC" w:rsidRPr="00266631" w:rsidRDefault="00BE4FFC" w:rsidP="00DE3756">
      <w:pPr>
        <w:spacing w:line="360" w:lineRule="auto"/>
        <w:jc w:val="both"/>
        <w:rPr>
          <w:rFonts w:ascii="Book Antiqua" w:hAnsi="Book Antiqua"/>
          <w:b/>
          <w:lang w:val="en-US" w:eastAsia="zh-CN"/>
        </w:rPr>
      </w:pPr>
    </w:p>
    <w:p w:rsidR="00BE4FFC" w:rsidRPr="00266631" w:rsidRDefault="00BE4FFC" w:rsidP="00DE3756">
      <w:pPr>
        <w:spacing w:line="360" w:lineRule="auto"/>
        <w:jc w:val="both"/>
        <w:rPr>
          <w:rFonts w:ascii="Book Antiqua" w:hAnsi="Book Antiqua"/>
          <w:lang w:val="en-US" w:eastAsia="zh-CN"/>
        </w:rPr>
      </w:pPr>
      <w:r w:rsidRPr="00266631">
        <w:rPr>
          <w:rFonts w:ascii="Book Antiqua" w:hAnsi="Book Antiqua"/>
          <w:b/>
          <w:lang w:val="en-US"/>
        </w:rPr>
        <w:t>Author contributions:</w:t>
      </w:r>
      <w:r w:rsidRPr="00266631">
        <w:rPr>
          <w:rFonts w:ascii="Book Antiqua" w:hAnsi="Book Antiqua"/>
          <w:lang w:val="en-US" w:eastAsia="zh-CN"/>
        </w:rPr>
        <w:t xml:space="preserve"> Ferretti C and Mattioli-Belmonte M equally contributed to conception and acquisition of data as well as to article drafting and revising.</w:t>
      </w:r>
    </w:p>
    <w:p w:rsidR="00BE4FFC" w:rsidRPr="00266631" w:rsidRDefault="00BE4FFC" w:rsidP="00DE3756">
      <w:pPr>
        <w:spacing w:line="360" w:lineRule="auto"/>
        <w:jc w:val="both"/>
        <w:rPr>
          <w:rFonts w:ascii="Book Antiqua" w:hAnsi="Book Antiqua"/>
          <w:b/>
          <w:lang w:val="en-US" w:eastAsia="zh-CN"/>
        </w:rPr>
      </w:pPr>
    </w:p>
    <w:p w:rsidR="00BE4FFC" w:rsidRPr="00266631" w:rsidRDefault="00BE4FFC" w:rsidP="0099088C">
      <w:pPr>
        <w:spacing w:line="360" w:lineRule="auto"/>
        <w:jc w:val="both"/>
        <w:rPr>
          <w:rFonts w:ascii="Book Antiqua" w:hAnsi="Book Antiqua"/>
          <w:b/>
          <w:lang w:val="en-GB" w:eastAsia="zh-CN"/>
        </w:rPr>
      </w:pPr>
      <w:r w:rsidRPr="00266631">
        <w:rPr>
          <w:rFonts w:ascii="Book Antiqua" w:hAnsi="Book Antiqua"/>
          <w:b/>
          <w:lang w:val="en-US"/>
        </w:rPr>
        <w:t>Supported by</w:t>
      </w:r>
      <w:r w:rsidRPr="00266631">
        <w:rPr>
          <w:rFonts w:ascii="Book Antiqua" w:hAnsi="Book Antiqua"/>
          <w:b/>
          <w:lang w:val="en-GB"/>
        </w:rPr>
        <w:t xml:space="preserve"> </w:t>
      </w:r>
      <w:r w:rsidRPr="00266631">
        <w:rPr>
          <w:rFonts w:ascii="Book Antiqua" w:hAnsi="Book Antiqua"/>
          <w:lang w:val="en-GB"/>
        </w:rPr>
        <w:t>Italian FIRB</w:t>
      </w:r>
      <w:r w:rsidRPr="00266631">
        <w:rPr>
          <w:rFonts w:ascii="Book Antiqua" w:hAnsi="Book Antiqua"/>
          <w:lang w:val="en-GB" w:eastAsia="zh-CN"/>
        </w:rPr>
        <w:t xml:space="preserve"> </w:t>
      </w:r>
      <w:r w:rsidRPr="00266631">
        <w:rPr>
          <w:rFonts w:ascii="Book Antiqua" w:hAnsi="Book Antiqua"/>
          <w:lang w:val="en-GB"/>
        </w:rPr>
        <w:t>and PRIN project grants</w:t>
      </w:r>
      <w:r w:rsidR="0099088C">
        <w:rPr>
          <w:rFonts w:ascii="Book Antiqua" w:hAnsi="Book Antiqua"/>
          <w:lang w:val="en-GB" w:eastAsia="zh-CN"/>
        </w:rPr>
        <w:t>, No</w:t>
      </w:r>
      <w:r w:rsidRPr="00266631">
        <w:rPr>
          <w:rFonts w:ascii="Book Antiqua" w:hAnsi="Book Antiqua"/>
          <w:lang w:val="en-GB" w:eastAsia="zh-CN"/>
        </w:rPr>
        <w:t xml:space="preserve">. </w:t>
      </w:r>
      <w:r w:rsidRPr="00266631">
        <w:rPr>
          <w:rFonts w:ascii="Book Antiqua" w:hAnsi="Book Antiqua"/>
          <w:lang w:val="en-GB"/>
        </w:rPr>
        <w:t>2010J8RYS7</w:t>
      </w:r>
      <w:r w:rsidRPr="00266631">
        <w:rPr>
          <w:rFonts w:ascii="Book Antiqua" w:hAnsi="Book Antiqua"/>
          <w:lang w:val="en-GB" w:eastAsia="zh-CN"/>
        </w:rPr>
        <w:t xml:space="preserve"> and </w:t>
      </w:r>
      <w:r w:rsidR="0099088C">
        <w:rPr>
          <w:rFonts w:ascii="Book Antiqua" w:hAnsi="Book Antiqua" w:hint="eastAsia"/>
          <w:lang w:val="en-GB" w:eastAsia="zh-CN"/>
        </w:rPr>
        <w:t xml:space="preserve">No. </w:t>
      </w:r>
      <w:r w:rsidRPr="00266631">
        <w:rPr>
          <w:rFonts w:ascii="Book Antiqua" w:hAnsi="Book Antiqua"/>
          <w:lang w:val="en-GB"/>
        </w:rPr>
        <w:t>RBAP10MLK7</w:t>
      </w:r>
    </w:p>
    <w:p w:rsidR="00BE4FFC" w:rsidRPr="00266631" w:rsidRDefault="00BE4FFC" w:rsidP="00DE3756">
      <w:pPr>
        <w:spacing w:line="360" w:lineRule="auto"/>
        <w:jc w:val="both"/>
        <w:rPr>
          <w:rFonts w:ascii="Book Antiqua" w:hAnsi="Book Antiqua"/>
          <w:lang w:val="en-GB" w:eastAsia="zh-CN"/>
        </w:rPr>
      </w:pPr>
    </w:p>
    <w:p w:rsidR="00BE4FFC" w:rsidRPr="00266631" w:rsidRDefault="00BE4FFC" w:rsidP="00DE3756">
      <w:pPr>
        <w:spacing w:line="360" w:lineRule="auto"/>
        <w:jc w:val="both"/>
        <w:rPr>
          <w:rFonts w:ascii="Book Antiqua" w:hAnsi="Book Antiqua"/>
          <w:lang w:val="en-US" w:eastAsia="zh-CN"/>
        </w:rPr>
      </w:pPr>
      <w:r w:rsidRPr="00266631">
        <w:rPr>
          <w:rFonts w:ascii="Book Antiqua" w:hAnsi="Book Antiqua"/>
          <w:b/>
          <w:lang w:val="en-GB"/>
        </w:rPr>
        <w:t>Correspondence to:</w:t>
      </w:r>
      <w:r w:rsidRPr="00266631">
        <w:rPr>
          <w:rFonts w:ascii="Book Antiqua" w:hAnsi="Book Antiqua"/>
          <w:b/>
          <w:lang w:val="en-GB" w:eastAsia="zh-CN"/>
        </w:rPr>
        <w:t xml:space="preserve"> </w:t>
      </w:r>
      <w:r w:rsidRPr="00266631">
        <w:rPr>
          <w:rFonts w:ascii="Book Antiqua" w:hAnsi="Book Antiqua"/>
          <w:b/>
          <w:lang w:val="en-US"/>
        </w:rPr>
        <w:t>Dr. Monica Mattioli-Belmonte</w:t>
      </w:r>
      <w:r w:rsidRPr="00266631">
        <w:rPr>
          <w:rFonts w:ascii="Book Antiqua" w:hAnsi="Book Antiqua"/>
          <w:b/>
          <w:lang w:val="en-US" w:eastAsia="zh-CN"/>
        </w:rPr>
        <w:t xml:space="preserve">, </w:t>
      </w:r>
      <w:r w:rsidRPr="00266631">
        <w:rPr>
          <w:rFonts w:ascii="Book Antiqua" w:hAnsi="Book Antiqua"/>
          <w:lang w:val="en-GB"/>
        </w:rPr>
        <w:t>Depar</w:t>
      </w:r>
      <w:r w:rsidRPr="00266631">
        <w:rPr>
          <w:rFonts w:ascii="Book Antiqua" w:hAnsi="Book Antiqua"/>
          <w:lang w:val="en-GB" w:eastAsia="zh-CN"/>
        </w:rPr>
        <w:t>t</w:t>
      </w:r>
      <w:r w:rsidRPr="00266631">
        <w:rPr>
          <w:rFonts w:ascii="Book Antiqua" w:hAnsi="Book Antiqua"/>
          <w:lang w:val="en-GB"/>
        </w:rPr>
        <w:t>ment</w:t>
      </w:r>
      <w:r w:rsidRPr="00266631">
        <w:rPr>
          <w:rFonts w:ascii="Book Antiqua" w:hAnsi="Book Antiqua"/>
          <w:lang w:val="en-US"/>
        </w:rPr>
        <w:t xml:space="preserve"> of Clinical and Molecular Sciences, </w:t>
      </w:r>
      <w:r w:rsidR="0099088C" w:rsidRPr="00266631">
        <w:rPr>
          <w:rFonts w:ascii="Book Antiqua" w:hAnsi="Book Antiqua"/>
          <w:lang w:val="en-US"/>
        </w:rPr>
        <w:t>School of Medicine,</w:t>
      </w:r>
      <w:r w:rsidR="0099088C">
        <w:rPr>
          <w:rFonts w:ascii="Book Antiqua" w:hAnsi="Book Antiqua" w:hint="eastAsia"/>
          <w:lang w:val="en-US" w:eastAsia="zh-CN"/>
        </w:rPr>
        <w:t xml:space="preserve"> </w:t>
      </w:r>
      <w:r w:rsidRPr="00266631">
        <w:rPr>
          <w:rFonts w:ascii="Book Antiqua" w:hAnsi="Book Antiqua"/>
          <w:lang w:val="en-GB"/>
        </w:rPr>
        <w:t>Università Politecnica delle Marche, Via Tronto 10/A, 60126 Ancona, Italy</w:t>
      </w:r>
      <w:r w:rsidRPr="00266631">
        <w:rPr>
          <w:rFonts w:ascii="Book Antiqua" w:hAnsi="Book Antiqua"/>
          <w:lang w:val="en-GB" w:eastAsia="zh-CN"/>
        </w:rPr>
        <w:t xml:space="preserve">. </w:t>
      </w:r>
      <w:r w:rsidRPr="00266631">
        <w:rPr>
          <w:rFonts w:ascii="Book Antiqua" w:hAnsi="Book Antiqua"/>
          <w:lang w:val="en-US"/>
        </w:rPr>
        <w:t>m.mattioli@univpm.it</w:t>
      </w:r>
    </w:p>
    <w:p w:rsidR="00BE4FFC" w:rsidRPr="00266631" w:rsidRDefault="00BE4FFC" w:rsidP="00DE3756">
      <w:pPr>
        <w:spacing w:line="360" w:lineRule="auto"/>
        <w:jc w:val="both"/>
        <w:rPr>
          <w:rFonts w:ascii="Book Antiqua" w:hAnsi="Book Antiqua"/>
          <w:lang w:val="en-US" w:eastAsia="zh-CN"/>
        </w:rPr>
      </w:pPr>
    </w:p>
    <w:p w:rsidR="00BE4FFC" w:rsidRPr="00266631" w:rsidRDefault="00BE4FFC" w:rsidP="003105F4">
      <w:pPr>
        <w:spacing w:line="360" w:lineRule="auto"/>
        <w:jc w:val="both"/>
        <w:rPr>
          <w:rFonts w:ascii="Book Antiqua" w:hAnsi="Book Antiqua"/>
          <w:lang w:val="en-US"/>
        </w:rPr>
      </w:pPr>
      <w:r w:rsidRPr="00266631">
        <w:rPr>
          <w:rFonts w:ascii="Book Antiqua" w:hAnsi="Book Antiqua"/>
          <w:b/>
          <w:lang w:val="en-US"/>
        </w:rPr>
        <w:t>Telephone:</w:t>
      </w:r>
      <w:r w:rsidR="00993921">
        <w:rPr>
          <w:rFonts w:ascii="Book Antiqua" w:hAnsi="Book Antiqua"/>
          <w:lang w:val="en-US"/>
        </w:rPr>
        <w:t xml:space="preserve"> </w:t>
      </w:r>
      <w:r w:rsidRPr="00266631">
        <w:rPr>
          <w:rFonts w:ascii="Book Antiqua" w:hAnsi="Book Antiqua"/>
          <w:lang w:val="en-US"/>
        </w:rPr>
        <w:t>+39</w:t>
      </w:r>
      <w:r w:rsidRPr="00266631">
        <w:rPr>
          <w:rFonts w:ascii="Book Antiqua" w:hAnsi="Book Antiqua"/>
          <w:lang w:val="en-US" w:eastAsia="zh-CN"/>
        </w:rPr>
        <w:t>-</w:t>
      </w:r>
      <w:r w:rsidRPr="00266631">
        <w:rPr>
          <w:rFonts w:ascii="Book Antiqua" w:hAnsi="Book Antiqua"/>
          <w:lang w:val="en-US"/>
        </w:rPr>
        <w:t>71</w:t>
      </w:r>
      <w:r w:rsidRPr="00266631">
        <w:rPr>
          <w:rFonts w:ascii="Book Antiqua" w:hAnsi="Book Antiqua"/>
          <w:lang w:val="en-US" w:eastAsia="zh-CN"/>
        </w:rPr>
        <w:t>-</w:t>
      </w:r>
      <w:r w:rsidRPr="00266631">
        <w:rPr>
          <w:rFonts w:ascii="Book Antiqua" w:hAnsi="Book Antiqua"/>
          <w:lang w:val="en-US"/>
        </w:rPr>
        <w:t>2206077</w:t>
      </w:r>
      <w:r w:rsidR="00993921">
        <w:rPr>
          <w:rFonts w:ascii="Book Antiqua" w:hAnsi="Book Antiqua"/>
          <w:lang w:val="en-US" w:eastAsia="zh-CN"/>
        </w:rPr>
        <w:t xml:space="preserve"> </w:t>
      </w:r>
      <w:r w:rsidRPr="00266631">
        <w:rPr>
          <w:rFonts w:ascii="Book Antiqua" w:hAnsi="Book Antiqua"/>
          <w:b/>
          <w:lang w:val="en-US"/>
        </w:rPr>
        <w:t xml:space="preserve">Fax: </w:t>
      </w:r>
      <w:r w:rsidRPr="00266631">
        <w:rPr>
          <w:rFonts w:ascii="Book Antiqua" w:hAnsi="Book Antiqua"/>
          <w:lang w:val="en-US"/>
        </w:rPr>
        <w:t>+39</w:t>
      </w:r>
      <w:r w:rsidRPr="00266631">
        <w:rPr>
          <w:rFonts w:ascii="Book Antiqua" w:hAnsi="Book Antiqua"/>
          <w:lang w:val="en-US" w:eastAsia="zh-CN"/>
        </w:rPr>
        <w:t>-</w:t>
      </w:r>
      <w:r w:rsidRPr="00266631">
        <w:rPr>
          <w:rFonts w:ascii="Book Antiqua" w:hAnsi="Book Antiqua"/>
          <w:lang w:val="en-US"/>
        </w:rPr>
        <w:t>71</w:t>
      </w:r>
      <w:r w:rsidRPr="00266631">
        <w:rPr>
          <w:rFonts w:ascii="Book Antiqua" w:hAnsi="Book Antiqua"/>
          <w:lang w:val="en-US" w:eastAsia="zh-CN"/>
        </w:rPr>
        <w:t>-</w:t>
      </w:r>
      <w:r w:rsidRPr="00266631">
        <w:rPr>
          <w:rFonts w:ascii="Book Antiqua" w:hAnsi="Book Antiqua"/>
          <w:lang w:val="en-US"/>
        </w:rPr>
        <w:t>2206073</w:t>
      </w:r>
    </w:p>
    <w:p w:rsidR="00BE4FFC" w:rsidRPr="00266631" w:rsidRDefault="00BE4FFC" w:rsidP="003105F4">
      <w:pPr>
        <w:spacing w:line="360" w:lineRule="auto"/>
        <w:rPr>
          <w:rFonts w:ascii="Book Antiqua" w:hAnsi="Book Antiqua"/>
          <w:b/>
          <w:lang w:val="en-US" w:eastAsia="zh-CN"/>
        </w:rPr>
      </w:pPr>
      <w:r w:rsidRPr="00266631">
        <w:rPr>
          <w:rFonts w:ascii="Book Antiqua" w:hAnsi="Book Antiqua"/>
          <w:b/>
          <w:lang w:val="en-US"/>
        </w:rPr>
        <w:t xml:space="preserve">Received: </w:t>
      </w:r>
      <w:bookmarkStart w:id="2" w:name="OLE_LINK14"/>
      <w:bookmarkStart w:id="3" w:name="OLE_LINK15"/>
      <w:r w:rsidRPr="00266631">
        <w:rPr>
          <w:rFonts w:ascii="Book Antiqua" w:hAnsi="Book Antiqua"/>
          <w:lang w:val="en-US"/>
        </w:rPr>
        <w:t>October</w:t>
      </w:r>
      <w:bookmarkEnd w:id="2"/>
      <w:bookmarkEnd w:id="3"/>
      <w:r w:rsidRPr="00266631">
        <w:rPr>
          <w:rFonts w:ascii="Book Antiqua" w:hAnsi="Book Antiqua"/>
          <w:lang w:val="en-US" w:eastAsia="zh-CN"/>
        </w:rPr>
        <w:t xml:space="preserve"> 25, 2013</w:t>
      </w:r>
      <w:r w:rsidR="00993921">
        <w:rPr>
          <w:rFonts w:ascii="Book Antiqua" w:hAnsi="Book Antiqua"/>
          <w:b/>
          <w:lang w:val="en-US"/>
        </w:rPr>
        <w:t xml:space="preserve"> </w:t>
      </w:r>
      <w:r w:rsidR="00993921">
        <w:rPr>
          <w:rFonts w:ascii="Book Antiqua" w:hAnsi="Book Antiqua"/>
          <w:b/>
          <w:lang w:val="en-US" w:eastAsia="zh-CN"/>
        </w:rPr>
        <w:t xml:space="preserve"> </w:t>
      </w:r>
      <w:r w:rsidR="00F42471" w:rsidRPr="00266631">
        <w:rPr>
          <w:rFonts w:ascii="Book Antiqua" w:hAnsi="Book Antiqua" w:hint="eastAsia"/>
          <w:b/>
          <w:lang w:val="en-US" w:eastAsia="zh-CN"/>
        </w:rPr>
        <w:t xml:space="preserve"> </w:t>
      </w:r>
      <w:r w:rsidRPr="00266631">
        <w:rPr>
          <w:rFonts w:ascii="Book Antiqua" w:hAnsi="Book Antiqua"/>
          <w:b/>
          <w:lang w:val="en-US"/>
        </w:rPr>
        <w:t xml:space="preserve">Revised: </w:t>
      </w:r>
      <w:r w:rsidRPr="00266631">
        <w:rPr>
          <w:rFonts w:ascii="Book Antiqua" w:hAnsi="Book Antiqua"/>
          <w:lang w:val="en-US"/>
        </w:rPr>
        <w:t>January</w:t>
      </w:r>
      <w:r w:rsidRPr="00266631">
        <w:rPr>
          <w:rFonts w:ascii="Book Antiqua" w:hAnsi="Book Antiqua"/>
          <w:lang w:val="en-US" w:eastAsia="zh-CN"/>
        </w:rPr>
        <w:t xml:space="preserve"> 9, 2014</w:t>
      </w:r>
    </w:p>
    <w:p w:rsidR="00554F6D" w:rsidRPr="00A2413F" w:rsidRDefault="00BE4FFC" w:rsidP="00554F6D">
      <w:pPr>
        <w:rPr>
          <w:rFonts w:ascii="Book Antiqua" w:hAnsi="Book Antiqua"/>
        </w:rPr>
      </w:pPr>
      <w:r w:rsidRPr="00266631">
        <w:rPr>
          <w:rFonts w:ascii="Book Antiqua" w:hAnsi="Book Antiqua"/>
          <w:b/>
          <w:lang w:val="en-GB"/>
        </w:rPr>
        <w:t xml:space="preserve">Accepted: </w:t>
      </w:r>
      <w:r w:rsidR="00554F6D" w:rsidRPr="00A2413F">
        <w:rPr>
          <w:rFonts w:ascii="Book Antiqua" w:hAnsi="Book Antiqua"/>
        </w:rPr>
        <w:t>April 25, 2014</w:t>
      </w:r>
    </w:p>
    <w:p w:rsidR="00BE4FFC" w:rsidRPr="00266631" w:rsidRDefault="00BE4FFC" w:rsidP="003105F4">
      <w:pPr>
        <w:spacing w:line="360" w:lineRule="auto"/>
        <w:rPr>
          <w:rFonts w:ascii="Book Antiqua" w:hAnsi="Book Antiqua"/>
          <w:b/>
          <w:lang w:val="en-GB" w:eastAsia="zh-CN"/>
        </w:rPr>
      </w:pPr>
    </w:p>
    <w:p w:rsidR="00BE4FFC" w:rsidRPr="00266631" w:rsidRDefault="00BE4FFC" w:rsidP="003105F4">
      <w:pPr>
        <w:spacing w:line="360" w:lineRule="auto"/>
        <w:rPr>
          <w:rFonts w:ascii="Book Antiqua" w:hAnsi="Book Antiqua"/>
          <w:b/>
          <w:lang w:val="en-GB"/>
        </w:rPr>
      </w:pPr>
      <w:r w:rsidRPr="00266631">
        <w:rPr>
          <w:rFonts w:ascii="Book Antiqua" w:hAnsi="Book Antiqua"/>
          <w:b/>
          <w:lang w:val="en-GB"/>
        </w:rPr>
        <w:t xml:space="preserve">Published online: </w:t>
      </w:r>
    </w:p>
    <w:p w:rsidR="00BE4FFC" w:rsidRPr="00266631" w:rsidRDefault="00BE4FFC" w:rsidP="00DE3756">
      <w:pPr>
        <w:spacing w:line="360" w:lineRule="auto"/>
        <w:jc w:val="both"/>
        <w:rPr>
          <w:rFonts w:ascii="Book Antiqua" w:hAnsi="Book Antiqua"/>
          <w:b/>
          <w:lang w:val="en-US" w:eastAsia="zh-CN"/>
        </w:rPr>
      </w:pPr>
    </w:p>
    <w:p w:rsidR="00BE4FFC" w:rsidRPr="00266631" w:rsidRDefault="00BE4FFC" w:rsidP="00DE3756">
      <w:pPr>
        <w:spacing w:line="360" w:lineRule="auto"/>
        <w:jc w:val="both"/>
        <w:rPr>
          <w:rFonts w:ascii="Book Antiqua" w:hAnsi="Book Antiqua"/>
          <w:b/>
          <w:lang w:val="en-GB"/>
        </w:rPr>
      </w:pPr>
      <w:r w:rsidRPr="00266631">
        <w:rPr>
          <w:rFonts w:ascii="Book Antiqua" w:hAnsi="Book Antiqua"/>
          <w:b/>
          <w:lang w:val="en-GB"/>
        </w:rPr>
        <w:br w:type="page"/>
      </w:r>
      <w:r w:rsidRPr="00266631">
        <w:rPr>
          <w:rFonts w:ascii="Book Antiqua" w:hAnsi="Book Antiqua"/>
          <w:b/>
          <w:lang w:val="en-GB"/>
        </w:rPr>
        <w:lastRenderedPageBreak/>
        <w:t>Abstract</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t>Periosteum is a thin fibrous layer that covers most bones. It resides in a dynamic mechanically loaded environment and provides a niche for pluripotent cells and a source for molecular factors that modulate cell behaviour. Elucidating periosteum regenerative potential has become a hot topic in orthopaedics. This review discusses the state of the art of osteochondral tissue engineering rested on periosteum derived progenitor cells (PDPCs) and suggests upcoming research directions. Periosteal cells isolation, characterization and migration in the site of injury, as well as their differentiation, are analysed. Moreover, the role of cell mechanosensing and its contribution to matrix organization, bone microarchitecture and bone stenght is examined. In this regard the role of periostin and its upregulation under mechanical stress in order to preserve PDPC survival and bone tissue integrity is contemplated. The review also summarized the role of the periosteum in the field of dentistry and maxillofacial reconstruction. The involvement of microRNAs in osteoblast differentiation and in endogenous tissue repair is explored as well. Finally the novel concept of a guided bone regeneration based on the use of periosteum itself as a smart material and the realization of constructs able to mimic the extracellular matrix features is talked out. Additionally, since periosteum can differentiate into insulin producing cells it could be a suitable source in allogenic transplantations. That innovative applications would take advantage from investigations aimed to assess PDPC immune privilege.</w:t>
      </w:r>
    </w:p>
    <w:p w:rsidR="00BE4FFC" w:rsidRPr="00266631" w:rsidRDefault="00BE4FFC" w:rsidP="007C63E2">
      <w:pPr>
        <w:spacing w:line="360" w:lineRule="auto"/>
        <w:jc w:val="both"/>
        <w:rPr>
          <w:rFonts w:ascii="Book Antiqua" w:hAnsi="Book Antiqua"/>
          <w:b/>
          <w:lang w:val="en-GB" w:eastAsia="zh-CN"/>
        </w:rPr>
      </w:pPr>
    </w:p>
    <w:p w:rsidR="00BE4FFC" w:rsidRPr="00266631" w:rsidRDefault="00BE4FFC" w:rsidP="007C63E2">
      <w:pPr>
        <w:spacing w:line="360" w:lineRule="auto"/>
        <w:jc w:val="both"/>
        <w:rPr>
          <w:rFonts w:ascii="Book Antiqua" w:hAnsi="Book Antiqua" w:cs="宋体"/>
          <w:color w:val="000000"/>
          <w:lang w:val="en-US"/>
        </w:rPr>
      </w:pPr>
      <w:bookmarkStart w:id="4" w:name="OLE_LINK6"/>
      <w:bookmarkStart w:id="5" w:name="OLE_LINK7"/>
      <w:bookmarkStart w:id="6" w:name="OLE_LINK11"/>
      <w:r w:rsidRPr="00266631">
        <w:rPr>
          <w:rFonts w:ascii="Book Antiqua" w:hAnsi="Book Antiqua" w:cs="Tahoma"/>
          <w:lang w:val="en-US" w:eastAsia="ja-JP"/>
        </w:rPr>
        <w:t>©</w:t>
      </w:r>
      <w:r w:rsidRPr="00266631">
        <w:rPr>
          <w:rFonts w:ascii="Book Antiqua" w:hAnsi="Book Antiqua" w:cs="Tahoma"/>
          <w:lang w:val="en-US"/>
        </w:rPr>
        <w:t xml:space="preserve"> </w:t>
      </w:r>
      <w:r w:rsidRPr="00266631">
        <w:rPr>
          <w:rFonts w:ascii="Book Antiqua" w:hAnsi="Book Antiqua" w:cs="宋体"/>
          <w:color w:val="000000"/>
          <w:lang w:val="en-US"/>
        </w:rPr>
        <w:t>2014 Baishideng Publishing Group Co., Limited. All rights reserved.</w:t>
      </w:r>
    </w:p>
    <w:bookmarkEnd w:id="4"/>
    <w:bookmarkEnd w:id="5"/>
    <w:bookmarkEnd w:id="6"/>
    <w:p w:rsidR="00BE4FFC" w:rsidRPr="00266631" w:rsidRDefault="00BE4FFC" w:rsidP="007C63E2">
      <w:pPr>
        <w:spacing w:line="360" w:lineRule="auto"/>
        <w:jc w:val="both"/>
        <w:rPr>
          <w:rFonts w:ascii="Book Antiqua" w:hAnsi="Book Antiqua"/>
          <w:b/>
          <w:lang w:val="en-GB" w:eastAsia="zh-CN"/>
        </w:rPr>
      </w:pPr>
    </w:p>
    <w:p w:rsidR="00BE4FFC" w:rsidRPr="00266631" w:rsidRDefault="00BE4FFC" w:rsidP="007C63E2">
      <w:pPr>
        <w:spacing w:line="360" w:lineRule="auto"/>
        <w:jc w:val="both"/>
        <w:rPr>
          <w:rFonts w:ascii="Book Antiqua" w:hAnsi="Book Antiqua"/>
          <w:lang w:val="en-GB" w:eastAsia="zh-CN"/>
        </w:rPr>
      </w:pPr>
      <w:r w:rsidRPr="00266631">
        <w:rPr>
          <w:rFonts w:ascii="Book Antiqua" w:hAnsi="Book Antiqua"/>
          <w:b/>
          <w:lang w:val="en-GB"/>
        </w:rPr>
        <w:t>Key words</w:t>
      </w:r>
      <w:r w:rsidRPr="00266631">
        <w:rPr>
          <w:rFonts w:ascii="Book Antiqua" w:hAnsi="Book Antiqua"/>
          <w:lang w:val="en-GB"/>
        </w:rPr>
        <w:t>: Periosteum</w:t>
      </w:r>
      <w:bookmarkStart w:id="7" w:name="_GoBack"/>
      <w:bookmarkEnd w:id="7"/>
      <w:r w:rsidRPr="00266631">
        <w:rPr>
          <w:rFonts w:ascii="Book Antiqua" w:hAnsi="Book Antiqua"/>
          <w:lang w:val="en-GB"/>
        </w:rPr>
        <w:t>; Mesenchymal stem cells; MicroRNA; Bone tissue engineering; Bone turn-over</w:t>
      </w:r>
    </w:p>
    <w:p w:rsidR="00BE4FFC" w:rsidRPr="00266631" w:rsidRDefault="00BE4FFC" w:rsidP="00DE3756">
      <w:pPr>
        <w:spacing w:line="360" w:lineRule="auto"/>
        <w:jc w:val="both"/>
        <w:rPr>
          <w:rFonts w:ascii="Book Antiqua" w:hAnsi="Book Antiqua"/>
          <w:b/>
          <w:lang w:val="en-GB"/>
        </w:rPr>
      </w:pPr>
    </w:p>
    <w:p w:rsidR="00BE4FFC" w:rsidRPr="00266631" w:rsidRDefault="00BE4FFC" w:rsidP="00DE3756">
      <w:pPr>
        <w:spacing w:line="360" w:lineRule="auto"/>
        <w:jc w:val="both"/>
        <w:rPr>
          <w:rFonts w:ascii="Book Antiqua" w:hAnsi="Book Antiqua"/>
          <w:lang w:val="en-GB" w:eastAsia="zh-CN"/>
        </w:rPr>
      </w:pPr>
      <w:r w:rsidRPr="00266631">
        <w:rPr>
          <w:rFonts w:ascii="Book Antiqua" w:hAnsi="Book Antiqua"/>
          <w:b/>
          <w:lang w:val="en-GB"/>
        </w:rPr>
        <w:t>Core tip</w:t>
      </w:r>
      <w:r w:rsidRPr="00266631">
        <w:rPr>
          <w:rFonts w:ascii="Book Antiqua" w:hAnsi="Book Antiqua"/>
          <w:b/>
          <w:lang w:val="en-GB" w:eastAsia="zh-CN"/>
        </w:rPr>
        <w:t>:</w:t>
      </w:r>
      <w:r w:rsidRPr="00266631">
        <w:rPr>
          <w:rFonts w:ascii="Book Antiqua" w:hAnsi="Book Antiqua"/>
          <w:color w:val="0000FF"/>
          <w:lang w:val="en-GB"/>
        </w:rPr>
        <w:t xml:space="preserve"> </w:t>
      </w:r>
      <w:r w:rsidRPr="00266631">
        <w:rPr>
          <w:rFonts w:ascii="Book Antiqua" w:hAnsi="Book Antiqua"/>
          <w:lang w:val="en-GB"/>
        </w:rPr>
        <w:t>Periosteum provides a niche for pluripotent cells. Elucidating periosteum regenerative potential is a hot topic in orthopaedics. This review discusses the state of the art of osteochondral tissue engineering rested on periosteum derived cells and suggests upcoming research directions aimed to the development of new standards of care for the maintenance of bone mass both in post-trauma healing process and in physiological turn-over.</w:t>
      </w:r>
    </w:p>
    <w:p w:rsidR="00BE4FFC" w:rsidRPr="00266631" w:rsidRDefault="00BE4FFC" w:rsidP="00DE3756">
      <w:pPr>
        <w:spacing w:line="360" w:lineRule="auto"/>
        <w:jc w:val="both"/>
        <w:rPr>
          <w:rFonts w:ascii="Book Antiqua" w:hAnsi="Book Antiqua"/>
          <w:lang w:val="en-GB" w:eastAsia="zh-CN"/>
        </w:rPr>
      </w:pPr>
    </w:p>
    <w:p w:rsidR="00BE4FFC" w:rsidRPr="00266631" w:rsidRDefault="00BE4FFC" w:rsidP="000C5945">
      <w:pPr>
        <w:spacing w:line="360" w:lineRule="auto"/>
        <w:jc w:val="both"/>
        <w:rPr>
          <w:rFonts w:ascii="Book Antiqua" w:hAnsi="Book Antiqua"/>
          <w:lang w:val="en-GB" w:eastAsia="zh-CN"/>
        </w:rPr>
      </w:pPr>
      <w:r w:rsidRPr="00266631">
        <w:rPr>
          <w:rFonts w:ascii="Book Antiqua" w:hAnsi="Book Antiqua"/>
          <w:lang w:val="en-GB" w:eastAsia="zh-CN"/>
        </w:rPr>
        <w:t xml:space="preserve">Ferretti C, Mattioli-Belmonte M. Periosteum derived stem cells for regenerative medicine proposals: </w:t>
      </w:r>
      <w:r w:rsidRPr="00993921">
        <w:rPr>
          <w:rFonts w:ascii="Book Antiqua" w:hAnsi="Book Antiqua"/>
          <w:caps/>
          <w:lang w:val="en-GB" w:eastAsia="zh-CN"/>
        </w:rPr>
        <w:t>b</w:t>
      </w:r>
      <w:r w:rsidRPr="00266631">
        <w:rPr>
          <w:rFonts w:ascii="Book Antiqua" w:hAnsi="Book Antiqua"/>
          <w:lang w:val="en-GB" w:eastAsia="zh-CN"/>
        </w:rPr>
        <w:t>oosting current knowledge.</w:t>
      </w:r>
    </w:p>
    <w:p w:rsidR="00BE4FFC" w:rsidRPr="00266631" w:rsidRDefault="00BE4FFC" w:rsidP="000C5945">
      <w:pPr>
        <w:spacing w:line="380" w:lineRule="exact"/>
        <w:rPr>
          <w:rFonts w:ascii="Book Antiqua" w:hAnsi="Book Antiqua"/>
          <w:lang w:val="en-US" w:eastAsia="zh-CN"/>
        </w:rPr>
      </w:pPr>
      <w:r w:rsidRPr="00266631">
        <w:rPr>
          <w:rFonts w:ascii="Book Antiqua" w:hAnsi="Book Antiqua"/>
          <w:b/>
          <w:lang w:val="en-US"/>
        </w:rPr>
        <w:t>Available from:</w:t>
      </w:r>
    </w:p>
    <w:p w:rsidR="00BE4FFC" w:rsidRPr="00266631" w:rsidRDefault="00BE4FFC" w:rsidP="000C5945">
      <w:pPr>
        <w:spacing w:line="360" w:lineRule="auto"/>
        <w:jc w:val="both"/>
        <w:rPr>
          <w:rFonts w:ascii="Book Antiqua" w:hAnsi="Book Antiqua"/>
          <w:lang w:val="en-GB" w:eastAsia="zh-CN"/>
        </w:rPr>
      </w:pPr>
      <w:r w:rsidRPr="00266631">
        <w:rPr>
          <w:rFonts w:ascii="Book Antiqua" w:hAnsi="Book Antiqua"/>
          <w:b/>
          <w:lang w:val="pt-BR"/>
        </w:rPr>
        <w:t>DOI:</w:t>
      </w:r>
    </w:p>
    <w:p w:rsidR="00BE4FFC" w:rsidRPr="00266631" w:rsidRDefault="00BE4FFC" w:rsidP="000C5945">
      <w:pPr>
        <w:spacing w:line="360" w:lineRule="auto"/>
        <w:jc w:val="both"/>
        <w:rPr>
          <w:rFonts w:ascii="Book Antiqua" w:hAnsi="Book Antiqua"/>
          <w:lang w:val="en-GB" w:eastAsia="zh-CN"/>
        </w:rPr>
      </w:pPr>
    </w:p>
    <w:p w:rsidR="00BE4FFC" w:rsidRPr="00266631" w:rsidRDefault="00BE4FFC" w:rsidP="00DE3756">
      <w:pPr>
        <w:spacing w:line="360" w:lineRule="auto"/>
        <w:jc w:val="both"/>
        <w:rPr>
          <w:rFonts w:ascii="Book Antiqua" w:hAnsi="Book Antiqua"/>
          <w:b/>
          <w:lang w:val="en-GB" w:eastAsia="zh-CN"/>
        </w:rPr>
      </w:pPr>
      <w:r w:rsidRPr="00266631">
        <w:rPr>
          <w:rFonts w:ascii="Book Antiqua" w:hAnsi="Book Antiqua"/>
          <w:b/>
          <w:lang w:val="en-GB"/>
        </w:rPr>
        <w:t>INTRODUCTION</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t>The field of Tissue Engineering and Regenerative Medicine (TERM) has burgeoned in the last decade. The term "Regenerative Medicine" was first found in a 1992 Leland Kaiser’s paper</w:t>
      </w:r>
      <w:r w:rsidRPr="00266631">
        <w:rPr>
          <w:rFonts w:ascii="Book Antiqua" w:hAnsi="Book Antiqua"/>
          <w:vertAlign w:val="superscript"/>
          <w:lang w:val="en-GB"/>
        </w:rPr>
        <w:t>[1]</w:t>
      </w:r>
      <w:r w:rsidRPr="00266631">
        <w:rPr>
          <w:rFonts w:ascii="Book Antiqua" w:hAnsi="Book Antiqua"/>
          <w:lang w:val="en-GB"/>
        </w:rPr>
        <w:t xml:space="preserve"> as “a new branch of medicine that attempts to change the course of chronic disease and in many instances will regenerate tired and failing organ systems”.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Products for regenerative medicine can consist in proteins, able to stimulate endogenous repair, living cells or even organs. Advances in regenerative medicine applications have been useful to develop new standards of care for the treatment of several diseases such as neurological, cardiovascular, metabolic (</w:t>
      </w:r>
      <w:r w:rsidRPr="00266631">
        <w:rPr>
          <w:rFonts w:ascii="Book Antiqua" w:hAnsi="Book Antiqua"/>
          <w:i/>
          <w:lang w:val="en-GB"/>
        </w:rPr>
        <w:t>e.g.,</w:t>
      </w:r>
      <w:r w:rsidRPr="00266631">
        <w:rPr>
          <w:rFonts w:ascii="Book Antiqua" w:hAnsi="Book Antiqua"/>
          <w:lang w:val="en-GB"/>
        </w:rPr>
        <w:t xml:space="preserve"> diabetes), oncologic and orthopaedic disorders.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The idea of using cells to restore damaged tissue is intuitively based on their native role in tissue development and homeostasis. Cells could be delivered to the patient alone or combined with a natural or synthetic biomaterial. The interactive ‘‘diamond’’ concept of TERM suggests that in addition to cell type, 3D dimensional structure/architecture, mechanical/physical signals, and bioactive factors in the environment are critical and act in concert to direct tissue repair and regeneration</w:t>
      </w:r>
      <w:r w:rsidRPr="00266631">
        <w:rPr>
          <w:rFonts w:ascii="Book Antiqua" w:hAnsi="Book Antiqua"/>
          <w:vertAlign w:val="superscript"/>
          <w:lang w:val="en-GB"/>
        </w:rPr>
        <w:t>[2]</w:t>
      </w:r>
      <w:r w:rsidRPr="00266631">
        <w:rPr>
          <w:rFonts w:ascii="Book Antiqua" w:hAnsi="Book Antiqua"/>
          <w:lang w:val="en-GB"/>
        </w:rPr>
        <w:t>. Each of those areas is currently under dynamic investigation. In this review we will focus on cell-based therapeutic applications in skeletal tissue repair.</w:t>
      </w:r>
      <w:r w:rsidR="0099392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Mesenchymal stem cells (MSCs) represent the leading cell type for regenerative medicine purposes. They are multipotent stromal cells capable of both self-renewal and differentiation into lineages of mesenchymal tissue, including cartilage, bone, adipose tissue and skeletal muscle</w:t>
      </w:r>
      <w:r w:rsidRPr="00266631">
        <w:rPr>
          <w:rFonts w:ascii="Book Antiqua" w:hAnsi="Book Antiqua"/>
          <w:vertAlign w:val="superscript"/>
          <w:lang w:val="en-GB"/>
        </w:rPr>
        <w:t>[3]</w:t>
      </w:r>
      <w:r w:rsidRPr="00266631">
        <w:rPr>
          <w:rFonts w:ascii="Book Antiqua" w:hAnsi="Book Antiqua"/>
          <w:lang w:val="en-GB"/>
        </w:rPr>
        <w:t>. MSCs</w:t>
      </w:r>
      <w:r w:rsidRPr="00266631" w:rsidDel="00F77F51">
        <w:rPr>
          <w:rFonts w:ascii="Book Antiqua" w:hAnsi="Book Antiqua"/>
          <w:lang w:val="en-GB"/>
        </w:rPr>
        <w:t xml:space="preserve"> </w:t>
      </w:r>
      <w:r w:rsidRPr="00266631">
        <w:rPr>
          <w:rFonts w:ascii="Book Antiqua" w:hAnsi="Book Antiqua"/>
          <w:lang w:val="en-GB"/>
        </w:rPr>
        <w:t>were originally identified in the bone marrow stroma, where they regulate key stages of haematopoiesis. Ever since, they have been isolated from other anatomical sites, such as amniotic fluid</w:t>
      </w:r>
      <w:r w:rsidRPr="00266631">
        <w:rPr>
          <w:rFonts w:ascii="Book Antiqua" w:hAnsi="Book Antiqua"/>
          <w:vertAlign w:val="superscript"/>
          <w:lang w:val="en-GB"/>
        </w:rPr>
        <w:t>[4]</w:t>
      </w:r>
      <w:r w:rsidRPr="00266631">
        <w:rPr>
          <w:rFonts w:ascii="Book Antiqua" w:hAnsi="Book Antiqua"/>
          <w:lang w:val="en-GB"/>
        </w:rPr>
        <w:t>, Wharton’s jelly</w:t>
      </w:r>
      <w:r w:rsidRPr="00266631">
        <w:rPr>
          <w:rFonts w:ascii="Book Antiqua" w:hAnsi="Book Antiqua"/>
          <w:vertAlign w:val="superscript"/>
          <w:lang w:val="en-GB"/>
        </w:rPr>
        <w:t>[5]</w:t>
      </w:r>
      <w:r w:rsidRPr="00266631">
        <w:rPr>
          <w:rFonts w:ascii="Book Antiqua" w:hAnsi="Book Antiqua"/>
          <w:lang w:val="en-GB"/>
        </w:rPr>
        <w:t>,</w:t>
      </w:r>
      <w:r w:rsidRPr="00266631">
        <w:rPr>
          <w:rFonts w:ascii="Book Antiqua" w:hAnsi="Book Antiqua"/>
          <w:vertAlign w:val="superscript"/>
          <w:lang w:val="en-GB"/>
        </w:rPr>
        <w:t xml:space="preserve"> </w:t>
      </w:r>
      <w:r w:rsidRPr="00266631">
        <w:rPr>
          <w:rFonts w:ascii="Book Antiqua" w:hAnsi="Book Antiqua"/>
          <w:lang w:val="en-GB"/>
        </w:rPr>
        <w:t>umbilical cord blood</w:t>
      </w:r>
      <w:r w:rsidRPr="00266631">
        <w:rPr>
          <w:rFonts w:ascii="Book Antiqua" w:hAnsi="Book Antiqua"/>
          <w:vertAlign w:val="superscript"/>
          <w:lang w:val="en-GB"/>
        </w:rPr>
        <w:t>[6]</w:t>
      </w:r>
      <w:r w:rsidRPr="00266631">
        <w:rPr>
          <w:rFonts w:ascii="Book Antiqua" w:hAnsi="Book Antiqua"/>
          <w:lang w:val="en-GB"/>
        </w:rPr>
        <w:t>, adipose tissue</w:t>
      </w:r>
      <w:r w:rsidRPr="00266631">
        <w:rPr>
          <w:rFonts w:ascii="Book Antiqua" w:hAnsi="Book Antiqua"/>
          <w:vertAlign w:val="superscript"/>
          <w:lang w:val="en-GB"/>
        </w:rPr>
        <w:t>[7]</w:t>
      </w:r>
      <w:r w:rsidRPr="00266631">
        <w:rPr>
          <w:rFonts w:ascii="Book Antiqua" w:hAnsi="Book Antiqua"/>
          <w:lang w:val="en-GB"/>
        </w:rPr>
        <w:t>, skin</w:t>
      </w:r>
      <w:r w:rsidRPr="00266631">
        <w:rPr>
          <w:rFonts w:ascii="Book Antiqua" w:hAnsi="Book Antiqua"/>
          <w:vertAlign w:val="superscript"/>
          <w:lang w:val="en-GB"/>
        </w:rPr>
        <w:t>[8]</w:t>
      </w:r>
      <w:r w:rsidRPr="00266631">
        <w:rPr>
          <w:rFonts w:ascii="Book Antiqua" w:hAnsi="Book Antiqua"/>
          <w:lang w:val="en-GB"/>
        </w:rPr>
        <w:t>,</w:t>
      </w:r>
      <w:r w:rsidRPr="00266631">
        <w:rPr>
          <w:rFonts w:ascii="Book Antiqua" w:hAnsi="Book Antiqua"/>
          <w:vertAlign w:val="superscript"/>
          <w:lang w:val="en-GB"/>
        </w:rPr>
        <w:t xml:space="preserve"> </w:t>
      </w:r>
      <w:r w:rsidRPr="00266631">
        <w:rPr>
          <w:rFonts w:ascii="Book Antiqua" w:hAnsi="Book Antiqua"/>
          <w:lang w:val="en-GB"/>
        </w:rPr>
        <w:t>synovial membrane</w:t>
      </w:r>
      <w:r w:rsidRPr="00266631">
        <w:rPr>
          <w:rFonts w:ascii="Book Antiqua" w:hAnsi="Book Antiqua"/>
          <w:vertAlign w:val="superscript"/>
          <w:lang w:val="en-GB"/>
        </w:rPr>
        <w:t>[9]</w:t>
      </w:r>
      <w:r w:rsidRPr="00266631">
        <w:rPr>
          <w:rFonts w:ascii="Book Antiqua" w:hAnsi="Book Antiqua"/>
          <w:lang w:val="en-GB"/>
        </w:rPr>
        <w:t>, articular cartilage</w:t>
      </w:r>
      <w:r w:rsidRPr="00266631">
        <w:rPr>
          <w:rFonts w:ascii="Book Antiqua" w:hAnsi="Book Antiqua"/>
          <w:vertAlign w:val="superscript"/>
          <w:lang w:val="en-GB"/>
        </w:rPr>
        <w:t>[10]</w:t>
      </w:r>
      <w:r w:rsidRPr="00266631">
        <w:rPr>
          <w:rFonts w:ascii="Book Antiqua" w:hAnsi="Book Antiqua"/>
          <w:lang w:val="en-GB"/>
        </w:rPr>
        <w:t xml:space="preserve"> and compact bone</w:t>
      </w:r>
      <w:r w:rsidRPr="00266631">
        <w:rPr>
          <w:rFonts w:ascii="Book Antiqua" w:hAnsi="Book Antiqua"/>
          <w:vertAlign w:val="superscript"/>
          <w:lang w:val="en-GB"/>
        </w:rPr>
        <w:t>[11]</w:t>
      </w:r>
      <w:r w:rsidRPr="00266631">
        <w:rPr>
          <w:rFonts w:ascii="Book Antiqua" w:hAnsi="Book Antiqua"/>
          <w:lang w:val="en-GB"/>
        </w:rPr>
        <w:t>.</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lastRenderedPageBreak/>
        <w:t>The main challenge in osteochondral tissue repair is the healing of critical-size defects that don’t bridge on their own. They result from pathological events (</w:t>
      </w:r>
      <w:r w:rsidRPr="00266631">
        <w:rPr>
          <w:rFonts w:ascii="Book Antiqua" w:hAnsi="Book Antiqua"/>
          <w:i/>
          <w:lang w:val="en-GB"/>
        </w:rPr>
        <w:t>e.g.,</w:t>
      </w:r>
      <w:r w:rsidRPr="00266631">
        <w:rPr>
          <w:rFonts w:ascii="Book Antiqua" w:hAnsi="Book Antiqua"/>
          <w:lang w:val="en-GB"/>
        </w:rPr>
        <w:t xml:space="preserve"> tumour, trauma, inflammation or congenital malformation) and can be lead to a delayed union or non-union fracture</w:t>
      </w:r>
      <w:r w:rsidRPr="00266631">
        <w:rPr>
          <w:rFonts w:ascii="Book Antiqua" w:hAnsi="Book Antiqua"/>
          <w:vertAlign w:val="superscript"/>
          <w:lang w:val="en-GB"/>
        </w:rPr>
        <w:t>[12]</w:t>
      </w:r>
      <w:r w:rsidRPr="00266631">
        <w:rPr>
          <w:rFonts w:ascii="Book Antiqua" w:hAnsi="Book Antiqua"/>
          <w:lang w:val="en-GB"/>
        </w:rPr>
        <w:t>. Surgical procedures employed for bone gaps treatment may be time-consuming, expensive and exposing patients to high risk of complications and discomfort</w:t>
      </w:r>
      <w:r w:rsidRPr="00266631">
        <w:rPr>
          <w:rFonts w:ascii="Book Antiqua" w:hAnsi="Book Antiqua"/>
          <w:vertAlign w:val="superscript"/>
          <w:lang w:val="en-GB"/>
        </w:rPr>
        <w:t>[13]</w:t>
      </w:r>
      <w:r w:rsidRPr="00266631">
        <w:rPr>
          <w:rFonts w:ascii="Book Antiqua" w:hAnsi="Book Antiqua"/>
          <w:lang w:val="en-GB"/>
        </w:rPr>
        <w:t>. To overcome these issues regenerative medicine is working to restore structure and function of damaged tissues by TERM approaches.</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Since bone marrow contains osteogenic progenitors, its use was proposed to lead efficient bone regeneration and, effectively, preclinical and clinical investigations corroborated this speculation</w:t>
      </w:r>
      <w:r w:rsidRPr="00266631">
        <w:rPr>
          <w:rFonts w:ascii="Book Antiqua" w:hAnsi="Book Antiqua"/>
          <w:vertAlign w:val="superscript"/>
          <w:lang w:val="en-GB"/>
        </w:rPr>
        <w:t>[14]</w:t>
      </w:r>
      <w:r w:rsidRPr="00266631">
        <w:rPr>
          <w:rFonts w:ascii="Book Antiqua" w:hAnsi="Book Antiqua"/>
          <w:lang w:val="en-GB"/>
        </w:rPr>
        <w:t xml:space="preserve">. Periosteum has been identified as an intriguing niche for cells of the osteoblastic lineage as well.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Periosteum is a specialized highly vascularized connective tissue that envelopes bone surfaces (Figure 1). It is composed of an external fibrous layer containing elastic fibres and microvessels and an inner cambium layer where reside periosteum derived progenitor cells (PDPCs) that act as major players in bone development and fracture healing</w:t>
      </w:r>
      <w:r w:rsidRPr="00266631">
        <w:rPr>
          <w:rFonts w:ascii="Book Antiqua" w:hAnsi="Book Antiqua"/>
          <w:vertAlign w:val="superscript"/>
          <w:lang w:val="en-GB"/>
        </w:rPr>
        <w:t>[13,15]</w:t>
      </w:r>
      <w:r w:rsidRPr="00266631">
        <w:rPr>
          <w:rFonts w:ascii="Book Antiqua" w:hAnsi="Book Antiqua"/>
          <w:lang w:val="en-GB"/>
        </w:rPr>
        <w:t>.</w:t>
      </w:r>
    </w:p>
    <w:p w:rsidR="00BE4FFC" w:rsidRPr="0099088C" w:rsidRDefault="00BE4FFC" w:rsidP="00DE3756">
      <w:pPr>
        <w:spacing w:line="360" w:lineRule="auto"/>
        <w:jc w:val="both"/>
        <w:rPr>
          <w:rFonts w:ascii="Book Antiqua" w:hAnsi="Book Antiqua"/>
          <w:b/>
          <w:caps/>
          <w:lang w:val="en-GB" w:eastAsia="zh-CN"/>
        </w:rPr>
      </w:pPr>
    </w:p>
    <w:p w:rsidR="00BE4FFC" w:rsidRPr="0099088C" w:rsidRDefault="00BE4FFC" w:rsidP="00DE3756">
      <w:pPr>
        <w:spacing w:line="360" w:lineRule="auto"/>
        <w:jc w:val="both"/>
        <w:rPr>
          <w:rFonts w:ascii="Book Antiqua" w:hAnsi="Book Antiqua"/>
          <w:b/>
          <w:caps/>
          <w:lang w:val="en-GB"/>
        </w:rPr>
      </w:pPr>
      <w:r w:rsidRPr="0099088C">
        <w:rPr>
          <w:rFonts w:ascii="Book Antiqua" w:hAnsi="Book Antiqua"/>
          <w:b/>
          <w:caps/>
          <w:lang w:val="en-GB"/>
        </w:rPr>
        <w:t>Regenerative potential of periosteum</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t xml:space="preserve">The paramount importance of the periosteum in bone healing process was suggested since 1800s when </w:t>
      </w:r>
      <w:r w:rsidR="00617A0B" w:rsidRPr="00266631">
        <w:rPr>
          <w:rFonts w:ascii="Book Antiqua" w:hAnsi="Book Antiqua"/>
          <w:lang w:val="en-GB"/>
        </w:rPr>
        <w:t>de Mourgues</w:t>
      </w:r>
      <w:r w:rsidRPr="00266631">
        <w:rPr>
          <w:rFonts w:ascii="Book Antiqua" w:hAnsi="Book Antiqua"/>
          <w:vertAlign w:val="superscript"/>
          <w:lang w:val="en-GB"/>
        </w:rPr>
        <w:t>[16]</w:t>
      </w:r>
      <w:r w:rsidRPr="00266631">
        <w:rPr>
          <w:rFonts w:ascii="Book Antiqua" w:hAnsi="Book Antiqua"/>
          <w:lang w:val="en-GB"/>
        </w:rPr>
        <w:t xml:space="preserve"> discovered that transplanted periosteal tissue induced new bone growth. In 1932, Fell</w:t>
      </w:r>
      <w:r w:rsidRPr="00266631">
        <w:rPr>
          <w:rFonts w:ascii="Book Antiqua" w:hAnsi="Book Antiqua"/>
          <w:vertAlign w:val="superscript"/>
          <w:lang w:val="en-GB"/>
        </w:rPr>
        <w:t xml:space="preserve">[17] </w:t>
      </w:r>
      <w:r w:rsidRPr="00266631">
        <w:rPr>
          <w:rFonts w:ascii="Book Antiqua" w:hAnsi="Book Antiqua"/>
          <w:lang w:val="en-GB"/>
        </w:rPr>
        <w:t xml:space="preserve">was the first to successfully culture periosteum and in 1990s </w:t>
      </w:r>
      <w:r w:rsidR="005C4650" w:rsidRPr="00266631">
        <w:rPr>
          <w:rFonts w:ascii="Book Antiqua" w:hAnsi="Book Antiqua"/>
          <w:lang w:val="en-GB"/>
        </w:rPr>
        <w:t xml:space="preserve">Nakahara </w:t>
      </w:r>
      <w:r w:rsidR="005C4650" w:rsidRPr="00266631">
        <w:rPr>
          <w:rFonts w:ascii="Book Antiqua" w:hAnsi="Book Antiqua" w:hint="eastAsia"/>
          <w:i/>
          <w:lang w:val="en-GB" w:eastAsia="zh-CN"/>
        </w:rPr>
        <w:t>et al</w:t>
      </w:r>
      <w:r w:rsidRPr="00266631">
        <w:rPr>
          <w:rFonts w:ascii="Book Antiqua" w:hAnsi="Book Antiqua"/>
          <w:vertAlign w:val="superscript"/>
          <w:lang w:val="en-GB"/>
        </w:rPr>
        <w:t>[18]</w:t>
      </w:r>
      <w:r w:rsidRPr="00266631">
        <w:rPr>
          <w:rFonts w:ascii="Book Antiqua" w:hAnsi="Book Antiqua"/>
          <w:lang w:val="en-GB"/>
        </w:rPr>
        <w:t xml:space="preserve"> explored the osteogenic potential of PDPCs in bone tissue engineering. At the same time O’Driscoll</w:t>
      </w:r>
      <w:r w:rsidR="005C4650" w:rsidRPr="00266631">
        <w:rPr>
          <w:rFonts w:ascii="Book Antiqua" w:hAnsi="Book Antiqua" w:hint="eastAsia"/>
          <w:lang w:val="en-GB" w:eastAsia="zh-CN"/>
        </w:rPr>
        <w:t xml:space="preserve"> </w:t>
      </w:r>
      <w:r w:rsidR="005C4650" w:rsidRPr="00266631">
        <w:rPr>
          <w:rFonts w:ascii="Book Antiqua" w:hAnsi="Book Antiqua" w:hint="eastAsia"/>
          <w:i/>
          <w:lang w:val="en-GB" w:eastAsia="zh-CN"/>
        </w:rPr>
        <w:t>et al</w:t>
      </w:r>
      <w:r w:rsidRPr="00266631">
        <w:rPr>
          <w:rFonts w:ascii="Book Antiqua" w:hAnsi="Book Antiqua"/>
          <w:vertAlign w:val="superscript"/>
          <w:lang w:val="en-GB"/>
        </w:rPr>
        <w:t xml:space="preserve">[19] </w:t>
      </w:r>
      <w:r w:rsidRPr="00266631">
        <w:rPr>
          <w:rFonts w:ascii="Book Antiqua" w:hAnsi="Book Antiqua"/>
          <w:lang w:val="en-GB"/>
        </w:rPr>
        <w:t xml:space="preserve">underlined the possibility to regenerate cartilage in damaged joints by periosteum transplantation.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The use of autologous periosteum graft has long been known in orthopaedic surgery. However, it’s only after recent progresses that the contribution of the different sources of MSCs in bone repair, as well as their response to growth factors favouring specific differentiation processes has been examined in depth.</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Periosteum as a whole have been used in thousands of orthopaedic surgeries as covering layer in autologous chondrocyte transplantation (ACT)</w:t>
      </w:r>
      <w:r w:rsidRPr="00266631">
        <w:rPr>
          <w:rFonts w:ascii="Book Antiqua" w:hAnsi="Book Antiqua"/>
          <w:vertAlign w:val="superscript"/>
          <w:lang w:val="en-GB"/>
        </w:rPr>
        <w:t>[20]</w:t>
      </w:r>
      <w:r w:rsidRPr="00266631">
        <w:rPr>
          <w:rFonts w:ascii="Book Antiqua" w:hAnsi="Book Antiqua"/>
          <w:lang w:val="en-GB"/>
        </w:rPr>
        <w:t>, in the treatment of non-union fractures</w:t>
      </w:r>
      <w:r w:rsidRPr="00266631">
        <w:rPr>
          <w:rFonts w:ascii="Book Antiqua" w:hAnsi="Book Antiqua"/>
          <w:vertAlign w:val="superscript"/>
          <w:lang w:val="en-GB"/>
        </w:rPr>
        <w:t>[21]</w:t>
      </w:r>
      <w:r w:rsidRPr="00266631">
        <w:rPr>
          <w:rFonts w:ascii="Book Antiqua" w:hAnsi="Book Antiqua"/>
          <w:lang w:val="en-GB"/>
        </w:rPr>
        <w:t>, as a graft for reconstruction of the patellar articulation</w:t>
      </w:r>
      <w:r w:rsidRPr="00266631">
        <w:rPr>
          <w:rFonts w:ascii="Book Antiqua" w:hAnsi="Book Antiqua"/>
          <w:vertAlign w:val="superscript"/>
          <w:lang w:val="en-GB"/>
        </w:rPr>
        <w:t>[22]</w:t>
      </w:r>
      <w:r w:rsidRPr="00266631">
        <w:rPr>
          <w:rFonts w:ascii="Book Antiqua" w:hAnsi="Book Antiqua"/>
          <w:lang w:val="en-GB"/>
        </w:rPr>
        <w:t>, or as tissue engineered bone transplant for maxillary sinus floor augmentation</w:t>
      </w:r>
      <w:r w:rsidRPr="00266631">
        <w:rPr>
          <w:rFonts w:ascii="Book Antiqua" w:hAnsi="Book Antiqua"/>
          <w:vertAlign w:val="superscript"/>
          <w:lang w:val="en-GB"/>
        </w:rPr>
        <w:t>[23]</w:t>
      </w:r>
      <w:r w:rsidRPr="00266631">
        <w:rPr>
          <w:rFonts w:ascii="Book Antiqua" w:hAnsi="Book Antiqua"/>
          <w:lang w:val="en-GB"/>
        </w:rPr>
        <w:t>.</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lastRenderedPageBreak/>
        <w:t>However, only in 2009 Colnot</w:t>
      </w:r>
      <w:r w:rsidRPr="00266631">
        <w:rPr>
          <w:rFonts w:ascii="Book Antiqua" w:hAnsi="Book Antiqua"/>
          <w:vertAlign w:val="superscript"/>
          <w:lang w:val="en-GB"/>
        </w:rPr>
        <w:t>[24]</w:t>
      </w:r>
      <w:r w:rsidRPr="00266631">
        <w:rPr>
          <w:rFonts w:ascii="Book Antiqua" w:hAnsi="Book Antiqua"/>
          <w:lang w:val="en-GB"/>
        </w:rPr>
        <w:t xml:space="preserve"> provided direct evidence that periosteum, endosteum, and bone marrow are the major sources of skeletal stem/progenitors cells and that they differently contribute to osteogenesis and chondrogenesis. In bone healing, periosteum and endosteum both give rise to osteoblasts, whereas periosteum is the only source of chondrocytes. The distinct cellular contributions of periosteum, endosteum, and bone marrow suggested the presence of both intrinsic dissimilarities within these residing stem cell populations and differences in the tissue environment. The correct identification of </w:t>
      </w:r>
      <w:r w:rsidRPr="00266631">
        <w:rPr>
          <w:rFonts w:ascii="Book Antiqua" w:hAnsi="Book Antiqua"/>
          <w:i/>
          <w:lang w:val="en-GB"/>
        </w:rPr>
        <w:t>in vivo</w:t>
      </w:r>
      <w:r w:rsidRPr="00266631">
        <w:rPr>
          <w:rFonts w:ascii="Book Antiqua" w:hAnsi="Book Antiqua"/>
          <w:lang w:val="en-GB"/>
        </w:rPr>
        <w:t xml:space="preserve"> adult skeletal progenitor sources as well as their response to nutrients, metabolites and growth factors will therefore have profound implications in cell-based therapies for the treatment of recalcitrant fractures or bone and cartilage diseases. Exploring and optimising the governing factors that controls PDPCs osteogenesis and chondrogenesis will be a considerable benefit. It is worth noting that periosteum meets the three primary requirements for tissue engineering: cell font, scaffold for cell retaining and delivery, as well as source of local growth factors. These peculiar features endorse its use as a whole, in autologous grafts. The injection of cell suspensions and the transplantation of cells within scaffolds have been largely employed as well</w:t>
      </w:r>
      <w:r w:rsidR="00617A0B" w:rsidRPr="00266631">
        <w:rPr>
          <w:rFonts w:ascii="Book Antiqua" w:hAnsi="Book Antiqua"/>
          <w:vertAlign w:val="superscript"/>
          <w:lang w:val="en-GB"/>
        </w:rPr>
        <w:t>[20,23,</w:t>
      </w:r>
      <w:r w:rsidRPr="00266631">
        <w:rPr>
          <w:rFonts w:ascii="Book Antiqua" w:hAnsi="Book Antiqua"/>
          <w:vertAlign w:val="superscript"/>
          <w:lang w:val="en-GB"/>
        </w:rPr>
        <w:t>25]</w:t>
      </w:r>
      <w:r w:rsidRPr="00266631">
        <w:rPr>
          <w:rFonts w:ascii="Book Antiqua" w:hAnsi="Book Antiqua"/>
          <w:lang w:val="en-GB"/>
        </w:rPr>
        <w:t>.</w:t>
      </w:r>
    </w:p>
    <w:p w:rsidR="00BE4FFC" w:rsidRPr="00266631" w:rsidRDefault="00BE4FFC" w:rsidP="00DE3756">
      <w:pPr>
        <w:spacing w:line="360" w:lineRule="auto"/>
        <w:jc w:val="both"/>
        <w:rPr>
          <w:rFonts w:ascii="Book Antiqua" w:hAnsi="Book Antiqua"/>
          <w:lang w:val="en-GB"/>
        </w:rPr>
      </w:pPr>
    </w:p>
    <w:p w:rsidR="00BE4FFC" w:rsidRPr="00993921" w:rsidRDefault="00BE4FFC" w:rsidP="00DE3756">
      <w:pPr>
        <w:spacing w:line="360" w:lineRule="auto"/>
        <w:jc w:val="both"/>
        <w:rPr>
          <w:rFonts w:ascii="Book Antiqua" w:hAnsi="Book Antiqua"/>
          <w:b/>
          <w:caps/>
          <w:lang w:val="en-GB"/>
        </w:rPr>
      </w:pPr>
      <w:r w:rsidRPr="00993921">
        <w:rPr>
          <w:rFonts w:ascii="Book Antiqua" w:hAnsi="Book Antiqua"/>
          <w:b/>
          <w:caps/>
          <w:lang w:val="en-GB"/>
        </w:rPr>
        <w:t xml:space="preserve">Periosteum as cell source </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t>PDPCs hold promise in osteochondral repair applications due to their ease of isolation and expansion potential. Several studies reveal periosteum as a better cell source for bone regeneration than either bone marrow or other mesenchymal cell origins. This is due to the fact that PDPCs display multipotency at single cell level</w:t>
      </w:r>
      <w:r w:rsidRPr="00266631">
        <w:rPr>
          <w:rFonts w:ascii="Book Antiqua" w:hAnsi="Book Antiqua"/>
          <w:vertAlign w:val="superscript"/>
          <w:lang w:val="en-GB"/>
        </w:rPr>
        <w:t>[3]</w:t>
      </w:r>
      <w:r w:rsidRPr="00266631">
        <w:rPr>
          <w:rFonts w:ascii="Book Antiqua" w:hAnsi="Book Antiqua"/>
          <w:lang w:val="en-GB"/>
        </w:rPr>
        <w:t xml:space="preserve"> and a higher proliferation rate while retaining their ability to differentiate </w:t>
      </w:r>
      <w:r w:rsidRPr="00266631">
        <w:rPr>
          <w:rFonts w:ascii="Book Antiqua" w:hAnsi="Book Antiqua"/>
          <w:i/>
          <w:lang w:val="en-GB"/>
        </w:rPr>
        <w:t>in vitro</w:t>
      </w:r>
      <w:r w:rsidRPr="00266631">
        <w:rPr>
          <w:rFonts w:ascii="Book Antiqua" w:hAnsi="Book Antiqua"/>
          <w:vertAlign w:val="superscript"/>
          <w:lang w:val="en-GB"/>
        </w:rPr>
        <w:t>[26]</w:t>
      </w:r>
      <w:r w:rsidRPr="00266631">
        <w:rPr>
          <w:rFonts w:ascii="Book Antiqua" w:hAnsi="Book Antiqua"/>
          <w:lang w:val="en-GB"/>
        </w:rPr>
        <w:t>. Furthermore, PDPCs from elderly show performances comparable to that of cells from younger subjects</w:t>
      </w:r>
      <w:r w:rsidRPr="00266631">
        <w:rPr>
          <w:rFonts w:ascii="Book Antiqua" w:hAnsi="Book Antiqua"/>
          <w:vertAlign w:val="superscript"/>
          <w:lang w:val="en-GB"/>
        </w:rPr>
        <w:t>[3,27,28]</w:t>
      </w:r>
      <w:r w:rsidRPr="00266631">
        <w:rPr>
          <w:rFonts w:ascii="Book Antiqua" w:hAnsi="Book Antiqua"/>
          <w:lang w:val="en-GB"/>
        </w:rPr>
        <w:t xml:space="preserve">. This may be related to telomeres stability, since </w:t>
      </w:r>
      <w:r w:rsidRPr="00266631">
        <w:rPr>
          <w:rFonts w:ascii="Book Antiqua" w:hAnsi="Book Antiqua"/>
          <w:i/>
          <w:lang w:val="en-GB"/>
        </w:rPr>
        <w:t>in vitro</w:t>
      </w:r>
      <w:r w:rsidRPr="00266631">
        <w:rPr>
          <w:rFonts w:ascii="Book Antiqua" w:hAnsi="Book Antiqua"/>
          <w:lang w:val="en-GB"/>
        </w:rPr>
        <w:t xml:space="preserve"> analysis showed that after 24 population doublings telomere lengths and telomerase activity are similar to those of the parental population</w:t>
      </w:r>
      <w:r w:rsidRPr="00266631">
        <w:rPr>
          <w:rFonts w:ascii="Book Antiqua" w:hAnsi="Book Antiqua"/>
          <w:vertAlign w:val="superscript"/>
          <w:lang w:val="en-GB"/>
        </w:rPr>
        <w:t>[3]</w:t>
      </w:r>
      <w:r w:rsidRPr="00266631">
        <w:rPr>
          <w:rFonts w:ascii="Book Antiqua" w:hAnsi="Book Antiqua"/>
          <w:lang w:val="en-GB"/>
        </w:rPr>
        <w:t>.</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Harvest site, donor conditions and technical factors could affect periosteum regenerative potential: load-bearing bones have a more osteogenic periosteum than flat bones, and also inter-individual differences influence periosteum biology</w:t>
      </w:r>
      <w:r w:rsidRPr="00266631">
        <w:rPr>
          <w:rFonts w:ascii="Book Antiqua" w:hAnsi="Book Antiqua"/>
          <w:vertAlign w:val="superscript"/>
          <w:lang w:val="en-GB"/>
        </w:rPr>
        <w:t>[29,30]</w:t>
      </w:r>
      <w:r w:rsidRPr="00266631">
        <w:rPr>
          <w:rFonts w:ascii="Book Antiqua" w:hAnsi="Book Antiqua"/>
          <w:lang w:val="en-GB"/>
        </w:rPr>
        <w:t xml:space="preserve">. Moreover, resection methods and cell isolation procedure could affect periosteum regenerative properties as well. To this end, the use of instruments (like forceps) that can disrupt the </w:t>
      </w:r>
      <w:r w:rsidRPr="00266631">
        <w:rPr>
          <w:rFonts w:ascii="Book Antiqua" w:hAnsi="Book Antiqua"/>
          <w:lang w:val="en-GB"/>
        </w:rPr>
        <w:lastRenderedPageBreak/>
        <w:t>inner cambium layer should be avoided</w:t>
      </w:r>
      <w:r w:rsidRPr="00266631">
        <w:rPr>
          <w:rFonts w:ascii="Book Antiqua" w:hAnsi="Book Antiqua"/>
          <w:vertAlign w:val="superscript"/>
          <w:lang w:val="en-GB"/>
        </w:rPr>
        <w:t>[13]</w:t>
      </w:r>
      <w:r w:rsidRPr="00266631">
        <w:rPr>
          <w:rFonts w:ascii="Book Antiqua" w:hAnsi="Book Antiqua"/>
          <w:lang w:val="en-GB"/>
        </w:rPr>
        <w:t>. After dissection, cells are typically obtained by egression or enzymatic digestion. Despite of isolation method, culture expanded cells retain their osteochondral potential</w:t>
      </w:r>
      <w:r w:rsidRPr="00266631">
        <w:rPr>
          <w:rFonts w:ascii="Book Antiqua" w:hAnsi="Book Antiqua"/>
          <w:vertAlign w:val="superscript"/>
          <w:lang w:val="en-GB"/>
        </w:rPr>
        <w:t>[3</w:t>
      </w:r>
      <w:r w:rsidR="009C6E77" w:rsidRPr="00266631">
        <w:rPr>
          <w:rFonts w:ascii="Book Antiqua" w:hAnsi="Book Antiqua"/>
          <w:vertAlign w:val="superscript"/>
          <w:lang w:val="en-GB"/>
        </w:rPr>
        <w:t>1</w:t>
      </w:r>
      <w:r w:rsidRPr="00266631">
        <w:rPr>
          <w:rFonts w:ascii="Book Antiqua" w:hAnsi="Book Antiqua"/>
          <w:vertAlign w:val="superscript"/>
          <w:lang w:val="en-GB"/>
        </w:rPr>
        <w:t>,3</w:t>
      </w:r>
      <w:r w:rsidR="009C6E77" w:rsidRPr="00266631">
        <w:rPr>
          <w:rFonts w:ascii="Book Antiqua" w:hAnsi="Book Antiqua"/>
          <w:vertAlign w:val="superscript"/>
          <w:lang w:val="en-GB"/>
        </w:rPr>
        <w:t>2</w:t>
      </w:r>
      <w:r w:rsidRPr="00266631">
        <w:rPr>
          <w:rFonts w:ascii="Book Antiqua" w:hAnsi="Book Antiqua"/>
          <w:vertAlign w:val="superscript"/>
          <w:lang w:val="en-GB"/>
        </w:rPr>
        <w:t>]</w:t>
      </w:r>
      <w:r w:rsidRPr="00266631">
        <w:rPr>
          <w:rFonts w:ascii="Book Antiqua" w:hAnsi="Book Antiqua"/>
          <w:lang w:val="en-GB"/>
        </w:rPr>
        <w:t>.</w:t>
      </w:r>
      <w:r w:rsidRPr="00266631">
        <w:rPr>
          <w:rFonts w:ascii="Book Antiqua" w:hAnsi="Book Antiqua"/>
          <w:vertAlign w:val="superscript"/>
          <w:lang w:val="en-GB"/>
        </w:rPr>
        <w:t xml:space="preserve"> </w:t>
      </w:r>
      <w:r w:rsidRPr="00266631">
        <w:rPr>
          <w:rFonts w:ascii="Book Antiqua" w:hAnsi="Book Antiqua"/>
          <w:lang w:val="en-GB"/>
        </w:rPr>
        <w:t>Even though both techniques are commonly used, cell egression from their native environment may maintains their physiological state, without artefacts</w:t>
      </w:r>
      <w:r w:rsidRPr="00266631">
        <w:rPr>
          <w:rFonts w:ascii="Book Antiqua" w:hAnsi="Book Antiqua"/>
          <w:vertAlign w:val="superscript"/>
          <w:lang w:val="en-GB"/>
        </w:rPr>
        <w:t>[3</w:t>
      </w:r>
      <w:r w:rsidR="009C6E77" w:rsidRPr="00266631">
        <w:rPr>
          <w:rFonts w:ascii="Book Antiqua" w:hAnsi="Book Antiqua"/>
          <w:vertAlign w:val="superscript"/>
          <w:lang w:val="en-GB"/>
        </w:rPr>
        <w:t>3</w:t>
      </w:r>
      <w:r w:rsidRPr="00266631">
        <w:rPr>
          <w:rFonts w:ascii="Book Antiqua" w:hAnsi="Book Antiqua"/>
          <w:vertAlign w:val="superscript"/>
          <w:lang w:val="en-GB"/>
        </w:rPr>
        <w:t>]</w:t>
      </w:r>
      <w:r w:rsidRPr="00266631">
        <w:rPr>
          <w:rFonts w:ascii="Book Antiqua" w:hAnsi="Book Antiqua"/>
          <w:lang w:val="en-GB"/>
        </w:rPr>
        <w:t>. The choice of basal medium is equally important to preserve MSC characteristics and multipotent properties, even after prolonged culture </w:t>
      </w:r>
      <w:r w:rsidRPr="00266631">
        <w:rPr>
          <w:rFonts w:ascii="Book Antiqua" w:hAnsi="Book Antiqua"/>
          <w:i/>
          <w:lang w:val="en-GB"/>
        </w:rPr>
        <w:t>in vitro</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Despite there is still a lack of consensus on the ideal method of culturing MSCs, it has been demonstrated that the use of DMEM-F12 preserves MSC stemness and</w:t>
      </w:r>
      <w:r w:rsidRPr="00266631">
        <w:rPr>
          <w:rStyle w:val="cit-name-surname"/>
          <w:rFonts w:ascii="Book Antiqua" w:hAnsi="Book Antiqua" w:cs="Lucida Sans Unicode"/>
          <w:bdr w:val="none" w:sz="0" w:space="0" w:color="auto" w:frame="1"/>
          <w:vertAlign w:val="superscript"/>
          <w:lang w:val="en-GB"/>
        </w:rPr>
        <w:t xml:space="preserve"> </w:t>
      </w:r>
      <w:r w:rsidRPr="00266631">
        <w:rPr>
          <w:rFonts w:ascii="Book Antiqua" w:hAnsi="Book Antiqua"/>
          <w:lang w:val="en-GB"/>
        </w:rPr>
        <w:t>ability to differentiate for more than 25 sub-culture passages</w:t>
      </w:r>
      <w:r w:rsidRPr="00266631">
        <w:rPr>
          <w:rStyle w:val="cit-name-surname"/>
          <w:rFonts w:ascii="Book Antiqua" w:hAnsi="Book Antiqua" w:cs="Lucida Sans Unicode"/>
          <w:bdr w:val="none" w:sz="0" w:space="0" w:color="auto" w:frame="1"/>
          <w:vertAlign w:val="superscript"/>
          <w:lang w:val="en-GB"/>
        </w:rPr>
        <w:t>[34]</w:t>
      </w:r>
      <w:r w:rsidRPr="00266631">
        <w:rPr>
          <w:rStyle w:val="cit-name-surname"/>
          <w:rFonts w:ascii="Book Antiqua" w:hAnsi="Book Antiqua" w:cs="Lucida Sans Unicode"/>
          <w:b/>
          <w:bdr w:val="none" w:sz="0" w:space="0" w:color="auto" w:frame="1"/>
          <w:lang w:val="en-GB"/>
        </w:rPr>
        <w:t>.</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A long-debated issue is the obtainment of a pure PDPC population, since no exhaustive</w:t>
      </w:r>
      <w:r w:rsidR="00993921">
        <w:rPr>
          <w:rFonts w:ascii="Book Antiqua" w:hAnsi="Book Antiqua"/>
          <w:lang w:val="en-GB"/>
        </w:rPr>
        <w:t xml:space="preserve"> </w:t>
      </w:r>
      <w:r w:rsidRPr="00266631">
        <w:rPr>
          <w:rFonts w:ascii="Book Antiqua" w:hAnsi="Book Antiqua"/>
          <w:lang w:val="en-GB"/>
        </w:rPr>
        <w:t>markers to identify MSC populations are established. PDPCs were commonly characterized by the classic MSC antigenic profile in agreement with the minimal criteria of the International Society for Cellular Therapy (</w:t>
      </w:r>
      <w:r w:rsidR="0099088C">
        <w:rPr>
          <w:rFonts w:ascii="Book Antiqua" w:hAnsi="Book Antiqua"/>
          <w:lang w:val="en-GB"/>
        </w:rPr>
        <w:t>Table 1</w:t>
      </w:r>
      <w:r w:rsidRPr="00266631">
        <w:rPr>
          <w:rFonts w:ascii="Book Antiqua" w:hAnsi="Book Antiqua"/>
          <w:lang w:val="en-GB"/>
        </w:rPr>
        <w:t>)</w:t>
      </w:r>
      <w:r w:rsidRPr="00266631">
        <w:rPr>
          <w:rFonts w:ascii="Book Antiqua" w:hAnsi="Book Antiqua"/>
          <w:vertAlign w:val="superscript"/>
          <w:lang w:val="en-GB"/>
        </w:rPr>
        <w:t>[35]</w:t>
      </w:r>
      <w:r w:rsidRPr="00266631">
        <w:rPr>
          <w:rFonts w:ascii="Book Antiqua" w:hAnsi="Book Antiqua"/>
          <w:lang w:val="en-GB"/>
        </w:rPr>
        <w:t>. Yet, additional efforts are required to circumvent the isolation of contaminant cells, such as fibroblasts. The</w:t>
      </w:r>
      <w:r w:rsidR="00993921">
        <w:rPr>
          <w:rFonts w:ascii="Book Antiqua" w:hAnsi="Book Antiqua"/>
          <w:lang w:val="en-GB"/>
        </w:rPr>
        <w:t xml:space="preserve"> </w:t>
      </w:r>
      <w:r w:rsidRPr="00266631">
        <w:rPr>
          <w:rFonts w:ascii="Book Antiqua" w:hAnsi="Book Antiqua"/>
          <w:lang w:val="en-GB"/>
        </w:rPr>
        <w:t>use of two additive surface markers, CD166 and CD9 and the comparison of their expression levels on MSCs and fibroblasts, could address this item (</w:t>
      </w:r>
      <w:r w:rsidR="0099088C">
        <w:rPr>
          <w:rFonts w:ascii="Book Antiqua" w:hAnsi="Book Antiqua"/>
          <w:lang w:val="en-GB"/>
        </w:rPr>
        <w:t>Table 1</w:t>
      </w:r>
      <w:r w:rsidRPr="00266631">
        <w:rPr>
          <w:rFonts w:ascii="Book Antiqua" w:hAnsi="Book Antiqua"/>
          <w:lang w:val="en-GB"/>
        </w:rPr>
        <w:t>). The expression of CD166 is generally higher on MSCs than on fibroblasts, while CD9 expression has the opposite pattern</w:t>
      </w:r>
      <w:r w:rsidRPr="00266631">
        <w:rPr>
          <w:rFonts w:ascii="Book Antiqua" w:hAnsi="Book Antiqua"/>
          <w:vertAlign w:val="superscript"/>
          <w:lang w:val="en-GB"/>
        </w:rPr>
        <w:t>[36]</w:t>
      </w:r>
      <w:r w:rsidRPr="00266631">
        <w:rPr>
          <w:rFonts w:ascii="Book Antiqua" w:hAnsi="Book Antiqua"/>
          <w:lang w:val="en-GB"/>
        </w:rPr>
        <w:t>. Moreover, MSCs with a “fibroblast-like” expression pattern (</w:t>
      </w:r>
      <w:r w:rsidRPr="00266631">
        <w:rPr>
          <w:rFonts w:ascii="Book Antiqua" w:hAnsi="Book Antiqua"/>
          <w:i/>
          <w:lang w:val="en-GB"/>
        </w:rPr>
        <w:t xml:space="preserve">i.e., </w:t>
      </w:r>
      <w:r w:rsidRPr="00266631">
        <w:rPr>
          <w:rFonts w:ascii="Book Antiqua" w:hAnsi="Book Antiqua"/>
          <w:lang w:val="en-GB"/>
        </w:rPr>
        <w:t>low CD166 and high CD9) display a poor osteogenic differentiation</w:t>
      </w:r>
      <w:r w:rsidRPr="00266631">
        <w:rPr>
          <w:rFonts w:ascii="Book Antiqua" w:hAnsi="Book Antiqua"/>
          <w:vertAlign w:val="superscript"/>
          <w:lang w:val="en-GB"/>
        </w:rPr>
        <w:t>[36]</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Further markers enable to identify periosteum mesenchymal progenitors (</w:t>
      </w:r>
      <w:r w:rsidR="0099088C">
        <w:rPr>
          <w:rFonts w:ascii="Book Antiqua" w:hAnsi="Book Antiqua"/>
          <w:lang w:val="en-GB"/>
        </w:rPr>
        <w:t>Table 1</w:t>
      </w:r>
      <w:r w:rsidRPr="00266631">
        <w:rPr>
          <w:rFonts w:ascii="Book Antiqua" w:hAnsi="Book Antiqua"/>
          <w:lang w:val="en-GB"/>
        </w:rPr>
        <w:t>) could be STRO-1, stage-specific embryonic antigen-4 (SSEA4), ScaI and CD146, also known as melanoma cell adhesion molecule (MCAM)</w:t>
      </w:r>
      <w:r w:rsidRPr="00266631">
        <w:rPr>
          <w:rFonts w:ascii="Book Antiqua" w:hAnsi="Book Antiqua"/>
          <w:vertAlign w:val="superscript"/>
          <w:lang w:val="en-GB"/>
        </w:rPr>
        <w:t>[37,38]</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In addition, it could be helpful to evaluate the gene expression profile of transcription factors, such as SRY (sex determining region Y)-box 2, also known as Sox2, octamer-binding 4 (Oct4) and Homeobox protein Nanog, associate to pluripotency and stemness</w:t>
      </w:r>
      <w:r w:rsidRPr="00266631">
        <w:rPr>
          <w:rFonts w:ascii="Book Antiqua" w:hAnsi="Book Antiqua"/>
          <w:vertAlign w:val="superscript"/>
          <w:lang w:val="en-GB"/>
        </w:rPr>
        <w:t>[39]</w:t>
      </w:r>
      <w:r w:rsidRPr="00266631">
        <w:rPr>
          <w:rFonts w:ascii="Book Antiqua" w:hAnsi="Book Antiqua"/>
          <w:lang w:val="en-GB"/>
        </w:rPr>
        <w:t>.</w:t>
      </w:r>
      <w:r w:rsidRPr="00266631">
        <w:rPr>
          <w:rFonts w:ascii="Book Antiqua" w:hAnsi="Book Antiqua" w:cs="Arial"/>
          <w:b/>
          <w:bCs/>
          <w:color w:val="000000"/>
          <w:shd w:val="clear" w:color="auto" w:fill="FFFFFF"/>
          <w:lang w:val="en-GB"/>
        </w:rPr>
        <w:t xml:space="preserve"> </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t>Population enrich</w:t>
      </w:r>
      <w:r w:rsidRPr="00266631">
        <w:rPr>
          <w:rFonts w:ascii="Book Antiqua" w:hAnsi="Book Antiqua" w:cs="Arial"/>
          <w:color w:val="000000"/>
          <w:shd w:val="clear" w:color="auto" w:fill="FFFFFF"/>
          <w:lang w:val="en-GB"/>
        </w:rPr>
        <w:t>,</w:t>
      </w:r>
      <w:r w:rsidRPr="00266631">
        <w:rPr>
          <w:rFonts w:ascii="Book Antiqua" w:hAnsi="Book Antiqua"/>
          <w:lang w:val="en-GB"/>
        </w:rPr>
        <w:t>ment for a cell-type specific surface markers by cell-sorting is recommended, too. At last, novel isolation and characterization strategies, from a heterogeneous population, are currently developing. One example is an innovative droplet-based microfluidic device as a platform for the identification and quantification of distinct cell phenotypes</w:t>
      </w:r>
      <w:r w:rsidRPr="00266631">
        <w:rPr>
          <w:rFonts w:ascii="Book Antiqua" w:hAnsi="Book Antiqua"/>
          <w:vertAlign w:val="superscript"/>
          <w:lang w:val="en-GB"/>
        </w:rPr>
        <w:t>[</w:t>
      </w:r>
      <w:r w:rsidR="002D661B" w:rsidRPr="00266631">
        <w:rPr>
          <w:rFonts w:ascii="Book Antiqua" w:hAnsi="Book Antiqua"/>
          <w:vertAlign w:val="superscript"/>
          <w:lang w:val="en-GB"/>
        </w:rPr>
        <w:t>3</w:t>
      </w:r>
      <w:r w:rsidRPr="00266631">
        <w:rPr>
          <w:rFonts w:ascii="Book Antiqua" w:hAnsi="Book Antiqua"/>
          <w:vertAlign w:val="superscript"/>
          <w:lang w:val="en-GB"/>
        </w:rPr>
        <w:t>0]</w:t>
      </w:r>
      <w:r w:rsidRPr="00266631">
        <w:rPr>
          <w:rFonts w:ascii="Book Antiqua" w:hAnsi="Book Antiqua"/>
          <w:lang w:val="en-GB"/>
        </w:rPr>
        <w:t xml:space="preserve">. </w:t>
      </w:r>
    </w:p>
    <w:p w:rsidR="00BE4FFC" w:rsidRPr="00266631" w:rsidRDefault="00BE4FFC" w:rsidP="00DE3756">
      <w:pPr>
        <w:spacing w:line="360" w:lineRule="auto"/>
        <w:jc w:val="both"/>
        <w:rPr>
          <w:rFonts w:ascii="Book Antiqua" w:hAnsi="Book Antiqua"/>
          <w:b/>
          <w:lang w:val="en-GB"/>
        </w:rPr>
      </w:pPr>
    </w:p>
    <w:p w:rsidR="00BE4FFC" w:rsidRPr="0099088C" w:rsidRDefault="00BE4FFC" w:rsidP="00DE3756">
      <w:pPr>
        <w:spacing w:line="360" w:lineRule="auto"/>
        <w:jc w:val="both"/>
        <w:rPr>
          <w:rFonts w:ascii="Book Antiqua" w:hAnsi="Book Antiqua"/>
          <w:b/>
          <w:caps/>
          <w:lang w:val="en-GB"/>
        </w:rPr>
      </w:pPr>
      <w:r w:rsidRPr="0099088C">
        <w:rPr>
          <w:rFonts w:ascii="Book Antiqua" w:hAnsi="Book Antiqua"/>
          <w:b/>
          <w:caps/>
          <w:lang w:val="en-GB"/>
        </w:rPr>
        <w:t>Molecular pathways in periosteum</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lastRenderedPageBreak/>
        <w:t xml:space="preserve">The potential use of mesenchymal cells for </w:t>
      </w:r>
      <w:r w:rsidRPr="00266631">
        <w:rPr>
          <w:rFonts w:ascii="Book Antiqua" w:hAnsi="Book Antiqua"/>
          <w:i/>
          <w:lang w:val="en-GB"/>
        </w:rPr>
        <w:t>in situ</w:t>
      </w:r>
      <w:r w:rsidRPr="00266631">
        <w:rPr>
          <w:rFonts w:ascii="Book Antiqua" w:hAnsi="Book Antiqua"/>
          <w:lang w:val="en-GB"/>
        </w:rPr>
        <w:t xml:space="preserve"> repair of osteochondral defects is related to their migration and homing. Understanding how MSCs migrate into tissue injured sites is therefore useful to augment cell transplantation efficiency</w:t>
      </w:r>
      <w:r w:rsidR="00993921">
        <w:rPr>
          <w:rFonts w:ascii="Book Antiqua" w:hAnsi="Book Antiqua"/>
          <w:lang w:val="en-GB"/>
        </w:rPr>
        <w:t xml:space="preserve"> </w:t>
      </w:r>
      <w:r w:rsidRPr="00266631">
        <w:rPr>
          <w:rFonts w:ascii="Book Antiqua" w:hAnsi="Book Antiqua"/>
          <w:lang w:val="en-GB"/>
        </w:rPr>
        <w:t>by enhancing cell targeting.</w:t>
      </w:r>
    </w:p>
    <w:p w:rsidR="00BE4FFC" w:rsidRPr="00266631" w:rsidRDefault="00BE4FFC" w:rsidP="00D846FF">
      <w:pPr>
        <w:spacing w:line="360" w:lineRule="auto"/>
        <w:ind w:firstLineChars="200" w:firstLine="480"/>
        <w:jc w:val="both"/>
        <w:rPr>
          <w:rFonts w:ascii="Book Antiqua" w:hAnsi="Book Antiqua"/>
          <w:lang w:val="en-GB"/>
        </w:rPr>
      </w:pPr>
      <w:r w:rsidRPr="00266631">
        <w:rPr>
          <w:rFonts w:ascii="Book Antiqua" w:hAnsi="Book Antiqua"/>
          <w:lang w:val="en-GB"/>
        </w:rPr>
        <w:t>PDPCs show a dose-dependent migratory effect under chemokine receptor ligands stimulation</w:t>
      </w:r>
      <w:r w:rsidRPr="00266631">
        <w:rPr>
          <w:rFonts w:ascii="Book Antiqua" w:hAnsi="Book Antiqua"/>
          <w:vertAlign w:val="superscript"/>
          <w:lang w:val="en-GB"/>
        </w:rPr>
        <w:t>[40]</w:t>
      </w:r>
      <w:r w:rsidRPr="00266631">
        <w:rPr>
          <w:rFonts w:ascii="Book Antiqua" w:hAnsi="Book Antiqua"/>
          <w:lang w:val="en-GB"/>
        </w:rPr>
        <w:t>. Interestingly, PDPCs express chemochine (C-X-C motif) receptor 4 and chemochine (C-X-C motif) receptor 5 that respectively respond to the stromal cell-derived factor 1</w:t>
      </w:r>
      <w:r w:rsidR="00993921">
        <w:rPr>
          <w:rFonts w:ascii="Book Antiqua" w:hAnsi="Book Antiqua"/>
          <w:lang w:val="en-GB"/>
        </w:rPr>
        <w:t xml:space="preserve"> </w:t>
      </w:r>
      <w:r w:rsidRPr="00266631">
        <w:rPr>
          <w:rFonts w:ascii="Book Antiqua" w:hAnsi="Book Antiqua"/>
          <w:lang w:val="en-GB"/>
        </w:rPr>
        <w:t xml:space="preserve">(SDF-1) and B cell-attractive chemokine 1 (BCA1). Osteoblasts derived from post-traumatic or osteoarthritis patients express SDF1 and BCA1 in the bone remodelling area, indicating the potential role of these chemokines not only as chemo-attractant but also as a signaling molecule for </w:t>
      </w:r>
      <w:r w:rsidRPr="00266631">
        <w:rPr>
          <w:rFonts w:ascii="Book Antiqua" w:hAnsi="Book Antiqua"/>
          <w:i/>
          <w:lang w:val="en-GB"/>
        </w:rPr>
        <w:t>in situ</w:t>
      </w:r>
      <w:r w:rsidRPr="00266631">
        <w:rPr>
          <w:rFonts w:ascii="Book Antiqua" w:hAnsi="Book Antiqua"/>
          <w:lang w:val="en-GB"/>
        </w:rPr>
        <w:t xml:space="preserve"> bone regeneration. Additional studies showed that the expression of SDF-1 is up-regulated in periosteal cells at the sites of injury and it serves as a potent chemo-attractant to recruit circulating or residing CXCR4 expressing MSCs</w:t>
      </w:r>
      <w:r w:rsidRPr="00266631">
        <w:rPr>
          <w:rFonts w:ascii="Book Antiqua" w:hAnsi="Book Antiqua"/>
          <w:vertAlign w:val="superscript"/>
          <w:lang w:val="en-GB"/>
        </w:rPr>
        <w:t>[41]</w:t>
      </w:r>
      <w:r w:rsidRPr="00266631">
        <w:rPr>
          <w:rFonts w:ascii="Book Antiqua" w:hAnsi="Book Antiqua"/>
          <w:lang w:val="en-GB"/>
        </w:rPr>
        <w:t>, to promote their proliferation (Figure 2). Apparently, the involvement in PDPCs of the SDF-1/CXCR4 axis during bone repair has not been fully elucidated. However, SDF-1 or CXCR4 blocking clearly inhibits BMP2-induced osteogenic differentiation, probably interfering with Smads and MAP-kinase activation</w:t>
      </w:r>
      <w:r w:rsidRPr="00266631">
        <w:rPr>
          <w:rFonts w:ascii="Book Antiqua" w:hAnsi="Book Antiqua"/>
          <w:vertAlign w:val="superscript"/>
          <w:lang w:val="en-GB"/>
        </w:rPr>
        <w:t>[40]</w:t>
      </w:r>
      <w:r w:rsidRPr="00266631">
        <w:rPr>
          <w:rFonts w:ascii="Book Antiqua" w:hAnsi="Book Antiqua"/>
          <w:lang w:val="en-GB"/>
        </w:rPr>
        <w:t>.</w:t>
      </w:r>
    </w:p>
    <w:p w:rsidR="00BE4FFC" w:rsidRPr="00266631" w:rsidRDefault="00BE4FFC" w:rsidP="0099088C">
      <w:pPr>
        <w:spacing w:line="360" w:lineRule="auto"/>
        <w:ind w:firstLineChars="200" w:firstLine="480"/>
        <w:jc w:val="both"/>
        <w:rPr>
          <w:rFonts w:ascii="Book Antiqua" w:hAnsi="Book Antiqua"/>
          <w:lang w:val="en-GB" w:eastAsia="zh-CN"/>
        </w:rPr>
      </w:pPr>
      <w:r w:rsidRPr="00266631">
        <w:rPr>
          <w:rFonts w:ascii="Book Antiqua" w:hAnsi="Book Antiqua"/>
          <w:lang w:val="en-GB"/>
        </w:rPr>
        <w:t>Bone graft integration depends on the orchestrated activation of growth factors and cytokines in both host and graft. Activation, expansion and differentiation of periosteal progenitor cells act as an essential step for successful bone remodelling. Understanding the molecular events that initiate these actions (</w:t>
      </w:r>
      <w:r w:rsidRPr="00266631">
        <w:rPr>
          <w:rFonts w:ascii="Book Antiqua" w:hAnsi="Book Antiqua"/>
          <w:i/>
          <w:lang w:val="en-GB"/>
        </w:rPr>
        <w:t>e.g.,</w:t>
      </w:r>
      <w:r w:rsidRPr="00266631">
        <w:rPr>
          <w:rFonts w:ascii="Book Antiqua" w:hAnsi="Book Antiqua"/>
          <w:lang w:val="en-GB"/>
        </w:rPr>
        <w:t xml:space="preserve"> BPM2 signaling) provides insights into endogenous regeneration of periosteum and offers information for optimizing tissue engineering constructs</w:t>
      </w:r>
      <w:r w:rsidRPr="00266631">
        <w:rPr>
          <w:rStyle w:val="cit-name-surname"/>
          <w:rFonts w:ascii="Book Antiqua" w:hAnsi="Book Antiqua" w:cs="Lucida Sans Unicode"/>
          <w:bdr w:val="none" w:sz="0" w:space="0" w:color="auto" w:frame="1"/>
          <w:vertAlign w:val="superscript"/>
          <w:lang w:val="en-GB"/>
        </w:rPr>
        <w:t>[42]</w:t>
      </w:r>
      <w:r w:rsidR="00617A0B" w:rsidRPr="00266631">
        <w:rPr>
          <w:rFonts w:ascii="Book Antiqua" w:hAnsi="Book Antiqua"/>
          <w:lang w:val="en-GB"/>
        </w:rPr>
        <w:t>.</w:t>
      </w:r>
    </w:p>
    <w:p w:rsidR="00BE4FFC" w:rsidRPr="00266631" w:rsidRDefault="00BE4FFC" w:rsidP="0099088C">
      <w:pPr>
        <w:spacing w:line="360" w:lineRule="auto"/>
        <w:ind w:firstLineChars="200" w:firstLine="480"/>
        <w:jc w:val="both"/>
        <w:rPr>
          <w:rFonts w:ascii="Book Antiqua" w:hAnsi="Book Antiqua"/>
          <w:lang w:val="en-GB" w:eastAsia="zh-CN"/>
        </w:rPr>
      </w:pPr>
      <w:r w:rsidRPr="00266631">
        <w:rPr>
          <w:rFonts w:ascii="Book Antiqua" w:hAnsi="Book Antiqua"/>
          <w:lang w:val="en-GB"/>
        </w:rPr>
        <w:t>BMP2 is a bone morphogenic protein that belongs to the transforming growth factor-beta (TGF</w:t>
      </w:r>
      <w:r w:rsidR="00617A0B" w:rsidRPr="00266631">
        <w:rPr>
          <w:rFonts w:ascii="Book Antiqua" w:eastAsia="Batang" w:hAnsi="Book Antiqua"/>
          <w:lang w:val="en-GB"/>
        </w:rPr>
        <w:t>β</w:t>
      </w:r>
      <w:r w:rsidRPr="00266631">
        <w:rPr>
          <w:rFonts w:ascii="Book Antiqua" w:hAnsi="Book Antiqua"/>
          <w:lang w:val="en-GB"/>
        </w:rPr>
        <w:t>) superfamily. TGF</w:t>
      </w:r>
      <w:r w:rsidR="00617A0B" w:rsidRPr="00266631">
        <w:rPr>
          <w:rFonts w:ascii="Book Antiqua" w:eastAsia="Batang" w:hAnsi="Book Antiqua"/>
          <w:lang w:val="en-GB"/>
        </w:rPr>
        <w:t>β</w:t>
      </w:r>
      <w:r w:rsidRPr="00266631">
        <w:rPr>
          <w:rFonts w:ascii="Book Antiqua" w:hAnsi="Book Antiqua"/>
          <w:lang w:val="en-GB"/>
        </w:rPr>
        <w:t>/BMPs signaling have widely recognized role in bone formation during mammalian development. Signaling TGF</w:t>
      </w:r>
      <w:r w:rsidR="00617A0B" w:rsidRPr="00266631">
        <w:rPr>
          <w:rFonts w:ascii="Book Antiqua" w:eastAsia="Batang" w:hAnsi="Book Antiqua"/>
          <w:lang w:val="en-GB"/>
        </w:rPr>
        <w:t>β</w:t>
      </w:r>
      <w:r w:rsidRPr="00266631">
        <w:rPr>
          <w:rFonts w:ascii="Book Antiqua" w:hAnsi="Book Antiqua"/>
          <w:lang w:val="en-GB"/>
        </w:rPr>
        <w:t>/BMPs transduction is performed by both canonical Smad-dependent and non-canonical Smad-indipendent (</w:t>
      </w:r>
      <w:r w:rsidRPr="00266631">
        <w:rPr>
          <w:rFonts w:ascii="Book Antiqua" w:hAnsi="Book Antiqua"/>
          <w:i/>
          <w:lang w:val="en-GB"/>
        </w:rPr>
        <w:t>e.g.,</w:t>
      </w:r>
      <w:r w:rsidRPr="00266631">
        <w:rPr>
          <w:rFonts w:ascii="Book Antiqua" w:hAnsi="Book Antiqua"/>
          <w:lang w:val="en-GB"/>
        </w:rPr>
        <w:t xml:space="preserve"> p38 mitogen-activated protein kinase pathway, MAPK) pathways. Smad and p38 MAPK pathways converge to runx2 gene and control mesenchymal precursor cells differentiation</w:t>
      </w:r>
      <w:r w:rsidRPr="00266631">
        <w:rPr>
          <w:rStyle w:val="cit-name-surname"/>
          <w:rFonts w:ascii="Book Antiqua" w:hAnsi="Book Antiqua" w:cs="Lucida Sans Unicode"/>
          <w:bdr w:val="none" w:sz="0" w:space="0" w:color="auto" w:frame="1"/>
          <w:vertAlign w:val="superscript"/>
          <w:lang w:val="en-GB"/>
        </w:rPr>
        <w:t>[43]</w:t>
      </w:r>
      <w:r w:rsidR="00617A0B" w:rsidRPr="00266631">
        <w:rPr>
          <w:rFonts w:ascii="Book Antiqua" w:hAnsi="Book Antiqua"/>
          <w:lang w:val="en-GB"/>
        </w:rPr>
        <w:t>.</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 xml:space="preserve">BMP2 is at the apex of the signaling cascade that starts periosteal progenitor proliferation and differentiation during repair and regeneration. </w:t>
      </w:r>
      <w:r w:rsidRPr="00266631">
        <w:rPr>
          <w:rFonts w:ascii="Book Antiqua" w:hAnsi="Book Antiqua"/>
          <w:i/>
          <w:lang w:val="en-GB"/>
        </w:rPr>
        <w:t>In vivo</w:t>
      </w:r>
      <w:r w:rsidRPr="00266631">
        <w:rPr>
          <w:rFonts w:ascii="Book Antiqua" w:hAnsi="Book Antiqua"/>
          <w:lang w:val="en-GB"/>
        </w:rPr>
        <w:t xml:space="preserve"> studies highlight that in the absence of BMP2, periosteal progenitors remain quiescent and healing does not </w:t>
      </w:r>
      <w:r w:rsidRPr="00266631">
        <w:rPr>
          <w:rFonts w:ascii="Book Antiqua" w:hAnsi="Book Antiqua"/>
          <w:lang w:val="en-GB"/>
        </w:rPr>
        <w:lastRenderedPageBreak/>
        <w:t>initiate</w:t>
      </w:r>
      <w:r w:rsidRPr="00266631">
        <w:rPr>
          <w:rFonts w:ascii="Book Antiqua" w:hAnsi="Book Antiqua"/>
          <w:vertAlign w:val="superscript"/>
          <w:lang w:val="en-GB"/>
        </w:rPr>
        <w:t>[44]</w:t>
      </w:r>
      <w:r w:rsidRPr="00266631">
        <w:rPr>
          <w:rFonts w:ascii="Book Antiqua" w:hAnsi="Book Antiqua"/>
          <w:lang w:val="en-GB"/>
        </w:rPr>
        <w:t>. In addition, the expression of Sox9, a chondrogenic marker is reduced as well. Thus, BMP2 is essential for the activation of periosteal progenitor cells and their subsequent differentiation along the osteo-chondrogenic lineage</w:t>
      </w:r>
      <w:r w:rsidRPr="00266631">
        <w:rPr>
          <w:rFonts w:ascii="Book Antiqua" w:hAnsi="Book Antiqua"/>
          <w:vertAlign w:val="superscript"/>
          <w:lang w:val="en-GB"/>
        </w:rPr>
        <w:t>[44]</w:t>
      </w:r>
      <w:r w:rsidRPr="00266631">
        <w:rPr>
          <w:rFonts w:ascii="Book Antiqua" w:hAnsi="Book Antiqua"/>
          <w:lang w:val="en-GB"/>
        </w:rPr>
        <w:t>. The relevance of BMP2 in triggering osteochondral tissue remodelling is related to its involvement in all crucial osteogenic pathways: Wnt/ß-catenin cascade, Fibroblast growth factor-2 (FGF2) and Hedgehog (Hh) signaling</w:t>
      </w:r>
      <w:r w:rsidRPr="00266631">
        <w:rPr>
          <w:rStyle w:val="cit-name-surname"/>
          <w:rFonts w:ascii="Book Antiqua" w:hAnsi="Book Antiqua" w:cs="Lucida Sans Unicode"/>
          <w:bdr w:val="none" w:sz="0" w:space="0" w:color="auto" w:frame="1"/>
          <w:vertAlign w:val="superscript"/>
          <w:lang w:val="en-GB"/>
        </w:rPr>
        <w:t>[43]</w:t>
      </w:r>
      <w:r w:rsidRPr="00266631">
        <w:rPr>
          <w:rFonts w:ascii="Book Antiqua" w:hAnsi="Book Antiqua"/>
          <w:lang w:val="en-GB"/>
        </w:rPr>
        <w:t>. Multiple Wnt proteins and their modulators are expressed in periosteum. Their cross-talk with Hh intermediates enhances fracture healing</w:t>
      </w:r>
      <w:r w:rsidRPr="00266631">
        <w:rPr>
          <w:rStyle w:val="cit-name-surname"/>
          <w:rFonts w:ascii="Book Antiqua" w:hAnsi="Book Antiqua" w:cs="Lucida Sans Unicode"/>
          <w:bdr w:val="none" w:sz="0" w:space="0" w:color="auto" w:frame="1"/>
          <w:vertAlign w:val="superscript"/>
          <w:lang w:val="en-GB"/>
        </w:rPr>
        <w:t>[42]</w:t>
      </w:r>
      <w:r w:rsidRPr="00266631">
        <w:rPr>
          <w:rFonts w:ascii="Book Antiqua" w:hAnsi="Book Antiqua"/>
          <w:lang w:val="en-GB"/>
        </w:rPr>
        <w:t>. The role of Hh pathway in the promotion of osteogenic and chondrogenic differentiation of PDPCs in adult bone repair has been recently confirmed by</w:t>
      </w:r>
      <w:r w:rsidRPr="00266631">
        <w:rPr>
          <w:rFonts w:ascii="Book Antiqua" w:hAnsi="Book Antiqua"/>
          <w:i/>
          <w:lang w:val="en-GB"/>
        </w:rPr>
        <w:t xml:space="preserve"> in vivo </w:t>
      </w:r>
      <w:r w:rsidRPr="00266631">
        <w:rPr>
          <w:rFonts w:ascii="Book Antiqua" w:hAnsi="Book Antiqua"/>
          <w:lang w:val="en-GB"/>
        </w:rPr>
        <w:t>investigations</w:t>
      </w:r>
      <w:r w:rsidRPr="00266631">
        <w:rPr>
          <w:rFonts w:ascii="Book Antiqua" w:hAnsi="Book Antiqua"/>
          <w:vertAlign w:val="superscript"/>
          <w:lang w:val="en-GB"/>
        </w:rPr>
        <w:t>[45]</w:t>
      </w:r>
      <w:r w:rsidRPr="00266631">
        <w:rPr>
          <w:rFonts w:ascii="Book Antiqua" w:hAnsi="Book Antiqua"/>
          <w:lang w:val="en-GB"/>
        </w:rPr>
        <w:t>. FGF2 signaling has a critical function at the early stage of fracture repair it improves new bone volume and mineral content and it also takes part in angiogenesis</w:t>
      </w:r>
      <w:r w:rsidRPr="00266631">
        <w:rPr>
          <w:rFonts w:ascii="Book Antiqua" w:hAnsi="Book Antiqua"/>
          <w:vertAlign w:val="superscript"/>
          <w:lang w:val="en-GB"/>
        </w:rPr>
        <w:t>[45]</w:t>
      </w:r>
      <w:r w:rsidRPr="00266631">
        <w:rPr>
          <w:rFonts w:ascii="Book Antiqua" w:hAnsi="Book Antiqua"/>
          <w:lang w:val="en-GB"/>
        </w:rPr>
        <w:t>.</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t xml:space="preserve">BMP2 also functions as focal point for the interaction of Smad and Notch signaling during osteoblast differentiation. The latter enhances BMP-induced Alkaline Phosphatase (ALP) activity and formation of calcified nodules </w:t>
      </w:r>
      <w:r w:rsidRPr="00266631">
        <w:rPr>
          <w:rFonts w:ascii="Book Antiqua" w:hAnsi="Book Antiqua"/>
          <w:i/>
          <w:lang w:val="en-GB"/>
        </w:rPr>
        <w:t>in vitro</w:t>
      </w:r>
      <w:r w:rsidRPr="00266631">
        <w:rPr>
          <w:rStyle w:val="cit-name-surname"/>
          <w:rFonts w:ascii="Book Antiqua" w:hAnsi="Book Antiqua" w:cs="Lucida Sans Unicode"/>
          <w:bdr w:val="none" w:sz="0" w:space="0" w:color="auto" w:frame="1"/>
          <w:vertAlign w:val="superscript"/>
          <w:lang w:val="en-GB"/>
        </w:rPr>
        <w:t>[4</w:t>
      </w:r>
      <w:r w:rsidR="002D661B" w:rsidRPr="00266631">
        <w:rPr>
          <w:rStyle w:val="cit-name-surname"/>
          <w:rFonts w:ascii="Book Antiqua" w:hAnsi="Book Antiqua" w:cs="Lucida Sans Unicode"/>
          <w:bdr w:val="none" w:sz="0" w:space="0" w:color="auto" w:frame="1"/>
          <w:vertAlign w:val="superscript"/>
          <w:lang w:val="en-GB"/>
        </w:rPr>
        <w:t>3,44</w:t>
      </w:r>
      <w:r w:rsidRPr="00266631">
        <w:rPr>
          <w:rStyle w:val="cit-name-surname"/>
          <w:rFonts w:ascii="Book Antiqua" w:hAnsi="Book Antiqua" w:cs="Lucida Sans Unicode"/>
          <w:bdr w:val="none" w:sz="0" w:space="0" w:color="auto" w:frame="1"/>
          <w:vertAlign w:val="superscript"/>
          <w:lang w:val="en-GB"/>
        </w:rPr>
        <w:t>]</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 xml:space="preserve">In-depth knowledge on BMP2 and its related signaling-pathways, hence, would provide interesting targets to promote osteochondral repair.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It is also emerging that cartilage and bone regenerative techniques are related to NF-kß/p65 signaling, which determines the early expression of Sox9 and facilitates the subsequent chondrogenic differentiation</w:t>
      </w:r>
      <w:r w:rsidRPr="00266631">
        <w:rPr>
          <w:rFonts w:ascii="Book Antiqua" w:hAnsi="Book Antiqua"/>
          <w:vertAlign w:val="superscript"/>
          <w:lang w:val="en-GB"/>
        </w:rPr>
        <w:t>[46,47]</w:t>
      </w:r>
      <w:r w:rsidRPr="00266631">
        <w:rPr>
          <w:rFonts w:ascii="Book Antiqua" w:hAnsi="Book Antiqua"/>
          <w:lang w:val="en-GB"/>
        </w:rPr>
        <w:t xml:space="preserve">. </w:t>
      </w:r>
    </w:p>
    <w:p w:rsidR="00BE4FFC" w:rsidRPr="00266631" w:rsidRDefault="00BE4FFC" w:rsidP="00DE3756">
      <w:pPr>
        <w:spacing w:line="360" w:lineRule="auto"/>
        <w:jc w:val="both"/>
        <w:rPr>
          <w:rFonts w:ascii="Book Antiqua" w:hAnsi="Book Antiqua"/>
          <w:b/>
          <w:lang w:val="en-GB"/>
        </w:rPr>
      </w:pPr>
    </w:p>
    <w:p w:rsidR="00BE4FFC" w:rsidRPr="00993921" w:rsidRDefault="00BE4FFC" w:rsidP="00DE3756">
      <w:pPr>
        <w:spacing w:line="360" w:lineRule="auto"/>
        <w:jc w:val="both"/>
        <w:rPr>
          <w:rFonts w:ascii="Book Antiqua" w:hAnsi="Book Antiqua"/>
          <w:b/>
          <w:caps/>
          <w:lang w:val="en-GB"/>
        </w:rPr>
      </w:pPr>
      <w:r w:rsidRPr="00993921">
        <w:rPr>
          <w:rFonts w:ascii="Book Antiqua" w:hAnsi="Book Antiqua"/>
          <w:b/>
          <w:caps/>
          <w:lang w:val="en-GB"/>
        </w:rPr>
        <w:t>Mechanosensing in periosteum</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t>It is now well accepted that MSC differentiation and phenotypic expression can be influenced by cues from surrounding environment, both soluble (</w:t>
      </w:r>
      <w:r w:rsidRPr="00266631">
        <w:rPr>
          <w:rFonts w:ascii="Book Antiqua" w:hAnsi="Book Antiqua"/>
          <w:i/>
          <w:lang w:val="en-GB"/>
        </w:rPr>
        <w:t>e.g.,</w:t>
      </w:r>
      <w:r w:rsidRPr="00266631">
        <w:rPr>
          <w:rFonts w:ascii="Book Antiqua" w:hAnsi="Book Antiqua"/>
          <w:lang w:val="en-GB"/>
        </w:rPr>
        <w:t xml:space="preserve"> cytokines and growth factors) and insoluble (</w:t>
      </w:r>
      <w:r w:rsidRPr="00266631">
        <w:rPr>
          <w:rFonts w:ascii="Book Antiqua" w:hAnsi="Book Antiqua"/>
          <w:i/>
          <w:lang w:val="en-GB"/>
        </w:rPr>
        <w:t>e.g.,</w:t>
      </w:r>
      <w:r w:rsidRPr="00266631">
        <w:rPr>
          <w:rFonts w:ascii="Book Antiqua" w:hAnsi="Book Antiqua"/>
          <w:lang w:val="en-GB"/>
        </w:rPr>
        <w:t xml:space="preserve"> ECM density and stiffness). Due to its external localization on bone, periosteum is particularly sensitive to mechanical stimuli and, even in absence of other stimulations, mechanical load induces new bone formation from periosteum</w:t>
      </w:r>
      <w:r w:rsidRPr="00266631">
        <w:rPr>
          <w:rFonts w:ascii="Book Antiqua" w:hAnsi="Book Antiqua"/>
          <w:vertAlign w:val="superscript"/>
          <w:lang w:val="en-GB"/>
        </w:rPr>
        <w:t>[48]</w:t>
      </w:r>
      <w:r w:rsidRPr="00266631">
        <w:rPr>
          <w:rFonts w:ascii="Book Antiqua" w:hAnsi="Book Antiqua"/>
          <w:lang w:val="en-GB"/>
        </w:rPr>
        <w:t>, suggesting that this is a highly specialized mechanosensitive tissue</w:t>
      </w:r>
      <w:r w:rsidRPr="00266631">
        <w:rPr>
          <w:rFonts w:ascii="Book Antiqua" w:hAnsi="Book Antiqua"/>
          <w:vertAlign w:val="superscript"/>
          <w:lang w:val="en-GB"/>
        </w:rPr>
        <w:t>[13]</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Several studies show that substrate stiffness affects cell shape thus controlling MSCs fate, including self-renewal and lineage commitment</w:t>
      </w:r>
      <w:r w:rsidRPr="00266631">
        <w:rPr>
          <w:rFonts w:ascii="Book Antiqua" w:hAnsi="Book Antiqua"/>
          <w:vertAlign w:val="superscript"/>
          <w:lang w:val="en-GB"/>
        </w:rPr>
        <w:t>[13]</w:t>
      </w:r>
      <w:r w:rsidRPr="00266631">
        <w:rPr>
          <w:rFonts w:ascii="Book Antiqua" w:hAnsi="Book Antiqua"/>
          <w:lang w:val="en-GB"/>
        </w:rPr>
        <w:t xml:space="preserve">. The native environment of PDPCs is mechanically regulated by a combination of tension and shear. PDPCs ability to carry intracellular tension through their microfilament network controls a signaling cascade </w:t>
      </w:r>
      <w:r w:rsidRPr="00266631">
        <w:rPr>
          <w:rFonts w:ascii="Book Antiqua" w:hAnsi="Book Antiqua"/>
          <w:lang w:val="en-GB"/>
        </w:rPr>
        <w:lastRenderedPageBreak/>
        <w:t>that, in turn, is responsible for the expression of soluble factors that modulate bone and cartilage growth</w:t>
      </w:r>
      <w:r w:rsidRPr="00266631">
        <w:rPr>
          <w:rFonts w:ascii="Book Antiqua" w:hAnsi="Book Antiqua"/>
          <w:vertAlign w:val="superscript"/>
          <w:lang w:val="en-GB"/>
        </w:rPr>
        <w:t>[13]</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 xml:space="preserve">In critical size defects, applying tensions in periosteum after surgery leads to rapid </w:t>
      </w:r>
      <w:r w:rsidRPr="00266631">
        <w:rPr>
          <w:rFonts w:ascii="Book Antiqua" w:hAnsi="Book Antiqua"/>
          <w:i/>
          <w:lang w:val="en-GB"/>
        </w:rPr>
        <w:t>de novo</w:t>
      </w:r>
      <w:r w:rsidRPr="00266631">
        <w:rPr>
          <w:rFonts w:ascii="Book Antiqua" w:hAnsi="Book Antiqua"/>
          <w:lang w:val="en-GB"/>
        </w:rPr>
        <w:t xml:space="preserve"> bone healing. Therefore, mechanical signaling at the tissue level may be responsible for the start of bone regeneration at cell level</w:t>
      </w:r>
      <w:r w:rsidRPr="00266631">
        <w:rPr>
          <w:rFonts w:ascii="Book Antiqua" w:hAnsi="Book Antiqua"/>
          <w:vertAlign w:val="superscript"/>
          <w:lang w:val="en-GB"/>
        </w:rPr>
        <w:t>[13]</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Periosteum mechanobiology is probably related to its local microstructure and collagen content</w:t>
      </w:r>
      <w:r w:rsidRPr="00266631">
        <w:rPr>
          <w:rFonts w:ascii="Book Antiqua" w:hAnsi="Book Antiqua"/>
          <w:vertAlign w:val="superscript"/>
          <w:lang w:val="en-GB"/>
        </w:rPr>
        <w:t>[13]</w:t>
      </w:r>
      <w:r w:rsidRPr="00266631">
        <w:rPr>
          <w:rFonts w:ascii="Book Antiqua" w:hAnsi="Book Antiqua"/>
          <w:lang w:val="en-GB"/>
        </w:rPr>
        <w:t>. Some studies evidence the emerging role of periostin in the correct collagen fibrillogenesis. Periostin belongs to the matricellular proteins family and regulate cell functions and cell-matrix interaction. Periostin is expressed at high level in the periosteum during embryogenesis and it is re-expressed after mechanical stress and fracture</w:t>
      </w:r>
      <w:r w:rsidRPr="00266631">
        <w:rPr>
          <w:rFonts w:ascii="Book Antiqua" w:hAnsi="Book Antiqua"/>
          <w:vertAlign w:val="superscript"/>
          <w:lang w:val="en-GB"/>
        </w:rPr>
        <w:t>[48]</w:t>
      </w:r>
      <w:r w:rsidRPr="00266631">
        <w:rPr>
          <w:rFonts w:ascii="Book Antiqua" w:hAnsi="Book Antiqua"/>
          <w:lang w:val="en-GB"/>
        </w:rPr>
        <w:t>. It is also present in connective tissues subjected to mechanical stress, such as periodontal ligament, heart valves and tendons. Periostin preferential expression in collagen-rich tissues submitted to mechanical stresses (</w:t>
      </w:r>
      <w:r w:rsidRPr="00266631">
        <w:rPr>
          <w:rFonts w:ascii="Book Antiqua" w:hAnsi="Book Antiqua"/>
          <w:i/>
          <w:lang w:val="en-GB"/>
        </w:rPr>
        <w:t>i.e.,</w:t>
      </w:r>
      <w:r w:rsidRPr="00266631">
        <w:rPr>
          <w:rFonts w:ascii="Book Antiqua" w:hAnsi="Book Antiqua"/>
          <w:lang w:val="en-GB"/>
        </w:rPr>
        <w:t xml:space="preserve"> periosteum) suggests it may play an essential role in bone maintenance and regeneration</w:t>
      </w:r>
      <w:r w:rsidRPr="00266631">
        <w:rPr>
          <w:rFonts w:ascii="Book Antiqua" w:hAnsi="Book Antiqua"/>
          <w:vertAlign w:val="superscript"/>
          <w:lang w:val="en-GB"/>
        </w:rPr>
        <w:t>[48]</w:t>
      </w:r>
      <w:r w:rsidRPr="00266631">
        <w:rPr>
          <w:rFonts w:ascii="Book Antiqua" w:hAnsi="Book Antiqua"/>
          <w:lang w:val="en-GB"/>
        </w:rPr>
        <w:t>.</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As matter of fact, the regulation of the periostin expression occurs by Wnt pathways; BMP2, TGF</w:t>
      </w:r>
      <w:r w:rsidR="00617A0B" w:rsidRPr="00266631">
        <w:rPr>
          <w:rFonts w:ascii="Book Antiqua" w:eastAsia="Batang" w:hAnsi="Book Antiqua"/>
          <w:lang w:val="en-GB"/>
        </w:rPr>
        <w:t>β</w:t>
      </w:r>
      <w:r w:rsidRPr="00266631">
        <w:rPr>
          <w:rFonts w:ascii="Book Antiqua" w:hAnsi="Book Antiqua"/>
          <w:lang w:val="en-GB"/>
        </w:rPr>
        <w:t xml:space="preserve"> and retinoic acid stimulate periostin expression as well</w:t>
      </w:r>
      <w:r w:rsidRPr="00266631">
        <w:rPr>
          <w:rFonts w:ascii="Book Antiqua" w:hAnsi="Book Antiqua"/>
          <w:vertAlign w:val="superscript"/>
          <w:lang w:val="en-GB"/>
        </w:rPr>
        <w:t>[49</w:t>
      </w:r>
      <w:r w:rsidR="00617A0B" w:rsidRPr="00266631">
        <w:rPr>
          <w:rFonts w:ascii="Book Antiqua" w:hAnsi="Book Antiqua" w:hint="eastAsia"/>
          <w:vertAlign w:val="superscript"/>
          <w:lang w:val="en-GB" w:eastAsia="zh-CN"/>
        </w:rPr>
        <w:t>-</w:t>
      </w:r>
      <w:r w:rsidRPr="00266631">
        <w:rPr>
          <w:rFonts w:ascii="Book Antiqua" w:hAnsi="Book Antiqua"/>
          <w:vertAlign w:val="superscript"/>
          <w:lang w:val="en-GB"/>
        </w:rPr>
        <w:t>51]</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Through interaction with several integrins, periostin recruits and attaches osteoblasts to bone matrix and activates pro-survival signaling, by caspases inactivation, resulting in increasing bone formation</w:t>
      </w:r>
      <w:r w:rsidRPr="00266631">
        <w:rPr>
          <w:rFonts w:ascii="Book Antiqua" w:hAnsi="Book Antiqua"/>
          <w:vertAlign w:val="superscript"/>
          <w:lang w:val="en-GB"/>
        </w:rPr>
        <w:t>[48]</w:t>
      </w:r>
      <w:r w:rsidRPr="00266631">
        <w:rPr>
          <w:rFonts w:ascii="Book Antiqua" w:hAnsi="Book Antiqua"/>
          <w:lang w:val="en-GB"/>
        </w:rPr>
        <w:t>. In addition, periostin interacts with BMP1 to augment its deposition in the fibronectin matrix, in close proximity of lysyl oxydase (LOX), an enzyme that catalyses the collagen cross-linking</w:t>
      </w:r>
      <w:r w:rsidRPr="00266631">
        <w:rPr>
          <w:rFonts w:ascii="Book Antiqua" w:hAnsi="Book Antiqua"/>
          <w:vertAlign w:val="superscript"/>
          <w:lang w:val="en-GB"/>
        </w:rPr>
        <w:t>[48]</w:t>
      </w:r>
      <w:r w:rsidRPr="00266631">
        <w:rPr>
          <w:rFonts w:ascii="Book Antiqua" w:hAnsi="Book Antiqua"/>
          <w:lang w:val="en-GB"/>
        </w:rPr>
        <w:t>.</w:t>
      </w:r>
      <w:r w:rsidRPr="00266631">
        <w:rPr>
          <w:rFonts w:ascii="Book Antiqua" w:hAnsi="Book Antiqua"/>
          <w:vertAlign w:val="superscript"/>
          <w:lang w:val="en-GB"/>
        </w:rPr>
        <w:t xml:space="preserve"> </w:t>
      </w:r>
      <w:r w:rsidRPr="00266631">
        <w:rPr>
          <w:rFonts w:ascii="Book Antiqua" w:hAnsi="Book Antiqua"/>
          <w:lang w:val="en-GB"/>
        </w:rPr>
        <w:t>At last, periostin has a binding site for glycoproteins, glycosaminoglycans and proteoglycans, suggesting a role of this protein in supporting mechanical strength in periosteum</w:t>
      </w:r>
      <w:r w:rsidRPr="00266631">
        <w:rPr>
          <w:rFonts w:ascii="Book Antiqua" w:hAnsi="Book Antiqua"/>
          <w:vertAlign w:val="superscript"/>
          <w:lang w:val="en-GB"/>
        </w:rPr>
        <w:t>[48]</w:t>
      </w:r>
      <w:r w:rsidRPr="00266631">
        <w:rPr>
          <w:rFonts w:ascii="Book Antiqua" w:hAnsi="Book Antiqua"/>
          <w:lang w:val="en-GB"/>
        </w:rPr>
        <w:t>. Taken together these data suggest that periostin, contributing to matrix organization, bone microarchitecture and bone strength</w:t>
      </w:r>
      <w:r w:rsidRPr="00266631">
        <w:rPr>
          <w:rFonts w:ascii="Book Antiqua" w:hAnsi="Book Antiqua"/>
          <w:vertAlign w:val="superscript"/>
          <w:lang w:val="en-GB"/>
        </w:rPr>
        <w:t>[48]</w:t>
      </w:r>
      <w:r w:rsidRPr="00266631">
        <w:rPr>
          <w:rFonts w:ascii="Book Antiqua" w:hAnsi="Book Antiqua"/>
          <w:lang w:val="en-GB"/>
        </w:rPr>
        <w:t xml:space="preserve">, may acts as a support, thus playing a clear role in the intrinsic mechanobiology of periosteal tissue.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These insights in understanding and harnessing the innate mechanosensing of both periosteum and</w:t>
      </w:r>
      <w:r w:rsidR="00993921">
        <w:rPr>
          <w:rFonts w:ascii="Book Antiqua" w:hAnsi="Book Antiqua"/>
          <w:lang w:val="en-GB"/>
        </w:rPr>
        <w:t xml:space="preserve"> </w:t>
      </w:r>
      <w:r w:rsidRPr="00266631">
        <w:rPr>
          <w:rFonts w:ascii="Book Antiqua" w:hAnsi="Book Antiqua"/>
          <w:lang w:val="en-GB"/>
        </w:rPr>
        <w:t>its cells provide a unique opportunity to induce differentiation without perturbing the biochemical environment</w:t>
      </w:r>
      <w:r w:rsidRPr="00266631">
        <w:rPr>
          <w:rFonts w:ascii="Book Antiqua" w:hAnsi="Book Antiqua"/>
          <w:vertAlign w:val="superscript"/>
          <w:lang w:val="en-GB"/>
        </w:rPr>
        <w:t>[14]</w:t>
      </w:r>
      <w:r w:rsidRPr="00266631">
        <w:rPr>
          <w:rFonts w:ascii="Book Antiqua" w:hAnsi="Book Antiqua"/>
          <w:lang w:val="en-GB"/>
        </w:rPr>
        <w:t>.</w:t>
      </w:r>
    </w:p>
    <w:p w:rsidR="00BE4FFC" w:rsidRPr="0099088C" w:rsidRDefault="00BE4FFC" w:rsidP="00DE3756">
      <w:pPr>
        <w:spacing w:line="360" w:lineRule="auto"/>
        <w:jc w:val="both"/>
        <w:rPr>
          <w:rFonts w:ascii="Book Antiqua" w:hAnsi="Book Antiqua"/>
          <w:b/>
          <w:lang w:val="en-GB"/>
        </w:rPr>
      </w:pPr>
    </w:p>
    <w:p w:rsidR="00BE4FFC" w:rsidRPr="00993921" w:rsidRDefault="00BE4FFC" w:rsidP="00DE3756">
      <w:pPr>
        <w:spacing w:line="360" w:lineRule="auto"/>
        <w:jc w:val="both"/>
        <w:rPr>
          <w:rFonts w:ascii="Book Antiqua" w:hAnsi="Book Antiqua"/>
          <w:b/>
          <w:caps/>
          <w:lang w:val="en-GB"/>
        </w:rPr>
      </w:pPr>
      <w:r w:rsidRPr="00993921">
        <w:rPr>
          <w:rFonts w:ascii="Book Antiqua" w:hAnsi="Book Antiqua"/>
          <w:b/>
          <w:caps/>
          <w:lang w:val="en-GB"/>
        </w:rPr>
        <w:t xml:space="preserve">microRNAs and </w:t>
      </w:r>
      <w:r w:rsidR="0099088C" w:rsidRPr="00993921">
        <w:rPr>
          <w:rFonts w:ascii="Book Antiqua" w:hAnsi="Book Antiqua"/>
          <w:b/>
          <w:caps/>
          <w:lang w:val="en-GB"/>
        </w:rPr>
        <w:t>p</w:t>
      </w:r>
      <w:r w:rsidRPr="00993921">
        <w:rPr>
          <w:rFonts w:ascii="Book Antiqua" w:hAnsi="Book Antiqua"/>
          <w:b/>
          <w:caps/>
          <w:lang w:val="en-GB"/>
        </w:rPr>
        <w:t xml:space="preserve">eriosteum </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lastRenderedPageBreak/>
        <w:t>MicroRNAs (miRs) are small noncoding RNAs that have emerged as crucial post-transcriptional regulators of gene expression by either inhibiting mRNA translation or inducing mRNA degradation</w:t>
      </w:r>
      <w:r w:rsidRPr="00266631">
        <w:rPr>
          <w:rFonts w:ascii="Book Antiqua" w:hAnsi="Book Antiqua"/>
          <w:vertAlign w:val="superscript"/>
          <w:lang w:val="en-GB"/>
        </w:rPr>
        <w:t>[52,53]</w:t>
      </w:r>
      <w:r w:rsidRPr="00266631">
        <w:rPr>
          <w:rFonts w:ascii="Book Antiqua" w:hAnsi="Book Antiqua"/>
          <w:lang w:val="en-GB"/>
        </w:rPr>
        <w:t>. miRs can be transcribed individually or in clusters and are encoded by introns or intergenic regions. After being transcribed, primary miRs are processed by protein complexes containing the endonuclease Drosha into the precursor miR (pre-miR), which is approximately 70 nucleotides. Pre-miR is subsequently exported to the cytoplasm</w:t>
      </w:r>
      <w:r w:rsidRPr="00266631">
        <w:rPr>
          <w:rFonts w:ascii="Book Antiqua" w:hAnsi="Book Antiqua"/>
          <w:vertAlign w:val="superscript"/>
          <w:lang w:val="en-GB"/>
        </w:rPr>
        <w:t>[52,53]</w:t>
      </w:r>
      <w:r w:rsidRPr="00266631">
        <w:rPr>
          <w:rFonts w:ascii="Book Antiqua" w:hAnsi="Book Antiqua"/>
          <w:lang w:val="en-GB"/>
        </w:rPr>
        <w:t xml:space="preserve">. Next, the endonuclease Dicer further cleaves the pre-miR, resulting in the generation of the approximately 22-bp miR duplexes, which are incorporated in the RNA-induced silencing complex. One strand is then retained in the complex and becomes the mature miR, which binds to the 3′ untranslated region of the target mRNA.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 xml:space="preserve">Hundreds of miRs have been described and currently approximately 1500 miRs are considered to be expressed in humans. Each miR binds up to several hundred complementary mRNAs, thereby modulating gene expression patterns rather than single genes. In the past decade, miRs were extensively investigated and were shown to act as key players in various critical cellular processes such as proliferation, cell cycle progression, apoptosis and differentiation.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As far as stem and progenitor cells are concerned, distinct miRs regulate their functions, modulating cell survival and homing or controlling differentiation and maturation. Additionally, experimental studies shown that miRs regulate endogenous tissue repair and might potentially be useful to enhance bone regeneration</w:t>
      </w:r>
      <w:r w:rsidRPr="00266631">
        <w:rPr>
          <w:rFonts w:ascii="Book Antiqua" w:hAnsi="Book Antiqua"/>
          <w:vertAlign w:val="superscript"/>
          <w:lang w:val="en-GB"/>
        </w:rPr>
        <w:t>[54]</w:t>
      </w:r>
      <w:r w:rsidRPr="00266631">
        <w:rPr>
          <w:rFonts w:ascii="Book Antiqua" w:hAnsi="Book Antiqua"/>
          <w:lang w:val="en-GB"/>
        </w:rPr>
        <w:t>.</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The switch between self-renewal and differentiation requires rapid widespread changes in gene expression. Since miRs can repress the translation of many mRNA targets, they are good candidates to regulate cell fate</w:t>
      </w:r>
      <w:r w:rsidRPr="00266631">
        <w:rPr>
          <w:rFonts w:ascii="Book Antiqua" w:hAnsi="Book Antiqua"/>
          <w:vertAlign w:val="superscript"/>
          <w:lang w:val="en-GB"/>
        </w:rPr>
        <w:t>[55]</w:t>
      </w:r>
      <w:r w:rsidRPr="00266631">
        <w:rPr>
          <w:rFonts w:ascii="Book Antiqua" w:hAnsi="Book Antiqua"/>
          <w:lang w:val="en-GB"/>
        </w:rPr>
        <w:t>. Throughout recent years extensive molecular studies have unraveled genetic and epigenetic mechanisms involved in osteoblasts differentiation and functions</w:t>
      </w:r>
      <w:r w:rsidRPr="00266631">
        <w:rPr>
          <w:rFonts w:ascii="Book Antiqua" w:hAnsi="Book Antiqua"/>
          <w:vertAlign w:val="superscript"/>
          <w:lang w:val="en-GB"/>
        </w:rPr>
        <w:t>[54]</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As mentioned above, differentiation of MSCs into the osteogenic lineage is tightly regulated by local growth factors (</w:t>
      </w:r>
      <w:r w:rsidRPr="00266631">
        <w:rPr>
          <w:rFonts w:ascii="Book Antiqua" w:hAnsi="Book Antiqua"/>
          <w:i/>
          <w:lang w:val="en-GB"/>
        </w:rPr>
        <w:t>e.g.,</w:t>
      </w:r>
      <w:r w:rsidRPr="00266631">
        <w:rPr>
          <w:rFonts w:ascii="Book Antiqua" w:hAnsi="Book Antiqua"/>
          <w:lang w:val="en-GB"/>
        </w:rPr>
        <w:t xml:space="preserve"> BMPs, FGFs) that activate specific intracellular pathways, thus triggering the expression of crucial transcription factors such as Runx2 and Osterix (Osx)</w:t>
      </w:r>
      <w:r w:rsidRPr="00266631">
        <w:rPr>
          <w:rFonts w:ascii="Book Antiqua" w:hAnsi="Book Antiqua"/>
          <w:vertAlign w:val="superscript"/>
          <w:lang w:val="en-GB"/>
        </w:rPr>
        <w:t>[54]</w:t>
      </w:r>
      <w:r w:rsidRPr="00266631">
        <w:rPr>
          <w:rFonts w:ascii="Book Antiqua" w:hAnsi="Book Antiqua"/>
          <w:lang w:val="en-GB"/>
        </w:rPr>
        <w:t xml:space="preserve">. miRs regulate each differentiation step by targeting multiple proteins and various signaling pathways, exerting a positive or a negative effect on osteogenesis. </w:t>
      </w:r>
    </w:p>
    <w:p w:rsidR="00BE4FFC" w:rsidRPr="00266631" w:rsidRDefault="00BE4FFC" w:rsidP="0099088C">
      <w:pPr>
        <w:spacing w:line="360" w:lineRule="auto"/>
        <w:ind w:firstLineChars="200" w:firstLine="480"/>
        <w:jc w:val="both"/>
        <w:rPr>
          <w:rFonts w:ascii="Book Antiqua" w:hAnsi="Book Antiqua"/>
          <w:lang w:val="en-GB"/>
        </w:rPr>
      </w:pPr>
      <w:r w:rsidRPr="0099088C">
        <w:rPr>
          <w:rFonts w:ascii="Book Antiqua" w:hAnsi="Book Antiqua"/>
          <w:caps/>
          <w:lang w:val="en-GB"/>
        </w:rPr>
        <w:t>m</w:t>
      </w:r>
      <w:r w:rsidRPr="00266631">
        <w:rPr>
          <w:rFonts w:ascii="Book Antiqua" w:hAnsi="Book Antiqua"/>
          <w:lang w:val="en-GB"/>
        </w:rPr>
        <w:t xml:space="preserve">iR-29b, miR148b, miR196a, miR-210, miR-2861 and miR-3960 have been reported to cause down-regulation of various inhibitors of osteoblasts differentiation, thus exerting </w:t>
      </w:r>
      <w:r w:rsidRPr="00266631">
        <w:rPr>
          <w:rFonts w:ascii="Book Antiqua" w:hAnsi="Book Antiqua"/>
          <w:lang w:val="en-GB"/>
        </w:rPr>
        <w:lastRenderedPageBreak/>
        <w:t>stimulatory effects. For instance, miR-29a potentiates osteoblastogenesis by modulating Wnt signaling through a positive feedback loop</w:t>
      </w:r>
      <w:r w:rsidRPr="00266631">
        <w:rPr>
          <w:rFonts w:ascii="Book Antiqua" w:hAnsi="Book Antiqua"/>
          <w:vertAlign w:val="superscript"/>
          <w:lang w:val="en-GB"/>
        </w:rPr>
        <w:t>[56]</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On the contrary, miR</w:t>
      </w:r>
      <w:r w:rsidR="00142F1D" w:rsidRPr="00266631">
        <w:rPr>
          <w:rFonts w:ascii="Book Antiqua" w:hAnsi="Book Antiqua"/>
          <w:lang w:val="en-GB"/>
        </w:rPr>
        <w:t>1</w:t>
      </w:r>
      <w:r w:rsidRPr="00266631">
        <w:rPr>
          <w:rFonts w:ascii="Book Antiqua" w:hAnsi="Book Antiqua"/>
          <w:lang w:val="en-GB"/>
        </w:rPr>
        <w:t>38, miR-133 and miR-204 are associated with a low bone mineral density. Particularly, miR</w:t>
      </w:r>
      <w:r w:rsidR="00142F1D" w:rsidRPr="00266631">
        <w:rPr>
          <w:rFonts w:ascii="Book Antiqua" w:hAnsi="Book Antiqua"/>
          <w:lang w:val="en-GB"/>
        </w:rPr>
        <w:t>1</w:t>
      </w:r>
      <w:r w:rsidRPr="00266631">
        <w:rPr>
          <w:rFonts w:ascii="Book Antiqua" w:hAnsi="Book Antiqua"/>
          <w:lang w:val="en-GB"/>
        </w:rPr>
        <w:t>38 was shown to attenuate the ERK-dependent pathway, phosphorylation of Runx2, and Osx expression, being able to inhibit osteoblasts differentiation and bone formation by human MSCs both</w:t>
      </w:r>
      <w:r w:rsidRPr="00266631">
        <w:rPr>
          <w:rFonts w:ascii="Book Antiqua" w:hAnsi="Book Antiqua"/>
          <w:i/>
          <w:lang w:val="en-GB"/>
        </w:rPr>
        <w:t xml:space="preserve"> in vitro</w:t>
      </w:r>
      <w:r w:rsidRPr="00266631">
        <w:rPr>
          <w:rFonts w:ascii="Book Antiqua" w:hAnsi="Book Antiqua"/>
          <w:lang w:val="en-GB"/>
        </w:rPr>
        <w:t xml:space="preserve"> and </w:t>
      </w:r>
      <w:r w:rsidRPr="00266631">
        <w:rPr>
          <w:rFonts w:ascii="Book Antiqua" w:hAnsi="Book Antiqua"/>
          <w:i/>
          <w:lang w:val="en-GB"/>
        </w:rPr>
        <w:t>in vivo</w:t>
      </w:r>
      <w:r w:rsidRPr="00266631">
        <w:rPr>
          <w:rFonts w:ascii="Book Antiqua" w:hAnsi="Book Antiqua"/>
          <w:vertAlign w:val="superscript"/>
          <w:lang w:val="en-GB"/>
        </w:rPr>
        <w:t>[57]</w:t>
      </w:r>
      <w:r w:rsidRPr="00266631">
        <w:rPr>
          <w:rFonts w:ascii="Book Antiqua" w:hAnsi="Book Antiqua"/>
          <w:lang w:val="en-GB"/>
        </w:rPr>
        <w:t>.</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Elucidating the molecular mechanisms that regulate MSC differentiation is important not only for the treatment for orthopaedic trauma, but also for regenerative medicine purposes in case of the loss of functions that naturally occurs with age. Bone homeostasis is in fact strictly related to the balance between bone deposition and resorption as well as to the correct response to mechanical forces.</w:t>
      </w:r>
    </w:p>
    <w:p w:rsidR="00BE4FFC" w:rsidRPr="00266631" w:rsidRDefault="00BE4FFC" w:rsidP="0099088C">
      <w:pPr>
        <w:spacing w:line="360" w:lineRule="auto"/>
        <w:ind w:firstLineChars="200" w:firstLine="480"/>
        <w:jc w:val="both"/>
        <w:rPr>
          <w:rFonts w:ascii="Book Antiqua" w:hAnsi="Book Antiqua"/>
          <w:lang w:val="en-GB"/>
        </w:rPr>
      </w:pPr>
      <w:r w:rsidRPr="0099088C">
        <w:rPr>
          <w:rFonts w:ascii="Book Antiqua" w:hAnsi="Book Antiqua"/>
          <w:caps/>
          <w:lang w:val="en-GB"/>
        </w:rPr>
        <w:t>m</w:t>
      </w:r>
      <w:r w:rsidRPr="00266631">
        <w:rPr>
          <w:rFonts w:ascii="Book Antiqua" w:hAnsi="Book Antiqua"/>
          <w:lang w:val="en-GB"/>
        </w:rPr>
        <w:t>iRs act as key regulators of both bone formation and remodelling and degeneration, as well. Deregulation of miRs-mediated mechanisms is pathologically linked to bone-related diseases, such as osteoporosis</w:t>
      </w:r>
      <w:r w:rsidRPr="00266631">
        <w:rPr>
          <w:rFonts w:ascii="Book Antiqua" w:hAnsi="Book Antiqua"/>
          <w:vertAlign w:val="superscript"/>
          <w:lang w:val="en-GB"/>
        </w:rPr>
        <w:t>[58]</w:t>
      </w:r>
      <w:r w:rsidRPr="00266631">
        <w:rPr>
          <w:rFonts w:ascii="Book Antiqua" w:hAnsi="Book Antiqua"/>
          <w:lang w:val="en-GB"/>
        </w:rPr>
        <w:t>. Indeed, since miRs control differentiation of osteoblast from stem cells and differentiation of osteoclasts from hematopoietic precursors</w:t>
      </w:r>
      <w:r w:rsidRPr="00266631">
        <w:rPr>
          <w:rFonts w:ascii="Book Antiqua" w:hAnsi="Book Antiqua"/>
          <w:vertAlign w:val="superscript"/>
          <w:lang w:val="en-GB"/>
        </w:rPr>
        <w:t>[58]</w:t>
      </w:r>
      <w:r w:rsidRPr="00266631">
        <w:rPr>
          <w:rFonts w:ascii="Book Antiqua" w:hAnsi="Book Antiqua"/>
          <w:lang w:val="en-GB"/>
        </w:rPr>
        <w:t>, deregulation at these levels could affects osteoclast-related bone remodelling</w:t>
      </w:r>
      <w:r w:rsidRPr="00266631">
        <w:rPr>
          <w:rFonts w:ascii="Book Antiqua" w:hAnsi="Book Antiqua"/>
          <w:vertAlign w:val="superscript"/>
          <w:lang w:val="en-GB"/>
        </w:rPr>
        <w:t>[58]</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At present, no data are available on miRNA expression in periosteum. Therefore, profiling of miRs in PDPCs could be useful in elucidating crucial mechanisms governing pre-osteoblasts differentiation during bone development and remodelling. Moreover, advances in miR expression knowledge could also provide information on bone tissue metabolism during lifespan, with particular attention to changes related</w:t>
      </w:r>
      <w:r w:rsidR="00993921">
        <w:rPr>
          <w:rFonts w:ascii="Book Antiqua" w:hAnsi="Book Antiqua"/>
          <w:lang w:val="en-GB"/>
        </w:rPr>
        <w:t xml:space="preserve"> </w:t>
      </w:r>
      <w:r w:rsidRPr="00266631">
        <w:rPr>
          <w:rFonts w:ascii="Book Antiqua" w:hAnsi="Book Antiqua"/>
          <w:lang w:val="en-GB"/>
        </w:rPr>
        <w:t>to inflammation and/or ageing.</w:t>
      </w:r>
    </w:p>
    <w:p w:rsidR="00BE4FFC" w:rsidRPr="00993921" w:rsidRDefault="00BE4FFC" w:rsidP="00DE3756">
      <w:pPr>
        <w:spacing w:line="360" w:lineRule="auto"/>
        <w:jc w:val="both"/>
        <w:rPr>
          <w:rFonts w:ascii="Book Antiqua" w:hAnsi="Book Antiqua"/>
          <w:caps/>
          <w:lang w:val="en-GB"/>
        </w:rPr>
      </w:pPr>
    </w:p>
    <w:p w:rsidR="00BE4FFC" w:rsidRPr="00993921" w:rsidRDefault="00BE4FFC" w:rsidP="00DE3756">
      <w:pPr>
        <w:spacing w:line="360" w:lineRule="auto"/>
        <w:jc w:val="both"/>
        <w:rPr>
          <w:rFonts w:ascii="Book Antiqua" w:hAnsi="Book Antiqua"/>
          <w:b/>
          <w:caps/>
          <w:lang w:val="en-GB"/>
        </w:rPr>
      </w:pPr>
      <w:r w:rsidRPr="00993921">
        <w:rPr>
          <w:rFonts w:ascii="Book Antiqua" w:hAnsi="Book Antiqua"/>
          <w:b/>
          <w:caps/>
          <w:lang w:val="en-GB"/>
        </w:rPr>
        <w:t>Periosteum and cartilage regeneration</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t xml:space="preserve">The chondrogenic potential of periosteum is well documented both </w:t>
      </w:r>
      <w:r w:rsidRPr="00266631">
        <w:rPr>
          <w:rFonts w:ascii="Book Antiqua" w:hAnsi="Book Antiqua"/>
          <w:i/>
          <w:lang w:val="en-GB"/>
        </w:rPr>
        <w:t>in vitro</w:t>
      </w:r>
      <w:r w:rsidRPr="00266631">
        <w:rPr>
          <w:rFonts w:ascii="Book Antiqua" w:hAnsi="Book Antiqua"/>
          <w:lang w:val="en-GB"/>
        </w:rPr>
        <w:t xml:space="preserve"> and </w:t>
      </w:r>
      <w:r w:rsidRPr="00266631">
        <w:rPr>
          <w:rFonts w:ascii="Book Antiqua" w:hAnsi="Book Antiqua"/>
          <w:i/>
          <w:lang w:val="en-GB"/>
        </w:rPr>
        <w:t>in vivo</w:t>
      </w:r>
      <w:r w:rsidRPr="00266631">
        <w:rPr>
          <w:rFonts w:ascii="Book Antiqua" w:hAnsi="Book Antiqua"/>
          <w:vertAlign w:val="superscript"/>
          <w:lang w:val="en-GB"/>
        </w:rPr>
        <w:t>[</w:t>
      </w:r>
      <w:r w:rsidR="00D846FF" w:rsidRPr="00266631">
        <w:rPr>
          <w:rFonts w:ascii="Book Antiqua" w:hAnsi="Book Antiqua"/>
          <w:vertAlign w:val="superscript"/>
          <w:lang w:val="en-GB"/>
        </w:rPr>
        <w:t>19</w:t>
      </w:r>
      <w:r w:rsidR="00D846FF">
        <w:rPr>
          <w:rFonts w:ascii="Book Antiqua" w:hAnsi="Book Antiqua" w:hint="eastAsia"/>
          <w:vertAlign w:val="superscript"/>
          <w:lang w:val="en-GB" w:eastAsia="zh-CN"/>
        </w:rPr>
        <w:t>,</w:t>
      </w:r>
      <w:r w:rsidRPr="00266631">
        <w:rPr>
          <w:rFonts w:ascii="Book Antiqua" w:hAnsi="Book Antiqua"/>
          <w:vertAlign w:val="superscript"/>
          <w:lang w:val="en-GB"/>
        </w:rPr>
        <w:t>5</w:t>
      </w:r>
      <w:r w:rsidR="00B14FF2" w:rsidRPr="00266631">
        <w:rPr>
          <w:rFonts w:ascii="Book Antiqua" w:hAnsi="Book Antiqua"/>
          <w:vertAlign w:val="superscript"/>
          <w:lang w:val="en-GB"/>
        </w:rPr>
        <w:t>9</w:t>
      </w:r>
      <w:r w:rsidRPr="00266631">
        <w:rPr>
          <w:rFonts w:ascii="Book Antiqua" w:hAnsi="Book Antiqua"/>
          <w:vertAlign w:val="superscript"/>
          <w:lang w:val="en-GB"/>
        </w:rPr>
        <w:t>]</w:t>
      </w:r>
      <w:r w:rsidRPr="00266631">
        <w:rPr>
          <w:rFonts w:ascii="Book Antiqua" w:hAnsi="Book Antiqua"/>
          <w:lang w:val="en-GB"/>
        </w:rPr>
        <w:t>, in fact free autogenous periosteal grafts restore cartilage defects</w:t>
      </w:r>
      <w:r w:rsidRPr="00266631">
        <w:rPr>
          <w:rFonts w:ascii="Book Antiqua" w:hAnsi="Book Antiqua"/>
          <w:vertAlign w:val="superscript"/>
          <w:lang w:val="en-GB"/>
        </w:rPr>
        <w:t>[60]</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Immediately following cortical bone injury, periosteum undergoes a series of changes to initiate bone formation at the fracture site. Cells at the periphery of the cortex adopt an osteogenic fate whereas cells near the cortical bone junction differentiate into chondroprogenitors</w:t>
      </w:r>
      <w:r w:rsidRPr="00266631">
        <w:rPr>
          <w:rFonts w:ascii="Book Antiqua" w:hAnsi="Book Antiqua"/>
          <w:vertAlign w:val="superscript"/>
          <w:lang w:val="en-GB"/>
        </w:rPr>
        <w:t>[42]</w:t>
      </w:r>
      <w:r w:rsidRPr="00266631">
        <w:rPr>
          <w:rFonts w:ascii="Book Antiqua" w:hAnsi="Book Antiqua"/>
          <w:lang w:val="en-GB"/>
        </w:rPr>
        <w:t xml:space="preserve">. Chondrocytes within the fracture callus are primarily derived from </w:t>
      </w:r>
      <w:r w:rsidRPr="00266631">
        <w:rPr>
          <w:rFonts w:ascii="Book Antiqua" w:hAnsi="Book Antiqua"/>
          <w:lang w:val="en-GB"/>
        </w:rPr>
        <w:lastRenderedPageBreak/>
        <w:t>the periosteum inner cambium-layer as indicates the presence of Sox-9 expressing chondroprogenitor cells in the periosteum adjacent to the fracture site</w:t>
      </w:r>
      <w:r w:rsidRPr="00266631">
        <w:rPr>
          <w:rFonts w:ascii="Book Antiqua" w:hAnsi="Book Antiqua"/>
          <w:vertAlign w:val="superscript"/>
          <w:lang w:val="en-GB"/>
        </w:rPr>
        <w:t>[61]</w:t>
      </w:r>
      <w:r w:rsidRPr="00266631">
        <w:rPr>
          <w:rFonts w:ascii="Book Antiqua" w:hAnsi="Book Antiqua"/>
          <w:lang w:val="en-GB"/>
        </w:rPr>
        <w:t>.</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The development and maturation of neochondrocytes involves several growth factors, encompassing Insulin Growth Factor 1 (IGF-1), TGF</w:t>
      </w:r>
      <w:r w:rsidRPr="00266631">
        <w:rPr>
          <w:rFonts w:ascii="Book Antiqua" w:hAnsi="Book Antiqua"/>
          <w:lang w:val="en-GB"/>
        </w:rPr>
        <w:sym w:font="Symbol" w:char="F062"/>
      </w:r>
      <w:r w:rsidRPr="00266631">
        <w:rPr>
          <w:rFonts w:ascii="Book Antiqua" w:hAnsi="Book Antiqua"/>
          <w:lang w:val="en-GB"/>
        </w:rPr>
        <w:t>1, TGF</w:t>
      </w:r>
      <w:r w:rsidRPr="00266631">
        <w:rPr>
          <w:rFonts w:ascii="Book Antiqua" w:hAnsi="Book Antiqua"/>
          <w:lang w:val="en-GB"/>
        </w:rPr>
        <w:sym w:font="Symbol" w:char="F062"/>
      </w:r>
      <w:r w:rsidRPr="00266631">
        <w:rPr>
          <w:rFonts w:ascii="Book Antiqua" w:hAnsi="Book Antiqua"/>
          <w:lang w:val="en-GB"/>
        </w:rPr>
        <w:t>3, Growth Differentiation Factor 5 (GDF-5) and BMP2</w:t>
      </w:r>
      <w:r w:rsidRPr="00266631">
        <w:rPr>
          <w:rFonts w:ascii="Book Antiqua" w:hAnsi="Book Antiqua"/>
          <w:vertAlign w:val="superscript"/>
          <w:lang w:val="en-GB"/>
        </w:rPr>
        <w:t>[62]</w:t>
      </w:r>
      <w:r w:rsidRPr="00266631">
        <w:rPr>
          <w:rFonts w:ascii="Book Antiqua" w:hAnsi="Book Antiqua"/>
          <w:lang w:val="en-GB"/>
        </w:rPr>
        <w:t>.</w:t>
      </w:r>
      <w:r w:rsidR="00993921">
        <w:rPr>
          <w:rFonts w:ascii="Book Antiqua" w:hAnsi="Book Antiqua"/>
          <w:lang w:val="en-GB"/>
        </w:rPr>
        <w:t xml:space="preserve"> </w:t>
      </w:r>
      <w:r w:rsidRPr="00266631">
        <w:rPr>
          <w:rFonts w:ascii="Book Antiqua" w:hAnsi="Book Antiqua"/>
          <w:lang w:val="en-GB"/>
        </w:rPr>
        <w:t>In addition the expression of adhesion molecules, such as N-cadherin, play a role in the regulation of chondrocytic phenotype</w:t>
      </w:r>
      <w:r w:rsidRPr="00266631">
        <w:rPr>
          <w:rFonts w:ascii="Book Antiqua" w:hAnsi="Book Antiqua"/>
          <w:vertAlign w:val="superscript"/>
          <w:lang w:val="en-GB"/>
        </w:rPr>
        <w:t>[63]</w:t>
      </w:r>
      <w:r w:rsidRPr="00266631">
        <w:rPr>
          <w:rFonts w:ascii="Book Antiqua" w:hAnsi="Book Antiqua"/>
          <w:lang w:val="en-GB"/>
        </w:rPr>
        <w:t>. At last, for resurfacing arthoplasty in humans, per</w:t>
      </w:r>
      <w:r w:rsidR="00617A0B" w:rsidRPr="00266631">
        <w:rPr>
          <w:rFonts w:ascii="Book Antiqua" w:hAnsi="Book Antiqua"/>
          <w:lang w:val="en-GB"/>
        </w:rPr>
        <w:t xml:space="preserve">iosteum has been used alone or </w:t>
      </w:r>
      <w:r w:rsidRPr="00266631">
        <w:rPr>
          <w:rFonts w:ascii="Book Antiqua" w:hAnsi="Book Antiqua"/>
          <w:lang w:val="en-GB"/>
        </w:rPr>
        <w:t>in combination with continue passive motion to stimulate joint neochondrogenesis</w:t>
      </w:r>
      <w:r w:rsidRPr="00266631">
        <w:rPr>
          <w:rFonts w:ascii="Book Antiqua" w:hAnsi="Book Antiqua"/>
          <w:vertAlign w:val="superscript"/>
          <w:lang w:val="en-GB"/>
        </w:rPr>
        <w:t>[62]</w:t>
      </w:r>
      <w:r w:rsidRPr="00266631">
        <w:rPr>
          <w:rFonts w:ascii="Book Antiqua" w:hAnsi="Book Antiqua"/>
          <w:lang w:val="en-GB"/>
        </w:rPr>
        <w:t>.</w:t>
      </w:r>
      <w:r w:rsidRPr="00266631">
        <w:rPr>
          <w:rFonts w:ascii="Book Antiqua" w:hAnsi="Book Antiqua"/>
          <w:vertAlign w:val="superscript"/>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With aging the chondrogenic potential of periosteum decreases, as the number of chondrocytes precursors decline in the cambium layer</w:t>
      </w:r>
      <w:r w:rsidRPr="00266631">
        <w:rPr>
          <w:rFonts w:ascii="Book Antiqua" w:hAnsi="Book Antiqua"/>
          <w:vertAlign w:val="superscript"/>
          <w:lang w:val="en-GB"/>
        </w:rPr>
        <w:t>[62]</w:t>
      </w:r>
      <w:r w:rsidRPr="00266631">
        <w:rPr>
          <w:rFonts w:ascii="Book Antiqua" w:hAnsi="Book Antiqua"/>
          <w:lang w:val="en-GB"/>
        </w:rPr>
        <w:t>. However sub-periosteal injection of both TGF</w:t>
      </w:r>
      <w:r w:rsidR="00617A0B" w:rsidRPr="00266631">
        <w:rPr>
          <w:rFonts w:ascii="Book Antiqua" w:eastAsia="Batang" w:hAnsi="Book Antiqua"/>
          <w:lang w:val="en-GB"/>
        </w:rPr>
        <w:t>β</w:t>
      </w:r>
      <w:r w:rsidRPr="00266631">
        <w:rPr>
          <w:rFonts w:ascii="Book Antiqua" w:hAnsi="Book Antiqua"/>
          <w:lang w:val="en-GB"/>
        </w:rPr>
        <w:t>1</w:t>
      </w:r>
      <w:r w:rsidRPr="00266631">
        <w:rPr>
          <w:rFonts w:ascii="Book Antiqua" w:hAnsi="Book Antiqua"/>
          <w:vertAlign w:val="superscript"/>
          <w:lang w:val="en-GB"/>
        </w:rPr>
        <w:t>[64,65]</w:t>
      </w:r>
      <w:r w:rsidRPr="00266631">
        <w:rPr>
          <w:rFonts w:ascii="Book Antiqua" w:hAnsi="Book Antiqua"/>
          <w:lang w:val="en-GB"/>
        </w:rPr>
        <w:t xml:space="preserve"> and TGF</w:t>
      </w:r>
      <w:r w:rsidR="00617A0B" w:rsidRPr="00266631">
        <w:rPr>
          <w:rFonts w:ascii="Book Antiqua" w:eastAsia="Batang" w:hAnsi="Book Antiqua"/>
          <w:lang w:val="en-GB"/>
        </w:rPr>
        <w:t>β</w:t>
      </w:r>
      <w:r w:rsidRPr="00266631">
        <w:rPr>
          <w:rFonts w:ascii="Book Antiqua" w:hAnsi="Book Antiqua"/>
          <w:lang w:val="en-GB"/>
        </w:rPr>
        <w:t>3 has been shown to stimulate the proliferatio</w:t>
      </w:r>
      <w:r w:rsidR="0099088C">
        <w:rPr>
          <w:rFonts w:ascii="Book Antiqua" w:hAnsi="Book Antiqua"/>
          <w:lang w:val="en-GB"/>
        </w:rPr>
        <w:t xml:space="preserve">n of PDPCs and to induce their </w:t>
      </w:r>
      <w:r w:rsidRPr="00266631">
        <w:rPr>
          <w:rFonts w:ascii="Book Antiqua" w:hAnsi="Book Antiqua"/>
          <w:lang w:val="en-GB"/>
        </w:rPr>
        <w:t>chondrogenic differentiation</w:t>
      </w:r>
      <w:r w:rsidRPr="00266631">
        <w:rPr>
          <w:rFonts w:ascii="Book Antiqua" w:hAnsi="Book Antiqua"/>
          <w:vertAlign w:val="superscript"/>
          <w:lang w:val="en-GB"/>
        </w:rPr>
        <w:t>[63]</w:t>
      </w:r>
      <w:r w:rsidRPr="00266631">
        <w:rPr>
          <w:rFonts w:ascii="Book Antiqua" w:hAnsi="Book Antiqua"/>
          <w:lang w:val="en-GB"/>
        </w:rPr>
        <w:t>. Yet, a recent study showed that a subperiosteal injection of a chondroinductive growth factor mixture do not stimulate tissue differentiation of an autologous osteoperiosteal graft</w:t>
      </w:r>
      <w:r w:rsidRPr="00266631">
        <w:rPr>
          <w:rFonts w:ascii="Book Antiqua" w:hAnsi="Book Antiqua"/>
          <w:vertAlign w:val="superscript"/>
          <w:lang w:val="en-GB"/>
        </w:rPr>
        <w:t>[</w:t>
      </w:r>
      <w:r w:rsidR="00D31437" w:rsidRPr="00266631">
        <w:rPr>
          <w:rFonts w:ascii="Book Antiqua" w:hAnsi="Book Antiqua"/>
          <w:vertAlign w:val="superscript"/>
          <w:lang w:val="en-GB"/>
        </w:rPr>
        <w:t>66</w:t>
      </w:r>
      <w:r w:rsidRPr="00266631">
        <w:rPr>
          <w:rFonts w:ascii="Book Antiqua" w:hAnsi="Book Antiqua"/>
          <w:vertAlign w:val="superscript"/>
          <w:lang w:val="en-GB"/>
        </w:rPr>
        <w:t>]</w:t>
      </w:r>
      <w:r w:rsidRPr="00266631">
        <w:rPr>
          <w:rFonts w:ascii="Book Antiqua" w:hAnsi="Book Antiqua"/>
          <w:lang w:val="en-GB"/>
        </w:rPr>
        <w:t xml:space="preserve">. This suggests that the repair of cartilage defects could benefit from an </w:t>
      </w:r>
      <w:r w:rsidRPr="00266631">
        <w:rPr>
          <w:rFonts w:ascii="Book Antiqua" w:hAnsi="Book Antiqua"/>
          <w:i/>
          <w:lang w:val="en-GB"/>
        </w:rPr>
        <w:t>in vitro</w:t>
      </w:r>
      <w:r w:rsidRPr="00266631">
        <w:rPr>
          <w:rFonts w:ascii="Book Antiqua" w:hAnsi="Book Antiqua"/>
          <w:lang w:val="en-GB"/>
        </w:rPr>
        <w:t xml:space="preserve"> pre-treatment of micromass PDPCs cultures with TGF</w:t>
      </w:r>
      <w:r w:rsidR="00617A0B" w:rsidRPr="00266631">
        <w:rPr>
          <w:rFonts w:ascii="Book Antiqua" w:eastAsia="Batang" w:hAnsi="Book Antiqua"/>
          <w:lang w:val="en-GB"/>
        </w:rPr>
        <w:t>β</w:t>
      </w:r>
      <w:r w:rsidRPr="00266631">
        <w:rPr>
          <w:rFonts w:ascii="Book Antiqua" w:hAnsi="Book Antiqua"/>
          <w:lang w:val="en-GB"/>
        </w:rPr>
        <w:t>3, which improves periosteum ability to undergo chondrogenesis and produce hyaline cartilage</w:t>
      </w:r>
      <w:r w:rsidRPr="00266631">
        <w:rPr>
          <w:rFonts w:ascii="Book Antiqua" w:hAnsi="Book Antiqua"/>
          <w:vertAlign w:val="superscript"/>
          <w:lang w:val="en-GB"/>
        </w:rPr>
        <w:t>[</w:t>
      </w:r>
      <w:r w:rsidR="00D31437" w:rsidRPr="00266631">
        <w:rPr>
          <w:rFonts w:ascii="Book Antiqua" w:hAnsi="Book Antiqua"/>
          <w:vertAlign w:val="superscript"/>
          <w:lang w:val="en-GB"/>
        </w:rPr>
        <w:t>66</w:t>
      </w:r>
      <w:r w:rsidRPr="00266631">
        <w:rPr>
          <w:rFonts w:ascii="Book Antiqua" w:hAnsi="Book Antiqua"/>
          <w:vertAlign w:val="superscript"/>
          <w:lang w:val="en-GB"/>
        </w:rPr>
        <w:t>]</w:t>
      </w:r>
      <w:r w:rsidRPr="00266631">
        <w:rPr>
          <w:rFonts w:ascii="Book Antiqua" w:hAnsi="Book Antiqua"/>
          <w:lang w:val="en-GB"/>
        </w:rPr>
        <w:t>. Quality of tissue harvest, choice and amount of appropriate stimulating molecule, time</w:t>
      </w:r>
      <w:r w:rsidRPr="00266631" w:rsidDel="00F41CCA">
        <w:rPr>
          <w:rFonts w:ascii="Book Antiqua" w:hAnsi="Book Antiqua"/>
          <w:lang w:val="en-GB"/>
        </w:rPr>
        <w:t xml:space="preserve"> </w:t>
      </w:r>
      <w:r w:rsidRPr="00266631">
        <w:rPr>
          <w:rFonts w:ascii="Book Antiqua" w:hAnsi="Book Antiqua"/>
          <w:lang w:val="en-GB"/>
        </w:rPr>
        <w:t>of exposure, as well as intervals between injections, may influence healing. Mechanical stimulations could affect the clinical outcome as well.</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 xml:space="preserve">Tissue engineering approaches in cartilage tissue regeneration could be also useful to potentiate the </w:t>
      </w:r>
      <w:r w:rsidRPr="00266631">
        <w:rPr>
          <w:rFonts w:ascii="Book Antiqua" w:hAnsi="Book Antiqua"/>
          <w:i/>
          <w:lang w:val="en-GB"/>
        </w:rPr>
        <w:t>in vivo</w:t>
      </w:r>
      <w:r w:rsidRPr="00266631">
        <w:rPr>
          <w:rFonts w:ascii="Book Antiqua" w:hAnsi="Book Antiqua"/>
          <w:lang w:val="en-GB"/>
        </w:rPr>
        <w:t xml:space="preserve"> outcomes. Recently, Casper </w:t>
      </w:r>
      <w:r w:rsidR="0099088C" w:rsidRPr="0099088C">
        <w:rPr>
          <w:rFonts w:ascii="Book Antiqua" w:hAnsi="Book Antiqua" w:hint="eastAsia"/>
          <w:i/>
          <w:lang w:val="en-GB" w:eastAsia="zh-CN"/>
        </w:rPr>
        <w:t>et al</w:t>
      </w:r>
      <w:r w:rsidRPr="00266631">
        <w:rPr>
          <w:rFonts w:ascii="Book Antiqua" w:hAnsi="Book Antiqua"/>
          <w:vertAlign w:val="superscript"/>
          <w:lang w:val="en-GB"/>
        </w:rPr>
        <w:t>[67]</w:t>
      </w:r>
      <w:r w:rsidR="00993921">
        <w:rPr>
          <w:rFonts w:ascii="Book Antiqua" w:hAnsi="Book Antiqua"/>
          <w:vertAlign w:val="superscript"/>
          <w:lang w:val="en-GB"/>
        </w:rPr>
        <w:t xml:space="preserve"> </w:t>
      </w:r>
      <w:r w:rsidRPr="00266631">
        <w:rPr>
          <w:rFonts w:ascii="Book Antiqua" w:hAnsi="Book Antiqua"/>
          <w:lang w:val="en-GB"/>
        </w:rPr>
        <w:t xml:space="preserve">showed the potential of PDPCs to infiltrate poly-epsilon caprolactone (PCL) nanofiber scaffolds in a rabbit model and the possibility to produce engineered cartilage </w:t>
      </w:r>
      <w:r w:rsidRPr="00266631">
        <w:rPr>
          <w:rFonts w:ascii="Book Antiqua" w:hAnsi="Book Antiqua"/>
          <w:i/>
          <w:lang w:val="en-GB"/>
        </w:rPr>
        <w:t>in vitro</w:t>
      </w:r>
      <w:r w:rsidRPr="00266631">
        <w:rPr>
          <w:rFonts w:ascii="Book Antiqua" w:hAnsi="Book Antiqua"/>
          <w:lang w:val="en-GB"/>
        </w:rPr>
        <w:t>. The same group has also demonstrated that the application of a directional fluid flow to periosteal explants seeded onto PCL scaffolds enhances cell proliferation, chondrogenic differentiation and organization, thus modifying the biomechanical properties of the engineered cartilage</w:t>
      </w:r>
      <w:r w:rsidRPr="00266631">
        <w:rPr>
          <w:rFonts w:ascii="Book Antiqua" w:hAnsi="Book Antiqua"/>
          <w:vertAlign w:val="superscript"/>
          <w:lang w:val="en-GB"/>
        </w:rPr>
        <w:t>[</w:t>
      </w:r>
      <w:r w:rsidR="004D57E5" w:rsidRPr="00266631">
        <w:rPr>
          <w:rFonts w:ascii="Book Antiqua" w:hAnsi="Book Antiqua"/>
          <w:vertAlign w:val="superscript"/>
          <w:lang w:val="en-GB"/>
        </w:rPr>
        <w:t>68</w:t>
      </w:r>
      <w:r w:rsidRPr="00266631">
        <w:rPr>
          <w:rFonts w:ascii="Book Antiqua" w:hAnsi="Book Antiqua"/>
          <w:vertAlign w:val="superscript"/>
          <w:lang w:val="en-GB"/>
        </w:rPr>
        <w:t>]</w:t>
      </w:r>
      <w:r w:rsidRPr="00266631">
        <w:rPr>
          <w:rFonts w:ascii="Book Antiqua" w:hAnsi="Book Antiqua"/>
          <w:lang w:val="en-GB"/>
        </w:rPr>
        <w:t xml:space="preserve">. </w:t>
      </w:r>
    </w:p>
    <w:p w:rsidR="00BE4FFC" w:rsidRPr="00266631" w:rsidRDefault="00BE4FFC" w:rsidP="0099088C">
      <w:pPr>
        <w:spacing w:line="360" w:lineRule="auto"/>
        <w:ind w:firstLineChars="200" w:firstLine="480"/>
        <w:jc w:val="both"/>
        <w:rPr>
          <w:rFonts w:ascii="Book Antiqua" w:hAnsi="Book Antiqua"/>
          <w:lang w:val="en-GB"/>
        </w:rPr>
      </w:pPr>
      <w:r w:rsidRPr="00266631">
        <w:rPr>
          <w:rFonts w:ascii="Book Antiqua" w:hAnsi="Book Antiqua"/>
          <w:lang w:val="en-GB"/>
        </w:rPr>
        <w:t>In order to generate 3D artificial cartilage resembling native articular one, a recirculating flow-perfusion bioreactor, which simultaneously offer shear stress and hydrodynamic pressure, was also developed and, in presence of periosteum/PCL constructs, good ECM composition, cell distribution and mechanical properties were obtained</w:t>
      </w:r>
      <w:r w:rsidRPr="00266631">
        <w:rPr>
          <w:rFonts w:ascii="Book Antiqua" w:hAnsi="Book Antiqua"/>
          <w:vertAlign w:val="superscript"/>
          <w:lang w:val="en-GB"/>
        </w:rPr>
        <w:t>[</w:t>
      </w:r>
      <w:r w:rsidR="004D57E5" w:rsidRPr="00266631">
        <w:rPr>
          <w:rFonts w:ascii="Book Antiqua" w:hAnsi="Book Antiqua"/>
          <w:vertAlign w:val="superscript"/>
          <w:lang w:val="en-GB"/>
        </w:rPr>
        <w:t>59</w:t>
      </w:r>
      <w:r w:rsidRPr="00266631">
        <w:rPr>
          <w:rFonts w:ascii="Book Antiqua" w:hAnsi="Book Antiqua"/>
          <w:vertAlign w:val="superscript"/>
          <w:lang w:val="en-GB"/>
        </w:rPr>
        <w:t>]</w:t>
      </w:r>
      <w:r w:rsidRPr="00266631">
        <w:rPr>
          <w:rFonts w:ascii="Book Antiqua" w:hAnsi="Book Antiqua"/>
          <w:lang w:val="en-GB"/>
        </w:rPr>
        <w:t>.</w:t>
      </w:r>
    </w:p>
    <w:p w:rsidR="00BE4FFC" w:rsidRPr="00266631" w:rsidRDefault="00BE4FFC" w:rsidP="00DE3756">
      <w:pPr>
        <w:spacing w:line="360" w:lineRule="auto"/>
        <w:jc w:val="both"/>
        <w:rPr>
          <w:rFonts w:ascii="Book Antiqua" w:hAnsi="Book Antiqua"/>
          <w:lang w:val="en-GB"/>
        </w:rPr>
      </w:pPr>
    </w:p>
    <w:p w:rsidR="00BE4FFC" w:rsidRPr="00993921" w:rsidRDefault="00BE4FFC" w:rsidP="00DE3756">
      <w:pPr>
        <w:spacing w:line="360" w:lineRule="auto"/>
        <w:jc w:val="both"/>
        <w:rPr>
          <w:rFonts w:ascii="Book Antiqua" w:hAnsi="Book Antiqua"/>
          <w:b/>
          <w:caps/>
          <w:lang w:val="en-GB"/>
        </w:rPr>
      </w:pPr>
      <w:r w:rsidRPr="00993921">
        <w:rPr>
          <w:rFonts w:ascii="Book Antiqua" w:hAnsi="Book Antiqua"/>
          <w:b/>
          <w:caps/>
          <w:lang w:val="en-GB"/>
        </w:rPr>
        <w:t>Periosteum and bone healing</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t>In fracture healing, periosteum is the major responsible for bridging the callus formation and participating to endochondral and intramembranous ossifications.</w:t>
      </w:r>
    </w:p>
    <w:p w:rsidR="00BE4FFC" w:rsidRPr="00266631" w:rsidRDefault="00BE4FFC" w:rsidP="0099088C">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Steps of fracture bone repair have been well summarize by Shapiro</w:t>
      </w:r>
      <w:r w:rsidRPr="00266631">
        <w:rPr>
          <w:rFonts w:ascii="Book Antiqua" w:hAnsi="Book Antiqua"/>
          <w:vertAlign w:val="superscript"/>
          <w:lang w:val="en-GB"/>
        </w:rPr>
        <w:t>[6</w:t>
      </w:r>
      <w:r w:rsidR="00373218" w:rsidRPr="00266631">
        <w:rPr>
          <w:rFonts w:ascii="Book Antiqua" w:hAnsi="Book Antiqua"/>
          <w:vertAlign w:val="superscript"/>
          <w:lang w:val="en-GB"/>
        </w:rPr>
        <w:t>9</w:t>
      </w:r>
      <w:r w:rsidRPr="00266631">
        <w:rPr>
          <w:rFonts w:ascii="Book Antiqua" w:hAnsi="Book Antiqua"/>
          <w:vertAlign w:val="superscript"/>
          <w:lang w:val="en-GB"/>
        </w:rPr>
        <w:t>]</w:t>
      </w:r>
      <w:r w:rsidRPr="00266631">
        <w:rPr>
          <w:rFonts w:ascii="Book Antiqua" w:hAnsi="Book Antiqua"/>
          <w:lang w:val="en-GB"/>
        </w:rPr>
        <w:t>. After fracture, cells from the inner cambium layer of periosteum proliferate and differentiate: at the periphery of the fracture the inner layer arranges a collar of bone by intramembranous ossification; nearer to the fracture site the cambium layer produces a mass of cartilage around the fracture location that, subsequently, undergoes to endochondral ossification</w:t>
      </w:r>
      <w:r w:rsidRPr="00266631">
        <w:rPr>
          <w:rFonts w:ascii="Book Antiqua" w:hAnsi="Book Antiqua"/>
          <w:vertAlign w:val="superscript"/>
          <w:lang w:val="en-GB"/>
        </w:rPr>
        <w:t>[69]</w:t>
      </w:r>
      <w:r w:rsidRPr="00266631">
        <w:rPr>
          <w:rFonts w:ascii="Book Antiqua" w:hAnsi="Book Antiqua"/>
          <w:lang w:val="en-GB"/>
        </w:rPr>
        <w:t>. Osteoblastic potential of periosteum differs not just with age but also by location:</w:t>
      </w:r>
      <w:r w:rsidR="00993921">
        <w:rPr>
          <w:rFonts w:ascii="Book Antiqua" w:hAnsi="Book Antiqua"/>
          <w:lang w:val="en-GB"/>
        </w:rPr>
        <w:t xml:space="preserve"> </w:t>
      </w:r>
      <w:r w:rsidRPr="00266631">
        <w:rPr>
          <w:rFonts w:ascii="Book Antiqua" w:hAnsi="Book Antiqua"/>
          <w:lang w:val="en-GB"/>
        </w:rPr>
        <w:t>calvaria periosteum showed less osteogenic potential than tibia ones</w:t>
      </w:r>
      <w:r w:rsidRPr="00266631">
        <w:rPr>
          <w:rFonts w:ascii="Book Antiqua" w:hAnsi="Book Antiqua"/>
          <w:vertAlign w:val="superscript"/>
          <w:lang w:val="en-GB"/>
        </w:rPr>
        <w:t>[29,70]</w:t>
      </w:r>
      <w:r w:rsidRPr="00266631">
        <w:rPr>
          <w:rFonts w:ascii="Book Antiqua" w:hAnsi="Book Antiqua"/>
          <w:lang w:val="en-GB"/>
        </w:rPr>
        <w:t xml:space="preserve">. </w:t>
      </w:r>
    </w:p>
    <w:p w:rsidR="00BE4FFC" w:rsidRPr="00266631" w:rsidRDefault="00BE4FFC" w:rsidP="0099088C">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Even though the use of periosteal autografts for the treatment of bone fractures is a well-established procedure</w:t>
      </w:r>
      <w:r w:rsidRPr="00266631">
        <w:rPr>
          <w:rFonts w:ascii="Book Antiqua" w:hAnsi="Book Antiqua"/>
          <w:vertAlign w:val="superscript"/>
          <w:lang w:val="en-GB"/>
        </w:rPr>
        <w:t>[21,51]</w:t>
      </w:r>
      <w:r w:rsidRPr="00266631">
        <w:rPr>
          <w:rFonts w:ascii="Book Antiqua" w:hAnsi="Book Antiqua"/>
          <w:lang w:val="en-GB"/>
        </w:rPr>
        <w:t>, only recently it was demonstrated that autologous periosteal precursor cells cultured on a 3D matrix are responsible to promote the healing of a distal femur atrophic non-union</w:t>
      </w:r>
      <w:r w:rsidRPr="00266631">
        <w:rPr>
          <w:rFonts w:ascii="Book Antiqua" w:hAnsi="Book Antiqua"/>
          <w:vertAlign w:val="superscript"/>
          <w:lang w:val="en-GB"/>
        </w:rPr>
        <w:t>[71]</w:t>
      </w:r>
      <w:r w:rsidR="00617A0B" w:rsidRPr="00266631">
        <w:rPr>
          <w:rFonts w:ascii="Book Antiqua" w:hAnsi="Book Antiqua"/>
          <w:lang w:val="en-GB"/>
        </w:rPr>
        <w:t>.</w:t>
      </w:r>
      <w:r w:rsidRPr="00266631">
        <w:rPr>
          <w:rFonts w:ascii="Book Antiqua" w:hAnsi="Book Antiqua"/>
          <w:lang w:val="en-GB"/>
        </w:rPr>
        <w:t xml:space="preserve"> Unfortunately, autografts are not always feasible, also due to donor-site morbidity, and alternatives have to be sought. Indeed, the use of allografts for the treatment of critical sized bone defects remains a challenge. Allografts avoid donor site pain and morbidity and fill the need for large volumes of graft materials</w:t>
      </w:r>
      <w:r w:rsidRPr="00266631">
        <w:rPr>
          <w:rFonts w:ascii="Book Antiqua" w:hAnsi="Book Antiqua"/>
          <w:vertAlign w:val="superscript"/>
          <w:lang w:val="en-GB"/>
        </w:rPr>
        <w:t>[7</w:t>
      </w:r>
      <w:r w:rsidR="00373218" w:rsidRPr="00266631">
        <w:rPr>
          <w:rFonts w:ascii="Book Antiqua" w:hAnsi="Book Antiqua"/>
          <w:vertAlign w:val="superscript"/>
          <w:lang w:val="en-GB"/>
        </w:rPr>
        <w:t>2</w:t>
      </w:r>
      <w:r w:rsidRPr="00266631">
        <w:rPr>
          <w:rFonts w:ascii="Book Antiqua" w:hAnsi="Book Antiqua"/>
          <w:vertAlign w:val="superscript"/>
          <w:lang w:val="en-GB"/>
        </w:rPr>
        <w:t>]</w:t>
      </w:r>
      <w:r w:rsidRPr="00266631">
        <w:rPr>
          <w:rFonts w:ascii="Book Antiqua" w:hAnsi="Book Antiqua"/>
          <w:lang w:val="en-GB"/>
        </w:rPr>
        <w:t>. Yet, clinical evidences showed that where periosteum orchestrates bone remodelling, allograft healing ability is lower if compared to autograft</w:t>
      </w:r>
      <w:r w:rsidRPr="00266631">
        <w:rPr>
          <w:rFonts w:ascii="Book Antiqua" w:hAnsi="Book Antiqua"/>
          <w:vertAlign w:val="superscript"/>
          <w:lang w:val="en-GB"/>
        </w:rPr>
        <w:t>[7</w:t>
      </w:r>
      <w:r w:rsidR="00373218" w:rsidRPr="00266631">
        <w:rPr>
          <w:rFonts w:ascii="Book Antiqua" w:hAnsi="Book Antiqua"/>
          <w:vertAlign w:val="superscript"/>
          <w:lang w:val="en-GB"/>
        </w:rPr>
        <w:t>3</w:t>
      </w:r>
      <w:r w:rsidRPr="00266631">
        <w:rPr>
          <w:rFonts w:ascii="Book Antiqua" w:hAnsi="Book Antiqua"/>
          <w:vertAlign w:val="superscript"/>
          <w:lang w:val="en-GB"/>
        </w:rPr>
        <w:t>]</w:t>
      </w:r>
      <w:r w:rsidRPr="00266631">
        <w:rPr>
          <w:rFonts w:ascii="Book Antiqua" w:hAnsi="Book Antiqua"/>
          <w:lang w:val="en-GB"/>
        </w:rPr>
        <w:t>: allografts exhibit minimal engraftment and a 60% failure rate 10-years-post-transplantation</w:t>
      </w:r>
      <w:r w:rsidRPr="00266631">
        <w:rPr>
          <w:rFonts w:ascii="Book Antiqua" w:hAnsi="Book Antiqua"/>
          <w:vertAlign w:val="superscript"/>
          <w:lang w:val="en-GB"/>
        </w:rPr>
        <w:t>[74,75]</w:t>
      </w:r>
      <w:r w:rsidRPr="00266631">
        <w:rPr>
          <w:rFonts w:ascii="Book Antiqua" w:hAnsi="Book Antiqua"/>
          <w:lang w:val="en-GB"/>
        </w:rPr>
        <w:t>.</w:t>
      </w:r>
    </w:p>
    <w:p w:rsidR="00BE4FFC" w:rsidRPr="00266631" w:rsidRDefault="00BE4FFC" w:rsidP="0099088C">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 xml:space="preserve">Alternatives to the use of native periosteum for critical size defects healing could be hence hypothesized. For instance, when periosteum contains too few PDPCs or has been </w:t>
      </w:r>
      <w:r w:rsidR="00617A0B" w:rsidRPr="00266631">
        <w:rPr>
          <w:rFonts w:ascii="Book Antiqua" w:hAnsi="Book Antiqua"/>
          <w:lang w:val="en-GB"/>
        </w:rPr>
        <w:t xml:space="preserve">damaged, it is possible to </w:t>
      </w:r>
      <w:r w:rsidRPr="00266631">
        <w:rPr>
          <w:rFonts w:ascii="Book Antiqua" w:hAnsi="Book Antiqua"/>
          <w:lang w:val="en-GB"/>
        </w:rPr>
        <w:t>create a tissue engineered periosteum (TEP)</w:t>
      </w:r>
      <w:r w:rsidRPr="00266631">
        <w:rPr>
          <w:rFonts w:ascii="Book Antiqua" w:hAnsi="Book Antiqua"/>
          <w:vertAlign w:val="superscript"/>
          <w:lang w:val="en-GB"/>
        </w:rPr>
        <w:t>[13]</w:t>
      </w:r>
      <w:r w:rsidRPr="00266631">
        <w:rPr>
          <w:rFonts w:ascii="Book Antiqua" w:hAnsi="Book Antiqua"/>
          <w:lang w:val="en-GB"/>
        </w:rPr>
        <w:t>. At present, few studies have well characterized TEP mechanical properties. Therefore, this approach is currently intended only for use in oral applications, where TEP would experience less mechanical strain than in a dynamically loaded environment (</w:t>
      </w:r>
      <w:r w:rsidRPr="00266631">
        <w:rPr>
          <w:rFonts w:ascii="Book Antiqua" w:hAnsi="Book Antiqua"/>
          <w:i/>
          <w:lang w:val="en-GB"/>
        </w:rPr>
        <w:t>i.e.,</w:t>
      </w:r>
      <w:r w:rsidR="00617A0B" w:rsidRPr="00266631">
        <w:rPr>
          <w:rFonts w:ascii="Book Antiqua" w:hAnsi="Book Antiqua"/>
          <w:lang w:val="en-GB"/>
        </w:rPr>
        <w:t xml:space="preserve"> </w:t>
      </w:r>
      <w:r w:rsidRPr="00266631">
        <w:rPr>
          <w:rFonts w:ascii="Book Antiqua" w:hAnsi="Book Antiqua"/>
          <w:lang w:val="en-GB"/>
        </w:rPr>
        <w:t>femur)</w:t>
      </w:r>
      <w:r w:rsidRPr="00266631">
        <w:rPr>
          <w:rFonts w:ascii="Book Antiqua" w:hAnsi="Book Antiqua"/>
          <w:vertAlign w:val="superscript"/>
          <w:lang w:val="en-GB"/>
        </w:rPr>
        <w:t>[13]</w:t>
      </w:r>
      <w:r w:rsidRPr="00266631">
        <w:rPr>
          <w:rFonts w:ascii="Book Antiqua" w:hAnsi="Book Antiqua"/>
          <w:lang w:val="en-GB"/>
        </w:rPr>
        <w:t xml:space="preserve">. </w:t>
      </w:r>
    </w:p>
    <w:p w:rsidR="00BE4FFC" w:rsidRPr="00266631" w:rsidRDefault="00BE4FFC" w:rsidP="0099088C">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 xml:space="preserve">It is been a long time since the need to realize constructs that reproduce the intrinsic properties of autogenous bone, by culturing PDPCs </w:t>
      </w:r>
      <w:r w:rsidRPr="00266631">
        <w:rPr>
          <w:rFonts w:ascii="Book Antiqua" w:hAnsi="Book Antiqua"/>
          <w:i/>
          <w:lang w:val="en-GB"/>
        </w:rPr>
        <w:t>ex-vivo</w:t>
      </w:r>
      <w:r w:rsidRPr="00266631">
        <w:rPr>
          <w:rFonts w:ascii="Book Antiqua" w:hAnsi="Book Antiqua"/>
          <w:lang w:val="en-GB"/>
        </w:rPr>
        <w:t xml:space="preserve"> and subsequently seeding into a natural or synthetic scaffold, has emerged</w:t>
      </w:r>
      <w:r w:rsidRPr="00266631">
        <w:rPr>
          <w:rFonts w:ascii="Book Antiqua" w:hAnsi="Book Antiqua"/>
          <w:vertAlign w:val="superscript"/>
          <w:lang w:val="en-GB"/>
        </w:rPr>
        <w:t>[3</w:t>
      </w:r>
      <w:r w:rsidR="009C6E77" w:rsidRPr="00266631">
        <w:rPr>
          <w:rFonts w:ascii="Book Antiqua" w:hAnsi="Book Antiqua"/>
          <w:vertAlign w:val="superscript"/>
          <w:lang w:val="en-GB"/>
        </w:rPr>
        <w:t>3</w:t>
      </w:r>
      <w:r w:rsidRPr="00266631">
        <w:rPr>
          <w:rFonts w:ascii="Book Antiqua" w:hAnsi="Book Antiqua"/>
          <w:vertAlign w:val="superscript"/>
          <w:lang w:val="en-GB"/>
        </w:rPr>
        <w:t>]</w:t>
      </w:r>
      <w:r w:rsidRPr="00266631">
        <w:rPr>
          <w:rFonts w:ascii="Book Antiqua" w:hAnsi="Book Antiqua"/>
          <w:lang w:val="en-GB"/>
        </w:rPr>
        <w:t xml:space="preserve">. The success of this approach is strictly related to the use of an appropriate material able to improve PDPC differentiation, with a </w:t>
      </w:r>
      <w:r w:rsidRPr="00266631">
        <w:rPr>
          <w:rFonts w:ascii="Book Antiqua" w:hAnsi="Book Antiqua"/>
          <w:lang w:val="en-GB"/>
        </w:rPr>
        <w:lastRenderedPageBreak/>
        <w:t>corrected structure/topography and able to provide adequate support for nutrients and growth factors</w:t>
      </w:r>
      <w:r w:rsidRPr="00266631">
        <w:rPr>
          <w:rFonts w:ascii="Book Antiqua" w:hAnsi="Book Antiqua"/>
          <w:vertAlign w:val="superscript"/>
          <w:lang w:val="en-GB"/>
        </w:rPr>
        <w:t>[2]</w:t>
      </w:r>
      <w:r w:rsidRPr="00266631">
        <w:rPr>
          <w:rFonts w:ascii="Book Antiqua" w:hAnsi="Book Antiqua"/>
          <w:lang w:val="en-GB"/>
        </w:rPr>
        <w:t xml:space="preserve"> (Figure 3). </w:t>
      </w:r>
    </w:p>
    <w:p w:rsidR="00BE4FFC" w:rsidRPr="00266631" w:rsidRDefault="00BE4FFC" w:rsidP="0099088C">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For the development of an engineered tissue, elucidating the steps that can enhance PDPC osteogenic differentiation is advantageous as well</w:t>
      </w:r>
      <w:r w:rsidRPr="00266631">
        <w:rPr>
          <w:rFonts w:ascii="Book Antiqua" w:hAnsi="Book Antiqua"/>
          <w:vertAlign w:val="superscript"/>
          <w:lang w:val="en-GB"/>
        </w:rPr>
        <w:t>[</w:t>
      </w:r>
      <w:r w:rsidR="00E20327" w:rsidRPr="00266631">
        <w:rPr>
          <w:rFonts w:ascii="Book Antiqua" w:hAnsi="Book Antiqua"/>
          <w:vertAlign w:val="superscript"/>
          <w:lang w:val="en-GB"/>
        </w:rPr>
        <w:t>76</w:t>
      </w:r>
      <w:r w:rsidRPr="00266631">
        <w:rPr>
          <w:rFonts w:ascii="Book Antiqua" w:hAnsi="Book Antiqua"/>
          <w:vertAlign w:val="superscript"/>
          <w:lang w:val="en-GB"/>
        </w:rPr>
        <w:t>]</w:t>
      </w:r>
      <w:r w:rsidRPr="00266631">
        <w:rPr>
          <w:rFonts w:ascii="Book Antiqua" w:hAnsi="Book Antiqua"/>
          <w:lang w:val="en-GB"/>
        </w:rPr>
        <w:t>.</w:t>
      </w:r>
      <w:r w:rsidRPr="00266631">
        <w:rPr>
          <w:rFonts w:ascii="Book Antiqua" w:hAnsi="Book Antiqua"/>
          <w:vertAlign w:val="superscript"/>
          <w:lang w:val="en-GB"/>
        </w:rPr>
        <w:t xml:space="preserve"> </w:t>
      </w:r>
      <w:r w:rsidRPr="00266631">
        <w:rPr>
          <w:rFonts w:ascii="Book Antiqua" w:hAnsi="Book Antiqua"/>
          <w:lang w:val="en-GB"/>
        </w:rPr>
        <w:t>In mesenchymal stromal cells this involves the following processes: cell proliferation, cell migration–aggregation and cell differentiation with the dynamic expression of osteogenic transcription and growth factors</w:t>
      </w:r>
      <w:r w:rsidRPr="00266631">
        <w:rPr>
          <w:rFonts w:ascii="Book Antiqua" w:hAnsi="Book Antiqua"/>
          <w:vertAlign w:val="superscript"/>
          <w:lang w:val="en-GB"/>
        </w:rPr>
        <w:t>[</w:t>
      </w:r>
      <w:r w:rsidR="00E20327" w:rsidRPr="00266631">
        <w:rPr>
          <w:rFonts w:ascii="Book Antiqua" w:hAnsi="Book Antiqua"/>
          <w:vertAlign w:val="superscript"/>
          <w:lang w:val="en-GB"/>
        </w:rPr>
        <w:t>77</w:t>
      </w:r>
      <w:r w:rsidRPr="00266631">
        <w:rPr>
          <w:rFonts w:ascii="Book Antiqua" w:hAnsi="Book Antiqua"/>
          <w:vertAlign w:val="superscript"/>
          <w:lang w:val="en-GB"/>
        </w:rPr>
        <w:t>]</w:t>
      </w:r>
      <w:r w:rsidRPr="00266631">
        <w:rPr>
          <w:rFonts w:ascii="Book Antiqua" w:hAnsi="Book Antiqua"/>
          <w:lang w:val="en-GB"/>
        </w:rPr>
        <w:t xml:space="preserve">. Moreover, early MSC osteogenic differentiation is characterized firstly by a proliferative burst, including the formation of nodule-like structures, accompanied by the expression of ALP. </w:t>
      </w:r>
    </w:p>
    <w:p w:rsidR="00BE4FFC" w:rsidRPr="00266631" w:rsidRDefault="00BE4FFC" w:rsidP="0099088C">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To replicate this differentiation profile, PDPC culture conditions reproducing these key events are required. It has been widely demonstrated that under osteogenic conditions, PDPCs express mRNAs for bone markers (</w:t>
      </w:r>
      <w:r w:rsidRPr="00266631">
        <w:rPr>
          <w:rFonts w:ascii="Book Antiqua" w:hAnsi="Book Antiqua"/>
          <w:i/>
          <w:lang w:val="en-GB"/>
        </w:rPr>
        <w:t>e.g.,</w:t>
      </w:r>
      <w:r w:rsidRPr="00266631">
        <w:rPr>
          <w:rFonts w:ascii="Book Antiqua" w:hAnsi="Book Antiqua"/>
          <w:lang w:val="en-GB"/>
        </w:rPr>
        <w:t xml:space="preserve"> collagen type I, osteopontin and osteocalcin), whilst in a chondrogenic environment they display chondrogenic markers such as collagen type II and aggrecan</w:t>
      </w:r>
      <w:r w:rsidRPr="00266631">
        <w:rPr>
          <w:rFonts w:ascii="Book Antiqua" w:hAnsi="Book Antiqua"/>
          <w:vertAlign w:val="superscript"/>
          <w:lang w:val="en-GB"/>
        </w:rPr>
        <w:t>[7</w:t>
      </w:r>
      <w:r w:rsidR="00E20327" w:rsidRPr="00266631">
        <w:rPr>
          <w:rFonts w:ascii="Book Antiqua" w:hAnsi="Book Antiqua"/>
          <w:vertAlign w:val="superscript"/>
          <w:lang w:val="en-GB"/>
        </w:rPr>
        <w:t>6</w:t>
      </w:r>
      <w:r w:rsidRPr="00266631">
        <w:rPr>
          <w:rFonts w:ascii="Book Antiqua" w:hAnsi="Book Antiqua"/>
          <w:vertAlign w:val="superscript"/>
          <w:lang w:val="en-GB"/>
        </w:rPr>
        <w:t>]</w:t>
      </w:r>
      <w:r w:rsidRPr="00266631">
        <w:rPr>
          <w:rFonts w:ascii="Book Antiqua" w:hAnsi="Book Antiqua"/>
          <w:lang w:val="en-GB"/>
        </w:rPr>
        <w:t>. Moreover, the addition of foetal bovine serum (FBS) and dexamethasone (Dex) to the culture media has a positive effects on osteocalcin and ALP expression, in the early differentiation stages</w:t>
      </w:r>
      <w:r w:rsidRPr="00266631">
        <w:rPr>
          <w:rFonts w:ascii="Book Antiqua" w:hAnsi="Book Antiqua"/>
          <w:vertAlign w:val="superscript"/>
          <w:lang w:val="en-GB"/>
        </w:rPr>
        <w:t>[78]</w:t>
      </w:r>
      <w:r w:rsidRPr="00266631">
        <w:rPr>
          <w:rFonts w:ascii="Book Antiqua" w:hAnsi="Book Antiqua"/>
          <w:lang w:val="en-GB"/>
        </w:rPr>
        <w:t>. For the expression of the main transcription factors governing osteogenesis and hence differentiation towards a mature osteoblast, the subsequent combination of trans-retinoic acid (atRA), FBS, Dex and BMP2 is required</w:t>
      </w:r>
      <w:r w:rsidRPr="00266631">
        <w:rPr>
          <w:rFonts w:ascii="Book Antiqua" w:hAnsi="Book Antiqua"/>
          <w:vertAlign w:val="superscript"/>
          <w:lang w:val="en-GB"/>
        </w:rPr>
        <w:t>[78]</w:t>
      </w:r>
      <w:r w:rsidRPr="00266631">
        <w:rPr>
          <w:rFonts w:ascii="Book Antiqua" w:hAnsi="Book Antiqua"/>
          <w:lang w:val="en-GB"/>
        </w:rPr>
        <w:t>. At last, also Vascular Endothelial Growth Factor (VEGF) plays a role in osteogenesis and it is express in human normal periosteum as well as in periosteum after fracture healing: the addition of VEGF to a basal culture medium enhance PDPC osteoblastic differentiation. That was corroborated by our results as well</w:t>
      </w:r>
      <w:r w:rsidRPr="00266631">
        <w:rPr>
          <w:rFonts w:ascii="Book Antiqua" w:hAnsi="Book Antiqua"/>
          <w:vertAlign w:val="superscript"/>
          <w:lang w:val="en-GB"/>
        </w:rPr>
        <w:t>[79]</w:t>
      </w:r>
      <w:r w:rsidRPr="00266631">
        <w:rPr>
          <w:rFonts w:ascii="Book Antiqua" w:hAnsi="Book Antiqua"/>
          <w:lang w:val="en-GB"/>
        </w:rPr>
        <w:t xml:space="preserve">. </w:t>
      </w:r>
    </w:p>
    <w:p w:rsidR="00BE4FFC" w:rsidRPr="00266631" w:rsidRDefault="00BE4FFC" w:rsidP="0099088C">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In bone tissue engineering approach, scaffolds are generally used as temporary substitutes of the original tissue after injury. As well-known, 3D scaffolds should be tolerated by the body, provide cell attachment, migration and proliferation, allow for biochemical signaling and possess a bone-like stiffness and degradation rate commensurate to bone healing</w:t>
      </w:r>
      <w:r w:rsidR="00617A0B" w:rsidRPr="00266631">
        <w:rPr>
          <w:rFonts w:ascii="Book Antiqua" w:hAnsi="Book Antiqua"/>
          <w:vertAlign w:val="superscript"/>
          <w:lang w:val="en-GB"/>
        </w:rPr>
        <w:t>[2,</w:t>
      </w:r>
      <w:r w:rsidRPr="00266631">
        <w:rPr>
          <w:rFonts w:ascii="Book Antiqua" w:hAnsi="Book Antiqua"/>
          <w:vertAlign w:val="superscript"/>
          <w:lang w:val="en-GB"/>
        </w:rPr>
        <w:t>8</w:t>
      </w:r>
      <w:r w:rsidR="00E20327" w:rsidRPr="00266631">
        <w:rPr>
          <w:rFonts w:ascii="Book Antiqua" w:hAnsi="Book Antiqua"/>
          <w:vertAlign w:val="superscript"/>
          <w:lang w:val="en-GB"/>
        </w:rPr>
        <w:t>0</w:t>
      </w:r>
      <w:r w:rsidRPr="00266631">
        <w:rPr>
          <w:rFonts w:ascii="Book Antiqua" w:hAnsi="Book Antiqua"/>
          <w:vertAlign w:val="superscript"/>
          <w:lang w:val="en-GB"/>
        </w:rPr>
        <w:t>]</w:t>
      </w:r>
      <w:r w:rsidRPr="00266631">
        <w:rPr>
          <w:rFonts w:ascii="Book Antiqua" w:hAnsi="Book Antiqua"/>
          <w:lang w:val="en-GB"/>
        </w:rPr>
        <w:t xml:space="preserve">. Canonical classification includes natural and synthetic scaffolds. Natural scaffolds such as chitosan, collagen, gelatine, fibrin glue and hyaluronic acid show several advantages, such as an ECM-like chemistry and structure, the presence of cell-adhesive sequences and a resorbability driven by enzymes, with the production of non-toxic easily excreted molecules. Natural materials are also often used as drug carries for their aptitude to retain growth factors that encourage cellular migration and </w:t>
      </w:r>
      <w:r w:rsidRPr="00266631">
        <w:rPr>
          <w:rFonts w:ascii="Book Antiqua" w:hAnsi="Book Antiqua"/>
          <w:lang w:val="en-GB"/>
        </w:rPr>
        <w:lastRenderedPageBreak/>
        <w:t>proliferation</w:t>
      </w:r>
      <w:r w:rsidRPr="00266631">
        <w:rPr>
          <w:rFonts w:ascii="Book Antiqua" w:hAnsi="Book Antiqua"/>
          <w:vertAlign w:val="superscript"/>
          <w:lang w:val="en-GB"/>
        </w:rPr>
        <w:t>[81]</w:t>
      </w:r>
      <w:r w:rsidRPr="00266631">
        <w:rPr>
          <w:rFonts w:ascii="Book Antiqua" w:hAnsi="Book Antiqua"/>
          <w:lang w:val="en-GB"/>
        </w:rPr>
        <w:t>. Drawbacks in their use include limited availability, low mechanical resistance and potential immunogenicity</w:t>
      </w:r>
      <w:r w:rsidRPr="00266631">
        <w:rPr>
          <w:rFonts w:ascii="Book Antiqua" w:hAnsi="Book Antiqua"/>
          <w:vertAlign w:val="superscript"/>
          <w:lang w:val="en-GB"/>
        </w:rPr>
        <w:t>[80]</w:t>
      </w:r>
      <w:r w:rsidRPr="00266631">
        <w:rPr>
          <w:rFonts w:ascii="Book Antiqua" w:hAnsi="Book Antiqua"/>
          <w:lang w:val="en-GB"/>
        </w:rPr>
        <w:t>. In this respect synthetic scaffolds display many advantages, encompassing easy modulation of chemical and mechanical properties, biodegradability and avoidance of infections or immunogenicity.</w:t>
      </w:r>
    </w:p>
    <w:p w:rsidR="00BE4FFC" w:rsidRPr="00266631" w:rsidRDefault="00BE4FFC" w:rsidP="0099088C">
      <w:pPr>
        <w:tabs>
          <w:tab w:val="left" w:pos="1710"/>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Hydroxyapatite or its analogues (including natural bone matrix) are the most popular inorganic components for bone replacement, due to their chemical similarity to the mineral component of mammalian bone</w:t>
      </w:r>
      <w:r w:rsidRPr="00266631">
        <w:rPr>
          <w:rFonts w:ascii="Book Antiqua" w:hAnsi="Book Antiqua"/>
          <w:vertAlign w:val="superscript"/>
          <w:lang w:val="en-GB"/>
        </w:rPr>
        <w:t>[80]</w:t>
      </w:r>
      <w:r w:rsidRPr="00266631">
        <w:rPr>
          <w:rFonts w:ascii="Book Antiqua" w:hAnsi="Book Antiqua"/>
          <w:lang w:val="en-GB"/>
        </w:rPr>
        <w:t>. Collagen/demineralised bone powder scaffold combined with PDPCs has been proposed as a potential tool for bone tissue engineering</w:t>
      </w:r>
      <w:r w:rsidRPr="00266631">
        <w:rPr>
          <w:rFonts w:ascii="Book Antiqua" w:hAnsi="Book Antiqua"/>
          <w:vertAlign w:val="superscript"/>
          <w:lang w:val="en-GB"/>
        </w:rPr>
        <w:t>[82]</w:t>
      </w:r>
      <w:r w:rsidRPr="00266631">
        <w:rPr>
          <w:rFonts w:ascii="Book Antiqua" w:hAnsi="Book Antiqua"/>
          <w:lang w:val="en-GB"/>
        </w:rPr>
        <w:t>. In our experience scaffolds with an increased amount of inorganic phase were able to modulate stem cells behaviour</w:t>
      </w:r>
      <w:r w:rsidRPr="00266631">
        <w:rPr>
          <w:rFonts w:ascii="Book Antiqua" w:hAnsi="Book Antiqua"/>
          <w:vertAlign w:val="superscript"/>
          <w:lang w:val="en-GB"/>
        </w:rPr>
        <w:t>[11]</w:t>
      </w:r>
      <w:r w:rsidRPr="00266631">
        <w:rPr>
          <w:rFonts w:ascii="Book Antiqua" w:hAnsi="Book Antiqua"/>
          <w:lang w:val="en-GB"/>
        </w:rPr>
        <w:t xml:space="preserve"> as well as periosteal-derived stem cells osteogenic properties</w:t>
      </w:r>
      <w:r w:rsidRPr="00266631">
        <w:rPr>
          <w:rFonts w:ascii="Book Antiqua" w:hAnsi="Book Antiqua"/>
          <w:vertAlign w:val="superscript"/>
          <w:lang w:val="en-GB"/>
        </w:rPr>
        <w:t>[8</w:t>
      </w:r>
      <w:r w:rsidR="002B1B97" w:rsidRPr="00266631">
        <w:rPr>
          <w:rFonts w:ascii="Book Antiqua" w:hAnsi="Book Antiqua"/>
          <w:vertAlign w:val="superscript"/>
          <w:lang w:val="en-GB"/>
        </w:rPr>
        <w:t>3</w:t>
      </w:r>
      <w:r w:rsidRPr="00266631">
        <w:rPr>
          <w:rFonts w:ascii="Book Antiqua" w:hAnsi="Book Antiqua"/>
          <w:vertAlign w:val="superscript"/>
          <w:lang w:val="en-GB"/>
        </w:rPr>
        <w:t>]</w:t>
      </w:r>
      <w:r w:rsidRPr="00266631">
        <w:rPr>
          <w:rFonts w:ascii="Book Antiqua" w:hAnsi="Book Antiqua"/>
          <w:lang w:val="en-GB"/>
        </w:rPr>
        <w:t>. The rationale for the use of Calcium Phosphate (CaP) biomaterials and the evaluation of their bone forming capacity in the presence of PDPCs has been recently summarized by Roberts</w:t>
      </w:r>
      <w:r w:rsidR="0099088C" w:rsidRPr="0099088C">
        <w:rPr>
          <w:rFonts w:ascii="Book Antiqua" w:hAnsi="Book Antiqua" w:hint="eastAsia"/>
          <w:i/>
          <w:lang w:val="en-GB" w:eastAsia="zh-CN"/>
        </w:rPr>
        <w:t xml:space="preserve"> et al</w:t>
      </w:r>
      <w:r w:rsidRPr="00266631">
        <w:rPr>
          <w:rFonts w:ascii="Book Antiqua" w:hAnsi="Book Antiqua"/>
          <w:vertAlign w:val="superscript"/>
          <w:lang w:val="en-GB"/>
        </w:rPr>
        <w:t>[8</w:t>
      </w:r>
      <w:r w:rsidR="002B1B97" w:rsidRPr="00266631">
        <w:rPr>
          <w:rFonts w:ascii="Book Antiqua" w:hAnsi="Book Antiqua"/>
          <w:vertAlign w:val="superscript"/>
          <w:lang w:val="en-GB"/>
        </w:rPr>
        <w:t>4</w:t>
      </w:r>
      <w:r w:rsidRPr="00266631">
        <w:rPr>
          <w:rFonts w:ascii="Book Antiqua" w:hAnsi="Book Antiqua"/>
          <w:vertAlign w:val="superscript"/>
          <w:lang w:val="en-GB"/>
        </w:rPr>
        <w:t>]</w:t>
      </w:r>
      <w:r w:rsidRPr="00266631">
        <w:rPr>
          <w:rFonts w:ascii="Book Antiqua" w:hAnsi="Book Antiqua"/>
          <w:lang w:val="en-GB"/>
        </w:rPr>
        <w:t xml:space="preserve">. </w:t>
      </w:r>
    </w:p>
    <w:p w:rsidR="00BE4FFC" w:rsidRPr="00266631" w:rsidRDefault="00BE4FFC" w:rsidP="0099088C">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Modern bone regenerative medicine strategies aim to “take lesson from Nature” in scaffold development. To this respect a chitosan-heparin coating acting as a synthetic periosteum was recently proposed for the improvement of bone allografts outcomes</w:t>
      </w:r>
      <w:r w:rsidRPr="00266631">
        <w:rPr>
          <w:rFonts w:ascii="Book Antiqua" w:hAnsi="Book Antiqua"/>
          <w:vertAlign w:val="superscript"/>
          <w:lang w:val="en-GB"/>
        </w:rPr>
        <w:t>[85]</w:t>
      </w:r>
      <w:r w:rsidRPr="00266631">
        <w:rPr>
          <w:rFonts w:ascii="Book Antiqua" w:hAnsi="Book Antiqua"/>
          <w:lang w:val="en-GB"/>
        </w:rPr>
        <w:t>. Several biomaterials, such as naturally derived acellular matrices, commercially available collagen-based sponges and synthetic polymers</w:t>
      </w:r>
      <w:r w:rsidRPr="00266631">
        <w:rPr>
          <w:rFonts w:ascii="Book Antiqua" w:hAnsi="Book Antiqua"/>
          <w:vertAlign w:val="superscript"/>
          <w:lang w:val="en-GB"/>
        </w:rPr>
        <w:t>[8</w:t>
      </w:r>
      <w:r w:rsidR="002B1B97" w:rsidRPr="00266631">
        <w:rPr>
          <w:rFonts w:ascii="Book Antiqua" w:hAnsi="Book Antiqua"/>
          <w:vertAlign w:val="superscript"/>
          <w:lang w:val="en-GB"/>
        </w:rPr>
        <w:t>6-88</w:t>
      </w:r>
      <w:r w:rsidRPr="00266631">
        <w:rPr>
          <w:rFonts w:ascii="Book Antiqua" w:hAnsi="Book Antiqua"/>
          <w:vertAlign w:val="superscript"/>
          <w:lang w:val="en-GB"/>
        </w:rPr>
        <w:t xml:space="preserve">] </w:t>
      </w:r>
      <w:r w:rsidRPr="00266631">
        <w:rPr>
          <w:rFonts w:ascii="Book Antiqua" w:hAnsi="Book Antiqua"/>
          <w:lang w:val="en-GB"/>
        </w:rPr>
        <w:t>have also been investigated as periosteum mimicking. These materials improve cell localization but show an inadequate cell survival</w:t>
      </w:r>
      <w:r w:rsidRPr="00266631">
        <w:rPr>
          <w:rFonts w:ascii="Book Antiqua" w:hAnsi="Book Antiqua"/>
          <w:vertAlign w:val="superscript"/>
          <w:lang w:val="en-GB"/>
        </w:rPr>
        <w:t>[86</w:t>
      </w:r>
      <w:r w:rsidR="002B1B97" w:rsidRPr="00266631">
        <w:rPr>
          <w:rFonts w:ascii="Book Antiqua" w:hAnsi="Book Antiqua"/>
          <w:vertAlign w:val="superscript"/>
          <w:lang w:val="en-GB"/>
        </w:rPr>
        <w:t>-</w:t>
      </w:r>
      <w:r w:rsidRPr="00266631">
        <w:rPr>
          <w:rFonts w:ascii="Book Antiqua" w:hAnsi="Book Antiqua"/>
          <w:vertAlign w:val="superscript"/>
          <w:lang w:val="en-GB"/>
        </w:rPr>
        <w:t>88]</w:t>
      </w:r>
      <w:r w:rsidRPr="00266631">
        <w:rPr>
          <w:rFonts w:ascii="Book Antiqua" w:hAnsi="Book Antiqua"/>
          <w:lang w:val="en-GB"/>
        </w:rPr>
        <w:t>. Instead, the use of hydrogels, which emulate mechanical properties and hydration of the native periosteum ECM, seems a promising approach. Hydrogels may be properly tailored for correct degradation, inclusion of biomolecules and cell-adhesion ligands in order to elicit a specific cell functions</w:t>
      </w:r>
      <w:r w:rsidRPr="00266631">
        <w:rPr>
          <w:rFonts w:ascii="Book Antiqua" w:hAnsi="Book Antiqua"/>
          <w:vertAlign w:val="superscript"/>
          <w:lang w:val="en-GB"/>
        </w:rPr>
        <w:t>[85]</w:t>
      </w:r>
      <w:r w:rsidRPr="00266631">
        <w:rPr>
          <w:rFonts w:ascii="Book Antiqua" w:hAnsi="Book Antiqua"/>
          <w:lang w:val="en-GB"/>
        </w:rPr>
        <w:t>. It has been shown that hydrogel-based tissue engineered periosteum enhance osteoblast progenitor cells infiltration, bone callus formation and allograft biomechanical stability</w:t>
      </w:r>
      <w:r w:rsidRPr="00266631">
        <w:rPr>
          <w:rFonts w:ascii="Book Antiqua" w:hAnsi="Book Antiqua"/>
          <w:vertAlign w:val="superscript"/>
          <w:lang w:val="en-GB"/>
        </w:rPr>
        <w:t>[72,73]</w:t>
      </w:r>
      <w:r w:rsidRPr="00266631">
        <w:rPr>
          <w:rFonts w:ascii="Book Antiqua" w:hAnsi="Book Antiqua"/>
          <w:lang w:val="en-GB"/>
        </w:rPr>
        <w:t xml:space="preserve">. </w:t>
      </w:r>
    </w:p>
    <w:p w:rsidR="00BE4FFC" w:rsidRPr="00266631" w:rsidRDefault="00BE4FFC" w:rsidP="0099088C">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Besides, peculiar surgical techniques have been used as a tool for mimicking</w:t>
      </w:r>
      <w:r w:rsidR="00993921">
        <w:rPr>
          <w:rFonts w:ascii="Book Antiqua" w:hAnsi="Book Antiqua"/>
          <w:lang w:val="en-GB"/>
        </w:rPr>
        <w:t xml:space="preserve"> </w:t>
      </w:r>
      <w:r w:rsidRPr="00266631">
        <w:rPr>
          <w:rFonts w:ascii="Book Antiqua" w:hAnsi="Book Antiqua"/>
          <w:lang w:val="en-GB"/>
        </w:rPr>
        <w:t>periosteum. Since 1986 Masquelet</w:t>
      </w:r>
      <w:r w:rsidRPr="00266631">
        <w:rPr>
          <w:rFonts w:ascii="Book Antiqua" w:hAnsi="Book Antiqua"/>
          <w:vertAlign w:val="superscript"/>
          <w:lang w:val="en-GB"/>
        </w:rPr>
        <w:t>[8</w:t>
      </w:r>
      <w:r w:rsidR="002B1B97" w:rsidRPr="00266631">
        <w:rPr>
          <w:rFonts w:ascii="Book Antiqua" w:hAnsi="Book Antiqua"/>
          <w:vertAlign w:val="superscript"/>
          <w:lang w:val="en-GB"/>
        </w:rPr>
        <w:t>9</w:t>
      </w:r>
      <w:r w:rsidRPr="00266631">
        <w:rPr>
          <w:rFonts w:ascii="Book Antiqua" w:hAnsi="Book Antiqua"/>
          <w:vertAlign w:val="superscript"/>
          <w:lang w:val="en-GB"/>
        </w:rPr>
        <w:t>]</w:t>
      </w:r>
      <w:r w:rsidRPr="00266631">
        <w:rPr>
          <w:rFonts w:ascii="Book Antiqua" w:hAnsi="Book Antiqua"/>
          <w:lang w:val="en-GB"/>
        </w:rPr>
        <w:t xml:space="preserve"> developed a simple method to reconstruct long bone defects based on the insertion of a cement spacer that maintains the space for bone reconstruction and promotes the formation of a synovium-like membrane. This induced membrane (IM) prevents the graft resorption and favours its re-vascularization. Moreover, the membrane acts as an </w:t>
      </w:r>
      <w:r w:rsidRPr="00266631">
        <w:rPr>
          <w:rFonts w:ascii="Book Antiqua" w:hAnsi="Book Antiqua"/>
          <w:i/>
          <w:lang w:val="en-GB"/>
        </w:rPr>
        <w:t>in situ</w:t>
      </w:r>
      <w:r w:rsidRPr="00266631">
        <w:rPr>
          <w:rFonts w:ascii="Book Antiqua" w:hAnsi="Book Antiqua"/>
          <w:lang w:val="en-GB"/>
        </w:rPr>
        <w:t xml:space="preserve"> growth factors delivery system, which is capable of enhancing bone graft healing</w:t>
      </w:r>
      <w:r w:rsidRPr="00266631">
        <w:rPr>
          <w:rFonts w:ascii="Book Antiqua" w:hAnsi="Book Antiqua"/>
          <w:vertAlign w:val="superscript"/>
          <w:lang w:val="en-GB"/>
        </w:rPr>
        <w:t>[8</w:t>
      </w:r>
      <w:r w:rsidR="002B1B97" w:rsidRPr="00266631">
        <w:rPr>
          <w:rFonts w:ascii="Book Antiqua" w:hAnsi="Book Antiqua"/>
          <w:vertAlign w:val="superscript"/>
          <w:lang w:val="en-GB"/>
        </w:rPr>
        <w:t>9</w:t>
      </w:r>
      <w:r w:rsidRPr="00266631">
        <w:rPr>
          <w:rFonts w:ascii="Book Antiqua" w:hAnsi="Book Antiqua"/>
          <w:vertAlign w:val="superscript"/>
          <w:lang w:val="en-GB"/>
        </w:rPr>
        <w:t>]</w:t>
      </w:r>
      <w:r w:rsidRPr="00266631">
        <w:rPr>
          <w:rFonts w:ascii="Book Antiqua" w:hAnsi="Book Antiqua"/>
          <w:lang w:val="en-GB"/>
        </w:rPr>
        <w:t xml:space="preserve">. </w:t>
      </w:r>
    </w:p>
    <w:p w:rsidR="00BE4FFC" w:rsidRPr="00266631" w:rsidRDefault="00BE4FFC" w:rsidP="00993921">
      <w:pPr>
        <w:spacing w:line="360" w:lineRule="auto"/>
        <w:jc w:val="both"/>
        <w:rPr>
          <w:rFonts w:ascii="Book Antiqua" w:hAnsi="Book Antiqua"/>
          <w:lang w:val="en-GB" w:eastAsia="zh-CN"/>
        </w:rPr>
      </w:pPr>
      <w:r w:rsidRPr="00266631">
        <w:rPr>
          <w:rFonts w:ascii="Book Antiqua" w:hAnsi="Book Antiqua"/>
          <w:lang w:val="en-GB"/>
        </w:rPr>
        <w:lastRenderedPageBreak/>
        <w:t>Recently, Cuthbert</w:t>
      </w:r>
      <w:r w:rsidRPr="00266631">
        <w:rPr>
          <w:rFonts w:ascii="Book Antiqua" w:hAnsi="Book Antiqua"/>
          <w:i/>
          <w:lang w:val="en-GB"/>
        </w:rPr>
        <w:t>et al</w:t>
      </w:r>
      <w:r w:rsidR="00D846FF" w:rsidRPr="00266631">
        <w:rPr>
          <w:rFonts w:ascii="Book Antiqua" w:hAnsi="Book Antiqua"/>
          <w:vertAlign w:val="superscript"/>
          <w:lang w:val="en-GB"/>
        </w:rPr>
        <w:t>[90]</w:t>
      </w:r>
      <w:r w:rsidRPr="00266631">
        <w:rPr>
          <w:rFonts w:ascii="Book Antiqua" w:hAnsi="Book Antiqua"/>
          <w:lang w:val="en-GB"/>
        </w:rPr>
        <w:t xml:space="preserve"> investigated the morphology, molecular properties and gene expression pattern of IMs from patients undergoing large bone defects surgery, showing that IMs share strong architectural similarities, vascular features and growth factor expression of periosteum</w:t>
      </w:r>
      <w:r w:rsidRPr="00266631">
        <w:rPr>
          <w:rFonts w:ascii="Book Antiqua" w:hAnsi="Book Antiqua"/>
          <w:vertAlign w:val="superscript"/>
          <w:lang w:val="en-GB"/>
        </w:rPr>
        <w:t>[</w:t>
      </w:r>
      <w:r w:rsidR="002B1B97" w:rsidRPr="00266631">
        <w:rPr>
          <w:rFonts w:ascii="Book Antiqua" w:hAnsi="Book Antiqua"/>
          <w:vertAlign w:val="superscript"/>
          <w:lang w:val="en-GB"/>
        </w:rPr>
        <w:t>90</w:t>
      </w:r>
      <w:r w:rsidRPr="00266631">
        <w:rPr>
          <w:rFonts w:ascii="Book Antiqua" w:hAnsi="Book Antiqua"/>
          <w:vertAlign w:val="superscript"/>
          <w:lang w:val="en-GB"/>
        </w:rPr>
        <w:t>]</w:t>
      </w:r>
      <w:r w:rsidRPr="00266631">
        <w:rPr>
          <w:rFonts w:ascii="Book Antiqua" w:hAnsi="Book Antiqua"/>
          <w:lang w:val="en-GB"/>
        </w:rPr>
        <w:t>. Moreover, cells expanded from IMs revealed a mRNA profile similar to PDPCs</w:t>
      </w:r>
      <w:r w:rsidRPr="00266631">
        <w:rPr>
          <w:rFonts w:ascii="Book Antiqua" w:hAnsi="Book Antiqua"/>
          <w:vertAlign w:val="superscript"/>
          <w:lang w:val="en-GB"/>
        </w:rPr>
        <w:t>[9</w:t>
      </w:r>
      <w:r w:rsidR="002B1B97" w:rsidRPr="00266631">
        <w:rPr>
          <w:rFonts w:ascii="Book Antiqua" w:hAnsi="Book Antiqua"/>
          <w:vertAlign w:val="superscript"/>
          <w:lang w:val="en-GB"/>
        </w:rPr>
        <w:t>0</w:t>
      </w:r>
      <w:r w:rsidRPr="00266631">
        <w:rPr>
          <w:rFonts w:ascii="Book Antiqua" w:hAnsi="Book Antiqua"/>
          <w:vertAlign w:val="superscript"/>
          <w:lang w:val="en-GB"/>
        </w:rPr>
        <w:t>]</w:t>
      </w:r>
      <w:r w:rsidRPr="00266631">
        <w:rPr>
          <w:rFonts w:ascii="Book Antiqua" w:hAnsi="Book Antiqua"/>
          <w:lang w:val="en-GB"/>
        </w:rPr>
        <w:t xml:space="preserve">. Cuthbert </w:t>
      </w:r>
      <w:r w:rsidR="00993921" w:rsidRPr="00993921">
        <w:rPr>
          <w:rFonts w:ascii="Book Antiqua" w:hAnsi="Book Antiqua" w:hint="eastAsia"/>
          <w:i/>
          <w:lang w:val="en-GB" w:eastAsia="zh-CN"/>
        </w:rPr>
        <w:t>et al</w:t>
      </w:r>
      <w:r w:rsidR="00993921" w:rsidRPr="00266631">
        <w:rPr>
          <w:rFonts w:ascii="Book Antiqua" w:hAnsi="Book Antiqua"/>
          <w:vertAlign w:val="superscript"/>
          <w:lang w:val="en-GB"/>
        </w:rPr>
        <w:t>[90]</w:t>
      </w:r>
      <w:r w:rsidRPr="00266631">
        <w:rPr>
          <w:rFonts w:ascii="Book Antiqua" w:hAnsi="Book Antiqua"/>
          <w:lang w:val="en-GB"/>
        </w:rPr>
        <w:t xml:space="preserve"> thus, provided evidences that the IM technique generates a dynamic periosteum-like structure, offering important insights into new bone regeneration approaches. Nevertheless, further studies are required to establish if this surgical technique could be suitable for all bone regeneration applications despite of the nature of disease, the lesion site and the patient-related features.</w:t>
      </w:r>
    </w:p>
    <w:p w:rsidR="00BE4FFC" w:rsidRPr="00993921" w:rsidRDefault="00BE4FFC" w:rsidP="00DE3756">
      <w:pPr>
        <w:tabs>
          <w:tab w:val="left" w:pos="7088"/>
        </w:tabs>
        <w:spacing w:line="360" w:lineRule="auto"/>
        <w:jc w:val="both"/>
        <w:rPr>
          <w:rFonts w:ascii="Book Antiqua" w:hAnsi="Book Antiqua"/>
          <w:i/>
          <w:lang w:val="en-GB"/>
        </w:rPr>
      </w:pPr>
    </w:p>
    <w:p w:rsidR="00BE4FFC" w:rsidRPr="00993921" w:rsidRDefault="00BE4FFC" w:rsidP="00DE3756">
      <w:pPr>
        <w:tabs>
          <w:tab w:val="left" w:pos="7088"/>
        </w:tabs>
        <w:spacing w:line="360" w:lineRule="auto"/>
        <w:jc w:val="both"/>
        <w:rPr>
          <w:rFonts w:ascii="Book Antiqua" w:hAnsi="Book Antiqua"/>
          <w:b/>
          <w:caps/>
          <w:lang w:val="en-GB"/>
        </w:rPr>
      </w:pPr>
      <w:r w:rsidRPr="00993921">
        <w:rPr>
          <w:rFonts w:ascii="Book Antiqua" w:hAnsi="Book Antiqua"/>
          <w:b/>
          <w:caps/>
          <w:lang w:val="en-GB"/>
        </w:rPr>
        <w:t>PDPCs in oral and maxillofacial tissue engineering</w:t>
      </w:r>
    </w:p>
    <w:p w:rsidR="00BE4FFC" w:rsidRPr="00266631" w:rsidRDefault="00BE4FFC" w:rsidP="00DE3756">
      <w:pPr>
        <w:tabs>
          <w:tab w:val="left" w:pos="7088"/>
        </w:tabs>
        <w:spacing w:line="360" w:lineRule="auto"/>
        <w:jc w:val="both"/>
        <w:rPr>
          <w:rFonts w:ascii="Book Antiqua" w:hAnsi="Book Antiqua"/>
          <w:lang w:val="en-GB"/>
        </w:rPr>
      </w:pPr>
      <w:r w:rsidRPr="00266631">
        <w:rPr>
          <w:rFonts w:ascii="Book Antiqua" w:hAnsi="Book Antiqua"/>
          <w:lang w:val="en-GB"/>
        </w:rPr>
        <w:t>Periosteum has found great use in enhancing bone formation in the field of dentistry and maxillofacial reconstruction</w:t>
      </w:r>
      <w:r w:rsidR="002B1B97" w:rsidRPr="00266631">
        <w:rPr>
          <w:rFonts w:ascii="Book Antiqua" w:hAnsi="Book Antiqua"/>
          <w:vertAlign w:val="superscript"/>
          <w:lang w:val="en-GB"/>
        </w:rPr>
        <w:t>[</w:t>
      </w:r>
      <w:r w:rsidRPr="00266631">
        <w:rPr>
          <w:rFonts w:ascii="Book Antiqua" w:hAnsi="Book Antiqua"/>
          <w:vertAlign w:val="superscript"/>
          <w:lang w:val="en-GB"/>
        </w:rPr>
        <w:t>91</w:t>
      </w:r>
      <w:r w:rsidR="002B1B97" w:rsidRPr="00266631">
        <w:rPr>
          <w:rFonts w:ascii="Book Antiqua" w:hAnsi="Book Antiqua"/>
          <w:vertAlign w:val="superscript"/>
          <w:lang w:val="en-GB"/>
        </w:rPr>
        <w:t>,92</w:t>
      </w:r>
      <w:r w:rsidRPr="00266631">
        <w:rPr>
          <w:rFonts w:ascii="Book Antiqua" w:hAnsi="Book Antiqua"/>
          <w:vertAlign w:val="superscript"/>
          <w:lang w:val="en-GB"/>
        </w:rPr>
        <w:t>]</w:t>
      </w:r>
      <w:r w:rsidRPr="00266631">
        <w:rPr>
          <w:rFonts w:ascii="Book Antiqua" w:hAnsi="Book Antiqua"/>
          <w:lang w:val="en-GB"/>
        </w:rPr>
        <w:t>. Even though human jaw periosteal cells (JPC) are a promising source for the engineering of cell-based osseoinductive grafts in oral surgery</w:t>
      </w:r>
      <w:r w:rsidRPr="00266631">
        <w:rPr>
          <w:rFonts w:ascii="Book Antiqua" w:hAnsi="Book Antiqua"/>
          <w:vertAlign w:val="superscript"/>
          <w:lang w:val="en-GB"/>
        </w:rPr>
        <w:t>[9</w:t>
      </w:r>
      <w:r w:rsidR="002B1B97" w:rsidRPr="00266631">
        <w:rPr>
          <w:rFonts w:ascii="Book Antiqua" w:hAnsi="Book Antiqua"/>
          <w:vertAlign w:val="superscript"/>
          <w:lang w:val="en-GB"/>
        </w:rPr>
        <w:t>3</w:t>
      </w:r>
      <w:r w:rsidRPr="00266631">
        <w:rPr>
          <w:rFonts w:ascii="Book Antiqua" w:hAnsi="Book Antiqua"/>
          <w:vertAlign w:val="superscript"/>
          <w:lang w:val="en-GB"/>
        </w:rPr>
        <w:t>]</w:t>
      </w:r>
      <w:r w:rsidRPr="00266631">
        <w:rPr>
          <w:rFonts w:ascii="Book Antiqua" w:hAnsi="Book Antiqua"/>
          <w:lang w:val="en-GB"/>
        </w:rPr>
        <w:t>, their harvesting and subsequent characterization is not particularly easy. Specific surface markers can facilitate the isolation of a cell pure population, while an accurate analysis of the gene expression profile can allow a det</w:t>
      </w:r>
      <w:r w:rsidR="00993921">
        <w:rPr>
          <w:rFonts w:ascii="Book Antiqua" w:hAnsi="Book Antiqua"/>
          <w:lang w:val="en-GB"/>
        </w:rPr>
        <w:t>ailed comprehension of the JPCs</w:t>
      </w:r>
      <w:r w:rsidRPr="00266631">
        <w:rPr>
          <w:rFonts w:ascii="Book Antiqua" w:hAnsi="Book Antiqua"/>
          <w:lang w:val="en-GB"/>
        </w:rPr>
        <w:t>.</w:t>
      </w:r>
    </w:p>
    <w:p w:rsidR="00BE4FFC" w:rsidRPr="00266631" w:rsidRDefault="00BE4FFC" w:rsidP="00993921">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In the last years, several markers have been suggested to enrich the osteogenic progenitor cell fraction from the entire JPCs population. Among these, particular attention has received mesenchymal stem cell antigen-1(MSCA-1) and CD 166. MSCA-1</w:t>
      </w:r>
      <w:r w:rsidRPr="00266631">
        <w:rPr>
          <w:rFonts w:ascii="Book Antiqua" w:hAnsi="Book Antiqua"/>
          <w:vertAlign w:val="superscript"/>
          <w:lang w:val="en-GB"/>
        </w:rPr>
        <w:t xml:space="preserve">+ </w:t>
      </w:r>
      <w:r w:rsidRPr="00266631">
        <w:rPr>
          <w:rFonts w:ascii="Book Antiqua" w:hAnsi="Book Antiqua"/>
          <w:lang w:val="en-GB"/>
        </w:rPr>
        <w:t>enriched JPCs have an higher osteogenic potential compared with MSCA-1, as well as CD166</w:t>
      </w:r>
      <w:r w:rsidRPr="00266631">
        <w:rPr>
          <w:rFonts w:ascii="Book Antiqua" w:hAnsi="Book Antiqua"/>
          <w:vertAlign w:val="superscript"/>
          <w:lang w:val="en-GB"/>
        </w:rPr>
        <w:t xml:space="preserve">+ </w:t>
      </w:r>
      <w:r w:rsidRPr="00266631">
        <w:rPr>
          <w:rFonts w:ascii="Book Antiqua" w:hAnsi="Book Antiqua"/>
          <w:lang w:val="en-GB"/>
        </w:rPr>
        <w:t>respect to CD166</w:t>
      </w:r>
      <w:r w:rsidRPr="00266631">
        <w:rPr>
          <w:rFonts w:ascii="Book Antiqua" w:hAnsi="Book Antiqua"/>
          <w:vertAlign w:val="superscript"/>
          <w:lang w:val="en-GB"/>
        </w:rPr>
        <w:t>--[9</w:t>
      </w:r>
      <w:r w:rsidR="002B1B97" w:rsidRPr="00266631">
        <w:rPr>
          <w:rFonts w:ascii="Book Antiqua" w:hAnsi="Book Antiqua"/>
          <w:vertAlign w:val="superscript"/>
          <w:lang w:val="en-GB"/>
        </w:rPr>
        <w:t>3</w:t>
      </w:r>
      <w:r w:rsidRPr="00266631">
        <w:rPr>
          <w:rFonts w:ascii="Book Antiqua" w:hAnsi="Book Antiqua"/>
          <w:vertAlign w:val="superscript"/>
          <w:lang w:val="en-GB"/>
        </w:rPr>
        <w:t>]</w:t>
      </w:r>
      <w:r w:rsidRPr="00266631">
        <w:rPr>
          <w:rFonts w:ascii="Book Antiqua" w:hAnsi="Book Antiqua"/>
          <w:lang w:val="en-GB"/>
        </w:rPr>
        <w:t>.</w:t>
      </w:r>
      <w:r w:rsidRPr="00266631">
        <w:rPr>
          <w:rFonts w:ascii="Book Antiqua" w:hAnsi="Book Antiqua"/>
          <w:vertAlign w:val="superscript"/>
          <w:lang w:val="en-GB"/>
        </w:rPr>
        <w:t xml:space="preserve"> </w:t>
      </w:r>
      <w:r w:rsidRPr="00266631">
        <w:rPr>
          <w:rFonts w:ascii="Book Antiqua" w:hAnsi="Book Antiqua"/>
          <w:lang w:val="en-GB"/>
        </w:rPr>
        <w:t>Magnetic-Activated Cell Sorting (MACS) isolation technology was also recommended for increasing recovery and purity</w:t>
      </w:r>
      <w:r w:rsidRPr="00266631" w:rsidDel="00953B95">
        <w:rPr>
          <w:rFonts w:ascii="Book Antiqua" w:hAnsi="Book Antiqua"/>
          <w:lang w:val="en-GB"/>
        </w:rPr>
        <w:t xml:space="preserve"> </w:t>
      </w:r>
      <w:r w:rsidRPr="00266631">
        <w:rPr>
          <w:rFonts w:ascii="Book Antiqua" w:hAnsi="Book Antiqua"/>
          <w:lang w:val="en-GB"/>
        </w:rPr>
        <w:t>of rare MSCA-1</w:t>
      </w:r>
      <w:r w:rsidRPr="00266631">
        <w:rPr>
          <w:rFonts w:ascii="Book Antiqua" w:hAnsi="Book Antiqua"/>
          <w:vertAlign w:val="superscript"/>
          <w:lang w:val="en-GB"/>
        </w:rPr>
        <w:t>+</w:t>
      </w:r>
      <w:r w:rsidRPr="00266631">
        <w:rPr>
          <w:rFonts w:ascii="Book Antiqua" w:hAnsi="Book Antiqua"/>
          <w:lang w:val="en-GB"/>
        </w:rPr>
        <w:t>cells from jaw periosteum</w:t>
      </w:r>
      <w:r w:rsidRPr="00266631">
        <w:rPr>
          <w:rFonts w:ascii="Book Antiqua" w:hAnsi="Book Antiqua"/>
          <w:vertAlign w:val="superscript"/>
          <w:lang w:val="en-GB"/>
        </w:rPr>
        <w:t>[9</w:t>
      </w:r>
      <w:r w:rsidR="002B1B97" w:rsidRPr="00266631">
        <w:rPr>
          <w:rFonts w:ascii="Book Antiqua" w:hAnsi="Book Antiqua"/>
          <w:vertAlign w:val="superscript"/>
          <w:lang w:val="en-GB"/>
        </w:rPr>
        <w:t>3</w:t>
      </w:r>
      <w:r w:rsidRPr="00266631">
        <w:rPr>
          <w:rFonts w:ascii="Book Antiqua" w:hAnsi="Book Antiqua"/>
          <w:vertAlign w:val="superscript"/>
          <w:lang w:val="en-GB"/>
        </w:rPr>
        <w:t>]</w:t>
      </w:r>
      <w:r w:rsidRPr="00266631">
        <w:rPr>
          <w:rFonts w:ascii="Book Antiqua" w:hAnsi="Book Antiqua"/>
          <w:lang w:val="en-GB"/>
        </w:rPr>
        <w:t xml:space="preserve">. </w:t>
      </w:r>
    </w:p>
    <w:p w:rsidR="00BE4FFC" w:rsidRPr="00266631" w:rsidRDefault="00BE4FFC" w:rsidP="00993921">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The high osteogenic potential of MSCA-1</w:t>
      </w:r>
      <w:r w:rsidRPr="00266631">
        <w:rPr>
          <w:rFonts w:ascii="Book Antiqua" w:hAnsi="Book Antiqua"/>
          <w:vertAlign w:val="superscript"/>
          <w:lang w:val="en-GB"/>
        </w:rPr>
        <w:t xml:space="preserve">+ </w:t>
      </w:r>
      <w:r w:rsidRPr="00266631">
        <w:rPr>
          <w:rFonts w:ascii="Book Antiqua" w:hAnsi="Book Antiqua"/>
          <w:lang w:val="en-GB"/>
        </w:rPr>
        <w:t>cell fraction is strictly related to the expression of specific markers, such as lipoprotein receptor-related protein 6 (LRP-6), a key component of the WNT receptor complex. MSCA-1</w:t>
      </w:r>
      <w:r w:rsidRPr="00266631">
        <w:rPr>
          <w:rFonts w:ascii="Book Antiqua" w:hAnsi="Book Antiqua"/>
          <w:vertAlign w:val="superscript"/>
          <w:lang w:val="en-GB"/>
        </w:rPr>
        <w:t>+</w:t>
      </w:r>
      <w:r w:rsidRPr="00266631">
        <w:rPr>
          <w:rFonts w:ascii="Book Antiqua" w:hAnsi="Book Antiqua"/>
          <w:lang w:val="en-GB"/>
        </w:rPr>
        <w:t>/LRP-6</w:t>
      </w:r>
      <w:r w:rsidRPr="00266631">
        <w:rPr>
          <w:rFonts w:ascii="Book Antiqua" w:hAnsi="Book Antiqua"/>
          <w:vertAlign w:val="superscript"/>
          <w:lang w:val="en-GB"/>
        </w:rPr>
        <w:t xml:space="preserve">+ </w:t>
      </w:r>
      <w:r w:rsidRPr="00266631">
        <w:rPr>
          <w:rFonts w:ascii="Book Antiqua" w:hAnsi="Book Antiqua"/>
          <w:lang w:val="en-GB"/>
        </w:rPr>
        <w:t>also induce an high expression of stanniocalcin 1 (STC-1) and of tissue inhibitor of metalloproteinases-4 (TIMP-4)</w:t>
      </w:r>
      <w:r w:rsidRPr="00266631">
        <w:rPr>
          <w:rFonts w:ascii="Book Antiqua" w:hAnsi="Book Antiqua"/>
          <w:vertAlign w:val="superscript"/>
          <w:lang w:val="en-GB"/>
        </w:rPr>
        <w:t>[9</w:t>
      </w:r>
      <w:r w:rsidR="002B1B97" w:rsidRPr="00266631">
        <w:rPr>
          <w:rFonts w:ascii="Book Antiqua" w:hAnsi="Book Antiqua"/>
          <w:vertAlign w:val="superscript"/>
          <w:lang w:val="en-GB"/>
        </w:rPr>
        <w:t>3</w:t>
      </w:r>
      <w:r w:rsidRPr="00266631">
        <w:rPr>
          <w:rFonts w:ascii="Book Antiqua" w:hAnsi="Book Antiqua"/>
          <w:vertAlign w:val="superscript"/>
          <w:lang w:val="en-GB"/>
        </w:rPr>
        <w:t>]</w:t>
      </w:r>
      <w:r w:rsidRPr="00266631">
        <w:rPr>
          <w:rFonts w:ascii="Book Antiqua" w:hAnsi="Book Antiqua"/>
          <w:lang w:val="en-GB"/>
        </w:rPr>
        <w:t>. STC-1 is involved in endochondral and intramembranous bone formation while TIMP-4 is tangled in ECM remodelling during JPCs osteogenesis</w:t>
      </w:r>
      <w:r w:rsidRPr="00266631">
        <w:rPr>
          <w:rFonts w:ascii="Book Antiqua" w:hAnsi="Book Antiqua"/>
          <w:vertAlign w:val="superscript"/>
          <w:lang w:val="en-GB"/>
        </w:rPr>
        <w:t>[9</w:t>
      </w:r>
      <w:r w:rsidR="002B1B97" w:rsidRPr="00266631">
        <w:rPr>
          <w:rFonts w:ascii="Book Antiqua" w:hAnsi="Book Antiqua"/>
          <w:vertAlign w:val="superscript"/>
          <w:lang w:val="en-GB"/>
        </w:rPr>
        <w:t>3</w:t>
      </w:r>
      <w:r w:rsidRPr="00266631">
        <w:rPr>
          <w:rFonts w:ascii="Book Antiqua" w:hAnsi="Book Antiqua"/>
          <w:vertAlign w:val="superscript"/>
          <w:lang w:val="en-GB"/>
        </w:rPr>
        <w:t>]</w:t>
      </w:r>
      <w:r w:rsidRPr="00266631">
        <w:rPr>
          <w:rFonts w:ascii="Book Antiqua" w:hAnsi="Book Antiqua"/>
          <w:lang w:val="en-GB"/>
        </w:rPr>
        <w:t>.</w:t>
      </w:r>
    </w:p>
    <w:p w:rsidR="00BE4FFC" w:rsidRPr="00266631" w:rsidRDefault="00BE4FFC" w:rsidP="00993921">
      <w:pPr>
        <w:tabs>
          <w:tab w:val="left" w:pos="7088"/>
        </w:tabs>
        <w:spacing w:line="360" w:lineRule="auto"/>
        <w:ind w:firstLineChars="200" w:firstLine="480"/>
        <w:jc w:val="both"/>
        <w:rPr>
          <w:rFonts w:ascii="Book Antiqua" w:hAnsi="Book Antiqua"/>
          <w:lang w:val="en-GB"/>
        </w:rPr>
      </w:pPr>
      <w:r w:rsidRPr="00266631">
        <w:rPr>
          <w:rFonts w:ascii="Book Antiqua" w:hAnsi="Book Antiqua"/>
          <w:lang w:val="en-GB"/>
        </w:rPr>
        <w:t>In spite of PDPCs derived from periosteum, other sources of stem cells such as dental pulp</w:t>
      </w:r>
      <w:r w:rsidR="002B1B97" w:rsidRPr="00266631">
        <w:rPr>
          <w:rFonts w:ascii="Book Antiqua" w:hAnsi="Book Antiqua"/>
          <w:vertAlign w:val="superscript"/>
          <w:lang w:val="en-GB"/>
        </w:rPr>
        <w:t>[</w:t>
      </w:r>
      <w:r w:rsidRPr="00266631">
        <w:rPr>
          <w:rFonts w:ascii="Book Antiqua" w:hAnsi="Book Antiqua"/>
          <w:vertAlign w:val="superscript"/>
          <w:lang w:val="en-GB"/>
        </w:rPr>
        <w:t>94</w:t>
      </w:r>
      <w:r w:rsidR="002B1B97" w:rsidRPr="00266631">
        <w:rPr>
          <w:rFonts w:ascii="Book Antiqua" w:hAnsi="Book Antiqua"/>
          <w:vertAlign w:val="superscript"/>
          <w:lang w:val="en-GB"/>
        </w:rPr>
        <w:t>,</w:t>
      </w:r>
      <w:r w:rsidRPr="00266631">
        <w:rPr>
          <w:rFonts w:ascii="Book Antiqua" w:hAnsi="Book Antiqua"/>
          <w:vertAlign w:val="superscript"/>
          <w:lang w:val="en-GB"/>
        </w:rPr>
        <w:t>9</w:t>
      </w:r>
      <w:r w:rsidR="002B1B97" w:rsidRPr="00266631">
        <w:rPr>
          <w:rFonts w:ascii="Book Antiqua" w:hAnsi="Book Antiqua"/>
          <w:vertAlign w:val="superscript"/>
          <w:lang w:val="en-GB"/>
        </w:rPr>
        <w:t>5</w:t>
      </w:r>
      <w:r w:rsidRPr="00266631">
        <w:rPr>
          <w:rFonts w:ascii="Book Antiqua" w:hAnsi="Book Antiqua"/>
          <w:vertAlign w:val="superscript"/>
          <w:lang w:val="en-GB"/>
        </w:rPr>
        <w:t xml:space="preserve">] </w:t>
      </w:r>
      <w:r w:rsidRPr="00266631">
        <w:rPr>
          <w:rFonts w:ascii="Book Antiqua" w:hAnsi="Book Antiqua"/>
          <w:lang w:val="en-GB"/>
        </w:rPr>
        <w:t>and periodontal ligament</w:t>
      </w:r>
      <w:r w:rsidRPr="00266631">
        <w:rPr>
          <w:rFonts w:ascii="Book Antiqua" w:hAnsi="Book Antiqua"/>
          <w:vertAlign w:val="superscript"/>
          <w:lang w:val="en-GB"/>
        </w:rPr>
        <w:t>[9</w:t>
      </w:r>
      <w:r w:rsidR="002B1B97" w:rsidRPr="00266631">
        <w:rPr>
          <w:rFonts w:ascii="Book Antiqua" w:hAnsi="Book Antiqua"/>
          <w:vertAlign w:val="superscript"/>
          <w:lang w:val="en-GB"/>
        </w:rPr>
        <w:t>5</w:t>
      </w:r>
      <w:r w:rsidRPr="00266631">
        <w:rPr>
          <w:rFonts w:ascii="Book Antiqua" w:hAnsi="Book Antiqua"/>
          <w:vertAlign w:val="superscript"/>
          <w:lang w:val="en-GB"/>
        </w:rPr>
        <w:t>]</w:t>
      </w:r>
      <w:r w:rsidRPr="00266631">
        <w:rPr>
          <w:rFonts w:ascii="Book Antiqua" w:hAnsi="Book Antiqua"/>
          <w:lang w:val="en-GB"/>
        </w:rPr>
        <w:t xml:space="preserve"> have been proposed for dentistry applications. </w:t>
      </w:r>
      <w:r w:rsidRPr="00266631">
        <w:rPr>
          <w:rFonts w:ascii="Book Antiqua" w:hAnsi="Book Antiqua"/>
          <w:lang w:val="en-GB"/>
        </w:rPr>
        <w:lastRenderedPageBreak/>
        <w:t>Harvest morbidity and patient acceptance should affect the final choice of the appropriate cell source for regenerative medicine purposes.</w:t>
      </w:r>
    </w:p>
    <w:p w:rsidR="00BE4FFC" w:rsidRPr="00266631" w:rsidRDefault="00BE4FFC" w:rsidP="00DE3756">
      <w:pPr>
        <w:tabs>
          <w:tab w:val="left" w:pos="7088"/>
        </w:tabs>
        <w:spacing w:line="360" w:lineRule="auto"/>
        <w:jc w:val="both"/>
        <w:rPr>
          <w:rFonts w:ascii="Book Antiqua" w:hAnsi="Book Antiqua"/>
          <w:lang w:val="en-GB"/>
        </w:rPr>
      </w:pPr>
    </w:p>
    <w:p w:rsidR="00BE4FFC" w:rsidRPr="00993921" w:rsidRDefault="00BE4FFC" w:rsidP="00DE3756">
      <w:pPr>
        <w:tabs>
          <w:tab w:val="left" w:pos="7088"/>
        </w:tabs>
        <w:spacing w:line="360" w:lineRule="auto"/>
        <w:jc w:val="both"/>
        <w:rPr>
          <w:rFonts w:ascii="Book Antiqua" w:hAnsi="Book Antiqua"/>
          <w:b/>
          <w:i/>
          <w:lang w:val="en-GB"/>
        </w:rPr>
      </w:pPr>
      <w:r w:rsidRPr="00993921">
        <w:rPr>
          <w:rFonts w:ascii="Book Antiqua" w:hAnsi="Book Antiqua"/>
          <w:b/>
          <w:i/>
          <w:lang w:val="en-GB"/>
        </w:rPr>
        <w:t>Cutting-edge applications</w:t>
      </w:r>
    </w:p>
    <w:p w:rsidR="00BE4FFC" w:rsidRPr="00266631" w:rsidRDefault="00BE4FFC" w:rsidP="00DE3756">
      <w:pPr>
        <w:tabs>
          <w:tab w:val="left" w:pos="7088"/>
        </w:tabs>
        <w:spacing w:line="360" w:lineRule="auto"/>
        <w:jc w:val="both"/>
        <w:rPr>
          <w:rFonts w:ascii="Book Antiqua" w:hAnsi="Book Antiqua"/>
          <w:lang w:val="en-GB"/>
        </w:rPr>
      </w:pPr>
      <w:r w:rsidRPr="00266631">
        <w:rPr>
          <w:rFonts w:ascii="Book Antiqua" w:hAnsi="Book Antiqua"/>
          <w:lang w:val="en-GB"/>
        </w:rPr>
        <w:t xml:space="preserve">The great plasticity of mesenchymal stromal cells, due to their ability to differentiate into multiple lineages, makes them good candidates for </w:t>
      </w:r>
      <w:r w:rsidRPr="00266631">
        <w:rPr>
          <w:rFonts w:ascii="Book Antiqua" w:hAnsi="Book Antiqua"/>
          <w:i/>
          <w:lang w:val="en-GB"/>
        </w:rPr>
        <w:t>in vivo</w:t>
      </w:r>
      <w:r w:rsidRPr="00266631">
        <w:rPr>
          <w:rFonts w:ascii="Book Antiqua" w:hAnsi="Book Antiqua"/>
          <w:lang w:val="en-GB"/>
        </w:rPr>
        <w:t xml:space="preserve"> regeneration innovative procedures. The use of allogeneic MSCs in regenerative medicine is also encouraged by their immunosuppressive and immunomodulatory features. </w:t>
      </w:r>
    </w:p>
    <w:p w:rsidR="00BE4FFC" w:rsidRPr="00266631" w:rsidRDefault="00BE4FFC" w:rsidP="00993921">
      <w:pPr>
        <w:tabs>
          <w:tab w:val="left" w:pos="7088"/>
          <w:tab w:val="left" w:pos="7371"/>
        </w:tabs>
        <w:spacing w:line="360" w:lineRule="auto"/>
        <w:ind w:firstLineChars="200" w:firstLine="480"/>
        <w:jc w:val="both"/>
        <w:rPr>
          <w:rFonts w:ascii="Book Antiqua" w:hAnsi="Book Antiqua"/>
          <w:lang w:val="en-GB"/>
        </w:rPr>
      </w:pPr>
      <w:r w:rsidRPr="00266631">
        <w:rPr>
          <w:rFonts w:ascii="Book Antiqua" w:hAnsi="Book Antiqua"/>
          <w:lang w:val="en-GB"/>
        </w:rPr>
        <w:t>MSCs derived from different sources have been studied for the generation of Insulin-Producing Cells (IPCs) in the treatment of type 1 diabetes. Kim</w:t>
      </w:r>
      <w:r w:rsidR="00993921">
        <w:rPr>
          <w:rFonts w:ascii="Book Antiqua" w:hAnsi="Book Antiqua" w:hint="eastAsia"/>
          <w:lang w:val="en-GB" w:eastAsia="zh-CN"/>
        </w:rPr>
        <w:t xml:space="preserve"> </w:t>
      </w:r>
      <w:r w:rsidR="00993921" w:rsidRPr="00993921">
        <w:rPr>
          <w:rFonts w:ascii="Book Antiqua" w:hAnsi="Book Antiqua" w:hint="eastAsia"/>
          <w:i/>
          <w:lang w:val="en-GB" w:eastAsia="zh-CN"/>
        </w:rPr>
        <w:t>et al</w:t>
      </w:r>
      <w:r w:rsidRPr="00266631">
        <w:rPr>
          <w:rFonts w:ascii="Book Antiqua" w:hAnsi="Book Antiqua"/>
          <w:vertAlign w:val="superscript"/>
          <w:lang w:val="en-GB"/>
        </w:rPr>
        <w:t>[95]</w:t>
      </w:r>
      <w:r w:rsidRPr="00266631">
        <w:rPr>
          <w:rFonts w:ascii="Book Antiqua" w:hAnsi="Book Antiqua"/>
          <w:lang w:val="en-GB"/>
        </w:rPr>
        <w:t xml:space="preserve"> examined the differentiation in IPCs of MSCs isolated from different sources: bone marrow, adipose tissue, Wharton’s jelly and periosteum. Even though cultured under</w:t>
      </w:r>
      <w:r w:rsidR="00993921">
        <w:rPr>
          <w:rFonts w:ascii="Book Antiqua" w:hAnsi="Book Antiqua"/>
          <w:lang w:val="en-GB"/>
        </w:rPr>
        <w:t xml:space="preserve"> similar conditions, only IPCs </w:t>
      </w:r>
      <w:r w:rsidRPr="00266631">
        <w:rPr>
          <w:rFonts w:ascii="Book Antiqua" w:hAnsi="Book Antiqua"/>
          <w:lang w:val="en-GB"/>
        </w:rPr>
        <w:t>derived from PDPCs showed a significant increase in insulin secretion under glucose stimulation</w:t>
      </w:r>
      <w:r w:rsidRPr="00266631">
        <w:rPr>
          <w:rFonts w:ascii="Book Antiqua" w:hAnsi="Book Antiqua"/>
          <w:vertAlign w:val="superscript"/>
          <w:lang w:val="en-GB"/>
        </w:rPr>
        <w:t>[9</w:t>
      </w:r>
      <w:r w:rsidR="002B1B97" w:rsidRPr="00266631">
        <w:rPr>
          <w:rFonts w:ascii="Book Antiqua" w:hAnsi="Book Antiqua"/>
          <w:vertAlign w:val="superscript"/>
          <w:lang w:val="en-GB"/>
        </w:rPr>
        <w:t>6</w:t>
      </w:r>
      <w:r w:rsidRPr="00266631">
        <w:rPr>
          <w:rFonts w:ascii="Book Antiqua" w:hAnsi="Book Antiqua"/>
          <w:vertAlign w:val="superscript"/>
          <w:lang w:val="en-GB"/>
        </w:rPr>
        <w:t>]</w:t>
      </w:r>
      <w:r w:rsidRPr="00266631">
        <w:rPr>
          <w:rFonts w:ascii="Book Antiqua" w:hAnsi="Book Antiqua"/>
          <w:lang w:val="en-GB"/>
        </w:rPr>
        <w:t>.</w:t>
      </w:r>
    </w:p>
    <w:p w:rsidR="00BE4FFC" w:rsidRPr="00266631" w:rsidRDefault="00BE4FFC" w:rsidP="00993921">
      <w:pPr>
        <w:tabs>
          <w:tab w:val="left" w:pos="7088"/>
          <w:tab w:val="left" w:pos="7371"/>
        </w:tabs>
        <w:spacing w:line="360" w:lineRule="auto"/>
        <w:ind w:firstLineChars="200" w:firstLine="480"/>
        <w:jc w:val="both"/>
        <w:rPr>
          <w:rFonts w:ascii="Book Antiqua" w:hAnsi="Book Antiqua"/>
          <w:lang w:val="en-GB"/>
        </w:rPr>
      </w:pPr>
      <w:r w:rsidRPr="00266631">
        <w:rPr>
          <w:rFonts w:ascii="Book Antiqua" w:hAnsi="Book Antiqua"/>
          <w:lang w:val="en-GB"/>
        </w:rPr>
        <w:t>These results indicate the periosteum as a suitable source of multipotent progenitor cells that could be employed in allogenic transplantations.</w:t>
      </w:r>
    </w:p>
    <w:p w:rsidR="00BE4FFC" w:rsidRPr="00266631" w:rsidRDefault="00BE4FFC" w:rsidP="00DE3756">
      <w:pPr>
        <w:tabs>
          <w:tab w:val="left" w:pos="7088"/>
        </w:tabs>
        <w:spacing w:line="360" w:lineRule="auto"/>
        <w:jc w:val="both"/>
        <w:rPr>
          <w:rFonts w:ascii="Book Antiqua" w:hAnsi="Book Antiqua"/>
          <w:lang w:val="en-GB"/>
        </w:rPr>
      </w:pPr>
      <w:r w:rsidRPr="00266631">
        <w:rPr>
          <w:rFonts w:ascii="Book Antiqua" w:hAnsi="Book Antiqua"/>
          <w:lang w:val="en-GB"/>
        </w:rPr>
        <w:t>However, even if MSC immune privilege is well known for cells derived from bone marrow, umbilical cord blood and adipose tissue, no studies confirm that PDPCs have similar properties. Therefore, this aspect needs to be further investigated in order to accomplish PDPCs innovative applications</w:t>
      </w:r>
      <w:r w:rsidRPr="00266631">
        <w:rPr>
          <w:rFonts w:ascii="Book Antiqua" w:hAnsi="Book Antiqua"/>
          <w:vertAlign w:val="superscript"/>
          <w:lang w:val="en-GB"/>
        </w:rPr>
        <w:t>[9</w:t>
      </w:r>
      <w:r w:rsidR="002B1B97" w:rsidRPr="00266631">
        <w:rPr>
          <w:rFonts w:ascii="Book Antiqua" w:hAnsi="Book Antiqua"/>
          <w:vertAlign w:val="superscript"/>
          <w:lang w:val="en-GB"/>
        </w:rPr>
        <w:t>6</w:t>
      </w:r>
      <w:r w:rsidRPr="00266631">
        <w:rPr>
          <w:rFonts w:ascii="Book Antiqua" w:hAnsi="Book Antiqua"/>
          <w:vertAlign w:val="superscript"/>
          <w:lang w:val="en-GB"/>
        </w:rPr>
        <w:t>]</w:t>
      </w:r>
      <w:r w:rsidRPr="00266631">
        <w:rPr>
          <w:rFonts w:ascii="Book Antiqua" w:hAnsi="Book Antiqua"/>
          <w:lang w:val="en-GB"/>
        </w:rPr>
        <w:t>.</w:t>
      </w:r>
    </w:p>
    <w:p w:rsidR="00BE4FFC" w:rsidRPr="00993921" w:rsidRDefault="00BE4FFC" w:rsidP="00DE3756">
      <w:pPr>
        <w:spacing w:line="360" w:lineRule="auto"/>
        <w:jc w:val="both"/>
        <w:rPr>
          <w:rFonts w:ascii="Book Antiqua" w:hAnsi="Book Antiqua"/>
          <w:b/>
          <w:caps/>
          <w:lang w:val="en-GB"/>
        </w:rPr>
      </w:pPr>
    </w:p>
    <w:p w:rsidR="00BE4FFC" w:rsidRPr="00993921" w:rsidRDefault="00993921" w:rsidP="00DE3756">
      <w:pPr>
        <w:spacing w:line="360" w:lineRule="auto"/>
        <w:jc w:val="both"/>
        <w:rPr>
          <w:rFonts w:ascii="Book Antiqua" w:hAnsi="Book Antiqua"/>
          <w:b/>
          <w:caps/>
          <w:lang w:val="en-GB" w:eastAsia="zh-CN"/>
        </w:rPr>
      </w:pPr>
      <w:r w:rsidRPr="00993921">
        <w:rPr>
          <w:rFonts w:ascii="Book Antiqua" w:hAnsi="Book Antiqua"/>
          <w:b/>
          <w:caps/>
          <w:lang w:val="en-GB"/>
        </w:rPr>
        <w:t>Conclusion</w:t>
      </w:r>
    </w:p>
    <w:p w:rsidR="00BE4FFC" w:rsidRPr="00266631" w:rsidRDefault="00BE4FFC" w:rsidP="00DE3756">
      <w:pPr>
        <w:spacing w:line="360" w:lineRule="auto"/>
        <w:jc w:val="both"/>
        <w:rPr>
          <w:rFonts w:ascii="Book Antiqua" w:hAnsi="Book Antiqua"/>
          <w:lang w:val="en-GB"/>
        </w:rPr>
      </w:pPr>
      <w:r w:rsidRPr="00266631">
        <w:rPr>
          <w:rFonts w:ascii="Book Antiqua" w:hAnsi="Book Antiqua"/>
          <w:lang w:val="en-GB"/>
        </w:rPr>
        <w:t>Small bone defects can be bridged with conventional grafting</w:t>
      </w:r>
      <w:r w:rsidRPr="00266631">
        <w:rPr>
          <w:rFonts w:ascii="Book Antiqua" w:hAnsi="Book Antiqua"/>
          <w:vertAlign w:val="superscript"/>
          <w:lang w:val="en-GB"/>
        </w:rPr>
        <w:t>[9</w:t>
      </w:r>
      <w:r w:rsidR="002B1B97" w:rsidRPr="00266631">
        <w:rPr>
          <w:rFonts w:ascii="Book Antiqua" w:hAnsi="Book Antiqua"/>
          <w:vertAlign w:val="superscript"/>
          <w:lang w:val="en-GB"/>
        </w:rPr>
        <w:t>7</w:t>
      </w:r>
      <w:r w:rsidRPr="00266631">
        <w:rPr>
          <w:rFonts w:ascii="Book Antiqua" w:hAnsi="Book Antiqua"/>
          <w:vertAlign w:val="superscript"/>
          <w:lang w:val="en-GB"/>
        </w:rPr>
        <w:t>]</w:t>
      </w:r>
      <w:r w:rsidRPr="00266631">
        <w:rPr>
          <w:rFonts w:ascii="Book Antiqua" w:hAnsi="Book Antiqua"/>
          <w:lang w:val="en-GB"/>
        </w:rPr>
        <w:t>, whilst bone regeneration in large bone defects is challenging and several factors (</w:t>
      </w:r>
      <w:r w:rsidRPr="00266631">
        <w:rPr>
          <w:rFonts w:ascii="Book Antiqua" w:hAnsi="Book Antiqua"/>
          <w:i/>
          <w:lang w:val="en-GB"/>
        </w:rPr>
        <w:t>i.e.,</w:t>
      </w:r>
      <w:r w:rsidRPr="00266631">
        <w:rPr>
          <w:rFonts w:ascii="Book Antiqua" w:hAnsi="Book Antiqua"/>
          <w:lang w:val="en-GB"/>
        </w:rPr>
        <w:t xml:space="preserve"> defect site and patient related factors) may affect treatment outcomes. The healing of large size defects, hence, looks into tissue engineering strategies, including the use of exogenous stem cells, growth factors and bioactive scaffolds</w:t>
      </w:r>
      <w:r w:rsidRPr="00266631">
        <w:rPr>
          <w:rFonts w:ascii="Book Antiqua" w:hAnsi="Book Antiqua"/>
          <w:vertAlign w:val="superscript"/>
          <w:lang w:val="en-GB"/>
        </w:rPr>
        <w:t>[2,9</w:t>
      </w:r>
      <w:r w:rsidR="002B1B97" w:rsidRPr="00266631">
        <w:rPr>
          <w:rFonts w:ascii="Book Antiqua" w:hAnsi="Book Antiqua"/>
          <w:vertAlign w:val="superscript"/>
          <w:lang w:val="en-GB"/>
        </w:rPr>
        <w:t>8</w:t>
      </w:r>
      <w:r w:rsidRPr="00266631">
        <w:rPr>
          <w:rFonts w:ascii="Book Antiqua" w:hAnsi="Book Antiqua"/>
          <w:vertAlign w:val="superscript"/>
          <w:lang w:val="en-GB"/>
        </w:rPr>
        <w:t>]</w:t>
      </w:r>
      <w:r w:rsidRPr="00266631">
        <w:rPr>
          <w:rFonts w:ascii="Book Antiqua" w:hAnsi="Book Antiqua"/>
          <w:lang w:val="en-GB"/>
        </w:rPr>
        <w:t>. Recently relevant breakthroughs in designing and creating bone substitutes have been achieved. After the sophisticated approaches combining biomaterials/stem cell constructs the concept of a guided bone regeneration has received attention: the use of smart, bioactive-induced membranes started gaining momentum.</w:t>
      </w:r>
    </w:p>
    <w:p w:rsidR="00BE4FFC" w:rsidRPr="00266631" w:rsidRDefault="00BE4FFC" w:rsidP="00993921">
      <w:pPr>
        <w:tabs>
          <w:tab w:val="left" w:pos="7230"/>
        </w:tabs>
        <w:spacing w:line="360" w:lineRule="auto"/>
        <w:ind w:firstLineChars="200" w:firstLine="480"/>
        <w:jc w:val="both"/>
        <w:rPr>
          <w:rFonts w:ascii="Book Antiqua" w:hAnsi="Book Antiqua"/>
          <w:lang w:val="en-GB"/>
        </w:rPr>
      </w:pPr>
      <w:r w:rsidRPr="00266631">
        <w:rPr>
          <w:rFonts w:ascii="Book Antiqua" w:hAnsi="Book Antiqua"/>
          <w:lang w:val="en-GB"/>
        </w:rPr>
        <w:lastRenderedPageBreak/>
        <w:t xml:space="preserve">Scientific word is therefore going on with investigations understanding molecular basis of cell/tissue endogenous repair, as well as, improving scaffold design. To this end, periosteum will offer new intriguing cues for further investigation. </w:t>
      </w:r>
    </w:p>
    <w:p w:rsidR="00BE4FFC" w:rsidRPr="00266631" w:rsidRDefault="00BE4FFC" w:rsidP="00993921">
      <w:pPr>
        <w:spacing w:line="360" w:lineRule="auto"/>
        <w:ind w:firstLineChars="200" w:firstLine="480"/>
        <w:jc w:val="both"/>
        <w:rPr>
          <w:rFonts w:ascii="Book Antiqua" w:hAnsi="Book Antiqua"/>
          <w:lang w:val="en-GB"/>
        </w:rPr>
      </w:pPr>
      <w:r w:rsidRPr="00266631">
        <w:rPr>
          <w:rFonts w:ascii="Book Antiqua" w:hAnsi="Book Antiqua"/>
          <w:lang w:val="en-GB"/>
        </w:rPr>
        <w:t>Periosteum plays a key role in ECM architecture and cell cytoskeletal reorganization under mechanical stress, by the activation of the mechanosensing signaling. The comprehension of cell molecular mechanisms associated with mechanosensing and cell intrinsic repair abilities has underlined a critical role of periostin. Its expression is up-regulated in the presence of mechanical stress in order to preserve bone tissue integrity and function. Periostin up-regulation leads to the activation of specific pathways that support cell survival. It also ensures a correct collagen fibrillogenesis and matrix organization, opening intriguing perspective in designing future strategies for bone tissue regeneration.</w:t>
      </w:r>
    </w:p>
    <w:p w:rsidR="00BE4FFC" w:rsidRPr="00266631" w:rsidRDefault="00BE4FFC" w:rsidP="00993921">
      <w:pPr>
        <w:spacing w:line="360" w:lineRule="auto"/>
        <w:ind w:firstLineChars="200" w:firstLine="480"/>
        <w:jc w:val="both"/>
        <w:rPr>
          <w:rFonts w:ascii="Book Antiqua" w:hAnsi="Book Antiqua"/>
          <w:lang w:val="en-GB"/>
        </w:rPr>
      </w:pPr>
      <w:r w:rsidRPr="00266631">
        <w:rPr>
          <w:rFonts w:ascii="Book Antiqua" w:hAnsi="Book Antiqua"/>
          <w:lang w:val="en-GB"/>
        </w:rPr>
        <w:t>In addition, a further characterization of cellular epigenetic mechanisms miRs related is encouraged: directing the mRNAs expression, miRs affect pivotal differentiation pathways and could therefore represent important targets in promoting osteochondral regeneration.</w:t>
      </w:r>
    </w:p>
    <w:p w:rsidR="00BE4FFC" w:rsidRPr="00266631" w:rsidRDefault="00BE4FFC" w:rsidP="00993921">
      <w:pPr>
        <w:spacing w:line="360" w:lineRule="auto"/>
        <w:ind w:firstLineChars="200" w:firstLine="480"/>
        <w:jc w:val="both"/>
        <w:rPr>
          <w:rFonts w:ascii="Book Antiqua" w:hAnsi="Book Antiqua"/>
          <w:lang w:val="en-GB"/>
        </w:rPr>
      </w:pPr>
      <w:r w:rsidRPr="00266631">
        <w:rPr>
          <w:rFonts w:ascii="Book Antiqua" w:hAnsi="Book Antiqua"/>
          <w:lang w:val="en-GB"/>
        </w:rPr>
        <w:t>Finally, considering periosteum</w:t>
      </w:r>
      <w:r w:rsidRPr="00266631" w:rsidDel="002D5029">
        <w:rPr>
          <w:rFonts w:ascii="Book Antiqua" w:hAnsi="Book Antiqua"/>
          <w:lang w:val="en-GB"/>
        </w:rPr>
        <w:t xml:space="preserve"> </w:t>
      </w:r>
      <w:r w:rsidRPr="00266631">
        <w:rPr>
          <w:rFonts w:ascii="Book Antiqua" w:hAnsi="Book Antiqua"/>
          <w:lang w:val="en-GB"/>
        </w:rPr>
        <w:t>dynamic response to environmental and mechanical stimuli, two strategies have been pursued: the use of periosteum itself as a “smart material” (</w:t>
      </w:r>
      <w:r w:rsidRPr="00266631">
        <w:rPr>
          <w:rFonts w:ascii="Book Antiqua" w:hAnsi="Book Antiqua"/>
          <w:i/>
          <w:lang w:val="en-GB"/>
        </w:rPr>
        <w:t>i.e.,</w:t>
      </w:r>
      <w:r w:rsidRPr="00266631">
        <w:rPr>
          <w:rFonts w:ascii="Book Antiqua" w:hAnsi="Book Antiqua"/>
          <w:lang w:val="en-GB"/>
        </w:rPr>
        <w:t xml:space="preserve"> TEP) and the realization of constructs (</w:t>
      </w:r>
      <w:r w:rsidRPr="00266631">
        <w:rPr>
          <w:rFonts w:ascii="Book Antiqua" w:hAnsi="Book Antiqua"/>
          <w:i/>
          <w:lang w:val="en-GB"/>
        </w:rPr>
        <w:t>e.g.,</w:t>
      </w:r>
      <w:r w:rsidRPr="00266631">
        <w:rPr>
          <w:rFonts w:ascii="Book Antiqua" w:hAnsi="Book Antiqua"/>
          <w:lang w:val="en-GB"/>
        </w:rPr>
        <w:t xml:space="preserve"> chitosan-heparin coating and PEG-hydrogels) able to mimic the ECM features of this tissue. At present TEP constructs are not tuned for the repair of a dynamically loaded environment</w:t>
      </w:r>
      <w:r w:rsidR="00993921">
        <w:rPr>
          <w:rFonts w:ascii="Book Antiqua" w:hAnsi="Book Antiqua"/>
          <w:lang w:val="en-GB"/>
        </w:rPr>
        <w:t xml:space="preserve"> </w:t>
      </w:r>
      <w:r w:rsidRPr="00266631">
        <w:rPr>
          <w:rFonts w:ascii="Book Antiqua" w:hAnsi="Book Antiqua"/>
          <w:lang w:val="en-GB"/>
        </w:rPr>
        <w:t>such as long bones.</w:t>
      </w:r>
    </w:p>
    <w:p w:rsidR="00BE4FFC" w:rsidRPr="00266631" w:rsidRDefault="00BE4FFC" w:rsidP="00993921">
      <w:pPr>
        <w:spacing w:line="360" w:lineRule="auto"/>
        <w:ind w:firstLineChars="200" w:firstLine="480"/>
        <w:jc w:val="both"/>
        <w:rPr>
          <w:rFonts w:ascii="Book Antiqua" w:hAnsi="Book Antiqua"/>
          <w:lang w:val="en-GB"/>
        </w:rPr>
      </w:pPr>
      <w:r w:rsidRPr="00266631">
        <w:rPr>
          <w:rFonts w:ascii="Book Antiqua" w:hAnsi="Book Antiqua"/>
          <w:lang w:val="en-GB"/>
        </w:rPr>
        <w:t>Taken together, the data highlight periosteum involvement in bone anabolic pathways and suggest novel TERM approaches in osteochondral tissue repair.</w:t>
      </w:r>
      <w:r w:rsidR="00993921">
        <w:rPr>
          <w:rFonts w:ascii="Book Antiqua" w:hAnsi="Book Antiqua"/>
          <w:lang w:val="en-GB"/>
        </w:rPr>
        <w:t xml:space="preserve"> </w:t>
      </w:r>
      <w:r w:rsidRPr="00266631">
        <w:rPr>
          <w:rFonts w:ascii="Book Antiqua" w:hAnsi="Book Antiqua"/>
          <w:lang w:val="en-GB"/>
        </w:rPr>
        <w:t xml:space="preserve">Moreover, a deeper understanding of the molecular basis of cell mechanosensing, as well as of microRNA involvement in PDPC differentiation responses, could be useful for the development of new procedures for the maintenance of bone mass both in post-trauma healing process and in physiological turn-over (therefore preventing osteoporosis). </w:t>
      </w:r>
    </w:p>
    <w:p w:rsidR="00BE4FFC" w:rsidRDefault="00BE4FFC" w:rsidP="00DE3756">
      <w:pPr>
        <w:shd w:val="clear" w:color="auto" w:fill="FFFFFF"/>
        <w:spacing w:line="360" w:lineRule="auto"/>
        <w:jc w:val="both"/>
        <w:rPr>
          <w:rFonts w:ascii="Book Antiqua" w:hAnsi="Book Antiqua"/>
          <w:b/>
          <w:lang w:val="en-GB" w:eastAsia="zh-CN"/>
        </w:rPr>
      </w:pPr>
      <w:r w:rsidRPr="00266631">
        <w:rPr>
          <w:rFonts w:ascii="Book Antiqua" w:hAnsi="Book Antiqua"/>
          <w:lang w:val="en-GB"/>
        </w:rPr>
        <w:br w:type="page"/>
      </w:r>
      <w:r w:rsidRPr="00993921">
        <w:rPr>
          <w:rFonts w:ascii="Book Antiqua" w:hAnsi="Book Antiqua"/>
          <w:b/>
          <w:sz w:val="21"/>
          <w:lang w:val="en-GB"/>
        </w:rPr>
        <w:lastRenderedPageBreak/>
        <w:t>REFERENCES</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1 </w:t>
      </w:r>
      <w:r w:rsidRPr="00832F55">
        <w:rPr>
          <w:rFonts w:ascii="Book Antiqua" w:hAnsi="Book Antiqua" w:cs="宋体"/>
          <w:b/>
          <w:bCs/>
          <w:color w:val="000000"/>
          <w:sz w:val="21"/>
          <w:szCs w:val="21"/>
        </w:rPr>
        <w:t>Kaiser LR</w:t>
      </w:r>
      <w:r w:rsidRPr="00832F55">
        <w:rPr>
          <w:rFonts w:ascii="Book Antiqua" w:hAnsi="Book Antiqua" w:cs="宋体"/>
          <w:color w:val="000000"/>
          <w:sz w:val="21"/>
          <w:szCs w:val="21"/>
        </w:rPr>
        <w:t>. The future of multihospital systems. </w:t>
      </w:r>
      <w:r w:rsidRPr="00832F55">
        <w:rPr>
          <w:rFonts w:ascii="Book Antiqua" w:hAnsi="Book Antiqua" w:cs="宋体"/>
          <w:i/>
          <w:iCs/>
          <w:color w:val="000000"/>
          <w:sz w:val="21"/>
          <w:szCs w:val="21"/>
        </w:rPr>
        <w:t>Top Health Care Financ</w:t>
      </w:r>
      <w:r w:rsidRPr="00832F55">
        <w:rPr>
          <w:rFonts w:ascii="Book Antiqua" w:hAnsi="Book Antiqua" w:cs="宋体"/>
          <w:color w:val="000000"/>
          <w:sz w:val="21"/>
          <w:szCs w:val="21"/>
        </w:rPr>
        <w:t> 1992; </w:t>
      </w:r>
      <w:r w:rsidRPr="00832F55">
        <w:rPr>
          <w:rFonts w:ascii="Book Antiqua" w:hAnsi="Book Antiqua" w:cs="宋体"/>
          <w:b/>
          <w:bCs/>
          <w:color w:val="000000"/>
          <w:sz w:val="21"/>
          <w:szCs w:val="21"/>
        </w:rPr>
        <w:t>18</w:t>
      </w:r>
      <w:r w:rsidRPr="00832F55">
        <w:rPr>
          <w:rFonts w:ascii="Book Antiqua" w:hAnsi="Book Antiqua" w:cs="宋体"/>
          <w:color w:val="000000"/>
          <w:sz w:val="21"/>
          <w:szCs w:val="21"/>
        </w:rPr>
        <w:t>: 32-45 [PMID: 1631884]</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2 </w:t>
      </w:r>
      <w:r w:rsidRPr="00832F55">
        <w:rPr>
          <w:rFonts w:ascii="Book Antiqua" w:hAnsi="Book Antiqua" w:cs="宋体"/>
          <w:b/>
          <w:bCs/>
          <w:color w:val="000000"/>
          <w:sz w:val="21"/>
          <w:szCs w:val="21"/>
        </w:rPr>
        <w:t>Giannoudis PV</w:t>
      </w:r>
      <w:r w:rsidRPr="00832F55">
        <w:rPr>
          <w:rFonts w:ascii="Book Antiqua" w:hAnsi="Book Antiqua" w:cs="宋体"/>
          <w:color w:val="000000"/>
          <w:sz w:val="21"/>
          <w:szCs w:val="21"/>
        </w:rPr>
        <w:t>, Einhorn TA, Marsh D. Fracture healing: the diamond concept. </w:t>
      </w:r>
      <w:r w:rsidRPr="00832F55">
        <w:rPr>
          <w:rFonts w:ascii="Book Antiqua" w:hAnsi="Book Antiqua" w:cs="宋体"/>
          <w:i/>
          <w:iCs/>
          <w:color w:val="000000"/>
          <w:sz w:val="21"/>
          <w:szCs w:val="21"/>
        </w:rPr>
        <w:t>Injury</w:t>
      </w:r>
      <w:r w:rsidRPr="00832F55">
        <w:rPr>
          <w:rFonts w:ascii="Book Antiqua" w:hAnsi="Book Antiqua" w:cs="宋体"/>
          <w:color w:val="000000"/>
          <w:sz w:val="21"/>
          <w:szCs w:val="21"/>
        </w:rPr>
        <w:t> 2007; </w:t>
      </w:r>
      <w:r w:rsidRPr="00832F55">
        <w:rPr>
          <w:rFonts w:ascii="Book Antiqua" w:hAnsi="Book Antiqua" w:cs="宋体"/>
          <w:b/>
          <w:bCs/>
          <w:color w:val="000000"/>
          <w:sz w:val="21"/>
          <w:szCs w:val="21"/>
        </w:rPr>
        <w:t xml:space="preserve">38 </w:t>
      </w:r>
      <w:r w:rsidRPr="00832F55">
        <w:rPr>
          <w:rFonts w:ascii="Book Antiqua" w:hAnsi="Book Antiqua" w:cs="宋体"/>
          <w:bCs/>
          <w:color w:val="000000"/>
          <w:sz w:val="21"/>
          <w:szCs w:val="21"/>
        </w:rPr>
        <w:t>Suppl</w:t>
      </w:r>
      <w:r w:rsidRPr="00832F55">
        <w:rPr>
          <w:rFonts w:ascii="Book Antiqua" w:hAnsi="Book Antiqua" w:cs="宋体"/>
          <w:b/>
          <w:bCs/>
          <w:color w:val="000000"/>
          <w:sz w:val="21"/>
          <w:szCs w:val="21"/>
        </w:rPr>
        <w:t xml:space="preserve"> 4</w:t>
      </w:r>
      <w:r w:rsidRPr="00832F55">
        <w:rPr>
          <w:rFonts w:ascii="Book Antiqua" w:hAnsi="Book Antiqua" w:cs="宋体"/>
          <w:color w:val="000000"/>
          <w:sz w:val="21"/>
          <w:szCs w:val="21"/>
        </w:rPr>
        <w:t>: S3-S6 [PMID: 18224731 DOI: 10.1016/S0020-1383(08)70003-2]</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3 </w:t>
      </w:r>
      <w:r w:rsidRPr="00832F55">
        <w:rPr>
          <w:rFonts w:ascii="Book Antiqua" w:hAnsi="Book Antiqua" w:cs="宋体"/>
          <w:b/>
          <w:bCs/>
          <w:color w:val="000000"/>
          <w:sz w:val="21"/>
          <w:szCs w:val="21"/>
        </w:rPr>
        <w:t>De Bari C</w:t>
      </w:r>
      <w:r w:rsidRPr="00832F55">
        <w:rPr>
          <w:rFonts w:ascii="Book Antiqua" w:hAnsi="Book Antiqua" w:cs="宋体"/>
          <w:color w:val="000000"/>
          <w:sz w:val="21"/>
          <w:szCs w:val="21"/>
        </w:rPr>
        <w:t>, Dell'Accio F, Vanlauwe J, Eyckmans J, Khan IM, Archer CW, Jones EA, McGonagle D, Mitsiadis TA, Pitzalis C, Luyten FP. Mesenchymal multipotency of adult human periosteal cells demonstrated by single-cell lineage analysis. </w:t>
      </w:r>
      <w:r w:rsidRPr="00832F55">
        <w:rPr>
          <w:rFonts w:ascii="Book Antiqua" w:hAnsi="Book Antiqua" w:cs="宋体"/>
          <w:i/>
          <w:iCs/>
          <w:color w:val="000000"/>
          <w:sz w:val="21"/>
          <w:szCs w:val="21"/>
        </w:rPr>
        <w:t>Arthritis Rheum</w:t>
      </w:r>
      <w:r w:rsidRPr="00832F55">
        <w:rPr>
          <w:rFonts w:ascii="Book Antiqua" w:hAnsi="Book Antiqua" w:cs="宋体"/>
          <w:color w:val="000000"/>
          <w:sz w:val="21"/>
          <w:szCs w:val="21"/>
        </w:rPr>
        <w:t> 2006; </w:t>
      </w:r>
      <w:r w:rsidRPr="00832F55">
        <w:rPr>
          <w:rFonts w:ascii="Book Antiqua" w:hAnsi="Book Antiqua" w:cs="宋体"/>
          <w:b/>
          <w:bCs/>
          <w:color w:val="000000"/>
          <w:sz w:val="21"/>
          <w:szCs w:val="21"/>
        </w:rPr>
        <w:t>54</w:t>
      </w:r>
      <w:r w:rsidRPr="00832F55">
        <w:rPr>
          <w:rFonts w:ascii="Book Antiqua" w:hAnsi="Book Antiqua" w:cs="宋体"/>
          <w:color w:val="000000"/>
          <w:sz w:val="21"/>
          <w:szCs w:val="21"/>
        </w:rPr>
        <w:t>: 1209-1221 [PMID: 16575900 DOI: 10.1002/art.21753]</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4 </w:t>
      </w:r>
      <w:r w:rsidRPr="00832F55">
        <w:rPr>
          <w:rFonts w:ascii="Book Antiqua" w:hAnsi="Book Antiqua" w:cs="宋体"/>
          <w:b/>
          <w:bCs/>
          <w:color w:val="000000"/>
          <w:sz w:val="21"/>
          <w:szCs w:val="21"/>
        </w:rPr>
        <w:t>Antonucci I</w:t>
      </w:r>
      <w:r w:rsidRPr="00832F55">
        <w:rPr>
          <w:rFonts w:ascii="Book Antiqua" w:hAnsi="Book Antiqua" w:cs="宋体"/>
          <w:color w:val="000000"/>
          <w:sz w:val="21"/>
          <w:szCs w:val="21"/>
        </w:rPr>
        <w:t>, Iezzi I, Morizio E, Mastrangelo F, Pantalone A, Mattioli-Belmonte M, Gigante A, Salini V, Calabrese G, Tetè S, Palka G, Stuppia L. Isolation of osteogenic progenitors from human amniotic fluid using a single step culture protocol. </w:t>
      </w:r>
      <w:r w:rsidRPr="00832F55">
        <w:rPr>
          <w:rFonts w:ascii="Book Antiqua" w:hAnsi="Book Antiqua" w:cs="宋体"/>
          <w:i/>
          <w:iCs/>
          <w:color w:val="000000"/>
          <w:sz w:val="21"/>
          <w:szCs w:val="21"/>
        </w:rPr>
        <w:t>BMC Biotechnol</w:t>
      </w:r>
      <w:r w:rsidRPr="00832F55">
        <w:rPr>
          <w:rFonts w:ascii="Book Antiqua" w:hAnsi="Book Antiqua" w:cs="宋体"/>
          <w:color w:val="000000"/>
          <w:sz w:val="21"/>
          <w:szCs w:val="21"/>
        </w:rPr>
        <w:t> 2009; </w:t>
      </w:r>
      <w:r w:rsidRPr="00832F55">
        <w:rPr>
          <w:rFonts w:ascii="Book Antiqua" w:hAnsi="Book Antiqua" w:cs="宋体"/>
          <w:b/>
          <w:bCs/>
          <w:color w:val="000000"/>
          <w:sz w:val="21"/>
          <w:szCs w:val="21"/>
        </w:rPr>
        <w:t>9</w:t>
      </w:r>
      <w:r w:rsidRPr="00832F55">
        <w:rPr>
          <w:rFonts w:ascii="Book Antiqua" w:hAnsi="Book Antiqua" w:cs="宋体"/>
          <w:color w:val="000000"/>
          <w:sz w:val="21"/>
          <w:szCs w:val="21"/>
        </w:rPr>
        <w:t>: 9 [PMID: 19220883 DOI: 10.1186/1472-6750-9-9</w:t>
      </w:r>
      <w:r>
        <w:rPr>
          <w:rFonts w:ascii="Book Antiqua" w:hAnsi="Book Antiqua" w:cs="宋体"/>
          <w:color w:val="000000"/>
          <w:szCs w:val="21"/>
        </w:rPr>
        <w:t>]</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5 </w:t>
      </w:r>
      <w:r w:rsidRPr="00832F55">
        <w:rPr>
          <w:rFonts w:ascii="Book Antiqua" w:hAnsi="Book Antiqua" w:cs="宋体"/>
          <w:b/>
          <w:bCs/>
          <w:color w:val="000000"/>
          <w:sz w:val="21"/>
          <w:szCs w:val="21"/>
        </w:rPr>
        <w:t>Troyer DL</w:t>
      </w:r>
      <w:r w:rsidRPr="00832F55">
        <w:rPr>
          <w:rFonts w:ascii="Book Antiqua" w:hAnsi="Book Antiqua" w:cs="宋体"/>
          <w:color w:val="000000"/>
          <w:sz w:val="21"/>
          <w:szCs w:val="21"/>
        </w:rPr>
        <w:t>, Weiss ML. Wharton's jelly-derived cells are a primitive stromal cell population. </w:t>
      </w:r>
      <w:r w:rsidRPr="00832F55">
        <w:rPr>
          <w:rFonts w:ascii="Book Antiqua" w:hAnsi="Book Antiqua" w:cs="宋体"/>
          <w:i/>
          <w:iCs/>
          <w:color w:val="000000"/>
          <w:sz w:val="21"/>
          <w:szCs w:val="21"/>
        </w:rPr>
        <w:t>Stem Cells</w:t>
      </w:r>
      <w:r w:rsidRPr="00832F55">
        <w:rPr>
          <w:rFonts w:ascii="Book Antiqua" w:hAnsi="Book Antiqua" w:cs="宋体"/>
          <w:color w:val="000000"/>
          <w:sz w:val="21"/>
          <w:szCs w:val="21"/>
        </w:rPr>
        <w:t> 2008; </w:t>
      </w:r>
      <w:r w:rsidRPr="00832F55">
        <w:rPr>
          <w:rFonts w:ascii="Book Antiqua" w:hAnsi="Book Antiqua" w:cs="宋体"/>
          <w:b/>
          <w:bCs/>
          <w:color w:val="000000"/>
          <w:sz w:val="21"/>
          <w:szCs w:val="21"/>
        </w:rPr>
        <w:t>26</w:t>
      </w:r>
      <w:r w:rsidRPr="00832F55">
        <w:rPr>
          <w:rFonts w:ascii="Book Antiqua" w:hAnsi="Book Antiqua" w:cs="宋体"/>
          <w:color w:val="000000"/>
          <w:sz w:val="21"/>
          <w:szCs w:val="21"/>
        </w:rPr>
        <w:t>: 591-599 [PMID: 18065397 DOI: 10.1634/stemcells.2007-0439]</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6 </w:t>
      </w:r>
      <w:r w:rsidRPr="00832F55">
        <w:rPr>
          <w:rFonts w:ascii="Book Antiqua" w:hAnsi="Book Antiqua" w:cs="宋体"/>
          <w:b/>
          <w:bCs/>
          <w:color w:val="000000"/>
          <w:sz w:val="21"/>
          <w:szCs w:val="21"/>
        </w:rPr>
        <w:t>Buzzi M</w:t>
      </w:r>
      <w:r w:rsidRPr="00832F55">
        <w:rPr>
          <w:rFonts w:ascii="Book Antiqua" w:hAnsi="Book Antiqua" w:cs="宋体"/>
          <w:color w:val="000000"/>
          <w:sz w:val="21"/>
          <w:szCs w:val="21"/>
        </w:rPr>
        <w:t>, Alviano F, Campioni D, Stignani M, Melchiorri L, Rotola A, Tazzari P, Ricci F, Vaselli C, Terzi A, Pagliaro PP, Cuneo A, Lanza F, Bontadini A, Baricordi OR, Rizzo R. Umbilical cord blood CD34(+)cell-derived progeny produces human leukocyte antigen-G molecules with immuno-modulatory functions. </w:t>
      </w:r>
      <w:r w:rsidRPr="00832F55">
        <w:rPr>
          <w:rFonts w:ascii="Book Antiqua" w:hAnsi="Book Antiqua" w:cs="宋体"/>
          <w:i/>
          <w:iCs/>
          <w:color w:val="000000"/>
          <w:sz w:val="21"/>
          <w:szCs w:val="21"/>
        </w:rPr>
        <w:t>Hum Immunol</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73</w:t>
      </w:r>
      <w:r w:rsidRPr="00832F55">
        <w:rPr>
          <w:rFonts w:ascii="Book Antiqua" w:hAnsi="Book Antiqua" w:cs="宋体"/>
          <w:color w:val="000000"/>
          <w:sz w:val="21"/>
          <w:szCs w:val="21"/>
        </w:rPr>
        <w:t>: 150-155 [PMID: 22178696 DOI: 10.1016/j.humimm.2011.12.003]</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7 </w:t>
      </w:r>
      <w:r w:rsidRPr="00832F55">
        <w:rPr>
          <w:rFonts w:ascii="Book Antiqua" w:hAnsi="Book Antiqua" w:cs="宋体"/>
          <w:b/>
          <w:bCs/>
          <w:color w:val="000000"/>
          <w:sz w:val="21"/>
          <w:szCs w:val="21"/>
        </w:rPr>
        <w:t>Konno M</w:t>
      </w:r>
      <w:r w:rsidRPr="00832F55">
        <w:rPr>
          <w:rFonts w:ascii="Book Antiqua" w:hAnsi="Book Antiqua" w:cs="宋体"/>
          <w:color w:val="000000"/>
          <w:sz w:val="21"/>
          <w:szCs w:val="21"/>
        </w:rPr>
        <w:t>, Hamabe A, Hasegawa S, Ogawa H, Fukusumi T, Nishikawa S, Ohta K, Kano Y, Ozaki M, Noguchi Y, Sakai D, Kudoh T, Kawamoto K, Eguchi H, Satoh T, Tanemura M, Nagano H, Doki Y, Mori M, Ishii H. Adipose-derived mesenchymal stem cells and regenerative medicine. </w:t>
      </w:r>
      <w:r w:rsidRPr="00832F55">
        <w:rPr>
          <w:rFonts w:ascii="Book Antiqua" w:hAnsi="Book Antiqua" w:cs="宋体"/>
          <w:i/>
          <w:iCs/>
          <w:color w:val="000000"/>
          <w:sz w:val="21"/>
          <w:szCs w:val="21"/>
        </w:rPr>
        <w:t>Dev Growth Differ</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55</w:t>
      </w:r>
      <w:r w:rsidRPr="00832F55">
        <w:rPr>
          <w:rFonts w:ascii="Book Antiqua" w:hAnsi="Book Antiqua" w:cs="宋体"/>
          <w:color w:val="000000"/>
          <w:sz w:val="21"/>
          <w:szCs w:val="21"/>
        </w:rPr>
        <w:t>: 309-318 [PMID: 23452121 DOI: 10.1111/dgd.12049]</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8 </w:t>
      </w:r>
      <w:r w:rsidRPr="00832F55">
        <w:rPr>
          <w:rFonts w:ascii="Book Antiqua" w:hAnsi="Book Antiqua" w:cs="宋体"/>
          <w:b/>
          <w:bCs/>
          <w:color w:val="000000"/>
          <w:sz w:val="21"/>
          <w:szCs w:val="21"/>
        </w:rPr>
        <w:t>Orciani M</w:t>
      </w:r>
      <w:r w:rsidRPr="00832F55">
        <w:rPr>
          <w:rFonts w:ascii="Book Antiqua" w:hAnsi="Book Antiqua" w:cs="宋体"/>
          <w:color w:val="000000"/>
          <w:sz w:val="21"/>
          <w:szCs w:val="21"/>
        </w:rPr>
        <w:t>, Di Primio R. Skin-derived mesenchymal stem cells: isolation, culture, and characterization. </w:t>
      </w:r>
      <w:r w:rsidRPr="00832F55">
        <w:rPr>
          <w:rFonts w:ascii="Book Antiqua" w:hAnsi="Book Antiqua" w:cs="宋体"/>
          <w:i/>
          <w:iCs/>
          <w:color w:val="000000"/>
          <w:sz w:val="21"/>
          <w:szCs w:val="21"/>
        </w:rPr>
        <w:t>Methods Mol Biol</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989</w:t>
      </w:r>
      <w:r w:rsidRPr="00832F55">
        <w:rPr>
          <w:rFonts w:ascii="Book Antiqua" w:hAnsi="Book Antiqua" w:cs="宋体"/>
          <w:color w:val="000000"/>
          <w:sz w:val="21"/>
          <w:szCs w:val="21"/>
        </w:rPr>
        <w:t>: 275-283 [PMID: 23483402 DOI: 10.1007/978-1-62703-330-5_21]</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9 </w:t>
      </w:r>
      <w:r w:rsidRPr="00832F55">
        <w:rPr>
          <w:rFonts w:ascii="Book Antiqua" w:hAnsi="Book Antiqua" w:cs="宋体"/>
          <w:b/>
          <w:bCs/>
          <w:color w:val="000000"/>
          <w:sz w:val="21"/>
          <w:szCs w:val="21"/>
        </w:rPr>
        <w:t>Gullo F</w:t>
      </w:r>
      <w:r w:rsidRPr="00832F55">
        <w:rPr>
          <w:rFonts w:ascii="Book Antiqua" w:hAnsi="Book Antiqua" w:cs="宋体"/>
          <w:color w:val="000000"/>
          <w:sz w:val="21"/>
          <w:szCs w:val="21"/>
        </w:rPr>
        <w:t>, De Bari C. Prospective purification of a subpopulation of human synovial mesenchymal stem cells with enhanced chondro-osteogenic potency. </w:t>
      </w:r>
      <w:r w:rsidRPr="00832F55">
        <w:rPr>
          <w:rFonts w:ascii="Book Antiqua" w:hAnsi="Book Antiqua" w:cs="宋体"/>
          <w:i/>
          <w:iCs/>
          <w:color w:val="000000"/>
          <w:sz w:val="21"/>
          <w:szCs w:val="21"/>
        </w:rPr>
        <w:t>Rheumatology (Oxford)</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52</w:t>
      </w:r>
      <w:r w:rsidRPr="00832F55">
        <w:rPr>
          <w:rFonts w:ascii="Book Antiqua" w:hAnsi="Book Antiqua" w:cs="宋体"/>
          <w:color w:val="000000"/>
          <w:sz w:val="21"/>
          <w:szCs w:val="21"/>
        </w:rPr>
        <w:t>: 1758-1768 [PMID: 23804221 DOI: 10.1093/rheumatology/ket205]</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10 </w:t>
      </w:r>
      <w:r w:rsidRPr="00832F55">
        <w:rPr>
          <w:rFonts w:ascii="Book Antiqua" w:hAnsi="Book Antiqua" w:cs="宋体"/>
          <w:b/>
          <w:bCs/>
          <w:color w:val="000000"/>
          <w:sz w:val="21"/>
          <w:szCs w:val="21"/>
        </w:rPr>
        <w:t>Short B</w:t>
      </w:r>
      <w:r w:rsidRPr="00832F55">
        <w:rPr>
          <w:rFonts w:ascii="Book Antiqua" w:hAnsi="Book Antiqua" w:cs="宋体"/>
          <w:color w:val="000000"/>
          <w:sz w:val="21"/>
          <w:szCs w:val="21"/>
        </w:rPr>
        <w:t>, Wagey R. Isolation and culture of mesenchymal stem cells from mouse compact bone. </w:t>
      </w:r>
      <w:r w:rsidRPr="00832F55">
        <w:rPr>
          <w:rFonts w:ascii="Book Antiqua" w:hAnsi="Book Antiqua" w:cs="宋体"/>
          <w:i/>
          <w:iCs/>
          <w:color w:val="000000"/>
          <w:sz w:val="21"/>
          <w:szCs w:val="21"/>
        </w:rPr>
        <w:t>Methods Mol Biol</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946</w:t>
      </w:r>
      <w:r w:rsidRPr="00832F55">
        <w:rPr>
          <w:rFonts w:ascii="Book Antiqua" w:hAnsi="Book Antiqua" w:cs="宋体"/>
          <w:color w:val="000000"/>
          <w:sz w:val="21"/>
          <w:szCs w:val="21"/>
        </w:rPr>
        <w:t>: 335-347 [PMID: 23179842 DOI: 10.1007/978-1-62703-128-8_21]</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11 </w:t>
      </w:r>
      <w:r w:rsidRPr="00832F55">
        <w:rPr>
          <w:rFonts w:ascii="Book Antiqua" w:hAnsi="Book Antiqua" w:cs="宋体"/>
          <w:b/>
          <w:bCs/>
          <w:color w:val="000000"/>
          <w:sz w:val="21"/>
          <w:szCs w:val="21"/>
        </w:rPr>
        <w:t>Gigante A</w:t>
      </w:r>
      <w:r w:rsidRPr="00832F55">
        <w:rPr>
          <w:rFonts w:ascii="Book Antiqua" w:hAnsi="Book Antiqua" w:cs="宋体"/>
          <w:color w:val="000000"/>
          <w:sz w:val="21"/>
          <w:szCs w:val="21"/>
        </w:rPr>
        <w:t>, Cappella M, Manzotti S, Cecconi S, Greco F, Di Primio R, Mattioli-Belmonte M. Osteoinduction properties of different growth factors on cells from non-union patients: in vitro study for clinical application. </w:t>
      </w:r>
      <w:r w:rsidRPr="00832F55">
        <w:rPr>
          <w:rFonts w:ascii="Book Antiqua" w:hAnsi="Book Antiqua" w:cs="宋体"/>
          <w:i/>
          <w:iCs/>
          <w:color w:val="000000"/>
          <w:sz w:val="21"/>
          <w:szCs w:val="21"/>
        </w:rPr>
        <w:t>J Biol Regul Homeost Agents</w:t>
      </w:r>
      <w:r w:rsidRPr="00832F55">
        <w:rPr>
          <w:rFonts w:ascii="Book Antiqua" w:hAnsi="Book Antiqua" w:cs="宋体"/>
          <w:color w:val="000000"/>
          <w:sz w:val="21"/>
          <w:szCs w:val="21"/>
        </w:rPr>
        <w:t> </w:t>
      </w:r>
      <w:r>
        <w:rPr>
          <w:rFonts w:ascii="Book Antiqua" w:hAnsi="Book Antiqua" w:cs="宋体" w:hint="eastAsia"/>
          <w:color w:val="000000"/>
          <w:szCs w:val="21"/>
        </w:rPr>
        <w:t>2010</w:t>
      </w:r>
      <w:r w:rsidRPr="00832F55">
        <w:rPr>
          <w:rFonts w:ascii="Book Antiqua" w:hAnsi="Book Antiqua" w:cs="宋体"/>
          <w:color w:val="000000"/>
          <w:sz w:val="21"/>
          <w:szCs w:val="21"/>
        </w:rPr>
        <w:t>; </w:t>
      </w:r>
      <w:r w:rsidRPr="00832F55">
        <w:rPr>
          <w:rFonts w:ascii="Book Antiqua" w:hAnsi="Book Antiqua" w:cs="宋体"/>
          <w:b/>
          <w:bCs/>
          <w:color w:val="000000"/>
          <w:sz w:val="21"/>
          <w:szCs w:val="21"/>
        </w:rPr>
        <w:t>24</w:t>
      </w:r>
      <w:r w:rsidRPr="00832F55">
        <w:rPr>
          <w:rFonts w:ascii="Book Antiqua" w:hAnsi="Book Antiqua" w:cs="宋体"/>
          <w:color w:val="000000"/>
          <w:sz w:val="21"/>
          <w:szCs w:val="21"/>
        </w:rPr>
        <w:t>: 51-62 [PMID: 20385071]</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lastRenderedPageBreak/>
        <w:t>12 </w:t>
      </w:r>
      <w:r w:rsidRPr="00832F55">
        <w:rPr>
          <w:rFonts w:ascii="Book Antiqua" w:hAnsi="Book Antiqua" w:cs="宋体"/>
          <w:b/>
          <w:bCs/>
          <w:color w:val="000000"/>
          <w:sz w:val="21"/>
          <w:szCs w:val="21"/>
        </w:rPr>
        <w:t>Petrochenko P</w:t>
      </w:r>
      <w:r w:rsidRPr="00832F55">
        <w:rPr>
          <w:rFonts w:ascii="Book Antiqua" w:hAnsi="Book Antiqua" w:cs="宋体"/>
          <w:color w:val="000000"/>
          <w:sz w:val="21"/>
          <w:szCs w:val="21"/>
        </w:rPr>
        <w:t>, Narayan RJ. Novel approaches to bone grafting: porosity, bone morphogenetic proteins, stem cells, and the periosteum. </w:t>
      </w:r>
      <w:r w:rsidRPr="00832F55">
        <w:rPr>
          <w:rFonts w:ascii="Book Antiqua" w:hAnsi="Book Antiqua" w:cs="宋体"/>
          <w:i/>
          <w:iCs/>
          <w:color w:val="000000"/>
          <w:sz w:val="21"/>
          <w:szCs w:val="21"/>
        </w:rPr>
        <w:t>J Long Term Eff Med Implants</w:t>
      </w:r>
      <w:r w:rsidRPr="00832F55">
        <w:rPr>
          <w:rFonts w:ascii="Book Antiqua" w:hAnsi="Book Antiqua" w:cs="宋体"/>
          <w:color w:val="000000"/>
          <w:sz w:val="21"/>
          <w:szCs w:val="21"/>
        </w:rPr>
        <w:t> 2010; </w:t>
      </w:r>
      <w:r w:rsidRPr="00832F55">
        <w:rPr>
          <w:rFonts w:ascii="Book Antiqua" w:hAnsi="Book Antiqua" w:cs="宋体"/>
          <w:b/>
          <w:bCs/>
          <w:color w:val="000000"/>
          <w:sz w:val="21"/>
          <w:szCs w:val="21"/>
        </w:rPr>
        <w:t>20</w:t>
      </w:r>
      <w:r w:rsidRPr="00832F55">
        <w:rPr>
          <w:rFonts w:ascii="Book Antiqua" w:hAnsi="Book Antiqua" w:cs="宋体"/>
          <w:color w:val="000000"/>
          <w:sz w:val="21"/>
          <w:szCs w:val="21"/>
        </w:rPr>
        <w:t>: 303-315 [PMID: 21488823]</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13 </w:t>
      </w:r>
      <w:r w:rsidRPr="00832F55">
        <w:rPr>
          <w:rFonts w:ascii="Book Antiqua" w:hAnsi="Book Antiqua" w:cs="宋体"/>
          <w:b/>
          <w:bCs/>
          <w:color w:val="000000"/>
          <w:sz w:val="21"/>
          <w:szCs w:val="21"/>
        </w:rPr>
        <w:t>Evans SF</w:t>
      </w:r>
      <w:r w:rsidRPr="00832F55">
        <w:rPr>
          <w:rFonts w:ascii="Book Antiqua" w:hAnsi="Book Antiqua" w:cs="宋体"/>
          <w:color w:val="000000"/>
          <w:sz w:val="21"/>
          <w:szCs w:val="21"/>
        </w:rPr>
        <w:t>, Chang H, Knothe Tate ML. Elucidating multiscale periosteal mechanobiology: a key to unlocking the smart properties and regenerative capacity of the periosteum? </w:t>
      </w:r>
      <w:r w:rsidRPr="00832F55">
        <w:rPr>
          <w:rFonts w:ascii="Book Antiqua" w:hAnsi="Book Antiqua" w:cs="宋体"/>
          <w:i/>
          <w:iCs/>
          <w:color w:val="000000"/>
          <w:sz w:val="21"/>
          <w:szCs w:val="21"/>
        </w:rPr>
        <w:t>Tissue Eng Part B Rev</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19</w:t>
      </w:r>
      <w:r w:rsidRPr="00832F55">
        <w:rPr>
          <w:rFonts w:ascii="Book Antiqua" w:hAnsi="Book Antiqua" w:cs="宋体"/>
          <w:color w:val="000000"/>
          <w:sz w:val="21"/>
          <w:szCs w:val="21"/>
        </w:rPr>
        <w:t>: 147-159 [PMID: 23189933 DOI: 10.1089/ten]</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14 </w:t>
      </w:r>
      <w:r w:rsidRPr="00832F55">
        <w:rPr>
          <w:rFonts w:ascii="Book Antiqua" w:hAnsi="Book Antiqua" w:cs="宋体"/>
          <w:b/>
          <w:bCs/>
          <w:color w:val="000000"/>
          <w:sz w:val="21"/>
          <w:szCs w:val="21"/>
        </w:rPr>
        <w:t>Chang H</w:t>
      </w:r>
      <w:r w:rsidRPr="00832F55">
        <w:rPr>
          <w:rFonts w:ascii="Book Antiqua" w:hAnsi="Book Antiqua" w:cs="宋体"/>
          <w:color w:val="000000"/>
          <w:sz w:val="21"/>
          <w:szCs w:val="21"/>
        </w:rPr>
        <w:t>, Knothe Tate ML. Concise review: the periosteum: tapping into a reservoir of clinically useful progenitor cells. </w:t>
      </w:r>
      <w:r w:rsidRPr="00832F55">
        <w:rPr>
          <w:rFonts w:ascii="Book Antiqua" w:hAnsi="Book Antiqua" w:cs="宋体"/>
          <w:i/>
          <w:iCs/>
          <w:color w:val="000000"/>
          <w:sz w:val="21"/>
          <w:szCs w:val="21"/>
        </w:rPr>
        <w:t>Stem Cells Transl Med</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1</w:t>
      </w:r>
      <w:r w:rsidRPr="00832F55">
        <w:rPr>
          <w:rFonts w:ascii="Book Antiqua" w:hAnsi="Book Antiqua" w:cs="宋体"/>
          <w:color w:val="000000"/>
          <w:sz w:val="21"/>
          <w:szCs w:val="21"/>
        </w:rPr>
        <w:t>: 480-491 [PMID: 23197852 DOI: 10.5966/sctm.2011-0056]</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15 </w:t>
      </w:r>
      <w:r w:rsidRPr="00832F55">
        <w:rPr>
          <w:rFonts w:ascii="Book Antiqua" w:hAnsi="Book Antiqua" w:cs="宋体"/>
          <w:b/>
          <w:bCs/>
          <w:color w:val="000000"/>
          <w:sz w:val="21"/>
          <w:szCs w:val="21"/>
        </w:rPr>
        <w:t>Knothe UR</w:t>
      </w:r>
      <w:r w:rsidRPr="00832F55">
        <w:rPr>
          <w:rFonts w:ascii="Book Antiqua" w:hAnsi="Book Antiqua" w:cs="宋体"/>
          <w:color w:val="000000"/>
          <w:sz w:val="21"/>
          <w:szCs w:val="21"/>
        </w:rPr>
        <w:t>, Dolejs S, Matthew Miller R, Knothe Tate ML. Effects of mechanical loading patterns, bone graft, and proximity to periosteum on bone defect healing. </w:t>
      </w:r>
      <w:r w:rsidRPr="00832F55">
        <w:rPr>
          <w:rFonts w:ascii="Book Antiqua" w:hAnsi="Book Antiqua" w:cs="宋体"/>
          <w:i/>
          <w:iCs/>
          <w:color w:val="000000"/>
          <w:sz w:val="21"/>
          <w:szCs w:val="21"/>
        </w:rPr>
        <w:t>J Biomech</w:t>
      </w:r>
      <w:r w:rsidRPr="00832F55">
        <w:rPr>
          <w:rFonts w:ascii="Book Antiqua" w:hAnsi="Book Antiqua" w:cs="宋体"/>
          <w:color w:val="000000"/>
          <w:sz w:val="21"/>
          <w:szCs w:val="21"/>
        </w:rPr>
        <w:t> 2010; </w:t>
      </w:r>
      <w:r w:rsidRPr="00832F55">
        <w:rPr>
          <w:rFonts w:ascii="Book Antiqua" w:hAnsi="Book Antiqua" w:cs="宋体"/>
          <w:b/>
          <w:bCs/>
          <w:color w:val="000000"/>
          <w:sz w:val="21"/>
          <w:szCs w:val="21"/>
        </w:rPr>
        <w:t>43</w:t>
      </w:r>
      <w:r w:rsidRPr="00832F55">
        <w:rPr>
          <w:rFonts w:ascii="Book Antiqua" w:hAnsi="Book Antiqua" w:cs="宋体"/>
          <w:color w:val="000000"/>
          <w:sz w:val="21"/>
          <w:szCs w:val="21"/>
        </w:rPr>
        <w:t>: 2728-2737 [PMID: 20673900 DOI: 0.1016/j.jbiomech.2010.06.026]</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16 </w:t>
      </w:r>
      <w:r w:rsidRPr="00832F55">
        <w:rPr>
          <w:rFonts w:ascii="Book Antiqua" w:hAnsi="Book Antiqua" w:cs="宋体"/>
          <w:b/>
          <w:bCs/>
          <w:color w:val="000000"/>
          <w:sz w:val="21"/>
          <w:szCs w:val="21"/>
        </w:rPr>
        <w:t>de Mourgues G</w:t>
      </w:r>
      <w:r w:rsidRPr="00832F55">
        <w:rPr>
          <w:rFonts w:ascii="Book Antiqua" w:hAnsi="Book Antiqua" w:cs="宋体"/>
          <w:color w:val="000000"/>
          <w:sz w:val="21"/>
          <w:szCs w:val="21"/>
        </w:rPr>
        <w:t>. [Léopold Ollier, 1830-1900, the father of orthopedic surgery]. </w:t>
      </w:r>
      <w:r w:rsidRPr="00832F55">
        <w:rPr>
          <w:rFonts w:ascii="Book Antiqua" w:hAnsi="Book Antiqua" w:cs="宋体"/>
          <w:i/>
          <w:iCs/>
          <w:color w:val="000000"/>
          <w:sz w:val="21"/>
          <w:szCs w:val="21"/>
        </w:rPr>
        <w:t>Rev Chir Orthop Reparatrice Appar Mot</w:t>
      </w:r>
      <w:r w:rsidRPr="00832F55">
        <w:rPr>
          <w:rFonts w:ascii="Book Antiqua" w:hAnsi="Book Antiqua" w:cs="宋体"/>
          <w:color w:val="000000"/>
          <w:sz w:val="21"/>
          <w:szCs w:val="21"/>
        </w:rPr>
        <w:t> 1979; </w:t>
      </w:r>
      <w:r w:rsidRPr="00832F55">
        <w:rPr>
          <w:rFonts w:ascii="Book Antiqua" w:hAnsi="Book Antiqua" w:cs="宋体"/>
          <w:b/>
          <w:bCs/>
          <w:color w:val="000000"/>
          <w:sz w:val="21"/>
          <w:szCs w:val="21"/>
        </w:rPr>
        <w:t xml:space="preserve">65 </w:t>
      </w:r>
      <w:r w:rsidRPr="00832F55">
        <w:rPr>
          <w:rFonts w:ascii="Book Antiqua" w:hAnsi="Book Antiqua" w:cs="宋体"/>
          <w:bCs/>
          <w:color w:val="000000"/>
          <w:sz w:val="21"/>
          <w:szCs w:val="21"/>
        </w:rPr>
        <w:t xml:space="preserve">Suppl </w:t>
      </w:r>
      <w:r w:rsidRPr="00832F55">
        <w:rPr>
          <w:rFonts w:ascii="Book Antiqua" w:hAnsi="Book Antiqua" w:cs="宋体"/>
          <w:b/>
          <w:bCs/>
          <w:color w:val="000000"/>
          <w:sz w:val="21"/>
          <w:szCs w:val="21"/>
        </w:rPr>
        <w:t>2</w:t>
      </w:r>
      <w:r w:rsidRPr="00832F55">
        <w:rPr>
          <w:rFonts w:ascii="Book Antiqua" w:hAnsi="Book Antiqua" w:cs="宋体"/>
          <w:color w:val="000000"/>
          <w:sz w:val="21"/>
          <w:szCs w:val="21"/>
        </w:rPr>
        <w:t>: 2-3 [PMID: 158783]</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17 </w:t>
      </w:r>
      <w:r w:rsidRPr="00832F55">
        <w:rPr>
          <w:rFonts w:ascii="Book Antiqua" w:hAnsi="Book Antiqua" w:cs="宋体"/>
          <w:b/>
          <w:bCs/>
          <w:color w:val="000000"/>
          <w:sz w:val="21"/>
          <w:szCs w:val="21"/>
        </w:rPr>
        <w:t>Fell HB</w:t>
      </w:r>
      <w:r w:rsidRPr="00832F55">
        <w:rPr>
          <w:rFonts w:ascii="Book Antiqua" w:hAnsi="Book Antiqua" w:cs="宋体"/>
          <w:color w:val="000000"/>
          <w:sz w:val="21"/>
          <w:szCs w:val="21"/>
        </w:rPr>
        <w:t>. The Osteogenic Capacity in vitro of Periosteum and Endosteum Isolated from the Limb Skeleton of Fowl Embryos and Young Chicks. </w:t>
      </w:r>
      <w:r w:rsidRPr="00832F55">
        <w:rPr>
          <w:rFonts w:ascii="Book Antiqua" w:hAnsi="Book Antiqua" w:cs="宋体"/>
          <w:i/>
          <w:iCs/>
          <w:color w:val="000000"/>
          <w:sz w:val="21"/>
          <w:szCs w:val="21"/>
        </w:rPr>
        <w:t>J Anat</w:t>
      </w:r>
      <w:r w:rsidRPr="00832F55">
        <w:rPr>
          <w:rFonts w:ascii="Book Antiqua" w:hAnsi="Book Antiqua" w:cs="宋体"/>
          <w:color w:val="000000"/>
          <w:sz w:val="21"/>
          <w:szCs w:val="21"/>
        </w:rPr>
        <w:t> 1932; </w:t>
      </w:r>
      <w:r w:rsidRPr="00832F55">
        <w:rPr>
          <w:rFonts w:ascii="Book Antiqua" w:hAnsi="Book Antiqua" w:cs="宋体"/>
          <w:b/>
          <w:bCs/>
          <w:color w:val="000000"/>
          <w:sz w:val="21"/>
          <w:szCs w:val="21"/>
        </w:rPr>
        <w:t>66</w:t>
      </w:r>
      <w:r w:rsidRPr="00832F55">
        <w:rPr>
          <w:rFonts w:ascii="Book Antiqua" w:hAnsi="Book Antiqua" w:cs="宋体"/>
          <w:color w:val="000000"/>
          <w:sz w:val="21"/>
          <w:szCs w:val="21"/>
        </w:rPr>
        <w:t>: 157-180.11 [PMID: 17104365]</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18 </w:t>
      </w:r>
      <w:r w:rsidRPr="00832F55">
        <w:rPr>
          <w:rFonts w:ascii="Book Antiqua" w:hAnsi="Book Antiqua" w:cs="宋体"/>
          <w:b/>
          <w:bCs/>
          <w:color w:val="000000"/>
          <w:sz w:val="21"/>
          <w:szCs w:val="21"/>
        </w:rPr>
        <w:t>Nakahara H</w:t>
      </w:r>
      <w:r w:rsidRPr="00832F55">
        <w:rPr>
          <w:rFonts w:ascii="Book Antiqua" w:hAnsi="Book Antiqua" w:cs="宋体"/>
          <w:color w:val="000000"/>
          <w:sz w:val="21"/>
          <w:szCs w:val="21"/>
        </w:rPr>
        <w:t>, Bruder SP, Goldberg VM, Caplan AI. In vivo osteochondrogenic potential of cultured cells derived from the periosteum. </w:t>
      </w:r>
      <w:r w:rsidRPr="00832F55">
        <w:rPr>
          <w:rFonts w:ascii="Book Antiqua" w:hAnsi="Book Antiqua" w:cs="宋体"/>
          <w:i/>
          <w:iCs/>
          <w:color w:val="000000"/>
          <w:sz w:val="21"/>
          <w:szCs w:val="21"/>
        </w:rPr>
        <w:t>Clin Orthop Relat Res</w:t>
      </w:r>
      <w:r w:rsidRPr="00832F55">
        <w:rPr>
          <w:rFonts w:ascii="Book Antiqua" w:hAnsi="Book Antiqua" w:cs="宋体"/>
          <w:color w:val="000000"/>
          <w:sz w:val="21"/>
          <w:szCs w:val="21"/>
        </w:rPr>
        <w:t> 1990; </w:t>
      </w:r>
      <w:r w:rsidRPr="00832F55">
        <w:rPr>
          <w:rFonts w:ascii="Book Antiqua" w:hAnsi="Book Antiqua" w:cs="宋体"/>
          <w:b/>
          <w:color w:val="000000"/>
          <w:szCs w:val="21"/>
        </w:rPr>
        <w:t>(259)</w:t>
      </w:r>
      <w:r w:rsidRPr="00832F55">
        <w:rPr>
          <w:rFonts w:ascii="Book Antiqua" w:hAnsi="Book Antiqua" w:cs="宋体"/>
          <w:color w:val="000000"/>
          <w:sz w:val="21"/>
          <w:szCs w:val="21"/>
        </w:rPr>
        <w:t>: 223-232 [PMID: 2208860 DOI: 10.1097/00003086-199010000-00032]</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19 </w:t>
      </w:r>
      <w:r w:rsidRPr="00832F55">
        <w:rPr>
          <w:rFonts w:ascii="Book Antiqua" w:hAnsi="Book Antiqua" w:cs="宋体"/>
          <w:b/>
          <w:bCs/>
          <w:color w:val="000000"/>
          <w:sz w:val="21"/>
          <w:szCs w:val="21"/>
        </w:rPr>
        <w:t>O'Driscoll SW</w:t>
      </w:r>
      <w:r w:rsidRPr="00832F55">
        <w:rPr>
          <w:rFonts w:ascii="Book Antiqua" w:hAnsi="Book Antiqua" w:cs="宋体"/>
          <w:color w:val="000000"/>
          <w:sz w:val="21"/>
          <w:szCs w:val="21"/>
        </w:rPr>
        <w:t>, Fitzsimmons JS. The role of periosteum in cartilage repair. </w:t>
      </w:r>
      <w:r w:rsidRPr="00832F55">
        <w:rPr>
          <w:rFonts w:ascii="Book Antiqua" w:hAnsi="Book Antiqua" w:cs="宋体"/>
          <w:i/>
          <w:iCs/>
          <w:color w:val="000000"/>
          <w:sz w:val="21"/>
          <w:szCs w:val="21"/>
        </w:rPr>
        <w:t>Clin Orthop Relat Res</w:t>
      </w:r>
      <w:r w:rsidRPr="00832F55">
        <w:rPr>
          <w:rFonts w:ascii="Book Antiqua" w:hAnsi="Book Antiqua" w:cs="宋体"/>
          <w:color w:val="000000"/>
          <w:sz w:val="21"/>
          <w:szCs w:val="21"/>
        </w:rPr>
        <w:t> 2001; </w:t>
      </w:r>
      <w:r w:rsidRPr="00832F55">
        <w:rPr>
          <w:rFonts w:ascii="Book Antiqua" w:hAnsi="Book Antiqua" w:cs="宋体"/>
          <w:b/>
          <w:color w:val="000000"/>
          <w:szCs w:val="21"/>
        </w:rPr>
        <w:t xml:space="preserve">(391 </w:t>
      </w:r>
      <w:r w:rsidRPr="00832F55">
        <w:rPr>
          <w:rFonts w:ascii="Book Antiqua" w:hAnsi="Book Antiqua" w:cs="宋体"/>
          <w:color w:val="000000"/>
          <w:szCs w:val="21"/>
        </w:rPr>
        <w:t>Suppl</w:t>
      </w:r>
      <w:r w:rsidRPr="00832F55">
        <w:rPr>
          <w:rFonts w:ascii="Book Antiqua" w:hAnsi="Book Antiqua" w:cs="宋体"/>
          <w:b/>
          <w:color w:val="000000"/>
          <w:szCs w:val="21"/>
        </w:rPr>
        <w:t>)</w:t>
      </w:r>
      <w:r w:rsidRPr="00832F55">
        <w:rPr>
          <w:rFonts w:ascii="Book Antiqua" w:hAnsi="Book Antiqua" w:cs="宋体"/>
          <w:color w:val="000000"/>
          <w:sz w:val="21"/>
          <w:szCs w:val="21"/>
        </w:rPr>
        <w:t>: S190-S207 [PMID: 11603704 DOI: 10.1097/00003086-200110001-00019]</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20 </w:t>
      </w:r>
      <w:r w:rsidRPr="00832F55">
        <w:rPr>
          <w:rFonts w:ascii="Book Antiqua" w:hAnsi="Book Antiqua" w:cs="宋体"/>
          <w:b/>
          <w:bCs/>
          <w:color w:val="000000"/>
          <w:sz w:val="21"/>
          <w:szCs w:val="21"/>
        </w:rPr>
        <w:t>Brittberg M</w:t>
      </w:r>
      <w:r w:rsidRPr="00832F55">
        <w:rPr>
          <w:rFonts w:ascii="Book Antiqua" w:hAnsi="Book Antiqua" w:cs="宋体"/>
          <w:color w:val="000000"/>
          <w:sz w:val="21"/>
          <w:szCs w:val="21"/>
        </w:rPr>
        <w:t>, Lindahl A, Nilsson A, Ohlsson C, Isaksson O, Peterson L. Treatment of deep cartilage defects in the knee with autologous chondrocyte transplantation. </w:t>
      </w:r>
      <w:r w:rsidRPr="00832F55">
        <w:rPr>
          <w:rFonts w:ascii="Book Antiqua" w:hAnsi="Book Antiqua" w:cs="宋体"/>
          <w:i/>
          <w:iCs/>
          <w:color w:val="000000"/>
          <w:sz w:val="21"/>
          <w:szCs w:val="21"/>
        </w:rPr>
        <w:t>N Engl J Med</w:t>
      </w:r>
      <w:r w:rsidRPr="00832F55">
        <w:rPr>
          <w:rFonts w:ascii="Book Antiqua" w:hAnsi="Book Antiqua" w:cs="宋体"/>
          <w:color w:val="000000"/>
          <w:sz w:val="21"/>
          <w:szCs w:val="21"/>
        </w:rPr>
        <w:t> 1994; </w:t>
      </w:r>
      <w:r w:rsidRPr="00832F55">
        <w:rPr>
          <w:rFonts w:ascii="Book Antiqua" w:hAnsi="Book Antiqua" w:cs="宋体"/>
          <w:b/>
          <w:bCs/>
          <w:color w:val="000000"/>
          <w:sz w:val="21"/>
          <w:szCs w:val="21"/>
        </w:rPr>
        <w:t>331</w:t>
      </w:r>
      <w:r w:rsidRPr="00832F55">
        <w:rPr>
          <w:rFonts w:ascii="Book Antiqua" w:hAnsi="Book Antiqua" w:cs="宋体"/>
          <w:color w:val="000000"/>
          <w:sz w:val="21"/>
          <w:szCs w:val="21"/>
        </w:rPr>
        <w:t>: 889-895 [PMID: 8078550 DOI: 10.1056/NEJM199410063311401]</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21 </w:t>
      </w:r>
      <w:r w:rsidRPr="00832F55">
        <w:rPr>
          <w:rFonts w:ascii="Book Antiqua" w:hAnsi="Book Antiqua" w:cs="宋体"/>
          <w:b/>
          <w:bCs/>
          <w:color w:val="000000"/>
          <w:sz w:val="21"/>
          <w:szCs w:val="21"/>
        </w:rPr>
        <w:t>Doi K</w:t>
      </w:r>
      <w:r w:rsidRPr="00832F55">
        <w:rPr>
          <w:rFonts w:ascii="Book Antiqua" w:hAnsi="Book Antiqua" w:cs="宋体"/>
          <w:color w:val="000000"/>
          <w:sz w:val="21"/>
          <w:szCs w:val="21"/>
        </w:rPr>
        <w:t>, Sakai K. Vascularized periosteal bone graft from the supracondylar region of the femur. </w:t>
      </w:r>
      <w:r w:rsidRPr="00832F55">
        <w:rPr>
          <w:rFonts w:ascii="Book Antiqua" w:hAnsi="Book Antiqua" w:cs="宋体"/>
          <w:i/>
          <w:iCs/>
          <w:color w:val="000000"/>
          <w:sz w:val="21"/>
          <w:szCs w:val="21"/>
        </w:rPr>
        <w:t>Microsurgery</w:t>
      </w:r>
      <w:r w:rsidRPr="00832F55">
        <w:rPr>
          <w:rFonts w:ascii="Book Antiqua" w:hAnsi="Book Antiqua" w:cs="宋体"/>
          <w:color w:val="000000"/>
          <w:sz w:val="21"/>
          <w:szCs w:val="21"/>
        </w:rPr>
        <w:t> 1994; </w:t>
      </w:r>
      <w:r w:rsidRPr="00832F55">
        <w:rPr>
          <w:rFonts w:ascii="Book Antiqua" w:hAnsi="Book Antiqua" w:cs="宋体"/>
          <w:b/>
          <w:bCs/>
          <w:color w:val="000000"/>
          <w:sz w:val="21"/>
          <w:szCs w:val="21"/>
        </w:rPr>
        <w:t>15</w:t>
      </w:r>
      <w:r w:rsidRPr="00832F55">
        <w:rPr>
          <w:rFonts w:ascii="Book Antiqua" w:hAnsi="Book Antiqua" w:cs="宋体"/>
          <w:color w:val="000000"/>
          <w:sz w:val="21"/>
          <w:szCs w:val="21"/>
        </w:rPr>
        <w:t>: 305-315 [PMID: 7934797 DOI: 10.1002/micr.1920150505]</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22 </w:t>
      </w:r>
      <w:r w:rsidRPr="00832F55">
        <w:rPr>
          <w:rFonts w:ascii="Book Antiqua" w:hAnsi="Book Antiqua" w:cs="宋体"/>
          <w:b/>
          <w:bCs/>
          <w:color w:val="000000"/>
          <w:sz w:val="21"/>
          <w:szCs w:val="21"/>
        </w:rPr>
        <w:t>Hoikka VE</w:t>
      </w:r>
      <w:r w:rsidRPr="00832F55">
        <w:rPr>
          <w:rFonts w:ascii="Book Antiqua" w:hAnsi="Book Antiqua" w:cs="宋体"/>
          <w:color w:val="000000"/>
          <w:sz w:val="21"/>
          <w:szCs w:val="21"/>
        </w:rPr>
        <w:t>, Jaroma HJ, Ritsilä VA. Reconstruction of the patellar articulation with periosteal grafts. 4-year follow-up of 13 cases. </w:t>
      </w:r>
      <w:r w:rsidRPr="00832F55">
        <w:rPr>
          <w:rFonts w:ascii="Book Antiqua" w:hAnsi="Book Antiqua" w:cs="宋体"/>
          <w:i/>
          <w:iCs/>
          <w:color w:val="000000"/>
          <w:sz w:val="21"/>
          <w:szCs w:val="21"/>
        </w:rPr>
        <w:t>Acta Orthop Scand</w:t>
      </w:r>
      <w:r w:rsidRPr="00832F55">
        <w:rPr>
          <w:rFonts w:ascii="Book Antiqua" w:hAnsi="Book Antiqua" w:cs="宋体"/>
          <w:color w:val="000000"/>
          <w:sz w:val="21"/>
          <w:szCs w:val="21"/>
        </w:rPr>
        <w:t> 1990; </w:t>
      </w:r>
      <w:r w:rsidRPr="00832F55">
        <w:rPr>
          <w:rFonts w:ascii="Book Antiqua" w:hAnsi="Book Antiqua" w:cs="宋体"/>
          <w:b/>
          <w:bCs/>
          <w:color w:val="000000"/>
          <w:sz w:val="21"/>
          <w:szCs w:val="21"/>
        </w:rPr>
        <w:t>61</w:t>
      </w:r>
      <w:r w:rsidRPr="00832F55">
        <w:rPr>
          <w:rFonts w:ascii="Book Antiqua" w:hAnsi="Book Antiqua" w:cs="宋体"/>
          <w:color w:val="000000"/>
          <w:sz w:val="21"/>
          <w:szCs w:val="21"/>
        </w:rPr>
        <w:t>: 36-39 [PMID: 2336949 DOI: 10.3109/17453679008993062]</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23 </w:t>
      </w:r>
      <w:r w:rsidRPr="00832F55">
        <w:rPr>
          <w:rFonts w:ascii="Book Antiqua" w:hAnsi="Book Antiqua" w:cs="宋体"/>
          <w:b/>
          <w:bCs/>
          <w:color w:val="000000"/>
          <w:sz w:val="21"/>
          <w:szCs w:val="21"/>
        </w:rPr>
        <w:t>Schmelzeisen R</w:t>
      </w:r>
      <w:r w:rsidRPr="00832F55">
        <w:rPr>
          <w:rFonts w:ascii="Book Antiqua" w:hAnsi="Book Antiqua" w:cs="宋体"/>
          <w:color w:val="000000"/>
          <w:sz w:val="21"/>
          <w:szCs w:val="21"/>
        </w:rPr>
        <w:t>, Schimming R, Sittinger M. Making bone: implant insertion into tissue-engineered bone for maxillary sinus floor augmentation-a preliminary report. </w:t>
      </w:r>
      <w:r w:rsidRPr="00832F55">
        <w:rPr>
          <w:rFonts w:ascii="Book Antiqua" w:hAnsi="Book Antiqua" w:cs="宋体"/>
          <w:i/>
          <w:iCs/>
          <w:color w:val="000000"/>
          <w:sz w:val="21"/>
          <w:szCs w:val="21"/>
        </w:rPr>
        <w:t>J Craniomaxillofac Surg</w:t>
      </w:r>
      <w:r w:rsidRPr="00832F55">
        <w:rPr>
          <w:rFonts w:ascii="Book Antiqua" w:hAnsi="Book Antiqua" w:cs="宋体"/>
          <w:color w:val="000000"/>
          <w:sz w:val="21"/>
          <w:szCs w:val="21"/>
        </w:rPr>
        <w:t> 2003; </w:t>
      </w:r>
      <w:r w:rsidRPr="00832F55">
        <w:rPr>
          <w:rFonts w:ascii="Book Antiqua" w:hAnsi="Book Antiqua" w:cs="宋体"/>
          <w:b/>
          <w:bCs/>
          <w:color w:val="000000"/>
          <w:sz w:val="21"/>
          <w:szCs w:val="21"/>
        </w:rPr>
        <w:t>31</w:t>
      </w:r>
      <w:r w:rsidRPr="00832F55">
        <w:rPr>
          <w:rFonts w:ascii="Book Antiqua" w:hAnsi="Book Antiqua" w:cs="宋体"/>
          <w:color w:val="000000"/>
          <w:sz w:val="21"/>
          <w:szCs w:val="21"/>
        </w:rPr>
        <w:t>: 34-39 [PMID: 12553924 DOI: 10.1016/S1010-5182(02)00163-4]</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24 </w:t>
      </w:r>
      <w:r w:rsidRPr="00832F55">
        <w:rPr>
          <w:rFonts w:ascii="Book Antiqua" w:hAnsi="Book Antiqua" w:cs="宋体"/>
          <w:b/>
          <w:bCs/>
          <w:color w:val="000000"/>
          <w:sz w:val="21"/>
          <w:szCs w:val="21"/>
        </w:rPr>
        <w:t>Colnot C</w:t>
      </w:r>
      <w:r w:rsidRPr="00832F55">
        <w:rPr>
          <w:rFonts w:ascii="Book Antiqua" w:hAnsi="Book Antiqua" w:cs="宋体"/>
          <w:color w:val="000000"/>
          <w:sz w:val="21"/>
          <w:szCs w:val="21"/>
        </w:rPr>
        <w:t>. Skeletal cell fate decisions within periosteum and bone marrow during bone regeneration. </w:t>
      </w:r>
      <w:r w:rsidRPr="00832F55">
        <w:rPr>
          <w:rFonts w:ascii="Book Antiqua" w:hAnsi="Book Antiqua" w:cs="宋体"/>
          <w:i/>
          <w:iCs/>
          <w:color w:val="000000"/>
          <w:sz w:val="21"/>
          <w:szCs w:val="21"/>
        </w:rPr>
        <w:t>J Bone Miner Res</w:t>
      </w:r>
      <w:r w:rsidRPr="00832F55">
        <w:rPr>
          <w:rFonts w:ascii="Book Antiqua" w:hAnsi="Book Antiqua" w:cs="宋体"/>
          <w:color w:val="000000"/>
          <w:sz w:val="21"/>
          <w:szCs w:val="21"/>
        </w:rPr>
        <w:t> 2009; </w:t>
      </w:r>
      <w:r w:rsidRPr="00832F55">
        <w:rPr>
          <w:rFonts w:ascii="Book Antiqua" w:hAnsi="Book Antiqua" w:cs="宋体"/>
          <w:b/>
          <w:bCs/>
          <w:color w:val="000000"/>
          <w:sz w:val="21"/>
          <w:szCs w:val="21"/>
        </w:rPr>
        <w:t>24</w:t>
      </w:r>
      <w:r w:rsidRPr="00832F55">
        <w:rPr>
          <w:rFonts w:ascii="Book Antiqua" w:hAnsi="Book Antiqua" w:cs="宋体"/>
          <w:color w:val="000000"/>
          <w:sz w:val="21"/>
          <w:szCs w:val="21"/>
        </w:rPr>
        <w:t>: 274-282 [PMID: 18847330 DOI: 10.1359/jbmr.081003]</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25 </w:t>
      </w:r>
      <w:r w:rsidRPr="00832F55">
        <w:rPr>
          <w:rFonts w:ascii="Book Antiqua" w:hAnsi="Book Antiqua" w:cs="宋体"/>
          <w:b/>
          <w:bCs/>
          <w:color w:val="000000"/>
          <w:sz w:val="21"/>
          <w:szCs w:val="21"/>
        </w:rPr>
        <w:t>Ossendorf C</w:t>
      </w:r>
      <w:r w:rsidRPr="00832F55">
        <w:rPr>
          <w:rFonts w:ascii="Book Antiqua" w:hAnsi="Book Antiqua" w:cs="宋体"/>
          <w:color w:val="000000"/>
          <w:sz w:val="21"/>
          <w:szCs w:val="21"/>
        </w:rPr>
        <w:t xml:space="preserve">, Kaps C, Kreuz PC, Burmester GR, Sittinger M, Erggelet C. Treatment of posttraumatic and focal osteoarthritic cartilage defects of the knee with autologous polymer-based three-dimensional </w:t>
      </w:r>
      <w:r w:rsidRPr="00832F55">
        <w:rPr>
          <w:rFonts w:ascii="Book Antiqua" w:hAnsi="Book Antiqua" w:cs="宋体"/>
          <w:color w:val="000000"/>
          <w:sz w:val="21"/>
          <w:szCs w:val="21"/>
        </w:rPr>
        <w:lastRenderedPageBreak/>
        <w:t>chondrocyte grafts: 2-year clinical results. </w:t>
      </w:r>
      <w:r w:rsidRPr="00832F55">
        <w:rPr>
          <w:rFonts w:ascii="Book Antiqua" w:hAnsi="Book Antiqua" w:cs="宋体"/>
          <w:i/>
          <w:iCs/>
          <w:color w:val="000000"/>
          <w:sz w:val="21"/>
          <w:szCs w:val="21"/>
        </w:rPr>
        <w:t>Arthritis Res Ther</w:t>
      </w:r>
      <w:r w:rsidRPr="00832F55">
        <w:rPr>
          <w:rFonts w:ascii="Book Antiqua" w:hAnsi="Book Antiqua" w:cs="宋体"/>
          <w:color w:val="000000"/>
          <w:sz w:val="21"/>
          <w:szCs w:val="21"/>
        </w:rPr>
        <w:t> 2007; </w:t>
      </w:r>
      <w:r w:rsidRPr="00832F55">
        <w:rPr>
          <w:rFonts w:ascii="Book Antiqua" w:hAnsi="Book Antiqua" w:cs="宋体"/>
          <w:b/>
          <w:bCs/>
          <w:color w:val="000000"/>
          <w:sz w:val="21"/>
          <w:szCs w:val="21"/>
        </w:rPr>
        <w:t>9</w:t>
      </w:r>
      <w:r w:rsidRPr="00832F55">
        <w:rPr>
          <w:rFonts w:ascii="Book Antiqua" w:hAnsi="Book Antiqua" w:cs="宋体"/>
          <w:color w:val="000000"/>
          <w:sz w:val="21"/>
          <w:szCs w:val="21"/>
        </w:rPr>
        <w:t>: R41 [PMID: 17451597 DOI: 10.1186/ar2180]</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26 </w:t>
      </w:r>
      <w:r w:rsidRPr="00832F55">
        <w:rPr>
          <w:rFonts w:ascii="Book Antiqua" w:hAnsi="Book Antiqua" w:cs="宋体"/>
          <w:b/>
          <w:bCs/>
          <w:color w:val="000000"/>
          <w:sz w:val="21"/>
          <w:szCs w:val="21"/>
        </w:rPr>
        <w:t>Bruder SP</w:t>
      </w:r>
      <w:r w:rsidRPr="00832F55">
        <w:rPr>
          <w:rFonts w:ascii="Book Antiqua" w:hAnsi="Book Antiqua" w:cs="宋体"/>
          <w:color w:val="000000"/>
          <w:sz w:val="21"/>
          <w:szCs w:val="21"/>
        </w:rPr>
        <w:t>, Jaiswal N, Haynesworth SE. Growth kinetics, self-renewal, and the osteogenic potential of purified human mesenchymal stem cells during extensive subcultivation and following cryopreservation. </w:t>
      </w:r>
      <w:r w:rsidRPr="00832F55">
        <w:rPr>
          <w:rFonts w:ascii="Book Antiqua" w:hAnsi="Book Antiqua" w:cs="宋体"/>
          <w:i/>
          <w:iCs/>
          <w:color w:val="000000"/>
          <w:sz w:val="21"/>
          <w:szCs w:val="21"/>
        </w:rPr>
        <w:t>J Cell Biochem</w:t>
      </w:r>
      <w:r w:rsidRPr="00832F55">
        <w:rPr>
          <w:rFonts w:ascii="Book Antiqua" w:hAnsi="Book Antiqua" w:cs="宋体"/>
          <w:color w:val="000000"/>
          <w:sz w:val="21"/>
          <w:szCs w:val="21"/>
        </w:rPr>
        <w:t> 1997; </w:t>
      </w:r>
      <w:r w:rsidRPr="00832F55">
        <w:rPr>
          <w:rFonts w:ascii="Book Antiqua" w:hAnsi="Book Antiqua" w:cs="宋体"/>
          <w:b/>
          <w:bCs/>
          <w:color w:val="000000"/>
          <w:sz w:val="21"/>
          <w:szCs w:val="21"/>
        </w:rPr>
        <w:t>64</w:t>
      </w:r>
      <w:r w:rsidRPr="00832F55">
        <w:rPr>
          <w:rFonts w:ascii="Book Antiqua" w:hAnsi="Book Antiqua" w:cs="宋体"/>
          <w:color w:val="000000"/>
          <w:sz w:val="21"/>
          <w:szCs w:val="21"/>
        </w:rPr>
        <w:t>: 278-294 [PMID: 9027588 DOI: 10.1002/(SICI)1097-4644(199702)64: 2&lt;278: : AID-JCB11&gt;3.0.CO; 2-F]</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27 </w:t>
      </w:r>
      <w:r w:rsidRPr="00832F55">
        <w:rPr>
          <w:rFonts w:ascii="Book Antiqua" w:hAnsi="Book Antiqua" w:cs="宋体"/>
          <w:b/>
          <w:bCs/>
          <w:color w:val="000000"/>
          <w:sz w:val="21"/>
          <w:szCs w:val="21"/>
        </w:rPr>
        <w:t>Lim SM</w:t>
      </w:r>
      <w:r w:rsidRPr="00832F55">
        <w:rPr>
          <w:rFonts w:ascii="Book Antiqua" w:hAnsi="Book Antiqua" w:cs="宋体"/>
          <w:color w:val="000000"/>
          <w:sz w:val="21"/>
          <w:szCs w:val="21"/>
        </w:rPr>
        <w:t>, Choi YS, Shin HC, Lee CW, Kim DI. Isolation of human periosteum-derived progenitor cells using immunophenotypes for chondrogenesis. </w:t>
      </w:r>
      <w:r w:rsidRPr="00832F55">
        <w:rPr>
          <w:rFonts w:ascii="Book Antiqua" w:hAnsi="Book Antiqua" w:cs="宋体"/>
          <w:i/>
          <w:iCs/>
          <w:color w:val="000000"/>
          <w:sz w:val="21"/>
          <w:szCs w:val="21"/>
        </w:rPr>
        <w:t>Biotechnol Lett</w:t>
      </w:r>
      <w:r w:rsidRPr="00832F55">
        <w:rPr>
          <w:rFonts w:ascii="Book Antiqua" w:hAnsi="Book Antiqua" w:cs="宋体"/>
          <w:color w:val="000000"/>
          <w:sz w:val="21"/>
          <w:szCs w:val="21"/>
        </w:rPr>
        <w:t> 2005; </w:t>
      </w:r>
      <w:r w:rsidRPr="00832F55">
        <w:rPr>
          <w:rFonts w:ascii="Book Antiqua" w:hAnsi="Book Antiqua" w:cs="宋体"/>
          <w:b/>
          <w:bCs/>
          <w:color w:val="000000"/>
          <w:sz w:val="21"/>
          <w:szCs w:val="21"/>
        </w:rPr>
        <w:t>27</w:t>
      </w:r>
      <w:r w:rsidRPr="00832F55">
        <w:rPr>
          <w:rFonts w:ascii="Book Antiqua" w:hAnsi="Book Antiqua" w:cs="宋体"/>
          <w:color w:val="000000"/>
          <w:sz w:val="21"/>
          <w:szCs w:val="21"/>
        </w:rPr>
        <w:t>: 607-611 [PMID: 15977065 DOI: 10.1007/s10529-005-3625-5]</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28 </w:t>
      </w:r>
      <w:r w:rsidRPr="00832F55">
        <w:rPr>
          <w:rFonts w:ascii="Book Antiqua" w:hAnsi="Book Antiqua" w:cs="宋体"/>
          <w:b/>
          <w:bCs/>
          <w:color w:val="000000"/>
          <w:sz w:val="21"/>
          <w:szCs w:val="21"/>
        </w:rPr>
        <w:t>Koshihara Y</w:t>
      </w:r>
      <w:r w:rsidRPr="00832F55">
        <w:rPr>
          <w:rFonts w:ascii="Book Antiqua" w:hAnsi="Book Antiqua" w:cs="宋体"/>
          <w:color w:val="000000"/>
          <w:sz w:val="21"/>
          <w:szCs w:val="21"/>
        </w:rPr>
        <w:t>, Honda Y. Age-related increase in collagen production in cultured human osteoblast-like periosteal cells. </w:t>
      </w:r>
      <w:r w:rsidRPr="00832F55">
        <w:rPr>
          <w:rFonts w:ascii="Book Antiqua" w:hAnsi="Book Antiqua" w:cs="宋体"/>
          <w:i/>
          <w:iCs/>
          <w:color w:val="000000"/>
          <w:sz w:val="21"/>
          <w:szCs w:val="21"/>
        </w:rPr>
        <w:t>Mech Ageing Dev</w:t>
      </w:r>
      <w:r w:rsidRPr="00832F55">
        <w:rPr>
          <w:rFonts w:ascii="Book Antiqua" w:hAnsi="Book Antiqua" w:cs="宋体"/>
          <w:color w:val="000000"/>
          <w:sz w:val="21"/>
          <w:szCs w:val="21"/>
        </w:rPr>
        <w:t> 1994; </w:t>
      </w:r>
      <w:r w:rsidRPr="00832F55">
        <w:rPr>
          <w:rFonts w:ascii="Book Antiqua" w:hAnsi="Book Antiqua" w:cs="宋体"/>
          <w:b/>
          <w:bCs/>
          <w:color w:val="000000"/>
          <w:sz w:val="21"/>
          <w:szCs w:val="21"/>
        </w:rPr>
        <w:t>74</w:t>
      </w:r>
      <w:r w:rsidRPr="00832F55">
        <w:rPr>
          <w:rFonts w:ascii="Book Antiqua" w:hAnsi="Book Antiqua" w:cs="宋体"/>
          <w:color w:val="000000"/>
          <w:sz w:val="21"/>
          <w:szCs w:val="21"/>
        </w:rPr>
        <w:t>: 89-101 [PMID: 7934211 DOI: 10.1016/0047-6374(94)90101-5]</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29 </w:t>
      </w:r>
      <w:r w:rsidRPr="00832F55">
        <w:rPr>
          <w:rFonts w:ascii="Book Antiqua" w:hAnsi="Book Antiqua" w:cs="宋体"/>
          <w:b/>
          <w:bCs/>
          <w:color w:val="000000"/>
          <w:sz w:val="21"/>
          <w:szCs w:val="21"/>
        </w:rPr>
        <w:t>Bilkay U</w:t>
      </w:r>
      <w:r w:rsidRPr="00832F55">
        <w:rPr>
          <w:rFonts w:ascii="Book Antiqua" w:hAnsi="Book Antiqua" w:cs="宋体"/>
          <w:color w:val="000000"/>
          <w:sz w:val="21"/>
          <w:szCs w:val="21"/>
        </w:rPr>
        <w:t>, Tokat C, Helvaci E, Ozek C, Zekioglu O, Onat T, Songur E. Osteogenic capacities of tibial and cranial periosteum: a biochemical and histologic study. </w:t>
      </w:r>
      <w:r w:rsidRPr="00832F55">
        <w:rPr>
          <w:rFonts w:ascii="Book Antiqua" w:hAnsi="Book Antiqua" w:cs="宋体"/>
          <w:i/>
          <w:iCs/>
          <w:color w:val="000000"/>
          <w:sz w:val="21"/>
          <w:szCs w:val="21"/>
        </w:rPr>
        <w:t>J Craniofac Surg</w:t>
      </w:r>
      <w:r w:rsidRPr="00832F55">
        <w:rPr>
          <w:rFonts w:ascii="Book Antiqua" w:hAnsi="Book Antiqua" w:cs="宋体"/>
          <w:color w:val="000000"/>
          <w:sz w:val="21"/>
          <w:szCs w:val="21"/>
        </w:rPr>
        <w:t> 2008; </w:t>
      </w:r>
      <w:r w:rsidRPr="00832F55">
        <w:rPr>
          <w:rFonts w:ascii="Book Antiqua" w:hAnsi="Book Antiqua" w:cs="宋体"/>
          <w:b/>
          <w:bCs/>
          <w:color w:val="000000"/>
          <w:sz w:val="21"/>
          <w:szCs w:val="21"/>
        </w:rPr>
        <w:t>19</w:t>
      </w:r>
      <w:r w:rsidRPr="00832F55">
        <w:rPr>
          <w:rFonts w:ascii="Book Antiqua" w:hAnsi="Book Antiqua" w:cs="宋体"/>
          <w:color w:val="000000"/>
          <w:sz w:val="21"/>
          <w:szCs w:val="21"/>
        </w:rPr>
        <w:t>: 453-458 [PMID: 18362726 DOI: 10.1097/SCS.0b013e318052fe3d]</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30 </w:t>
      </w:r>
      <w:r w:rsidRPr="00832F55">
        <w:rPr>
          <w:rFonts w:ascii="Book Antiqua" w:hAnsi="Book Antiqua" w:cs="宋体"/>
          <w:b/>
          <w:bCs/>
          <w:color w:val="000000"/>
          <w:sz w:val="21"/>
          <w:szCs w:val="21"/>
        </w:rPr>
        <w:t>Srisa-Art M</w:t>
      </w:r>
      <w:r w:rsidRPr="00832F55">
        <w:rPr>
          <w:rFonts w:ascii="Book Antiqua" w:hAnsi="Book Antiqua" w:cs="宋体"/>
          <w:color w:val="000000"/>
          <w:sz w:val="21"/>
          <w:szCs w:val="21"/>
        </w:rPr>
        <w:t>, Bonzani IC, Williams A, Stevens MM, deMello AJ, Edel JB. Identification of rare progenitor cells from human periosteal tissue using droplet microfluidics. </w:t>
      </w:r>
      <w:r w:rsidRPr="00832F55">
        <w:rPr>
          <w:rFonts w:ascii="Book Antiqua" w:hAnsi="Book Antiqua" w:cs="宋体"/>
          <w:i/>
          <w:iCs/>
          <w:color w:val="000000"/>
          <w:sz w:val="21"/>
          <w:szCs w:val="21"/>
        </w:rPr>
        <w:t>Analyst</w:t>
      </w:r>
      <w:r w:rsidRPr="00832F55">
        <w:rPr>
          <w:rFonts w:ascii="Book Antiqua" w:hAnsi="Book Antiqua" w:cs="宋体"/>
          <w:color w:val="000000"/>
          <w:sz w:val="21"/>
          <w:szCs w:val="21"/>
        </w:rPr>
        <w:t> 2009; </w:t>
      </w:r>
      <w:r w:rsidRPr="00832F55">
        <w:rPr>
          <w:rFonts w:ascii="Book Antiqua" w:hAnsi="Book Antiqua" w:cs="宋体"/>
          <w:b/>
          <w:bCs/>
          <w:color w:val="000000"/>
          <w:sz w:val="21"/>
          <w:szCs w:val="21"/>
        </w:rPr>
        <w:t>134</w:t>
      </w:r>
      <w:r w:rsidRPr="00832F55">
        <w:rPr>
          <w:rFonts w:ascii="Book Antiqua" w:hAnsi="Book Antiqua" w:cs="宋体"/>
          <w:color w:val="000000"/>
          <w:sz w:val="21"/>
          <w:szCs w:val="21"/>
        </w:rPr>
        <w:t>: 2239-2245 [PMID: 19838410 DOI: 10.1039/b910472k]</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31 </w:t>
      </w:r>
      <w:r w:rsidRPr="00832F55">
        <w:rPr>
          <w:rFonts w:ascii="Book Antiqua" w:hAnsi="Book Antiqua" w:cs="宋体"/>
          <w:b/>
          <w:bCs/>
          <w:color w:val="000000"/>
          <w:sz w:val="21"/>
          <w:szCs w:val="21"/>
        </w:rPr>
        <w:t>Nakahara H</w:t>
      </w:r>
      <w:r w:rsidRPr="00832F55">
        <w:rPr>
          <w:rFonts w:ascii="Book Antiqua" w:hAnsi="Book Antiqua" w:cs="宋体"/>
          <w:color w:val="000000"/>
          <w:sz w:val="21"/>
          <w:szCs w:val="21"/>
        </w:rPr>
        <w:t>, Bruder SP, Haynesworth SE, Holecek JJ, Baber MA, Goldberg VM, Caplan AI. Bone and cartilage formation in diffusion chambers by subcultured cells derived from the periosteum. </w:t>
      </w:r>
      <w:r w:rsidRPr="00832F55">
        <w:rPr>
          <w:rFonts w:ascii="Book Antiqua" w:hAnsi="Book Antiqua" w:cs="宋体"/>
          <w:i/>
          <w:iCs/>
          <w:color w:val="000000"/>
          <w:sz w:val="21"/>
          <w:szCs w:val="21"/>
        </w:rPr>
        <w:t>Bone</w:t>
      </w:r>
      <w:r w:rsidRPr="00832F55">
        <w:rPr>
          <w:rFonts w:ascii="Book Antiqua" w:hAnsi="Book Antiqua" w:cs="宋体"/>
          <w:color w:val="000000"/>
          <w:sz w:val="21"/>
          <w:szCs w:val="21"/>
        </w:rPr>
        <w:t> 1990; </w:t>
      </w:r>
      <w:r w:rsidRPr="00832F55">
        <w:rPr>
          <w:rFonts w:ascii="Book Antiqua" w:hAnsi="Book Antiqua" w:cs="宋体"/>
          <w:b/>
          <w:bCs/>
          <w:color w:val="000000"/>
          <w:sz w:val="21"/>
          <w:szCs w:val="21"/>
        </w:rPr>
        <w:t>11</w:t>
      </w:r>
      <w:r w:rsidRPr="00832F55">
        <w:rPr>
          <w:rFonts w:ascii="Book Antiqua" w:hAnsi="Book Antiqua" w:cs="宋体"/>
          <w:color w:val="000000"/>
          <w:sz w:val="21"/>
          <w:szCs w:val="21"/>
        </w:rPr>
        <w:t>: 181-188 [PMID: 2390376 DOI: 10.1016/8756-3282(90)90212-H]</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32 </w:t>
      </w:r>
      <w:r w:rsidRPr="00832F55">
        <w:rPr>
          <w:rFonts w:ascii="Book Antiqua" w:hAnsi="Book Antiqua" w:cs="宋体"/>
          <w:b/>
          <w:bCs/>
          <w:color w:val="000000"/>
          <w:sz w:val="21"/>
          <w:szCs w:val="21"/>
        </w:rPr>
        <w:t>Nakahara H</w:t>
      </w:r>
      <w:r w:rsidRPr="00832F55">
        <w:rPr>
          <w:rFonts w:ascii="Book Antiqua" w:hAnsi="Book Antiqua" w:cs="宋体"/>
          <w:color w:val="000000"/>
          <w:sz w:val="21"/>
          <w:szCs w:val="21"/>
        </w:rPr>
        <w:t>, Goldberg VM, Caplan AI. Culture-expanded human periosteal-derived cells exhibit osteochondral potential in vivo. </w:t>
      </w:r>
      <w:r w:rsidRPr="00832F55">
        <w:rPr>
          <w:rFonts w:ascii="Book Antiqua" w:hAnsi="Book Antiqua" w:cs="宋体"/>
          <w:i/>
          <w:iCs/>
          <w:color w:val="000000"/>
          <w:sz w:val="21"/>
          <w:szCs w:val="21"/>
        </w:rPr>
        <w:t>J Orthop Res</w:t>
      </w:r>
      <w:r w:rsidRPr="00832F55">
        <w:rPr>
          <w:rFonts w:ascii="Book Antiqua" w:hAnsi="Book Antiqua" w:cs="宋体"/>
          <w:color w:val="000000"/>
          <w:sz w:val="21"/>
          <w:szCs w:val="21"/>
        </w:rPr>
        <w:t> 1991; </w:t>
      </w:r>
      <w:r w:rsidRPr="00832F55">
        <w:rPr>
          <w:rFonts w:ascii="Book Antiqua" w:hAnsi="Book Antiqua" w:cs="宋体"/>
          <w:b/>
          <w:bCs/>
          <w:color w:val="000000"/>
          <w:sz w:val="21"/>
          <w:szCs w:val="21"/>
        </w:rPr>
        <w:t>9</w:t>
      </w:r>
      <w:r w:rsidRPr="00832F55">
        <w:rPr>
          <w:rFonts w:ascii="Book Antiqua" w:hAnsi="Book Antiqua" w:cs="宋体"/>
          <w:color w:val="000000"/>
          <w:sz w:val="21"/>
          <w:szCs w:val="21"/>
        </w:rPr>
        <w:t>: 465-476 [PMID: 2045973 DOI: 10.1002/jor.1100090402]</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33 </w:t>
      </w:r>
      <w:r w:rsidRPr="00832F55">
        <w:rPr>
          <w:rFonts w:ascii="Book Antiqua" w:hAnsi="Book Antiqua" w:cs="宋体"/>
          <w:b/>
          <w:bCs/>
          <w:color w:val="000000"/>
          <w:sz w:val="21"/>
          <w:szCs w:val="21"/>
        </w:rPr>
        <w:t>Hutmacher DW</w:t>
      </w:r>
      <w:r w:rsidRPr="00832F55">
        <w:rPr>
          <w:rFonts w:ascii="Book Antiqua" w:hAnsi="Book Antiqua" w:cs="宋体"/>
          <w:color w:val="000000"/>
          <w:sz w:val="21"/>
          <w:szCs w:val="21"/>
        </w:rPr>
        <w:t>, Sittinger M. Periosteal cells in bone tissue engineering. </w:t>
      </w:r>
      <w:r w:rsidRPr="00832F55">
        <w:rPr>
          <w:rFonts w:ascii="Book Antiqua" w:hAnsi="Book Antiqua" w:cs="宋体"/>
          <w:i/>
          <w:iCs/>
          <w:color w:val="000000"/>
          <w:sz w:val="21"/>
          <w:szCs w:val="21"/>
        </w:rPr>
        <w:t>Tissue Eng</w:t>
      </w:r>
      <w:r w:rsidRPr="00832F55">
        <w:rPr>
          <w:rFonts w:ascii="Book Antiqua" w:hAnsi="Book Antiqua" w:cs="宋体"/>
          <w:color w:val="000000"/>
          <w:sz w:val="21"/>
          <w:szCs w:val="21"/>
        </w:rPr>
        <w:t> 2003; </w:t>
      </w:r>
      <w:r w:rsidRPr="00832F55">
        <w:rPr>
          <w:rFonts w:ascii="Book Antiqua" w:hAnsi="Book Antiqua" w:cs="宋体"/>
          <w:b/>
          <w:bCs/>
          <w:color w:val="000000"/>
          <w:sz w:val="21"/>
          <w:szCs w:val="21"/>
        </w:rPr>
        <w:t>9</w:t>
      </w:r>
      <w:r w:rsidRPr="00832F55">
        <w:rPr>
          <w:rFonts w:ascii="Book Antiqua" w:hAnsi="Book Antiqua" w:cs="宋体"/>
          <w:bCs/>
          <w:color w:val="000000"/>
          <w:sz w:val="21"/>
          <w:szCs w:val="21"/>
        </w:rPr>
        <w:t xml:space="preserve"> Suppl 1</w:t>
      </w:r>
      <w:r w:rsidRPr="00832F55">
        <w:rPr>
          <w:rFonts w:ascii="Book Antiqua" w:hAnsi="Book Antiqua" w:cs="宋体"/>
          <w:color w:val="000000"/>
          <w:sz w:val="21"/>
          <w:szCs w:val="21"/>
        </w:rPr>
        <w:t>: S45-S64 [PMID: 14511470 DOI: 10.1089/10763270360696978]</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34 </w:t>
      </w:r>
      <w:r w:rsidRPr="00832F55">
        <w:rPr>
          <w:rFonts w:ascii="Book Antiqua" w:hAnsi="Book Antiqua" w:cs="宋体"/>
          <w:b/>
          <w:bCs/>
          <w:color w:val="000000"/>
          <w:sz w:val="21"/>
          <w:szCs w:val="21"/>
        </w:rPr>
        <w:t>Pal R</w:t>
      </w:r>
      <w:r w:rsidRPr="00832F55">
        <w:rPr>
          <w:rFonts w:ascii="Book Antiqua" w:hAnsi="Book Antiqua" w:cs="宋体"/>
          <w:color w:val="000000"/>
          <w:sz w:val="21"/>
          <w:szCs w:val="21"/>
        </w:rPr>
        <w:t>, Hanwate M, Jan M, Totey S. Phenotypic and functional comparison of optimum culture conditions for upscaling of bone marrow-derived mesenchymal stem cells. </w:t>
      </w:r>
      <w:r w:rsidRPr="00832F55">
        <w:rPr>
          <w:rFonts w:ascii="Book Antiqua" w:hAnsi="Book Antiqua" w:cs="宋体"/>
          <w:i/>
          <w:iCs/>
          <w:color w:val="000000"/>
          <w:sz w:val="21"/>
          <w:szCs w:val="21"/>
        </w:rPr>
        <w:t>J Tissue Eng Regen Med</w:t>
      </w:r>
      <w:r w:rsidRPr="00832F55">
        <w:rPr>
          <w:rFonts w:ascii="Book Antiqua" w:hAnsi="Book Antiqua" w:cs="宋体"/>
          <w:color w:val="000000"/>
          <w:sz w:val="21"/>
          <w:szCs w:val="21"/>
        </w:rPr>
        <w:t> 2009; </w:t>
      </w:r>
      <w:r w:rsidRPr="00832F55">
        <w:rPr>
          <w:rFonts w:ascii="Book Antiqua" w:hAnsi="Book Antiqua" w:cs="宋体"/>
          <w:b/>
          <w:bCs/>
          <w:color w:val="000000"/>
          <w:sz w:val="21"/>
          <w:szCs w:val="21"/>
        </w:rPr>
        <w:t>3</w:t>
      </w:r>
      <w:r w:rsidRPr="00832F55">
        <w:rPr>
          <w:rFonts w:ascii="Book Antiqua" w:hAnsi="Book Antiqua" w:cs="宋体"/>
          <w:color w:val="000000"/>
          <w:sz w:val="21"/>
          <w:szCs w:val="21"/>
        </w:rPr>
        <w:t>: 163-174 [PMID: 19229888 DOI: 10.1002/term.143]</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35 </w:t>
      </w:r>
      <w:r w:rsidRPr="00832F55">
        <w:rPr>
          <w:rFonts w:ascii="Book Antiqua" w:hAnsi="Book Antiqua" w:cs="宋体"/>
          <w:b/>
          <w:bCs/>
          <w:color w:val="000000"/>
          <w:sz w:val="21"/>
          <w:szCs w:val="21"/>
        </w:rPr>
        <w:t>Dominici M</w:t>
      </w:r>
      <w:r w:rsidRPr="00832F55">
        <w:rPr>
          <w:rFonts w:ascii="Book Antiqua" w:hAnsi="Book Antiqua" w:cs="宋体"/>
          <w:color w:val="000000"/>
          <w:sz w:val="21"/>
          <w:szCs w:val="21"/>
        </w:rPr>
        <w:t>, Le Blanc K, Mueller I, Slaper-Cortenbach I, Marini F, Krause D, Deans R, Keating A, Prockop Dj, Horwitz E. Minimal criteria for defining multipotent mesenchymal stromal cells. The International Society for Cellular Therapy position statement. </w:t>
      </w:r>
      <w:r w:rsidRPr="00832F55">
        <w:rPr>
          <w:rFonts w:ascii="Book Antiqua" w:hAnsi="Book Antiqua" w:cs="宋体"/>
          <w:i/>
          <w:iCs/>
          <w:color w:val="000000"/>
          <w:sz w:val="21"/>
          <w:szCs w:val="21"/>
        </w:rPr>
        <w:t>Cytotherapy</w:t>
      </w:r>
      <w:r w:rsidRPr="00832F55">
        <w:rPr>
          <w:rFonts w:ascii="Book Antiqua" w:hAnsi="Book Antiqua" w:cs="宋体"/>
          <w:color w:val="000000"/>
          <w:sz w:val="21"/>
          <w:szCs w:val="21"/>
        </w:rPr>
        <w:t> 2006; </w:t>
      </w:r>
      <w:r w:rsidRPr="00832F55">
        <w:rPr>
          <w:rFonts w:ascii="Book Antiqua" w:hAnsi="Book Antiqua" w:cs="宋体"/>
          <w:b/>
          <w:bCs/>
          <w:color w:val="000000"/>
          <w:sz w:val="21"/>
          <w:szCs w:val="21"/>
        </w:rPr>
        <w:t>8</w:t>
      </w:r>
      <w:r w:rsidRPr="00832F55">
        <w:rPr>
          <w:rFonts w:ascii="Book Antiqua" w:hAnsi="Book Antiqua" w:cs="宋体"/>
          <w:color w:val="000000"/>
          <w:sz w:val="21"/>
          <w:szCs w:val="21"/>
        </w:rPr>
        <w:t>: 315-317 [PMID: 16923606 DOI: 10.1080/14653240600855905]</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36 </w:t>
      </w:r>
      <w:r w:rsidRPr="00832F55">
        <w:rPr>
          <w:rFonts w:ascii="Book Antiqua" w:hAnsi="Book Antiqua" w:cs="宋体"/>
          <w:b/>
          <w:bCs/>
          <w:color w:val="000000"/>
          <w:sz w:val="21"/>
          <w:szCs w:val="21"/>
        </w:rPr>
        <w:t>Halfon S</w:t>
      </w:r>
      <w:r w:rsidRPr="00832F55">
        <w:rPr>
          <w:rFonts w:ascii="Book Antiqua" w:hAnsi="Book Antiqua" w:cs="宋体"/>
          <w:color w:val="000000"/>
          <w:sz w:val="21"/>
          <w:szCs w:val="21"/>
        </w:rPr>
        <w:t>, Abramov N, Grinblat B, Ginis I. Markers distinguishing mesenchymal stem cells from fibroblasts are downregulated with passaging. </w:t>
      </w:r>
      <w:r w:rsidRPr="00832F55">
        <w:rPr>
          <w:rFonts w:ascii="Book Antiqua" w:hAnsi="Book Antiqua" w:cs="宋体"/>
          <w:i/>
          <w:iCs/>
          <w:color w:val="000000"/>
          <w:sz w:val="21"/>
          <w:szCs w:val="21"/>
        </w:rPr>
        <w:t>Stem Cells Dev</w:t>
      </w:r>
      <w:r w:rsidRPr="00832F55">
        <w:rPr>
          <w:rFonts w:ascii="Book Antiqua" w:hAnsi="Book Antiqua" w:cs="宋体"/>
          <w:color w:val="000000"/>
          <w:sz w:val="21"/>
          <w:szCs w:val="21"/>
        </w:rPr>
        <w:t> 2011; </w:t>
      </w:r>
      <w:r w:rsidRPr="00832F55">
        <w:rPr>
          <w:rFonts w:ascii="Book Antiqua" w:hAnsi="Book Antiqua" w:cs="宋体"/>
          <w:b/>
          <w:bCs/>
          <w:color w:val="000000"/>
          <w:sz w:val="21"/>
          <w:szCs w:val="21"/>
        </w:rPr>
        <w:t>20</w:t>
      </w:r>
      <w:r w:rsidRPr="00832F55">
        <w:rPr>
          <w:rFonts w:ascii="Book Antiqua" w:hAnsi="Book Antiqua" w:cs="宋体"/>
          <w:color w:val="000000"/>
          <w:sz w:val="21"/>
          <w:szCs w:val="21"/>
        </w:rPr>
        <w:t>: 53-66 [PMID: 20528146 DOI: 10.1089/scd.2010.0040]</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lastRenderedPageBreak/>
        <w:t>37 </w:t>
      </w:r>
      <w:r w:rsidRPr="00832F55">
        <w:rPr>
          <w:rFonts w:ascii="Book Antiqua" w:hAnsi="Book Antiqua" w:cs="宋体"/>
          <w:b/>
          <w:bCs/>
          <w:color w:val="000000"/>
          <w:sz w:val="21"/>
          <w:szCs w:val="21"/>
        </w:rPr>
        <w:t>Covas DT</w:t>
      </w:r>
      <w:r w:rsidRPr="00832F55">
        <w:rPr>
          <w:rFonts w:ascii="Book Antiqua" w:hAnsi="Book Antiqua" w:cs="宋体"/>
          <w:color w:val="000000"/>
          <w:sz w:val="21"/>
          <w:szCs w:val="21"/>
        </w:rPr>
        <w:t>, Panepucci RA, Fontes AM, Silva WA, Orellana MD, Freitas MC, Neder L, Santos AR, Peres LC, Jamur MC, Zago MA. Multipotent mesenchymal stromal cells obtained from diverse human tissues share functional properties and gene-expression profile with CD146+ perivascular cells and fibroblasts. </w:t>
      </w:r>
      <w:r w:rsidRPr="00832F55">
        <w:rPr>
          <w:rFonts w:ascii="Book Antiqua" w:hAnsi="Book Antiqua" w:cs="宋体"/>
          <w:i/>
          <w:iCs/>
          <w:color w:val="000000"/>
          <w:sz w:val="21"/>
          <w:szCs w:val="21"/>
        </w:rPr>
        <w:t>Exp Hematol</w:t>
      </w:r>
      <w:r w:rsidRPr="00832F55">
        <w:rPr>
          <w:rFonts w:ascii="Book Antiqua" w:hAnsi="Book Antiqua" w:cs="宋体"/>
          <w:color w:val="000000"/>
          <w:sz w:val="21"/>
          <w:szCs w:val="21"/>
        </w:rPr>
        <w:t> 2008; </w:t>
      </w:r>
      <w:r w:rsidRPr="00832F55">
        <w:rPr>
          <w:rFonts w:ascii="Book Antiqua" w:hAnsi="Book Antiqua" w:cs="宋体"/>
          <w:b/>
          <w:bCs/>
          <w:color w:val="000000"/>
          <w:sz w:val="21"/>
          <w:szCs w:val="21"/>
        </w:rPr>
        <w:t>36</w:t>
      </w:r>
      <w:r w:rsidRPr="00832F55">
        <w:rPr>
          <w:rFonts w:ascii="Book Antiqua" w:hAnsi="Book Antiqua" w:cs="宋体"/>
          <w:color w:val="000000"/>
          <w:sz w:val="21"/>
          <w:szCs w:val="21"/>
        </w:rPr>
        <w:t>: 642-654 [PMID: 18295964 DOI: 10.1016/j.exphem.2007.12.015]</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38 </w:t>
      </w:r>
      <w:r w:rsidRPr="00832F55">
        <w:rPr>
          <w:rFonts w:ascii="Book Antiqua" w:hAnsi="Book Antiqua" w:cs="宋体"/>
          <w:b/>
          <w:bCs/>
          <w:color w:val="000000"/>
          <w:sz w:val="21"/>
          <w:szCs w:val="21"/>
        </w:rPr>
        <w:t>Russell KC</w:t>
      </w:r>
      <w:r w:rsidRPr="00832F55">
        <w:rPr>
          <w:rFonts w:ascii="Book Antiqua" w:hAnsi="Book Antiqua" w:cs="宋体"/>
          <w:color w:val="000000"/>
          <w:sz w:val="21"/>
          <w:szCs w:val="21"/>
        </w:rPr>
        <w:t>, Phinney DG, Lacey MR, Barrilleaux BL, Meyertholen KE, O'Connor KC. In vitro high-capacity assay to quantify the clonal heterogeneity in trilineage potential of mesenchymal stem cells reveals a complex hierarchy of lineage commitment. </w:t>
      </w:r>
      <w:r w:rsidRPr="00832F55">
        <w:rPr>
          <w:rFonts w:ascii="Book Antiqua" w:hAnsi="Book Antiqua" w:cs="宋体"/>
          <w:i/>
          <w:iCs/>
          <w:color w:val="000000"/>
          <w:sz w:val="21"/>
          <w:szCs w:val="21"/>
        </w:rPr>
        <w:t>Stem Cells</w:t>
      </w:r>
      <w:r w:rsidRPr="00832F55">
        <w:rPr>
          <w:rFonts w:ascii="Book Antiqua" w:hAnsi="Book Antiqua" w:cs="宋体"/>
          <w:color w:val="000000"/>
          <w:sz w:val="21"/>
          <w:szCs w:val="21"/>
        </w:rPr>
        <w:t> 2010; </w:t>
      </w:r>
      <w:r w:rsidRPr="00832F55">
        <w:rPr>
          <w:rFonts w:ascii="Book Antiqua" w:hAnsi="Book Antiqua" w:cs="宋体"/>
          <w:b/>
          <w:bCs/>
          <w:color w:val="000000"/>
          <w:sz w:val="21"/>
          <w:szCs w:val="21"/>
        </w:rPr>
        <w:t>28</w:t>
      </w:r>
      <w:r w:rsidRPr="00832F55">
        <w:rPr>
          <w:rFonts w:ascii="Book Antiqua" w:hAnsi="Book Antiqua" w:cs="宋体"/>
          <w:color w:val="000000"/>
          <w:sz w:val="21"/>
          <w:szCs w:val="21"/>
        </w:rPr>
        <w:t>: 788-798 [PMID: 20127798 DOI: 10.1002/stem.312]</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39 </w:t>
      </w:r>
      <w:r w:rsidRPr="00832F55">
        <w:rPr>
          <w:rFonts w:ascii="Book Antiqua" w:hAnsi="Book Antiqua" w:cs="宋体"/>
          <w:b/>
          <w:bCs/>
          <w:color w:val="000000"/>
          <w:sz w:val="21"/>
          <w:szCs w:val="21"/>
        </w:rPr>
        <w:t>Dadheech N</w:t>
      </w:r>
      <w:r w:rsidRPr="00832F55">
        <w:rPr>
          <w:rFonts w:ascii="Book Antiqua" w:hAnsi="Book Antiqua" w:cs="宋体"/>
          <w:color w:val="000000"/>
          <w:sz w:val="21"/>
          <w:szCs w:val="21"/>
        </w:rPr>
        <w:t>, Srivastava A, Belani M, Gupta S, Pal R, Bhonde RR, Srivastava AS, Gupta S. Basal expression of pluripotency-associated genes can contribute to stemness property and differentiation potential. </w:t>
      </w:r>
      <w:r w:rsidRPr="00832F55">
        <w:rPr>
          <w:rFonts w:ascii="Book Antiqua" w:hAnsi="Book Antiqua" w:cs="宋体"/>
          <w:i/>
          <w:iCs/>
          <w:color w:val="000000"/>
          <w:sz w:val="21"/>
          <w:szCs w:val="21"/>
        </w:rPr>
        <w:t>Stem Cells Dev</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22</w:t>
      </w:r>
      <w:r w:rsidRPr="00832F55">
        <w:rPr>
          <w:rFonts w:ascii="Book Antiqua" w:hAnsi="Book Antiqua" w:cs="宋体"/>
          <w:color w:val="000000"/>
          <w:sz w:val="21"/>
          <w:szCs w:val="21"/>
        </w:rPr>
        <w:t>: 1802-1817 [PMID: 23343006 DOI: 10.1089/scd.2012.0261]</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40 </w:t>
      </w:r>
      <w:r w:rsidRPr="00832F55">
        <w:rPr>
          <w:rFonts w:ascii="Book Antiqua" w:hAnsi="Book Antiqua" w:cs="宋体"/>
          <w:b/>
          <w:bCs/>
          <w:color w:val="000000"/>
          <w:sz w:val="21"/>
          <w:szCs w:val="21"/>
        </w:rPr>
        <w:t>Stich S</w:t>
      </w:r>
      <w:r w:rsidRPr="00832F55">
        <w:rPr>
          <w:rFonts w:ascii="Book Antiqua" w:hAnsi="Book Antiqua" w:cs="宋体"/>
          <w:color w:val="000000"/>
          <w:sz w:val="21"/>
          <w:szCs w:val="21"/>
        </w:rPr>
        <w:t>, Loch A, Leinhase I, Neumann K, Kaps C, Sittinger M, Ringe J. Human periosteum-derived progenitor cells express distinct chemokine receptors and migrate upon stimulation with CCL2, CCL25, CXCL8, CXCL12, and CXCL13. </w:t>
      </w:r>
      <w:r w:rsidRPr="00832F55">
        <w:rPr>
          <w:rFonts w:ascii="Book Antiqua" w:hAnsi="Book Antiqua" w:cs="宋体"/>
          <w:i/>
          <w:iCs/>
          <w:color w:val="000000"/>
          <w:sz w:val="21"/>
          <w:szCs w:val="21"/>
        </w:rPr>
        <w:t>Eur J Cell Biol</w:t>
      </w:r>
      <w:r w:rsidRPr="00832F55">
        <w:rPr>
          <w:rFonts w:ascii="Book Antiqua" w:hAnsi="Book Antiqua" w:cs="宋体"/>
          <w:color w:val="000000"/>
          <w:sz w:val="21"/>
          <w:szCs w:val="21"/>
        </w:rPr>
        <w:t> 2008; </w:t>
      </w:r>
      <w:r w:rsidRPr="00832F55">
        <w:rPr>
          <w:rFonts w:ascii="Book Antiqua" w:hAnsi="Book Antiqua" w:cs="宋体"/>
          <w:b/>
          <w:bCs/>
          <w:color w:val="000000"/>
          <w:sz w:val="21"/>
          <w:szCs w:val="21"/>
        </w:rPr>
        <w:t>87</w:t>
      </w:r>
      <w:r w:rsidRPr="00832F55">
        <w:rPr>
          <w:rFonts w:ascii="Book Antiqua" w:hAnsi="Book Antiqua" w:cs="宋体"/>
          <w:color w:val="000000"/>
          <w:sz w:val="21"/>
          <w:szCs w:val="21"/>
        </w:rPr>
        <w:t>: 365-376 [PMID: 18501472 DOI: 10.1016/j.ejcb.2008.03.009]</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41 </w:t>
      </w:r>
      <w:r w:rsidRPr="00832F55">
        <w:rPr>
          <w:rFonts w:ascii="Book Antiqua" w:hAnsi="Book Antiqua" w:cs="宋体"/>
          <w:b/>
          <w:bCs/>
          <w:color w:val="000000"/>
          <w:sz w:val="21"/>
          <w:szCs w:val="21"/>
        </w:rPr>
        <w:t>Ito H</w:t>
      </w:r>
      <w:r w:rsidRPr="00832F55">
        <w:rPr>
          <w:rFonts w:ascii="Book Antiqua" w:hAnsi="Book Antiqua" w:cs="宋体"/>
          <w:color w:val="000000"/>
          <w:sz w:val="21"/>
          <w:szCs w:val="21"/>
        </w:rPr>
        <w:t>. Chemokines in mesenchymal stem cell therapy for bone repair: a novel concept of recruiting mesenchymal stem cells and the possible cell sources. </w:t>
      </w:r>
      <w:r w:rsidRPr="00832F55">
        <w:rPr>
          <w:rFonts w:ascii="Book Antiqua" w:hAnsi="Book Antiqua" w:cs="宋体"/>
          <w:i/>
          <w:iCs/>
          <w:color w:val="000000"/>
          <w:sz w:val="21"/>
          <w:szCs w:val="21"/>
        </w:rPr>
        <w:t>Mod Rheumatol</w:t>
      </w:r>
      <w:r w:rsidRPr="00832F55">
        <w:rPr>
          <w:rFonts w:ascii="Book Antiqua" w:hAnsi="Book Antiqua" w:cs="宋体"/>
          <w:color w:val="000000"/>
          <w:sz w:val="21"/>
          <w:szCs w:val="21"/>
        </w:rPr>
        <w:t> 2011; </w:t>
      </w:r>
      <w:r w:rsidRPr="00832F55">
        <w:rPr>
          <w:rFonts w:ascii="Book Antiqua" w:hAnsi="Book Antiqua" w:cs="宋体"/>
          <w:b/>
          <w:bCs/>
          <w:color w:val="000000"/>
          <w:sz w:val="21"/>
          <w:szCs w:val="21"/>
        </w:rPr>
        <w:t>21</w:t>
      </w:r>
      <w:r w:rsidRPr="00832F55">
        <w:rPr>
          <w:rFonts w:ascii="Book Antiqua" w:hAnsi="Book Antiqua" w:cs="宋体"/>
          <w:color w:val="000000"/>
          <w:sz w:val="21"/>
          <w:szCs w:val="21"/>
        </w:rPr>
        <w:t>: 113-121 [PMID: 20830500 DOI: 10.1007/s10165-010-0357-8]</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42 </w:t>
      </w:r>
      <w:r w:rsidRPr="00832F55">
        <w:rPr>
          <w:rFonts w:ascii="Book Antiqua" w:hAnsi="Book Antiqua" w:cs="宋体"/>
          <w:b/>
          <w:bCs/>
          <w:color w:val="000000"/>
          <w:sz w:val="21"/>
          <w:szCs w:val="21"/>
        </w:rPr>
        <w:t>Colnot C</w:t>
      </w:r>
      <w:r w:rsidRPr="00832F55">
        <w:rPr>
          <w:rFonts w:ascii="Book Antiqua" w:hAnsi="Book Antiqua" w:cs="宋体"/>
          <w:color w:val="000000"/>
          <w:sz w:val="21"/>
          <w:szCs w:val="21"/>
        </w:rPr>
        <w:t>, Zhang X, Knothe Tate ML. Current insights on the regenerative potential of the periosteum: molecular, cellular, and endogenous engineering approaches. </w:t>
      </w:r>
      <w:r w:rsidRPr="00832F55">
        <w:rPr>
          <w:rFonts w:ascii="Book Antiqua" w:hAnsi="Book Antiqua" w:cs="宋体"/>
          <w:i/>
          <w:iCs/>
          <w:color w:val="000000"/>
          <w:sz w:val="21"/>
          <w:szCs w:val="21"/>
        </w:rPr>
        <w:t>J Orthop Res</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30</w:t>
      </w:r>
      <w:r w:rsidRPr="00832F55">
        <w:rPr>
          <w:rFonts w:ascii="Book Antiqua" w:hAnsi="Book Antiqua" w:cs="宋体"/>
          <w:color w:val="000000"/>
          <w:sz w:val="21"/>
          <w:szCs w:val="21"/>
        </w:rPr>
        <w:t>: 1869-1878 [PMID: 22778049 DOI: 10.1002/jor.22181]</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43 </w:t>
      </w:r>
      <w:r w:rsidRPr="00832F55">
        <w:rPr>
          <w:rFonts w:ascii="Book Antiqua" w:hAnsi="Book Antiqua" w:cs="宋体"/>
          <w:b/>
          <w:bCs/>
          <w:color w:val="000000"/>
          <w:sz w:val="21"/>
          <w:szCs w:val="21"/>
        </w:rPr>
        <w:t>Chen G</w:t>
      </w:r>
      <w:r w:rsidRPr="00832F55">
        <w:rPr>
          <w:rFonts w:ascii="Book Antiqua" w:hAnsi="Book Antiqua" w:cs="宋体"/>
          <w:color w:val="000000"/>
          <w:sz w:val="21"/>
          <w:szCs w:val="21"/>
        </w:rPr>
        <w:t>, Deng C, Li YP. TGF-β and BMP signaling in osteoblast differentiation and bone formation. </w:t>
      </w:r>
      <w:r w:rsidRPr="00832F55">
        <w:rPr>
          <w:rFonts w:ascii="Book Antiqua" w:hAnsi="Book Antiqua" w:cs="宋体"/>
          <w:i/>
          <w:iCs/>
          <w:color w:val="000000"/>
          <w:sz w:val="21"/>
          <w:szCs w:val="21"/>
        </w:rPr>
        <w:t>Int J Biol Sci</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8</w:t>
      </w:r>
      <w:r w:rsidRPr="00832F55">
        <w:rPr>
          <w:rFonts w:ascii="Book Antiqua" w:hAnsi="Book Antiqua" w:cs="宋体"/>
          <w:color w:val="000000"/>
          <w:sz w:val="21"/>
          <w:szCs w:val="21"/>
        </w:rPr>
        <w:t>: 272-288 [PMID: 22298955 DOI: 10.7150/ijbs.2929]</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44 </w:t>
      </w:r>
      <w:r w:rsidRPr="00832F55">
        <w:rPr>
          <w:rFonts w:ascii="Book Antiqua" w:hAnsi="Book Antiqua" w:cs="宋体"/>
          <w:b/>
          <w:bCs/>
          <w:color w:val="000000"/>
          <w:sz w:val="21"/>
          <w:szCs w:val="21"/>
        </w:rPr>
        <w:t>Chappuis V</w:t>
      </w:r>
      <w:r w:rsidRPr="00832F55">
        <w:rPr>
          <w:rFonts w:ascii="Book Antiqua" w:hAnsi="Book Antiqua" w:cs="宋体"/>
          <w:color w:val="000000"/>
          <w:sz w:val="21"/>
          <w:szCs w:val="21"/>
        </w:rPr>
        <w:t>, Gamer L, Cox K, Lowery JW, Bosshardt DD, Rosen V. Periosteal BMP2 activity drives bone graft healing. </w:t>
      </w:r>
      <w:r w:rsidRPr="00832F55">
        <w:rPr>
          <w:rFonts w:ascii="Book Antiqua" w:hAnsi="Book Antiqua" w:cs="宋体"/>
          <w:i/>
          <w:iCs/>
          <w:color w:val="000000"/>
          <w:sz w:val="21"/>
          <w:szCs w:val="21"/>
        </w:rPr>
        <w:t>Bone</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51</w:t>
      </w:r>
      <w:r w:rsidRPr="00832F55">
        <w:rPr>
          <w:rFonts w:ascii="Book Antiqua" w:hAnsi="Book Antiqua" w:cs="宋体"/>
          <w:color w:val="000000"/>
          <w:sz w:val="21"/>
          <w:szCs w:val="21"/>
        </w:rPr>
        <w:t>: 800-809 [PMID: 22846673 DOI: 10.1016/j.bone.2012.07.017]</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45 </w:t>
      </w:r>
      <w:r w:rsidRPr="00832F55">
        <w:rPr>
          <w:rFonts w:ascii="Book Antiqua" w:hAnsi="Book Antiqua" w:cs="宋体"/>
          <w:b/>
          <w:bCs/>
          <w:color w:val="000000"/>
          <w:sz w:val="21"/>
          <w:szCs w:val="21"/>
        </w:rPr>
        <w:t>Wang Q</w:t>
      </w:r>
      <w:r w:rsidRPr="00832F55">
        <w:rPr>
          <w:rFonts w:ascii="Book Antiqua" w:hAnsi="Book Antiqua" w:cs="宋体"/>
          <w:color w:val="000000"/>
          <w:sz w:val="21"/>
          <w:szCs w:val="21"/>
        </w:rPr>
        <w:t>, Huang C, Zeng F, Xue M, Zhang X. Activation of the Hh pathway in periosteum-derived mesenchymal stem cells induces bone formation in vivo: implication for postnatal bone repair. </w:t>
      </w:r>
      <w:r w:rsidRPr="00832F55">
        <w:rPr>
          <w:rFonts w:ascii="Book Antiqua" w:hAnsi="Book Antiqua" w:cs="宋体"/>
          <w:i/>
          <w:iCs/>
          <w:color w:val="000000"/>
          <w:sz w:val="21"/>
          <w:szCs w:val="21"/>
        </w:rPr>
        <w:t>Am J Pathol</w:t>
      </w:r>
      <w:r w:rsidRPr="00832F55">
        <w:rPr>
          <w:rFonts w:ascii="Book Antiqua" w:hAnsi="Book Antiqua" w:cs="宋体"/>
          <w:color w:val="000000"/>
          <w:sz w:val="21"/>
          <w:szCs w:val="21"/>
        </w:rPr>
        <w:t> 2010; </w:t>
      </w:r>
      <w:r w:rsidRPr="00832F55">
        <w:rPr>
          <w:rFonts w:ascii="Book Antiqua" w:hAnsi="Book Antiqua" w:cs="宋体"/>
          <w:b/>
          <w:bCs/>
          <w:color w:val="000000"/>
          <w:sz w:val="21"/>
          <w:szCs w:val="21"/>
        </w:rPr>
        <w:t>177</w:t>
      </w:r>
      <w:r w:rsidRPr="00832F55">
        <w:rPr>
          <w:rFonts w:ascii="Book Antiqua" w:hAnsi="Book Antiqua" w:cs="宋体"/>
          <w:color w:val="000000"/>
          <w:sz w:val="21"/>
          <w:szCs w:val="21"/>
        </w:rPr>
        <w:t>: 3100-3111 [PMID: 20971735 DOI: 10.2353/ajpath.2010.100060]</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46 </w:t>
      </w:r>
      <w:r w:rsidRPr="00832F55">
        <w:rPr>
          <w:rFonts w:ascii="Book Antiqua" w:hAnsi="Book Antiqua" w:cs="宋体"/>
          <w:b/>
          <w:bCs/>
          <w:color w:val="000000"/>
          <w:sz w:val="21"/>
          <w:szCs w:val="21"/>
        </w:rPr>
        <w:t>Wang X</w:t>
      </w:r>
      <w:r w:rsidRPr="00832F55">
        <w:rPr>
          <w:rFonts w:ascii="Book Antiqua" w:hAnsi="Book Antiqua" w:cs="宋体"/>
          <w:color w:val="000000"/>
          <w:sz w:val="21"/>
          <w:szCs w:val="21"/>
        </w:rPr>
        <w:t>, Wang Y, Gou W, Lu Q, Peng J, Lu S. Role of mesenchymal stem cells in bone regeneration and fracture repair: a review. </w:t>
      </w:r>
      <w:r w:rsidRPr="00832F55">
        <w:rPr>
          <w:rFonts w:ascii="Book Antiqua" w:hAnsi="Book Antiqua" w:cs="宋体"/>
          <w:i/>
          <w:iCs/>
          <w:color w:val="000000"/>
          <w:sz w:val="21"/>
          <w:szCs w:val="21"/>
        </w:rPr>
        <w:t>Int Orthop</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37</w:t>
      </w:r>
      <w:r w:rsidRPr="00832F55">
        <w:rPr>
          <w:rFonts w:ascii="Book Antiqua" w:hAnsi="Book Antiqua" w:cs="宋体"/>
          <w:color w:val="000000"/>
          <w:sz w:val="21"/>
          <w:szCs w:val="21"/>
        </w:rPr>
        <w:t>: 2491-2498 [PMID: 23948983]</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47 </w:t>
      </w:r>
      <w:r w:rsidRPr="00832F55">
        <w:rPr>
          <w:rFonts w:ascii="Book Antiqua" w:hAnsi="Book Antiqua" w:cs="宋体"/>
          <w:b/>
          <w:bCs/>
          <w:color w:val="000000"/>
          <w:sz w:val="21"/>
          <w:szCs w:val="21"/>
        </w:rPr>
        <w:t>Caron MM</w:t>
      </w:r>
      <w:r w:rsidRPr="00832F55">
        <w:rPr>
          <w:rFonts w:ascii="Book Antiqua" w:hAnsi="Book Antiqua" w:cs="宋体"/>
          <w:color w:val="000000"/>
          <w:sz w:val="21"/>
          <w:szCs w:val="21"/>
        </w:rPr>
        <w:t>, Emans PJ, Surtel DA, Cremers A, Voncken JW, Welting TJ, van Rhijn LW. Activation of NF-κB/p65 facilitates early chondrogenic differentiation during endochondral ossification. </w:t>
      </w:r>
      <w:r w:rsidRPr="00832F55">
        <w:rPr>
          <w:rFonts w:ascii="Book Antiqua" w:hAnsi="Book Antiqua" w:cs="宋体"/>
          <w:i/>
          <w:iCs/>
          <w:color w:val="000000"/>
          <w:sz w:val="21"/>
          <w:szCs w:val="21"/>
        </w:rPr>
        <w:t>PLoS One</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7</w:t>
      </w:r>
      <w:r w:rsidRPr="00832F55">
        <w:rPr>
          <w:rFonts w:ascii="Book Antiqua" w:hAnsi="Book Antiqua" w:cs="宋体"/>
          <w:color w:val="000000"/>
          <w:sz w:val="21"/>
          <w:szCs w:val="21"/>
        </w:rPr>
        <w:t>: e33467 [PMID: 22428055 DOI: 10.1371/journal.pone.0033467]</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48 </w:t>
      </w:r>
      <w:r w:rsidRPr="00832F55">
        <w:rPr>
          <w:rFonts w:ascii="Book Antiqua" w:hAnsi="Book Antiqua" w:cs="宋体"/>
          <w:b/>
          <w:bCs/>
          <w:color w:val="000000"/>
          <w:sz w:val="21"/>
          <w:szCs w:val="21"/>
        </w:rPr>
        <w:t>Merle B</w:t>
      </w:r>
      <w:r w:rsidRPr="00832F55">
        <w:rPr>
          <w:rFonts w:ascii="Book Antiqua" w:hAnsi="Book Antiqua" w:cs="宋体"/>
          <w:color w:val="000000"/>
          <w:sz w:val="21"/>
          <w:szCs w:val="21"/>
        </w:rPr>
        <w:t>, Garnero P. The multiple facets of periostin in bone metabolism. </w:t>
      </w:r>
      <w:r w:rsidRPr="00832F55">
        <w:rPr>
          <w:rFonts w:ascii="Book Antiqua" w:hAnsi="Book Antiqua" w:cs="宋体"/>
          <w:i/>
          <w:iCs/>
          <w:color w:val="000000"/>
          <w:sz w:val="21"/>
          <w:szCs w:val="21"/>
        </w:rPr>
        <w:t>Osteoporos Int</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23</w:t>
      </w:r>
      <w:r w:rsidRPr="00832F55">
        <w:rPr>
          <w:rFonts w:ascii="Book Antiqua" w:hAnsi="Book Antiqua" w:cs="宋体"/>
          <w:color w:val="000000"/>
          <w:sz w:val="21"/>
          <w:szCs w:val="21"/>
        </w:rPr>
        <w:t>: 1199-1212 [PMID: 22310955 DOI: 10.1007/s00198-011-1892-7]</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lastRenderedPageBreak/>
        <w:t>49 </w:t>
      </w:r>
      <w:r w:rsidRPr="00832F55">
        <w:rPr>
          <w:rFonts w:ascii="Book Antiqua" w:hAnsi="Book Antiqua" w:cs="宋体"/>
          <w:b/>
          <w:bCs/>
          <w:color w:val="000000"/>
          <w:sz w:val="21"/>
          <w:szCs w:val="21"/>
        </w:rPr>
        <w:t>Horiuchi K</w:t>
      </w:r>
      <w:r w:rsidRPr="00832F55">
        <w:rPr>
          <w:rFonts w:ascii="Book Antiqua" w:hAnsi="Book Antiqua" w:cs="宋体"/>
          <w:color w:val="000000"/>
          <w:sz w:val="21"/>
          <w:szCs w:val="21"/>
        </w:rPr>
        <w:t>, Amizuka N, Takeshita S, Takamatsu H, Katsuura M, Ozawa H, Toyama Y, Bonewald LF, Kudo A. Identification and characterization of a novel protein, periostin, with restricted expression to periosteum and periodontal ligament and increased expression by transforming growth factor beta. </w:t>
      </w:r>
      <w:r w:rsidRPr="00832F55">
        <w:rPr>
          <w:rFonts w:ascii="Book Antiqua" w:hAnsi="Book Antiqua" w:cs="宋体"/>
          <w:i/>
          <w:iCs/>
          <w:color w:val="000000"/>
          <w:sz w:val="21"/>
          <w:szCs w:val="21"/>
        </w:rPr>
        <w:t>J Bone Miner Res</w:t>
      </w:r>
      <w:r w:rsidRPr="00832F55">
        <w:rPr>
          <w:rFonts w:ascii="Book Antiqua" w:hAnsi="Book Antiqua" w:cs="宋体"/>
          <w:color w:val="000000"/>
          <w:sz w:val="21"/>
          <w:szCs w:val="21"/>
        </w:rPr>
        <w:t> 1999; </w:t>
      </w:r>
      <w:r w:rsidRPr="00832F55">
        <w:rPr>
          <w:rFonts w:ascii="Book Antiqua" w:hAnsi="Book Antiqua" w:cs="宋体"/>
          <w:b/>
          <w:bCs/>
          <w:color w:val="000000"/>
          <w:sz w:val="21"/>
          <w:szCs w:val="21"/>
        </w:rPr>
        <w:t>14</w:t>
      </w:r>
      <w:r w:rsidRPr="00832F55">
        <w:rPr>
          <w:rFonts w:ascii="Book Antiqua" w:hAnsi="Book Antiqua" w:cs="宋体"/>
          <w:color w:val="000000"/>
          <w:sz w:val="21"/>
          <w:szCs w:val="21"/>
        </w:rPr>
        <w:t>: 1239-1249 [PMID: 10404027 DOI: 10.1359/jbmr.1999.14.7.1239]</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50 </w:t>
      </w:r>
      <w:r w:rsidRPr="00832F55">
        <w:rPr>
          <w:rFonts w:ascii="Book Antiqua" w:hAnsi="Book Antiqua" w:cs="宋体"/>
          <w:b/>
          <w:bCs/>
          <w:color w:val="000000"/>
          <w:sz w:val="21"/>
          <w:szCs w:val="21"/>
        </w:rPr>
        <w:t>Eijken M</w:t>
      </w:r>
      <w:r w:rsidRPr="00832F55">
        <w:rPr>
          <w:rFonts w:ascii="Book Antiqua" w:hAnsi="Book Antiqua" w:cs="宋体"/>
          <w:color w:val="000000"/>
          <w:sz w:val="21"/>
          <w:szCs w:val="21"/>
        </w:rPr>
        <w:t>, Swagemakers S, Koedam M, Steenbergen C, Derkx P, Uitterlinden AG, van der Spek PJ, Visser JA, de Jong FH, Pols HA, van Leeuwen JP. The activin A-follistatin system: potent regulator of human extracellular matrix mineralization. </w:t>
      </w:r>
      <w:r w:rsidRPr="00832F55">
        <w:rPr>
          <w:rFonts w:ascii="Book Antiqua" w:hAnsi="Book Antiqua" w:cs="宋体"/>
          <w:i/>
          <w:iCs/>
          <w:color w:val="000000"/>
          <w:sz w:val="21"/>
          <w:szCs w:val="21"/>
        </w:rPr>
        <w:t>FASEB J</w:t>
      </w:r>
      <w:r w:rsidRPr="00832F55">
        <w:rPr>
          <w:rFonts w:ascii="Book Antiqua" w:hAnsi="Book Antiqua" w:cs="宋体"/>
          <w:color w:val="000000"/>
          <w:sz w:val="21"/>
          <w:szCs w:val="21"/>
        </w:rPr>
        <w:t> 2007; </w:t>
      </w:r>
      <w:r w:rsidRPr="00832F55">
        <w:rPr>
          <w:rFonts w:ascii="Book Antiqua" w:hAnsi="Book Antiqua" w:cs="宋体"/>
          <w:b/>
          <w:bCs/>
          <w:color w:val="000000"/>
          <w:sz w:val="21"/>
          <w:szCs w:val="21"/>
        </w:rPr>
        <w:t>21</w:t>
      </w:r>
      <w:r w:rsidRPr="00832F55">
        <w:rPr>
          <w:rFonts w:ascii="Book Antiqua" w:hAnsi="Book Antiqua" w:cs="宋体"/>
          <w:color w:val="000000"/>
          <w:sz w:val="21"/>
          <w:szCs w:val="21"/>
        </w:rPr>
        <w:t>: 2949-2960 [PMID: 17449718 DOI: 10.1096/fj.07-8080com]</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51 </w:t>
      </w:r>
      <w:r w:rsidRPr="00832F55">
        <w:rPr>
          <w:rFonts w:ascii="Book Antiqua" w:hAnsi="Book Antiqua" w:cs="宋体"/>
          <w:b/>
          <w:bCs/>
          <w:color w:val="000000"/>
          <w:sz w:val="21"/>
          <w:szCs w:val="21"/>
        </w:rPr>
        <w:t>Wen W</w:t>
      </w:r>
      <w:r w:rsidRPr="00832F55">
        <w:rPr>
          <w:rFonts w:ascii="Book Antiqua" w:hAnsi="Book Antiqua" w:cs="宋体"/>
          <w:color w:val="000000"/>
          <w:sz w:val="21"/>
          <w:szCs w:val="21"/>
        </w:rPr>
        <w:t>, Chau E, Jackson-Boeters L, Elliott C, Daley TD, Hamilton DW. TGF-ß1 and FAK regulate periostin expression in PDL fibroblasts. </w:t>
      </w:r>
      <w:r w:rsidRPr="00832F55">
        <w:rPr>
          <w:rFonts w:ascii="Book Antiqua" w:hAnsi="Book Antiqua" w:cs="宋体"/>
          <w:i/>
          <w:iCs/>
          <w:color w:val="000000"/>
          <w:sz w:val="21"/>
          <w:szCs w:val="21"/>
        </w:rPr>
        <w:t>J Dent Res</w:t>
      </w:r>
      <w:r w:rsidRPr="00832F55">
        <w:rPr>
          <w:rFonts w:ascii="Book Antiqua" w:hAnsi="Book Antiqua" w:cs="宋体"/>
          <w:color w:val="000000"/>
          <w:sz w:val="21"/>
          <w:szCs w:val="21"/>
        </w:rPr>
        <w:t> 2010; </w:t>
      </w:r>
      <w:r w:rsidRPr="00832F55">
        <w:rPr>
          <w:rFonts w:ascii="Book Antiqua" w:hAnsi="Book Antiqua" w:cs="宋体"/>
          <w:b/>
          <w:bCs/>
          <w:color w:val="000000"/>
          <w:sz w:val="21"/>
          <w:szCs w:val="21"/>
        </w:rPr>
        <w:t>89</w:t>
      </w:r>
      <w:r w:rsidRPr="00832F55">
        <w:rPr>
          <w:rFonts w:ascii="Book Antiqua" w:hAnsi="Book Antiqua" w:cs="宋体"/>
          <w:color w:val="000000"/>
          <w:sz w:val="21"/>
          <w:szCs w:val="21"/>
        </w:rPr>
        <w:t>: 1439-1443 [PMID: 20940356 DOI: 10.1177/0022034510378684]</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52 </w:t>
      </w:r>
      <w:r w:rsidRPr="00832F55">
        <w:rPr>
          <w:rFonts w:ascii="Book Antiqua" w:hAnsi="Book Antiqua" w:cs="宋体"/>
          <w:b/>
          <w:bCs/>
          <w:color w:val="000000"/>
          <w:sz w:val="21"/>
          <w:szCs w:val="21"/>
        </w:rPr>
        <w:t>Heinrich EM</w:t>
      </w:r>
      <w:r w:rsidRPr="00832F55">
        <w:rPr>
          <w:rFonts w:ascii="Book Antiqua" w:hAnsi="Book Antiqua" w:cs="宋体"/>
          <w:color w:val="000000"/>
          <w:sz w:val="21"/>
          <w:szCs w:val="21"/>
        </w:rPr>
        <w:t>, Dimmeler S. MicroRNAs and stem cells: control of pluripotency, reprogramming, and lineage commitment. </w:t>
      </w:r>
      <w:r w:rsidRPr="00832F55">
        <w:rPr>
          <w:rFonts w:ascii="Book Antiqua" w:hAnsi="Book Antiqua" w:cs="宋体"/>
          <w:i/>
          <w:iCs/>
          <w:color w:val="000000"/>
          <w:sz w:val="21"/>
          <w:szCs w:val="21"/>
        </w:rPr>
        <w:t>Circ Res</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110</w:t>
      </w:r>
      <w:r w:rsidRPr="00832F55">
        <w:rPr>
          <w:rFonts w:ascii="Book Antiqua" w:hAnsi="Book Antiqua" w:cs="宋体"/>
          <w:color w:val="000000"/>
          <w:sz w:val="21"/>
          <w:szCs w:val="21"/>
        </w:rPr>
        <w:t>: 1014-1022 [PMID: 22461365 DOI: 10.1161/CIRCRESAHA.111.243394]</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53 </w:t>
      </w:r>
      <w:r w:rsidRPr="00832F55">
        <w:rPr>
          <w:rFonts w:ascii="Book Antiqua" w:hAnsi="Book Antiqua" w:cs="宋体"/>
          <w:b/>
          <w:bCs/>
          <w:color w:val="000000"/>
          <w:sz w:val="21"/>
          <w:szCs w:val="21"/>
        </w:rPr>
        <w:t>van Rooij E</w:t>
      </w:r>
      <w:r w:rsidRPr="00832F55">
        <w:rPr>
          <w:rFonts w:ascii="Book Antiqua" w:hAnsi="Book Antiqua" w:cs="宋体"/>
          <w:color w:val="000000"/>
          <w:sz w:val="21"/>
          <w:szCs w:val="21"/>
        </w:rPr>
        <w:t>. The art of microRNA research. </w:t>
      </w:r>
      <w:r w:rsidRPr="00832F55">
        <w:rPr>
          <w:rFonts w:ascii="Book Antiqua" w:hAnsi="Book Antiqua" w:cs="宋体"/>
          <w:i/>
          <w:iCs/>
          <w:color w:val="000000"/>
          <w:sz w:val="21"/>
          <w:szCs w:val="21"/>
        </w:rPr>
        <w:t>Circ Res</w:t>
      </w:r>
      <w:r w:rsidRPr="00832F55">
        <w:rPr>
          <w:rFonts w:ascii="Book Antiqua" w:hAnsi="Book Antiqua" w:cs="宋体"/>
          <w:color w:val="000000"/>
          <w:sz w:val="21"/>
          <w:szCs w:val="21"/>
        </w:rPr>
        <w:t> 2011; </w:t>
      </w:r>
      <w:r w:rsidRPr="00832F55">
        <w:rPr>
          <w:rFonts w:ascii="Book Antiqua" w:hAnsi="Book Antiqua" w:cs="宋体"/>
          <w:b/>
          <w:bCs/>
          <w:color w:val="000000"/>
          <w:sz w:val="21"/>
          <w:szCs w:val="21"/>
        </w:rPr>
        <w:t>108</w:t>
      </w:r>
      <w:r w:rsidRPr="00832F55">
        <w:rPr>
          <w:rFonts w:ascii="Book Antiqua" w:hAnsi="Book Antiqua" w:cs="宋体"/>
          <w:color w:val="000000"/>
          <w:sz w:val="21"/>
          <w:szCs w:val="21"/>
        </w:rPr>
        <w:t>: 219-234 [PMID: 21252150 DOI: 10.1161/CIRCRESAHA.110.227496]</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54 </w:t>
      </w:r>
      <w:r w:rsidRPr="00832F55">
        <w:rPr>
          <w:rFonts w:ascii="Book Antiqua" w:hAnsi="Book Antiqua" w:cs="宋体"/>
          <w:b/>
          <w:bCs/>
          <w:color w:val="000000"/>
          <w:sz w:val="21"/>
          <w:szCs w:val="21"/>
        </w:rPr>
        <w:t>Taipaleenmäki H</w:t>
      </w:r>
      <w:r w:rsidRPr="00832F55">
        <w:rPr>
          <w:rFonts w:ascii="Book Antiqua" w:hAnsi="Book Antiqua" w:cs="宋体"/>
          <w:color w:val="000000"/>
          <w:sz w:val="21"/>
          <w:szCs w:val="21"/>
        </w:rPr>
        <w:t>, Bjerre Hokland L, Chen L, Kauppinen S, Kassem M. Mechanisms in endocrinology: micro-RNAs: targets for enhancing osteoblast differentiation and bone formation. </w:t>
      </w:r>
      <w:r w:rsidRPr="00832F55">
        <w:rPr>
          <w:rFonts w:ascii="Book Antiqua" w:hAnsi="Book Antiqua" w:cs="宋体"/>
          <w:i/>
          <w:iCs/>
          <w:color w:val="000000"/>
          <w:sz w:val="21"/>
          <w:szCs w:val="21"/>
        </w:rPr>
        <w:t>Eur J Endocrinol</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166</w:t>
      </w:r>
      <w:r w:rsidRPr="00832F55">
        <w:rPr>
          <w:rFonts w:ascii="Book Antiqua" w:hAnsi="Book Antiqua" w:cs="宋体"/>
          <w:color w:val="000000"/>
          <w:sz w:val="21"/>
          <w:szCs w:val="21"/>
        </w:rPr>
        <w:t>: 359-371 [PMID: 22084154 DOI: 10.1530/EJE-11-0646]</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55 </w:t>
      </w:r>
      <w:r w:rsidRPr="00832F55">
        <w:rPr>
          <w:rFonts w:ascii="Book Antiqua" w:hAnsi="Book Antiqua" w:cs="宋体"/>
          <w:b/>
          <w:bCs/>
          <w:color w:val="000000"/>
          <w:sz w:val="21"/>
          <w:szCs w:val="21"/>
        </w:rPr>
        <w:t>Mathieu J</w:t>
      </w:r>
      <w:r w:rsidRPr="00832F55">
        <w:rPr>
          <w:rFonts w:ascii="Book Antiqua" w:hAnsi="Book Antiqua" w:cs="宋体"/>
          <w:color w:val="000000"/>
          <w:sz w:val="21"/>
          <w:szCs w:val="21"/>
        </w:rPr>
        <w:t>, Ruohola-Baker H. Regulation of stem cell populations by microRNAs. </w:t>
      </w:r>
      <w:r w:rsidRPr="00832F55">
        <w:rPr>
          <w:rFonts w:ascii="Book Antiqua" w:hAnsi="Book Antiqua" w:cs="宋体"/>
          <w:i/>
          <w:iCs/>
          <w:color w:val="000000"/>
          <w:sz w:val="21"/>
          <w:szCs w:val="21"/>
        </w:rPr>
        <w:t>Adv Exp Med Biol</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786</w:t>
      </w:r>
      <w:r w:rsidRPr="00832F55">
        <w:rPr>
          <w:rFonts w:ascii="Book Antiqua" w:hAnsi="Book Antiqua" w:cs="宋体"/>
          <w:color w:val="000000"/>
          <w:sz w:val="21"/>
          <w:szCs w:val="21"/>
        </w:rPr>
        <w:t>: 329-351 [PMID: 23696365 DOI: 10.1007/978-94-007-6621-1_18]</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56 </w:t>
      </w:r>
      <w:r w:rsidRPr="00832F55">
        <w:rPr>
          <w:rFonts w:ascii="Book Antiqua" w:hAnsi="Book Antiqua" w:cs="宋体"/>
          <w:b/>
          <w:bCs/>
          <w:color w:val="000000"/>
          <w:sz w:val="21"/>
          <w:szCs w:val="21"/>
        </w:rPr>
        <w:t>Kapinas K</w:t>
      </w:r>
      <w:r w:rsidRPr="00832F55">
        <w:rPr>
          <w:rFonts w:ascii="Book Antiqua" w:hAnsi="Book Antiqua" w:cs="宋体"/>
          <w:color w:val="000000"/>
          <w:sz w:val="21"/>
          <w:szCs w:val="21"/>
        </w:rPr>
        <w:t>, Kessler CB, Delany AM. miR-29 suppression of osteonectin in osteoblasts: regulation during differentiation and by canonical Wnt signaling. </w:t>
      </w:r>
      <w:r w:rsidRPr="00832F55">
        <w:rPr>
          <w:rFonts w:ascii="Book Antiqua" w:hAnsi="Book Antiqua" w:cs="宋体"/>
          <w:i/>
          <w:iCs/>
          <w:color w:val="000000"/>
          <w:sz w:val="21"/>
          <w:szCs w:val="21"/>
        </w:rPr>
        <w:t>J Cell Biochem</w:t>
      </w:r>
      <w:r w:rsidRPr="00832F55">
        <w:rPr>
          <w:rFonts w:ascii="Book Antiqua" w:hAnsi="Book Antiqua" w:cs="宋体"/>
          <w:color w:val="000000"/>
          <w:sz w:val="21"/>
          <w:szCs w:val="21"/>
        </w:rPr>
        <w:t> 2009; </w:t>
      </w:r>
      <w:r w:rsidRPr="00832F55">
        <w:rPr>
          <w:rFonts w:ascii="Book Antiqua" w:hAnsi="Book Antiqua" w:cs="宋体"/>
          <w:b/>
          <w:bCs/>
          <w:color w:val="000000"/>
          <w:sz w:val="21"/>
          <w:szCs w:val="21"/>
        </w:rPr>
        <w:t>108</w:t>
      </w:r>
      <w:r w:rsidRPr="00832F55">
        <w:rPr>
          <w:rFonts w:ascii="Book Antiqua" w:hAnsi="Book Antiqua" w:cs="宋体"/>
          <w:color w:val="000000"/>
          <w:sz w:val="21"/>
          <w:szCs w:val="21"/>
        </w:rPr>
        <w:t>: 216-224 [PMID: 19565563 DOI: 10.1002/jcb.22243]</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57 </w:t>
      </w:r>
      <w:r w:rsidRPr="00832F55">
        <w:rPr>
          <w:rFonts w:ascii="Book Antiqua" w:hAnsi="Book Antiqua" w:cs="宋体"/>
          <w:b/>
          <w:bCs/>
          <w:color w:val="000000"/>
          <w:sz w:val="21"/>
          <w:szCs w:val="21"/>
        </w:rPr>
        <w:t>Eskildsen T</w:t>
      </w:r>
      <w:r w:rsidRPr="00832F55">
        <w:rPr>
          <w:rFonts w:ascii="Book Antiqua" w:hAnsi="Book Antiqua" w:cs="宋体"/>
          <w:color w:val="000000"/>
          <w:sz w:val="21"/>
          <w:szCs w:val="21"/>
        </w:rPr>
        <w:t>, Taipaleenmäki H, Stenvang J, Abdallah BM, Ditzel N, Nossent AY, Bak M, Kauppinen S, Kassem M. MicroRNA-138 regulates osteogenic differentiation of human stromal (mesenchymal) stem cells in vivo. </w:t>
      </w:r>
      <w:r>
        <w:rPr>
          <w:rFonts w:ascii="Book Antiqua" w:hAnsi="Book Antiqua" w:cs="宋体"/>
          <w:i/>
          <w:iCs/>
          <w:color w:val="000000"/>
          <w:szCs w:val="21"/>
        </w:rPr>
        <w:t>Proc Natl Acad Sci US</w:t>
      </w:r>
      <w:r w:rsidRPr="00832F55">
        <w:rPr>
          <w:rFonts w:ascii="Book Antiqua" w:hAnsi="Book Antiqua" w:cs="宋体"/>
          <w:i/>
          <w:iCs/>
          <w:color w:val="000000"/>
          <w:sz w:val="21"/>
          <w:szCs w:val="21"/>
        </w:rPr>
        <w:t>A</w:t>
      </w:r>
      <w:r w:rsidRPr="00832F55">
        <w:rPr>
          <w:rFonts w:ascii="Book Antiqua" w:hAnsi="Book Antiqua" w:cs="宋体"/>
          <w:color w:val="000000"/>
          <w:sz w:val="21"/>
          <w:szCs w:val="21"/>
        </w:rPr>
        <w:t> 2011; </w:t>
      </w:r>
      <w:r w:rsidRPr="00832F55">
        <w:rPr>
          <w:rFonts w:ascii="Book Antiqua" w:hAnsi="Book Antiqua" w:cs="宋体"/>
          <w:b/>
          <w:bCs/>
          <w:color w:val="000000"/>
          <w:sz w:val="21"/>
          <w:szCs w:val="21"/>
        </w:rPr>
        <w:t>108</w:t>
      </w:r>
      <w:r w:rsidRPr="00832F55">
        <w:rPr>
          <w:rFonts w:ascii="Book Antiqua" w:hAnsi="Book Antiqua" w:cs="宋体"/>
          <w:color w:val="000000"/>
          <w:sz w:val="21"/>
          <w:szCs w:val="21"/>
        </w:rPr>
        <w:t>: 6139-6144 [PMID: 21444814 DOI: 10.1073/pnas.1016758108]</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58 </w:t>
      </w:r>
      <w:r w:rsidRPr="00832F55">
        <w:rPr>
          <w:rFonts w:ascii="Book Antiqua" w:hAnsi="Book Antiqua" w:cs="宋体"/>
          <w:b/>
          <w:bCs/>
          <w:color w:val="000000"/>
          <w:sz w:val="21"/>
          <w:szCs w:val="21"/>
        </w:rPr>
        <w:t>van Wijnen AJ</w:t>
      </w:r>
      <w:r w:rsidRPr="00832F55">
        <w:rPr>
          <w:rFonts w:ascii="Book Antiqua" w:hAnsi="Book Antiqua" w:cs="宋体"/>
          <w:color w:val="000000"/>
          <w:sz w:val="21"/>
          <w:szCs w:val="21"/>
        </w:rPr>
        <w:t>, van de Peppel J, van Leeuwen JP, Lian JB, Stein GS, Westendorf JJ, Oursler MJ, Im HJ, Taipaleenmäki H, Hesse E, Riester S, Kakar S. MicroRNA functions in osteogenesis and dysfunctions in osteoporosis. </w:t>
      </w:r>
      <w:r w:rsidRPr="00832F55">
        <w:rPr>
          <w:rFonts w:ascii="Book Antiqua" w:hAnsi="Book Antiqua" w:cs="宋体"/>
          <w:i/>
          <w:iCs/>
          <w:color w:val="000000"/>
          <w:sz w:val="21"/>
          <w:szCs w:val="21"/>
        </w:rPr>
        <w:t>Curr Osteoporos Rep</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11</w:t>
      </w:r>
      <w:r w:rsidRPr="00832F55">
        <w:rPr>
          <w:rFonts w:ascii="Book Antiqua" w:hAnsi="Book Antiqua" w:cs="宋体"/>
          <w:color w:val="000000"/>
          <w:sz w:val="21"/>
          <w:szCs w:val="21"/>
        </w:rPr>
        <w:t>: 72-82 [PMID: 23605904 DOI: 10.1007/s11914-013-0143-6]</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59 </w:t>
      </w:r>
      <w:r w:rsidRPr="00832F55">
        <w:rPr>
          <w:rFonts w:ascii="Book Antiqua" w:hAnsi="Book Antiqua" w:cs="宋体"/>
          <w:b/>
          <w:bCs/>
          <w:color w:val="000000"/>
          <w:sz w:val="21"/>
          <w:szCs w:val="21"/>
        </w:rPr>
        <w:t>Tarng YW</w:t>
      </w:r>
      <w:r w:rsidRPr="00832F55">
        <w:rPr>
          <w:rFonts w:ascii="Book Antiqua" w:hAnsi="Book Antiqua" w:cs="宋体"/>
          <w:color w:val="000000"/>
          <w:sz w:val="21"/>
          <w:szCs w:val="21"/>
        </w:rPr>
        <w:t>, Huang BF, Su FC. A novel recirculating flow-perfusion bioreactor for periosteal chondrogenesis. </w:t>
      </w:r>
      <w:r w:rsidRPr="00832F55">
        <w:rPr>
          <w:rFonts w:ascii="Book Antiqua" w:hAnsi="Book Antiqua" w:cs="宋体"/>
          <w:i/>
          <w:iCs/>
          <w:color w:val="000000"/>
          <w:sz w:val="21"/>
          <w:szCs w:val="21"/>
        </w:rPr>
        <w:t>Int Orthop</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36</w:t>
      </w:r>
      <w:r w:rsidRPr="00832F55">
        <w:rPr>
          <w:rFonts w:ascii="Book Antiqua" w:hAnsi="Book Antiqua" w:cs="宋体"/>
          <w:color w:val="000000"/>
          <w:sz w:val="21"/>
          <w:szCs w:val="21"/>
        </w:rPr>
        <w:t>: 863-868 [PMID: 21674291 DOI: 10.1007/s00264-011-1291-x]</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60 </w:t>
      </w:r>
      <w:r w:rsidRPr="00832F55">
        <w:rPr>
          <w:rFonts w:ascii="Book Antiqua" w:hAnsi="Book Antiqua" w:cs="宋体"/>
          <w:b/>
          <w:bCs/>
          <w:color w:val="000000"/>
          <w:sz w:val="21"/>
          <w:szCs w:val="21"/>
        </w:rPr>
        <w:t>Korkala O</w:t>
      </w:r>
      <w:r w:rsidRPr="00832F55">
        <w:rPr>
          <w:rFonts w:ascii="Book Antiqua" w:hAnsi="Book Antiqua" w:cs="宋体"/>
          <w:color w:val="000000"/>
          <w:sz w:val="21"/>
          <w:szCs w:val="21"/>
        </w:rPr>
        <w:t>, Kuokkanen H. Autogenous osteoperiosteal grafts in the reconstruction of full-thickness joint surface defects. </w:t>
      </w:r>
      <w:r w:rsidRPr="00832F55">
        <w:rPr>
          <w:rFonts w:ascii="Book Antiqua" w:hAnsi="Book Antiqua" w:cs="宋体"/>
          <w:i/>
          <w:iCs/>
          <w:color w:val="000000"/>
          <w:sz w:val="21"/>
          <w:szCs w:val="21"/>
        </w:rPr>
        <w:t>Int Orthop</w:t>
      </w:r>
      <w:r w:rsidRPr="00832F55">
        <w:rPr>
          <w:rFonts w:ascii="Book Antiqua" w:hAnsi="Book Antiqua" w:cs="宋体"/>
          <w:color w:val="000000"/>
          <w:sz w:val="21"/>
          <w:szCs w:val="21"/>
        </w:rPr>
        <w:t> 1991; </w:t>
      </w:r>
      <w:r w:rsidRPr="00832F55">
        <w:rPr>
          <w:rFonts w:ascii="Book Antiqua" w:hAnsi="Book Antiqua" w:cs="宋体"/>
          <w:b/>
          <w:bCs/>
          <w:color w:val="000000"/>
          <w:sz w:val="21"/>
          <w:szCs w:val="21"/>
        </w:rPr>
        <w:t>15</w:t>
      </w:r>
      <w:r w:rsidRPr="00832F55">
        <w:rPr>
          <w:rFonts w:ascii="Book Antiqua" w:hAnsi="Book Antiqua" w:cs="宋体"/>
          <w:color w:val="000000"/>
          <w:sz w:val="21"/>
          <w:szCs w:val="21"/>
        </w:rPr>
        <w:t>: 233-237 [PMID: 1743838 DOI: 10.1007/BF00192300]</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lastRenderedPageBreak/>
        <w:t>61 </w:t>
      </w:r>
      <w:r w:rsidRPr="00832F55">
        <w:rPr>
          <w:rFonts w:ascii="Book Antiqua" w:hAnsi="Book Antiqua" w:cs="宋体"/>
          <w:b/>
          <w:bCs/>
          <w:color w:val="000000"/>
          <w:sz w:val="21"/>
          <w:szCs w:val="21"/>
        </w:rPr>
        <w:t>Murao H</w:t>
      </w:r>
      <w:r w:rsidRPr="00832F55">
        <w:rPr>
          <w:rFonts w:ascii="Book Antiqua" w:hAnsi="Book Antiqua" w:cs="宋体"/>
          <w:color w:val="000000"/>
          <w:sz w:val="21"/>
          <w:szCs w:val="21"/>
        </w:rPr>
        <w:t>, Yamamoto K, Matsuda S, Akiyama H. Periosteal cells are a major source of soft callus in bone fracture. </w:t>
      </w:r>
      <w:r w:rsidRPr="00832F55">
        <w:rPr>
          <w:rFonts w:ascii="Book Antiqua" w:hAnsi="Book Antiqua" w:cs="宋体"/>
          <w:i/>
          <w:iCs/>
          <w:color w:val="000000"/>
          <w:sz w:val="21"/>
          <w:szCs w:val="21"/>
        </w:rPr>
        <w:t>J Bone Miner Metab</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31</w:t>
      </w:r>
      <w:r w:rsidRPr="00832F55">
        <w:rPr>
          <w:rFonts w:ascii="Book Antiqua" w:hAnsi="Book Antiqua" w:cs="宋体"/>
          <w:color w:val="000000"/>
          <w:sz w:val="21"/>
          <w:szCs w:val="21"/>
        </w:rPr>
        <w:t>: 390-398 [PMID: 23475152 DOI: 10.1007/s00774-013-0429-x]</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62 </w:t>
      </w:r>
      <w:r w:rsidRPr="00832F55">
        <w:rPr>
          <w:rFonts w:ascii="Book Antiqua" w:hAnsi="Book Antiqua" w:cs="宋体"/>
          <w:b/>
          <w:bCs/>
          <w:color w:val="000000"/>
          <w:sz w:val="21"/>
          <w:szCs w:val="21"/>
        </w:rPr>
        <w:t>Malizos KN</w:t>
      </w:r>
      <w:r w:rsidRPr="00832F55">
        <w:rPr>
          <w:rFonts w:ascii="Book Antiqua" w:hAnsi="Book Antiqua" w:cs="宋体"/>
          <w:color w:val="000000"/>
          <w:sz w:val="21"/>
          <w:szCs w:val="21"/>
        </w:rPr>
        <w:t>, Papatheodorou LK. The healing potential of the periosteum molecular aspects. </w:t>
      </w:r>
      <w:r w:rsidRPr="00832F55">
        <w:rPr>
          <w:rFonts w:ascii="Book Antiqua" w:hAnsi="Book Antiqua" w:cs="宋体"/>
          <w:i/>
          <w:iCs/>
          <w:color w:val="000000"/>
          <w:sz w:val="21"/>
          <w:szCs w:val="21"/>
        </w:rPr>
        <w:t>Injury</w:t>
      </w:r>
      <w:r w:rsidRPr="00832F55">
        <w:rPr>
          <w:rFonts w:ascii="Book Antiqua" w:hAnsi="Book Antiqua" w:cs="宋体"/>
          <w:color w:val="000000"/>
          <w:sz w:val="21"/>
          <w:szCs w:val="21"/>
        </w:rPr>
        <w:t> 2005; </w:t>
      </w:r>
      <w:r w:rsidRPr="00832F55">
        <w:rPr>
          <w:rFonts w:ascii="Book Antiqua" w:hAnsi="Book Antiqua" w:cs="宋体"/>
          <w:b/>
          <w:bCs/>
          <w:color w:val="000000"/>
          <w:sz w:val="21"/>
          <w:szCs w:val="21"/>
        </w:rPr>
        <w:t xml:space="preserve">36 </w:t>
      </w:r>
      <w:r w:rsidRPr="00832F55">
        <w:rPr>
          <w:rFonts w:ascii="Book Antiqua" w:hAnsi="Book Antiqua" w:cs="宋体"/>
          <w:bCs/>
          <w:color w:val="000000"/>
          <w:sz w:val="21"/>
          <w:szCs w:val="21"/>
        </w:rPr>
        <w:t>Suppl 3</w:t>
      </w:r>
      <w:r w:rsidRPr="00832F55">
        <w:rPr>
          <w:rFonts w:ascii="Book Antiqua" w:hAnsi="Book Antiqua" w:cs="宋体"/>
          <w:color w:val="000000"/>
          <w:sz w:val="21"/>
          <w:szCs w:val="21"/>
        </w:rPr>
        <w:t>: S13-S19 [PMID: 16188544 DOI: 10.1016/j.injury.2005.07.030]</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63 </w:t>
      </w:r>
      <w:r w:rsidRPr="00832F55">
        <w:rPr>
          <w:rFonts w:ascii="Book Antiqua" w:hAnsi="Book Antiqua" w:cs="宋体"/>
          <w:b/>
          <w:bCs/>
          <w:color w:val="000000"/>
          <w:sz w:val="21"/>
          <w:szCs w:val="21"/>
        </w:rPr>
        <w:t>Mara CS</w:t>
      </w:r>
      <w:r w:rsidRPr="00832F55">
        <w:rPr>
          <w:rFonts w:ascii="Book Antiqua" w:hAnsi="Book Antiqua" w:cs="宋体"/>
          <w:color w:val="000000"/>
          <w:sz w:val="21"/>
          <w:szCs w:val="21"/>
        </w:rPr>
        <w:t>, Sartori AR, Duarte AS, Andrade AL, Pedro MA, Coimbra IB. Periosteum as a source of mesenchymal stem cells: the effects of TGF-β3 on chondrogenesis. </w:t>
      </w:r>
      <w:r w:rsidRPr="00832F55">
        <w:rPr>
          <w:rFonts w:ascii="Book Antiqua" w:hAnsi="Book Antiqua" w:cs="宋体"/>
          <w:i/>
          <w:iCs/>
          <w:color w:val="000000"/>
          <w:sz w:val="21"/>
          <w:szCs w:val="21"/>
        </w:rPr>
        <w:t>Clinics (Sao Paulo)</w:t>
      </w:r>
      <w:r w:rsidRPr="00832F55">
        <w:rPr>
          <w:rFonts w:ascii="Book Antiqua" w:hAnsi="Book Antiqua" w:cs="宋体"/>
          <w:color w:val="000000"/>
          <w:sz w:val="21"/>
          <w:szCs w:val="21"/>
        </w:rPr>
        <w:t> 2011; </w:t>
      </w:r>
      <w:r w:rsidRPr="00832F55">
        <w:rPr>
          <w:rFonts w:ascii="Book Antiqua" w:hAnsi="Book Antiqua" w:cs="宋体"/>
          <w:b/>
          <w:bCs/>
          <w:color w:val="000000"/>
          <w:sz w:val="21"/>
          <w:szCs w:val="21"/>
        </w:rPr>
        <w:t>66</w:t>
      </w:r>
      <w:r w:rsidRPr="00832F55">
        <w:rPr>
          <w:rFonts w:ascii="Book Antiqua" w:hAnsi="Book Antiqua" w:cs="宋体"/>
          <w:color w:val="000000"/>
          <w:sz w:val="21"/>
          <w:szCs w:val="21"/>
        </w:rPr>
        <w:t>: 487-492 [PMID: 21552678 DOI: 10.1590/S1807-59322011000300022]</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64 </w:t>
      </w:r>
      <w:r w:rsidRPr="00832F55">
        <w:rPr>
          <w:rFonts w:ascii="Book Antiqua" w:hAnsi="Book Antiqua" w:cs="宋体"/>
          <w:b/>
          <w:bCs/>
          <w:color w:val="000000"/>
          <w:sz w:val="21"/>
          <w:szCs w:val="21"/>
        </w:rPr>
        <w:t>Reinholz GG</w:t>
      </w:r>
      <w:r w:rsidRPr="00832F55">
        <w:rPr>
          <w:rFonts w:ascii="Book Antiqua" w:hAnsi="Book Antiqua" w:cs="宋体"/>
          <w:color w:val="000000"/>
          <w:sz w:val="21"/>
          <w:szCs w:val="21"/>
        </w:rPr>
        <w:t>, Fitzsimmons JS, Casper ME, Ruesink TJ, Chung HW, Schagemann JC, O'Driscoll SW. Rejuvenation of periosteal chondrogenesis using local growth factor injection. </w:t>
      </w:r>
      <w:r w:rsidRPr="00832F55">
        <w:rPr>
          <w:rFonts w:ascii="Book Antiqua" w:hAnsi="Book Antiqua" w:cs="宋体"/>
          <w:i/>
          <w:iCs/>
          <w:color w:val="000000"/>
          <w:sz w:val="21"/>
          <w:szCs w:val="21"/>
        </w:rPr>
        <w:t>Osteoarthritis Cartilage</w:t>
      </w:r>
      <w:r w:rsidRPr="00832F55">
        <w:rPr>
          <w:rFonts w:ascii="Book Antiqua" w:hAnsi="Book Antiqua" w:cs="宋体"/>
          <w:color w:val="000000"/>
          <w:sz w:val="21"/>
          <w:szCs w:val="21"/>
        </w:rPr>
        <w:t> 2009; </w:t>
      </w:r>
      <w:r w:rsidRPr="00832F55">
        <w:rPr>
          <w:rFonts w:ascii="Book Antiqua" w:hAnsi="Book Antiqua" w:cs="宋体"/>
          <w:b/>
          <w:bCs/>
          <w:color w:val="000000"/>
          <w:sz w:val="21"/>
          <w:szCs w:val="21"/>
        </w:rPr>
        <w:t>17</w:t>
      </w:r>
      <w:r w:rsidRPr="00832F55">
        <w:rPr>
          <w:rFonts w:ascii="Book Antiqua" w:hAnsi="Book Antiqua" w:cs="宋体"/>
          <w:color w:val="000000"/>
          <w:sz w:val="21"/>
          <w:szCs w:val="21"/>
        </w:rPr>
        <w:t>: 723-734 [PMID: 19064326 DOI: 10.1016/j.joca.2008.10.011]</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65 </w:t>
      </w:r>
      <w:r w:rsidRPr="00832F55">
        <w:rPr>
          <w:rFonts w:ascii="Book Antiqua" w:hAnsi="Book Antiqua" w:cs="宋体"/>
          <w:b/>
          <w:bCs/>
          <w:color w:val="000000"/>
          <w:sz w:val="21"/>
          <w:szCs w:val="21"/>
        </w:rPr>
        <w:t>Olivos-Meza A</w:t>
      </w:r>
      <w:r w:rsidRPr="00832F55">
        <w:rPr>
          <w:rFonts w:ascii="Book Antiqua" w:hAnsi="Book Antiqua" w:cs="宋体"/>
          <w:color w:val="000000"/>
          <w:sz w:val="21"/>
          <w:szCs w:val="21"/>
        </w:rPr>
        <w:t>, Fitzsimmons JS, Casper ME, Chen Q, An KN, Ruesink TJ, O'Driscoll SW, Reinholz GG. Pretreatment of periosteum with TGF-beta1 in situ enhances the quality of osteochondral tissue regenerated from transplanted periosteal grafts in adult rabbits. </w:t>
      </w:r>
      <w:r w:rsidRPr="00832F55">
        <w:rPr>
          <w:rFonts w:ascii="Book Antiqua" w:hAnsi="Book Antiqua" w:cs="宋体"/>
          <w:i/>
          <w:iCs/>
          <w:color w:val="000000"/>
          <w:sz w:val="21"/>
          <w:szCs w:val="21"/>
        </w:rPr>
        <w:t>Osteoarthritis Cartilage</w:t>
      </w:r>
      <w:r w:rsidRPr="00832F55">
        <w:rPr>
          <w:rFonts w:ascii="Book Antiqua" w:hAnsi="Book Antiqua" w:cs="宋体"/>
          <w:color w:val="000000"/>
          <w:sz w:val="21"/>
          <w:szCs w:val="21"/>
        </w:rPr>
        <w:t> 2010; </w:t>
      </w:r>
      <w:r w:rsidRPr="00832F55">
        <w:rPr>
          <w:rFonts w:ascii="Book Antiqua" w:hAnsi="Book Antiqua" w:cs="宋体"/>
          <w:b/>
          <w:bCs/>
          <w:color w:val="000000"/>
          <w:sz w:val="21"/>
          <w:szCs w:val="21"/>
        </w:rPr>
        <w:t>18</w:t>
      </w:r>
      <w:r w:rsidRPr="00832F55">
        <w:rPr>
          <w:rFonts w:ascii="Book Antiqua" w:hAnsi="Book Antiqua" w:cs="宋体"/>
          <w:color w:val="000000"/>
          <w:sz w:val="21"/>
          <w:szCs w:val="21"/>
        </w:rPr>
        <w:t>: 1183-1191 [PMID: 20633683 DOI: 10.1016/j.joca.2010.06.003]</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66 </w:t>
      </w:r>
      <w:r w:rsidRPr="00832F55">
        <w:rPr>
          <w:rFonts w:ascii="Book Antiqua" w:hAnsi="Book Antiqua" w:cs="宋体"/>
          <w:b/>
          <w:bCs/>
          <w:color w:val="000000"/>
          <w:sz w:val="21"/>
          <w:szCs w:val="21"/>
        </w:rPr>
        <w:t>Gotterbarm T</w:t>
      </w:r>
      <w:r w:rsidRPr="00832F55">
        <w:rPr>
          <w:rFonts w:ascii="Book Antiqua" w:hAnsi="Book Antiqua" w:cs="宋体"/>
          <w:color w:val="000000"/>
          <w:sz w:val="21"/>
          <w:szCs w:val="21"/>
        </w:rPr>
        <w:t>, Breusch SJ, Vilei SB, Mainil-Varlet P, Richter W, Jung M. No effect of subperiosteal growth factor application on periosteal neo-chondrogenesis in osteoperiosteal bone grafts for osteochondral defect repair. </w:t>
      </w:r>
      <w:r w:rsidRPr="00832F55">
        <w:rPr>
          <w:rFonts w:ascii="Book Antiqua" w:hAnsi="Book Antiqua" w:cs="宋体"/>
          <w:i/>
          <w:iCs/>
          <w:color w:val="000000"/>
          <w:sz w:val="21"/>
          <w:szCs w:val="21"/>
        </w:rPr>
        <w:t>Int Orthop</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37</w:t>
      </w:r>
      <w:r w:rsidRPr="00832F55">
        <w:rPr>
          <w:rFonts w:ascii="Book Antiqua" w:hAnsi="Book Antiqua" w:cs="宋体"/>
          <w:color w:val="000000"/>
          <w:sz w:val="21"/>
          <w:szCs w:val="21"/>
        </w:rPr>
        <w:t>: 1171-1178 [PMID: 23503670 DOI: 10.1007/s00264-013-1827-3]</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67 </w:t>
      </w:r>
      <w:r w:rsidRPr="00832F55">
        <w:rPr>
          <w:rFonts w:ascii="Book Antiqua" w:hAnsi="Book Antiqua" w:cs="宋体"/>
          <w:b/>
          <w:bCs/>
          <w:color w:val="000000"/>
          <w:sz w:val="21"/>
          <w:szCs w:val="21"/>
        </w:rPr>
        <w:t>Casper ME</w:t>
      </w:r>
      <w:r w:rsidRPr="00832F55">
        <w:rPr>
          <w:rFonts w:ascii="Book Antiqua" w:hAnsi="Book Antiqua" w:cs="宋体"/>
          <w:color w:val="000000"/>
          <w:sz w:val="21"/>
          <w:szCs w:val="21"/>
        </w:rPr>
        <w:t>, Fitzsimmons JS, Stone JJ, Meza AO, Huang Y, Ruesink TJ, O'Driscoll SW, Reinholz GG. Tissue engineering of cartilage using poly-epsilon-caprolactone nanofiber scaffolds seeded in vivo with periosteal cells. </w:t>
      </w:r>
      <w:r w:rsidRPr="00832F55">
        <w:rPr>
          <w:rFonts w:ascii="Book Antiqua" w:hAnsi="Book Antiqua" w:cs="宋体"/>
          <w:i/>
          <w:iCs/>
          <w:color w:val="000000"/>
          <w:sz w:val="21"/>
          <w:szCs w:val="21"/>
        </w:rPr>
        <w:t>Osteoarthritis Cartilage</w:t>
      </w:r>
      <w:r w:rsidRPr="00832F55">
        <w:rPr>
          <w:rFonts w:ascii="Book Antiqua" w:hAnsi="Book Antiqua" w:cs="宋体"/>
          <w:color w:val="000000"/>
          <w:sz w:val="21"/>
          <w:szCs w:val="21"/>
        </w:rPr>
        <w:t> 2010; </w:t>
      </w:r>
      <w:r w:rsidRPr="00832F55">
        <w:rPr>
          <w:rFonts w:ascii="Book Antiqua" w:hAnsi="Book Antiqua" w:cs="宋体"/>
          <w:b/>
          <w:bCs/>
          <w:color w:val="000000"/>
          <w:sz w:val="21"/>
          <w:szCs w:val="21"/>
        </w:rPr>
        <w:t>18</w:t>
      </w:r>
      <w:r w:rsidRPr="00832F55">
        <w:rPr>
          <w:rFonts w:ascii="Book Antiqua" w:hAnsi="Book Antiqua" w:cs="宋体"/>
          <w:color w:val="000000"/>
          <w:sz w:val="21"/>
          <w:szCs w:val="21"/>
        </w:rPr>
        <w:t>: 981-991 [PMID: 20434575 DOI: 10.1016/j.joca.2010.04.009]</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68 </w:t>
      </w:r>
      <w:r w:rsidRPr="00832F55">
        <w:rPr>
          <w:rFonts w:ascii="Book Antiqua" w:hAnsi="Book Antiqua" w:cs="宋体"/>
          <w:b/>
          <w:bCs/>
          <w:color w:val="000000"/>
          <w:sz w:val="21"/>
          <w:szCs w:val="21"/>
        </w:rPr>
        <w:t>Tarng YW</w:t>
      </w:r>
      <w:r w:rsidRPr="00832F55">
        <w:rPr>
          <w:rFonts w:ascii="Book Antiqua" w:hAnsi="Book Antiqua" w:cs="宋体"/>
          <w:color w:val="000000"/>
          <w:sz w:val="21"/>
          <w:szCs w:val="21"/>
        </w:rPr>
        <w:t>, Casper ME, Fitzsimmons JS, Stone JJ, Bekkers J, An KN, Su FC, O'Driscoll SW, Reinholz GG. Directional fluid flow enhances in vitro periosteal tissue growth and chondrogenesis on poly-epsilon-caprolactone scaffolds. </w:t>
      </w:r>
      <w:r w:rsidRPr="00832F55">
        <w:rPr>
          <w:rFonts w:ascii="Book Antiqua" w:hAnsi="Book Antiqua" w:cs="宋体"/>
          <w:i/>
          <w:iCs/>
          <w:color w:val="000000"/>
          <w:sz w:val="21"/>
          <w:szCs w:val="21"/>
        </w:rPr>
        <w:t>J Biomed Mater Res A</w:t>
      </w:r>
      <w:r w:rsidRPr="00832F55">
        <w:rPr>
          <w:rFonts w:ascii="Book Antiqua" w:hAnsi="Book Antiqua" w:cs="宋体"/>
          <w:color w:val="000000"/>
          <w:sz w:val="21"/>
          <w:szCs w:val="21"/>
        </w:rPr>
        <w:t> 2010; </w:t>
      </w:r>
      <w:r w:rsidRPr="00832F55">
        <w:rPr>
          <w:rFonts w:ascii="Book Antiqua" w:hAnsi="Book Antiqua" w:cs="宋体"/>
          <w:b/>
          <w:bCs/>
          <w:color w:val="000000"/>
          <w:sz w:val="21"/>
          <w:szCs w:val="21"/>
        </w:rPr>
        <w:t>95</w:t>
      </w:r>
      <w:r w:rsidRPr="00832F55">
        <w:rPr>
          <w:rFonts w:ascii="Book Antiqua" w:hAnsi="Book Antiqua" w:cs="宋体"/>
          <w:color w:val="000000"/>
          <w:sz w:val="21"/>
          <w:szCs w:val="21"/>
        </w:rPr>
        <w:t>: 156-163 [PMID: 20540101 DOI: 10.1002/jbm.a.32830]</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69 </w:t>
      </w:r>
      <w:r w:rsidRPr="00832F55">
        <w:rPr>
          <w:rFonts w:ascii="Book Antiqua" w:hAnsi="Book Antiqua" w:cs="宋体"/>
          <w:b/>
          <w:bCs/>
          <w:color w:val="000000"/>
          <w:sz w:val="21"/>
          <w:szCs w:val="21"/>
        </w:rPr>
        <w:t>Shapiro F</w:t>
      </w:r>
      <w:r w:rsidRPr="00832F55">
        <w:rPr>
          <w:rFonts w:ascii="Book Antiqua" w:hAnsi="Book Antiqua" w:cs="宋体"/>
          <w:color w:val="000000"/>
          <w:sz w:val="21"/>
          <w:szCs w:val="21"/>
        </w:rPr>
        <w:t>. Bone development and its relation to fracture repair. The role of mesenchymal osteoblasts and surface osteoblasts. </w:t>
      </w:r>
      <w:r w:rsidRPr="00832F55">
        <w:rPr>
          <w:rFonts w:ascii="Book Antiqua" w:hAnsi="Book Antiqua" w:cs="宋体"/>
          <w:i/>
          <w:iCs/>
          <w:color w:val="000000"/>
          <w:sz w:val="21"/>
          <w:szCs w:val="21"/>
        </w:rPr>
        <w:t>Eur Cell Mater</w:t>
      </w:r>
      <w:r w:rsidRPr="00832F55">
        <w:rPr>
          <w:rFonts w:ascii="Book Antiqua" w:hAnsi="Book Antiqua" w:cs="宋体"/>
          <w:color w:val="000000"/>
          <w:sz w:val="21"/>
          <w:szCs w:val="21"/>
        </w:rPr>
        <w:t> 2008; </w:t>
      </w:r>
      <w:r w:rsidRPr="00832F55">
        <w:rPr>
          <w:rFonts w:ascii="Book Antiqua" w:hAnsi="Book Antiqua" w:cs="宋体"/>
          <w:b/>
          <w:bCs/>
          <w:color w:val="000000"/>
          <w:sz w:val="21"/>
          <w:szCs w:val="21"/>
        </w:rPr>
        <w:t>15</w:t>
      </w:r>
      <w:r w:rsidRPr="00832F55">
        <w:rPr>
          <w:rFonts w:ascii="Book Antiqua" w:hAnsi="Book Antiqua" w:cs="宋体"/>
          <w:color w:val="000000"/>
          <w:sz w:val="21"/>
          <w:szCs w:val="21"/>
        </w:rPr>
        <w:t>: 53-76 [PMID: 18382990]</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70 </w:t>
      </w:r>
      <w:r w:rsidRPr="00832F55">
        <w:rPr>
          <w:rFonts w:ascii="Book Antiqua" w:hAnsi="Book Antiqua" w:cs="宋体"/>
          <w:b/>
          <w:bCs/>
          <w:color w:val="000000"/>
          <w:sz w:val="21"/>
          <w:szCs w:val="21"/>
        </w:rPr>
        <w:t>Uddströmer L</w:t>
      </w:r>
      <w:r w:rsidRPr="00832F55">
        <w:rPr>
          <w:rFonts w:ascii="Book Antiqua" w:hAnsi="Book Antiqua" w:cs="宋体"/>
          <w:color w:val="000000"/>
          <w:sz w:val="21"/>
          <w:szCs w:val="21"/>
        </w:rPr>
        <w:t>. The osteogenic capacity of tubular and membranous bone periosteum. A qualitative and quantitative experimental study in growing rabbits. </w:t>
      </w:r>
      <w:r w:rsidRPr="00832F55">
        <w:rPr>
          <w:rFonts w:ascii="Book Antiqua" w:hAnsi="Book Antiqua" w:cs="宋体"/>
          <w:i/>
          <w:iCs/>
          <w:color w:val="000000"/>
          <w:sz w:val="21"/>
          <w:szCs w:val="21"/>
        </w:rPr>
        <w:t>Scand J Plast Reconstr Surg</w:t>
      </w:r>
      <w:r w:rsidRPr="00832F55">
        <w:rPr>
          <w:rFonts w:ascii="Book Antiqua" w:hAnsi="Book Antiqua" w:cs="宋体"/>
          <w:color w:val="000000"/>
          <w:sz w:val="21"/>
          <w:szCs w:val="21"/>
        </w:rPr>
        <w:t> 1978; </w:t>
      </w:r>
      <w:r w:rsidRPr="00832F55">
        <w:rPr>
          <w:rFonts w:ascii="Book Antiqua" w:hAnsi="Book Antiqua" w:cs="宋体"/>
          <w:b/>
          <w:bCs/>
          <w:color w:val="000000"/>
          <w:sz w:val="21"/>
          <w:szCs w:val="21"/>
        </w:rPr>
        <w:t>12</w:t>
      </w:r>
      <w:r w:rsidRPr="00832F55">
        <w:rPr>
          <w:rFonts w:ascii="Book Antiqua" w:hAnsi="Book Antiqua" w:cs="宋体"/>
          <w:color w:val="000000"/>
          <w:sz w:val="21"/>
          <w:szCs w:val="21"/>
        </w:rPr>
        <w:t>: 195-205 [PMID: 368969 DOI: 10.3109/02844317809012995]</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71 </w:t>
      </w:r>
      <w:r w:rsidRPr="00832F55">
        <w:rPr>
          <w:rFonts w:ascii="Book Antiqua" w:hAnsi="Book Antiqua" w:cs="宋体"/>
          <w:b/>
          <w:bCs/>
          <w:color w:val="000000"/>
          <w:sz w:val="21"/>
          <w:szCs w:val="21"/>
        </w:rPr>
        <w:t>Funk JF</w:t>
      </w:r>
      <w:r w:rsidRPr="00832F55">
        <w:rPr>
          <w:rFonts w:ascii="Book Antiqua" w:hAnsi="Book Antiqua" w:cs="宋体"/>
          <w:color w:val="000000"/>
          <w:sz w:val="21"/>
          <w:szCs w:val="21"/>
        </w:rPr>
        <w:t>, Matziolis G, Krocker D, Perka C. [Promotion of bone healing through clinical application of autologous periosteum derived stem cells in a case of atrophic non-union]. </w:t>
      </w:r>
      <w:r w:rsidRPr="00832F55">
        <w:rPr>
          <w:rFonts w:ascii="Book Antiqua" w:hAnsi="Book Antiqua" w:cs="宋体"/>
          <w:i/>
          <w:iCs/>
          <w:color w:val="000000"/>
          <w:sz w:val="21"/>
          <w:szCs w:val="21"/>
        </w:rPr>
        <w:t>Z Orthop Unfall</w:t>
      </w:r>
      <w:r w:rsidRPr="00832F55">
        <w:rPr>
          <w:rFonts w:ascii="Book Antiqua" w:hAnsi="Book Antiqua" w:cs="宋体"/>
          <w:color w:val="000000"/>
          <w:sz w:val="21"/>
          <w:szCs w:val="21"/>
        </w:rPr>
        <w:t> </w:t>
      </w:r>
      <w:r>
        <w:rPr>
          <w:rFonts w:ascii="Book Antiqua" w:hAnsi="Book Antiqua" w:cs="宋体" w:hint="eastAsia"/>
          <w:color w:val="000000"/>
          <w:szCs w:val="21"/>
        </w:rPr>
        <w:t>2007</w:t>
      </w:r>
      <w:r w:rsidRPr="00832F55">
        <w:rPr>
          <w:rFonts w:ascii="Book Antiqua" w:hAnsi="Book Antiqua" w:cs="宋体"/>
          <w:color w:val="000000"/>
          <w:sz w:val="21"/>
          <w:szCs w:val="21"/>
        </w:rPr>
        <w:t>; </w:t>
      </w:r>
      <w:r w:rsidRPr="00832F55">
        <w:rPr>
          <w:rFonts w:ascii="Book Antiqua" w:hAnsi="Book Antiqua" w:cs="宋体"/>
          <w:b/>
          <w:bCs/>
          <w:color w:val="000000"/>
          <w:sz w:val="21"/>
          <w:szCs w:val="21"/>
        </w:rPr>
        <w:t>145</w:t>
      </w:r>
      <w:r w:rsidRPr="00832F55">
        <w:rPr>
          <w:rFonts w:ascii="Book Antiqua" w:hAnsi="Book Antiqua" w:cs="宋体"/>
          <w:color w:val="000000"/>
          <w:sz w:val="21"/>
          <w:szCs w:val="21"/>
        </w:rPr>
        <w:t>: 790-794 [PMID: 18072048 DOI: 10.1055/s-2007-965686]</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lastRenderedPageBreak/>
        <w:t>72 </w:t>
      </w:r>
      <w:r w:rsidRPr="00832F55">
        <w:rPr>
          <w:rFonts w:ascii="Book Antiqua" w:hAnsi="Book Antiqua" w:cs="宋体"/>
          <w:b/>
          <w:bCs/>
          <w:color w:val="000000"/>
          <w:sz w:val="21"/>
          <w:szCs w:val="21"/>
        </w:rPr>
        <w:t>Hoffman MD</w:t>
      </w:r>
      <w:r w:rsidRPr="00832F55">
        <w:rPr>
          <w:rFonts w:ascii="Book Antiqua" w:hAnsi="Book Antiqua" w:cs="宋体"/>
          <w:color w:val="000000"/>
          <w:sz w:val="21"/>
          <w:szCs w:val="21"/>
        </w:rPr>
        <w:t>, Benoit DS. Emerging ideas: Engineering the periosteum: revitalizing allografts by mimicking autograft healing. </w:t>
      </w:r>
      <w:r w:rsidRPr="00832F55">
        <w:rPr>
          <w:rFonts w:ascii="Book Antiqua" w:hAnsi="Book Antiqua" w:cs="宋体"/>
          <w:i/>
          <w:iCs/>
          <w:color w:val="000000"/>
          <w:sz w:val="21"/>
          <w:szCs w:val="21"/>
        </w:rPr>
        <w:t>Clin Orthop Relat Res</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471</w:t>
      </w:r>
      <w:r w:rsidRPr="00832F55">
        <w:rPr>
          <w:rFonts w:ascii="Book Antiqua" w:hAnsi="Book Antiqua" w:cs="宋体"/>
          <w:color w:val="000000"/>
          <w:sz w:val="21"/>
          <w:szCs w:val="21"/>
        </w:rPr>
        <w:t>: 721-726 [PMID: 23179118 DOI: 10.1007/s11999-012-2695-7]</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73 </w:t>
      </w:r>
      <w:r w:rsidRPr="00832F55">
        <w:rPr>
          <w:rFonts w:ascii="Book Antiqua" w:hAnsi="Book Antiqua" w:cs="宋体"/>
          <w:b/>
          <w:bCs/>
          <w:color w:val="000000"/>
          <w:sz w:val="21"/>
          <w:szCs w:val="21"/>
        </w:rPr>
        <w:t>Hoffman MD</w:t>
      </w:r>
      <w:r w:rsidRPr="00832F55">
        <w:rPr>
          <w:rFonts w:ascii="Book Antiqua" w:hAnsi="Book Antiqua" w:cs="宋体"/>
          <w:color w:val="000000"/>
          <w:sz w:val="21"/>
          <w:szCs w:val="21"/>
        </w:rPr>
        <w:t>, Xie C, Zhang X, Benoit DS. The effect of mesenchymal stem cells delivered via hydrogel-based tissue engineered periosteum on bone allograft healing. </w:t>
      </w:r>
      <w:r w:rsidRPr="00832F55">
        <w:rPr>
          <w:rFonts w:ascii="Book Antiqua" w:hAnsi="Book Antiqua" w:cs="宋体"/>
          <w:i/>
          <w:iCs/>
          <w:color w:val="000000"/>
          <w:sz w:val="21"/>
          <w:szCs w:val="21"/>
        </w:rPr>
        <w:t>Biomaterials</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34</w:t>
      </w:r>
      <w:r w:rsidRPr="00832F55">
        <w:rPr>
          <w:rFonts w:ascii="Book Antiqua" w:hAnsi="Book Antiqua" w:cs="宋体"/>
          <w:color w:val="000000"/>
          <w:sz w:val="21"/>
          <w:szCs w:val="21"/>
        </w:rPr>
        <w:t>: 8887-8898 [PMID: 23958029 DOI: 0.1016/j.biomaterials.2013.08.005]</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74 </w:t>
      </w:r>
      <w:r w:rsidRPr="00832F55">
        <w:rPr>
          <w:rFonts w:ascii="Book Antiqua" w:hAnsi="Book Antiqua" w:cs="宋体"/>
          <w:b/>
          <w:bCs/>
          <w:color w:val="000000"/>
          <w:sz w:val="21"/>
          <w:szCs w:val="21"/>
        </w:rPr>
        <w:t>Hornicek FJ</w:t>
      </w:r>
      <w:r w:rsidRPr="00832F55">
        <w:rPr>
          <w:rFonts w:ascii="Book Antiqua" w:hAnsi="Book Antiqua" w:cs="宋体"/>
          <w:color w:val="000000"/>
          <w:sz w:val="21"/>
          <w:szCs w:val="21"/>
        </w:rPr>
        <w:t>, Gebhardt MC, Tomford WW, Sorger JI, Zavatta M, Menzner JP, Mankin HJ. Factors affecting nonunion of the allograft-host junction. </w:t>
      </w:r>
      <w:r w:rsidRPr="00832F55">
        <w:rPr>
          <w:rFonts w:ascii="Book Antiqua" w:hAnsi="Book Antiqua" w:cs="宋体"/>
          <w:i/>
          <w:iCs/>
          <w:color w:val="000000"/>
          <w:sz w:val="21"/>
          <w:szCs w:val="21"/>
        </w:rPr>
        <w:t>Clin Orthop Relat Res</w:t>
      </w:r>
      <w:r w:rsidRPr="00832F55">
        <w:rPr>
          <w:rFonts w:ascii="Book Antiqua" w:hAnsi="Book Antiqua" w:cs="宋体"/>
          <w:color w:val="000000"/>
          <w:sz w:val="21"/>
          <w:szCs w:val="21"/>
        </w:rPr>
        <w:t> 2001; </w:t>
      </w:r>
      <w:r w:rsidRPr="00832F55">
        <w:rPr>
          <w:rFonts w:ascii="Book Antiqua" w:hAnsi="Book Antiqua" w:cs="宋体"/>
          <w:b/>
          <w:color w:val="000000"/>
          <w:szCs w:val="21"/>
        </w:rPr>
        <w:t>(382)</w:t>
      </w:r>
      <w:r w:rsidRPr="00832F55">
        <w:rPr>
          <w:rFonts w:ascii="Book Antiqua" w:hAnsi="Book Antiqua" w:cs="宋体"/>
          <w:color w:val="000000"/>
          <w:sz w:val="21"/>
          <w:szCs w:val="21"/>
        </w:rPr>
        <w:t>: 87-98 [PMID: 11154010 DOI: 10.1097/00003086-200101000-00014]</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75 </w:t>
      </w:r>
      <w:r w:rsidRPr="00832F55">
        <w:rPr>
          <w:rFonts w:ascii="Book Antiqua" w:hAnsi="Book Antiqua" w:cs="宋体"/>
          <w:b/>
          <w:bCs/>
          <w:color w:val="000000"/>
          <w:sz w:val="21"/>
          <w:szCs w:val="21"/>
        </w:rPr>
        <w:t>Mankin HJ</w:t>
      </w:r>
      <w:r w:rsidRPr="00832F55">
        <w:rPr>
          <w:rFonts w:ascii="Book Antiqua" w:hAnsi="Book Antiqua" w:cs="宋体"/>
          <w:color w:val="000000"/>
          <w:sz w:val="21"/>
          <w:szCs w:val="21"/>
        </w:rPr>
        <w:t>, Hornicek FJ, Raskin KA. Infection in massive bone allografts. </w:t>
      </w:r>
      <w:r w:rsidRPr="00832F55">
        <w:rPr>
          <w:rFonts w:ascii="Book Antiqua" w:hAnsi="Book Antiqua" w:cs="宋体"/>
          <w:i/>
          <w:iCs/>
          <w:color w:val="000000"/>
          <w:sz w:val="21"/>
          <w:szCs w:val="21"/>
        </w:rPr>
        <w:t>Clin Orthop Relat Res</w:t>
      </w:r>
      <w:r w:rsidRPr="00832F55">
        <w:rPr>
          <w:rFonts w:ascii="Book Antiqua" w:hAnsi="Book Antiqua" w:cs="宋体"/>
          <w:color w:val="000000"/>
          <w:sz w:val="21"/>
          <w:szCs w:val="21"/>
        </w:rPr>
        <w:t> 2005; </w:t>
      </w:r>
      <w:r w:rsidRPr="00832F55">
        <w:rPr>
          <w:rFonts w:ascii="Book Antiqua" w:hAnsi="Book Antiqua" w:cs="宋体"/>
          <w:b/>
          <w:color w:val="000000"/>
          <w:szCs w:val="21"/>
        </w:rPr>
        <w:t>(432)</w:t>
      </w:r>
      <w:r w:rsidRPr="00832F55">
        <w:rPr>
          <w:rFonts w:ascii="Book Antiqua" w:hAnsi="Book Antiqua" w:cs="宋体"/>
          <w:color w:val="000000"/>
          <w:sz w:val="21"/>
          <w:szCs w:val="21"/>
        </w:rPr>
        <w:t>: 210-216 [PMID: 15738824 DOI: 10.1097/01.blo.0000150371.77314.52]</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76 </w:t>
      </w:r>
      <w:r w:rsidRPr="00832F55">
        <w:rPr>
          <w:rFonts w:ascii="Book Antiqua" w:hAnsi="Book Antiqua" w:cs="宋体"/>
          <w:b/>
          <w:bCs/>
          <w:color w:val="000000"/>
          <w:sz w:val="21"/>
          <w:szCs w:val="21"/>
        </w:rPr>
        <w:t>Gruber R</w:t>
      </w:r>
      <w:r w:rsidRPr="00832F55">
        <w:rPr>
          <w:rFonts w:ascii="Book Antiqua" w:hAnsi="Book Antiqua" w:cs="宋体"/>
          <w:color w:val="000000"/>
          <w:sz w:val="21"/>
          <w:szCs w:val="21"/>
        </w:rPr>
        <w:t>, Mayer C, Bobacz K, Krauth MT, Graninger W, Luyten FP, Erlacher L. Effects of cartilage-derived morphogenetic proteins and osteogenic protein-1 on osteochondrogenic differentiation of periosteum-derived cells. </w:t>
      </w:r>
      <w:r w:rsidRPr="00832F55">
        <w:rPr>
          <w:rFonts w:ascii="Book Antiqua" w:hAnsi="Book Antiqua" w:cs="宋体"/>
          <w:i/>
          <w:iCs/>
          <w:color w:val="000000"/>
          <w:sz w:val="21"/>
          <w:szCs w:val="21"/>
        </w:rPr>
        <w:t>Endocrinology</w:t>
      </w:r>
      <w:r w:rsidRPr="00832F55">
        <w:rPr>
          <w:rFonts w:ascii="Book Antiqua" w:hAnsi="Book Antiqua" w:cs="宋体"/>
          <w:color w:val="000000"/>
          <w:sz w:val="21"/>
          <w:szCs w:val="21"/>
        </w:rPr>
        <w:t> 2001; </w:t>
      </w:r>
      <w:r w:rsidRPr="00832F55">
        <w:rPr>
          <w:rFonts w:ascii="Book Antiqua" w:hAnsi="Book Antiqua" w:cs="宋体"/>
          <w:b/>
          <w:bCs/>
          <w:color w:val="000000"/>
          <w:sz w:val="21"/>
          <w:szCs w:val="21"/>
        </w:rPr>
        <w:t>142</w:t>
      </w:r>
      <w:r w:rsidRPr="00832F55">
        <w:rPr>
          <w:rFonts w:ascii="Book Antiqua" w:hAnsi="Book Antiqua" w:cs="宋体"/>
          <w:color w:val="000000"/>
          <w:sz w:val="21"/>
          <w:szCs w:val="21"/>
        </w:rPr>
        <w:t>: 2087-2094 [PMID: 11316776 DOI: 10.1210/en.142.5.2087]</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77 </w:t>
      </w:r>
      <w:r w:rsidRPr="00832F55">
        <w:rPr>
          <w:rFonts w:ascii="Book Antiqua" w:hAnsi="Book Antiqua" w:cs="宋体"/>
          <w:b/>
          <w:bCs/>
          <w:color w:val="000000"/>
          <w:sz w:val="21"/>
          <w:szCs w:val="21"/>
        </w:rPr>
        <w:t>Kärner E</w:t>
      </w:r>
      <w:r w:rsidRPr="00832F55">
        <w:rPr>
          <w:rFonts w:ascii="Book Antiqua" w:hAnsi="Book Antiqua" w:cs="宋体"/>
          <w:color w:val="000000"/>
          <w:sz w:val="21"/>
          <w:szCs w:val="21"/>
        </w:rPr>
        <w:t>, Bäckesjö CM, Cedervall J, Sugars RV, Ahrlund-Richter L, Wendel M. Dynamics of gene expression during bone matrix formation in osteogenic cultures derived from human embryonic stem cells in vitro. </w:t>
      </w:r>
      <w:r w:rsidRPr="00832F55">
        <w:rPr>
          <w:rFonts w:ascii="Book Antiqua" w:hAnsi="Book Antiqua" w:cs="宋体"/>
          <w:i/>
          <w:iCs/>
          <w:color w:val="000000"/>
          <w:sz w:val="21"/>
          <w:szCs w:val="21"/>
        </w:rPr>
        <w:t>Biochim Biophys Acta</w:t>
      </w:r>
      <w:r w:rsidRPr="00832F55">
        <w:rPr>
          <w:rFonts w:ascii="Book Antiqua" w:hAnsi="Book Antiqua" w:cs="宋体"/>
          <w:color w:val="000000"/>
          <w:sz w:val="21"/>
          <w:szCs w:val="21"/>
        </w:rPr>
        <w:t> 2009; </w:t>
      </w:r>
      <w:r w:rsidRPr="00832F55">
        <w:rPr>
          <w:rFonts w:ascii="Book Antiqua" w:hAnsi="Book Antiqua" w:cs="宋体"/>
          <w:b/>
          <w:bCs/>
          <w:color w:val="000000"/>
          <w:sz w:val="21"/>
          <w:szCs w:val="21"/>
        </w:rPr>
        <w:t>1790</w:t>
      </w:r>
      <w:r w:rsidRPr="00832F55">
        <w:rPr>
          <w:rFonts w:ascii="Book Antiqua" w:hAnsi="Book Antiqua" w:cs="宋体"/>
          <w:color w:val="000000"/>
          <w:sz w:val="21"/>
          <w:szCs w:val="21"/>
        </w:rPr>
        <w:t>: 110-118 [PMID: 19007861 DOI: 10.1016/j.bbagen.2008.10.004]</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78 </w:t>
      </w:r>
      <w:r w:rsidRPr="00832F55">
        <w:rPr>
          <w:rFonts w:ascii="Book Antiqua" w:hAnsi="Book Antiqua" w:cs="宋体"/>
          <w:b/>
          <w:bCs/>
          <w:color w:val="000000"/>
          <w:sz w:val="21"/>
          <w:szCs w:val="21"/>
        </w:rPr>
        <w:t>Roberts SJ</w:t>
      </w:r>
      <w:r w:rsidRPr="00832F55">
        <w:rPr>
          <w:rFonts w:ascii="Book Antiqua" w:hAnsi="Book Antiqua" w:cs="宋体"/>
          <w:color w:val="000000"/>
          <w:sz w:val="21"/>
          <w:szCs w:val="21"/>
        </w:rPr>
        <w:t>, Chen Y, Moesen M, Schrooten J, Luyten FP. Enhancement of osteogenic gene expression for the differentiation of human periosteal derived cells. </w:t>
      </w:r>
      <w:r w:rsidRPr="00832F55">
        <w:rPr>
          <w:rFonts w:ascii="Book Antiqua" w:hAnsi="Book Antiqua" w:cs="宋体"/>
          <w:i/>
          <w:iCs/>
          <w:color w:val="000000"/>
          <w:sz w:val="21"/>
          <w:szCs w:val="21"/>
        </w:rPr>
        <w:t>Stem Cell Res</w:t>
      </w:r>
      <w:r w:rsidRPr="00832F55">
        <w:rPr>
          <w:rFonts w:ascii="Book Antiqua" w:hAnsi="Book Antiqua" w:cs="宋体"/>
          <w:color w:val="000000"/>
          <w:sz w:val="21"/>
          <w:szCs w:val="21"/>
        </w:rPr>
        <w:t> 2011; </w:t>
      </w:r>
      <w:r w:rsidRPr="00832F55">
        <w:rPr>
          <w:rFonts w:ascii="Book Antiqua" w:hAnsi="Book Antiqua" w:cs="宋体"/>
          <w:b/>
          <w:bCs/>
          <w:color w:val="000000"/>
          <w:sz w:val="21"/>
          <w:szCs w:val="21"/>
        </w:rPr>
        <w:t>7</w:t>
      </w:r>
      <w:r w:rsidRPr="00832F55">
        <w:rPr>
          <w:rFonts w:ascii="Book Antiqua" w:hAnsi="Book Antiqua" w:cs="宋体"/>
          <w:color w:val="000000"/>
          <w:sz w:val="21"/>
          <w:szCs w:val="21"/>
        </w:rPr>
        <w:t>: 137-144 [PMID: 21763621 DOI: 10.1016/j.scr.2011.04.003]</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79 </w:t>
      </w:r>
      <w:r w:rsidRPr="00832F55">
        <w:rPr>
          <w:rFonts w:ascii="Book Antiqua" w:hAnsi="Book Antiqua" w:cs="宋体"/>
          <w:b/>
          <w:bCs/>
          <w:color w:val="000000"/>
          <w:sz w:val="21"/>
          <w:szCs w:val="21"/>
        </w:rPr>
        <w:t>Ferretti C</w:t>
      </w:r>
      <w:r w:rsidRPr="00832F55">
        <w:rPr>
          <w:rFonts w:ascii="Book Antiqua" w:hAnsi="Book Antiqua" w:cs="宋体"/>
          <w:color w:val="000000"/>
          <w:sz w:val="21"/>
          <w:szCs w:val="21"/>
        </w:rPr>
        <w:t>, Borsari V, Falconi M, Gigante A, Lazzarini R, Fini M, Di Primio R, Mattioli-Belmonte M. Human periosteum-derived stem cells for tissue engineering applications: the role of VEGF. </w:t>
      </w:r>
      <w:r w:rsidRPr="00832F55">
        <w:rPr>
          <w:rFonts w:ascii="Book Antiqua" w:hAnsi="Book Antiqua" w:cs="宋体"/>
          <w:i/>
          <w:iCs/>
          <w:color w:val="000000"/>
          <w:sz w:val="21"/>
          <w:szCs w:val="21"/>
        </w:rPr>
        <w:t>Stem Cell Rev</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8</w:t>
      </w:r>
      <w:r w:rsidRPr="00832F55">
        <w:rPr>
          <w:rFonts w:ascii="Book Antiqua" w:hAnsi="Book Antiqua" w:cs="宋体"/>
          <w:color w:val="000000"/>
          <w:sz w:val="21"/>
          <w:szCs w:val="21"/>
        </w:rPr>
        <w:t>: 882-890 [PMID: 22622690 DOI: 10.1007/s12015-012-9374-7]</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80 </w:t>
      </w:r>
      <w:r w:rsidRPr="00832F55">
        <w:rPr>
          <w:rFonts w:ascii="Book Antiqua" w:hAnsi="Book Antiqua" w:cs="宋体"/>
          <w:b/>
          <w:bCs/>
          <w:color w:val="000000"/>
          <w:sz w:val="21"/>
          <w:szCs w:val="21"/>
        </w:rPr>
        <w:t>Murphy WL</w:t>
      </w:r>
      <w:r w:rsidRPr="00832F55">
        <w:rPr>
          <w:rFonts w:ascii="Book Antiqua" w:hAnsi="Book Antiqua" w:cs="宋体"/>
          <w:color w:val="000000"/>
          <w:sz w:val="21"/>
          <w:szCs w:val="21"/>
        </w:rPr>
        <w:t>, Peters MC, Kohn DH, Mooney DJ. Sustained release of vascular endothelial growth factor from mineralized poly(lactide-co-glycolide) scaffolds for tissue engineering. </w:t>
      </w:r>
      <w:r w:rsidRPr="00832F55">
        <w:rPr>
          <w:rFonts w:ascii="Book Antiqua" w:hAnsi="Book Antiqua" w:cs="宋体"/>
          <w:i/>
          <w:iCs/>
          <w:color w:val="000000"/>
          <w:sz w:val="21"/>
          <w:szCs w:val="21"/>
        </w:rPr>
        <w:t>Biomaterials</w:t>
      </w:r>
      <w:r w:rsidRPr="00832F55">
        <w:rPr>
          <w:rFonts w:ascii="Book Antiqua" w:hAnsi="Book Antiqua" w:cs="宋体"/>
          <w:color w:val="000000"/>
          <w:sz w:val="21"/>
          <w:szCs w:val="21"/>
        </w:rPr>
        <w:t> 2000; </w:t>
      </w:r>
      <w:r w:rsidRPr="00832F55">
        <w:rPr>
          <w:rFonts w:ascii="Book Antiqua" w:hAnsi="Book Antiqua" w:cs="宋体"/>
          <w:b/>
          <w:bCs/>
          <w:color w:val="000000"/>
          <w:sz w:val="21"/>
          <w:szCs w:val="21"/>
        </w:rPr>
        <w:t>21</w:t>
      </w:r>
      <w:r w:rsidRPr="00832F55">
        <w:rPr>
          <w:rFonts w:ascii="Book Antiqua" w:hAnsi="Book Antiqua" w:cs="宋体"/>
          <w:color w:val="000000"/>
          <w:sz w:val="21"/>
          <w:szCs w:val="21"/>
        </w:rPr>
        <w:t>: 2521-2527 [PMID: 11071602 DOI: 10.1016/S0142-9612(00)00120-4]</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81 </w:t>
      </w:r>
      <w:r w:rsidRPr="00832F55">
        <w:rPr>
          <w:rFonts w:ascii="Book Antiqua" w:hAnsi="Book Antiqua" w:cs="宋体"/>
          <w:b/>
          <w:bCs/>
          <w:color w:val="000000"/>
          <w:sz w:val="21"/>
          <w:szCs w:val="21"/>
        </w:rPr>
        <w:t>Busilacchi A</w:t>
      </w:r>
      <w:r w:rsidRPr="00832F55">
        <w:rPr>
          <w:rFonts w:ascii="Book Antiqua" w:hAnsi="Book Antiqua" w:cs="宋体"/>
          <w:color w:val="000000"/>
          <w:sz w:val="21"/>
          <w:szCs w:val="21"/>
        </w:rPr>
        <w:t>, Gigante A, Mattioli-Belmonte M, Manzotti S, Muzzarelli RA. Chitosan stabilizes platelet growth factors and modulates stem cell differentiation toward tissue regeneration. </w:t>
      </w:r>
      <w:r w:rsidRPr="00832F55">
        <w:rPr>
          <w:rFonts w:ascii="Book Antiqua" w:hAnsi="Book Antiqua" w:cs="宋体"/>
          <w:i/>
          <w:iCs/>
          <w:color w:val="000000"/>
          <w:sz w:val="21"/>
          <w:szCs w:val="21"/>
        </w:rPr>
        <w:t>Carbohydr Polym</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98</w:t>
      </w:r>
      <w:r w:rsidRPr="00832F55">
        <w:rPr>
          <w:rFonts w:ascii="Book Antiqua" w:hAnsi="Book Antiqua" w:cs="宋体"/>
          <w:color w:val="000000"/>
          <w:sz w:val="21"/>
          <w:szCs w:val="21"/>
        </w:rPr>
        <w:t>: 665-676 [PMID: 23987397 DOI: 10.1016/j.carbpol.2013.06.044]</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82 </w:t>
      </w:r>
      <w:r w:rsidRPr="00832F55">
        <w:rPr>
          <w:rFonts w:ascii="Book Antiqua" w:hAnsi="Book Antiqua" w:cs="宋体"/>
          <w:b/>
          <w:bCs/>
          <w:color w:val="000000"/>
          <w:sz w:val="21"/>
          <w:szCs w:val="21"/>
        </w:rPr>
        <w:t>Thitiset T</w:t>
      </w:r>
      <w:r w:rsidRPr="00832F55">
        <w:rPr>
          <w:rFonts w:ascii="Book Antiqua" w:hAnsi="Book Antiqua" w:cs="宋体"/>
          <w:color w:val="000000"/>
          <w:sz w:val="21"/>
          <w:szCs w:val="21"/>
        </w:rPr>
        <w:t>, Damrongsakkul S, Bunaprasert T, Leeanansaksiri W, Honsawek S. Development of collagen/demineralized bone powder scaffolds and periosteum-derived cells for bone tissue engineering application. </w:t>
      </w:r>
      <w:r w:rsidRPr="00832F55">
        <w:rPr>
          <w:rFonts w:ascii="Book Antiqua" w:hAnsi="Book Antiqua" w:cs="宋体"/>
          <w:i/>
          <w:iCs/>
          <w:color w:val="000000"/>
          <w:sz w:val="21"/>
          <w:szCs w:val="21"/>
        </w:rPr>
        <w:t>Int J Mol Sci</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14</w:t>
      </w:r>
      <w:r w:rsidRPr="00832F55">
        <w:rPr>
          <w:rFonts w:ascii="Book Antiqua" w:hAnsi="Book Antiqua" w:cs="宋体"/>
          <w:color w:val="000000"/>
          <w:sz w:val="21"/>
          <w:szCs w:val="21"/>
        </w:rPr>
        <w:t>: 2056-2071 [PMID: 23337204 DOI: 10.3390/ijms14012056]</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lastRenderedPageBreak/>
        <w:t>83 </w:t>
      </w:r>
      <w:r w:rsidRPr="00832F55">
        <w:rPr>
          <w:rFonts w:ascii="Book Antiqua" w:hAnsi="Book Antiqua" w:cs="宋体"/>
          <w:b/>
          <w:bCs/>
          <w:color w:val="000000"/>
          <w:sz w:val="21"/>
          <w:szCs w:val="21"/>
        </w:rPr>
        <w:t>Gentile P</w:t>
      </w:r>
      <w:r w:rsidRPr="00832F55">
        <w:rPr>
          <w:rFonts w:ascii="Book Antiqua" w:hAnsi="Book Antiqua" w:cs="宋体"/>
          <w:color w:val="000000"/>
          <w:sz w:val="21"/>
          <w:szCs w:val="21"/>
        </w:rPr>
        <w:t>, Mattioli-Belmonte M, Chiono V, Ferretti C, Baino F, Tonda-Turo C, Vitale-Brovarone C, Pashkuleva I, Reis RL, Ciardelli G. Bioactive glass/polymer composite scaffolds mimicking bone tissue. </w:t>
      </w:r>
      <w:r w:rsidRPr="00832F55">
        <w:rPr>
          <w:rFonts w:ascii="Book Antiqua" w:hAnsi="Book Antiqua" w:cs="宋体"/>
          <w:i/>
          <w:iCs/>
          <w:color w:val="000000"/>
          <w:sz w:val="21"/>
          <w:szCs w:val="21"/>
        </w:rPr>
        <w:t>J Biomed Mater Res A</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100</w:t>
      </w:r>
      <w:r w:rsidRPr="00832F55">
        <w:rPr>
          <w:rFonts w:ascii="Book Antiqua" w:hAnsi="Book Antiqua" w:cs="宋体"/>
          <w:color w:val="000000"/>
          <w:sz w:val="21"/>
          <w:szCs w:val="21"/>
        </w:rPr>
        <w:t>: 2654-2667 [PMID: 22615261 DOI: 10.1002/jbm.a.34205]</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84 </w:t>
      </w:r>
      <w:r w:rsidRPr="00832F55">
        <w:rPr>
          <w:rFonts w:ascii="Book Antiqua" w:hAnsi="Book Antiqua" w:cs="宋体"/>
          <w:b/>
          <w:bCs/>
          <w:color w:val="000000"/>
          <w:sz w:val="21"/>
          <w:szCs w:val="21"/>
        </w:rPr>
        <w:t>Roberts SJ</w:t>
      </w:r>
      <w:r w:rsidRPr="00832F55">
        <w:rPr>
          <w:rFonts w:ascii="Book Antiqua" w:hAnsi="Book Antiqua" w:cs="宋体"/>
          <w:color w:val="000000"/>
          <w:sz w:val="21"/>
          <w:szCs w:val="21"/>
        </w:rPr>
        <w:t>, Geris L, Kerckhofs G, Desmet E, Schrooten J, Luyten FP. The combined bone forming capacity of human periosteal derived cells and calcium phosphates. </w:t>
      </w:r>
      <w:r w:rsidRPr="00832F55">
        <w:rPr>
          <w:rFonts w:ascii="Book Antiqua" w:hAnsi="Book Antiqua" w:cs="宋体"/>
          <w:i/>
          <w:iCs/>
          <w:color w:val="000000"/>
          <w:sz w:val="21"/>
          <w:szCs w:val="21"/>
        </w:rPr>
        <w:t>Biomaterials</w:t>
      </w:r>
      <w:r w:rsidRPr="00832F55">
        <w:rPr>
          <w:rFonts w:ascii="Book Antiqua" w:hAnsi="Book Antiqua" w:cs="宋体"/>
          <w:color w:val="000000"/>
          <w:sz w:val="21"/>
          <w:szCs w:val="21"/>
        </w:rPr>
        <w:t> 2011; </w:t>
      </w:r>
      <w:r w:rsidRPr="00832F55">
        <w:rPr>
          <w:rFonts w:ascii="Book Antiqua" w:hAnsi="Book Antiqua" w:cs="宋体"/>
          <w:b/>
          <w:bCs/>
          <w:color w:val="000000"/>
          <w:sz w:val="21"/>
          <w:szCs w:val="21"/>
        </w:rPr>
        <w:t>32</w:t>
      </w:r>
      <w:r w:rsidRPr="00832F55">
        <w:rPr>
          <w:rFonts w:ascii="Book Antiqua" w:hAnsi="Book Antiqua" w:cs="宋体"/>
          <w:color w:val="000000"/>
          <w:sz w:val="21"/>
          <w:szCs w:val="21"/>
        </w:rPr>
        <w:t>: 4393-4405 [PMID: 21421268 DOI: 10.1016/j.biomaterials.2011.02.047]</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85 </w:t>
      </w:r>
      <w:r w:rsidRPr="00832F55">
        <w:rPr>
          <w:rFonts w:ascii="Book Antiqua" w:hAnsi="Book Antiqua" w:cs="宋体"/>
          <w:b/>
          <w:bCs/>
          <w:color w:val="000000"/>
          <w:sz w:val="21"/>
          <w:szCs w:val="21"/>
        </w:rPr>
        <w:t>Almodóvar J</w:t>
      </w:r>
      <w:r w:rsidRPr="00832F55">
        <w:rPr>
          <w:rFonts w:ascii="Book Antiqua" w:hAnsi="Book Antiqua" w:cs="宋体"/>
          <w:color w:val="000000"/>
          <w:sz w:val="21"/>
          <w:szCs w:val="21"/>
        </w:rPr>
        <w:t>, Mower J, Banerjee A, Sarkar AK, Ehrhart NP, Kipper MJ. Chitosan-heparin polyelectrolyte multilayers on cortical bone: periosteum-mimetic, cytophilic, antibacterial coatings. </w:t>
      </w:r>
      <w:r w:rsidRPr="00832F55">
        <w:rPr>
          <w:rFonts w:ascii="Book Antiqua" w:hAnsi="Book Antiqua" w:cs="宋体"/>
          <w:i/>
          <w:iCs/>
          <w:color w:val="000000"/>
          <w:sz w:val="21"/>
          <w:szCs w:val="21"/>
        </w:rPr>
        <w:t>Biotechnol Bioeng</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110</w:t>
      </w:r>
      <w:r w:rsidRPr="00832F55">
        <w:rPr>
          <w:rFonts w:ascii="Book Antiqua" w:hAnsi="Book Antiqua" w:cs="宋体"/>
          <w:color w:val="000000"/>
          <w:sz w:val="21"/>
          <w:szCs w:val="21"/>
        </w:rPr>
        <w:t>: 609-618 [PMID: 22903591 DOI: 10.1002/bit.24710]</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86 </w:t>
      </w:r>
      <w:r w:rsidRPr="00832F55">
        <w:rPr>
          <w:rFonts w:ascii="Book Antiqua" w:hAnsi="Book Antiqua" w:cs="宋体"/>
          <w:b/>
          <w:bCs/>
          <w:color w:val="000000"/>
          <w:sz w:val="21"/>
          <w:szCs w:val="21"/>
        </w:rPr>
        <w:t>Xie C</w:t>
      </w:r>
      <w:r w:rsidRPr="00832F55">
        <w:rPr>
          <w:rFonts w:ascii="Book Antiqua" w:hAnsi="Book Antiqua" w:cs="宋体"/>
          <w:color w:val="000000"/>
          <w:sz w:val="21"/>
          <w:szCs w:val="21"/>
        </w:rPr>
        <w:t>, Reynolds D, Awad H, Rubery PT, Pelled G, Gazit D, Guldberg RE, Schwarz EM, O'Keefe RJ, Zhang X. Structural bone allograft combined with genetically engineered mesenchymal stem cells as a novel platform for bone tissue engineering. </w:t>
      </w:r>
      <w:r w:rsidRPr="00832F55">
        <w:rPr>
          <w:rFonts w:ascii="Book Antiqua" w:hAnsi="Book Antiqua" w:cs="宋体"/>
          <w:i/>
          <w:iCs/>
          <w:color w:val="000000"/>
          <w:sz w:val="21"/>
          <w:szCs w:val="21"/>
        </w:rPr>
        <w:t>Tissue Eng</w:t>
      </w:r>
      <w:r w:rsidRPr="00832F55">
        <w:rPr>
          <w:rFonts w:ascii="Book Antiqua" w:hAnsi="Book Antiqua" w:cs="宋体"/>
          <w:color w:val="000000"/>
          <w:sz w:val="21"/>
          <w:szCs w:val="21"/>
        </w:rPr>
        <w:t> 2007; </w:t>
      </w:r>
      <w:r w:rsidRPr="00832F55">
        <w:rPr>
          <w:rFonts w:ascii="Book Antiqua" w:hAnsi="Book Antiqua" w:cs="宋体"/>
          <w:b/>
          <w:bCs/>
          <w:color w:val="000000"/>
          <w:sz w:val="21"/>
          <w:szCs w:val="21"/>
        </w:rPr>
        <w:t>13</w:t>
      </w:r>
      <w:r w:rsidRPr="00832F55">
        <w:rPr>
          <w:rFonts w:ascii="Book Antiqua" w:hAnsi="Book Antiqua" w:cs="宋体"/>
          <w:color w:val="000000"/>
          <w:sz w:val="21"/>
          <w:szCs w:val="21"/>
        </w:rPr>
        <w:t>: 435-445 [PMID: 17518596 DOI: 10.1089/ten.2006.0182]</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87 </w:t>
      </w:r>
      <w:r w:rsidRPr="00832F55">
        <w:rPr>
          <w:rFonts w:ascii="Book Antiqua" w:hAnsi="Book Antiqua" w:cs="宋体"/>
          <w:b/>
          <w:bCs/>
          <w:color w:val="000000"/>
          <w:sz w:val="21"/>
          <w:szCs w:val="21"/>
        </w:rPr>
        <w:t>Schönmeyr B</w:t>
      </w:r>
      <w:r w:rsidRPr="00832F55">
        <w:rPr>
          <w:rFonts w:ascii="Book Antiqua" w:hAnsi="Book Antiqua" w:cs="宋体"/>
          <w:color w:val="000000"/>
          <w:sz w:val="21"/>
          <w:szCs w:val="21"/>
        </w:rPr>
        <w:t>, Clavin N, Avraham T, Longo V, Mehrara BJ. Synthesis of a tissue-engineered periosteum with acellular dermal matrix and cultured mesenchymal stem cells. </w:t>
      </w:r>
      <w:r w:rsidRPr="00832F55">
        <w:rPr>
          <w:rFonts w:ascii="Book Antiqua" w:hAnsi="Book Antiqua" w:cs="宋体"/>
          <w:i/>
          <w:iCs/>
          <w:color w:val="000000"/>
          <w:sz w:val="21"/>
          <w:szCs w:val="21"/>
        </w:rPr>
        <w:t>Tissue Eng Part A</w:t>
      </w:r>
      <w:r w:rsidRPr="00832F55">
        <w:rPr>
          <w:rFonts w:ascii="Book Antiqua" w:hAnsi="Book Antiqua" w:cs="宋体"/>
          <w:color w:val="000000"/>
          <w:sz w:val="21"/>
          <w:szCs w:val="21"/>
        </w:rPr>
        <w:t> 2009; </w:t>
      </w:r>
      <w:r w:rsidRPr="00832F55">
        <w:rPr>
          <w:rFonts w:ascii="Book Antiqua" w:hAnsi="Book Antiqua" w:cs="宋体"/>
          <w:b/>
          <w:bCs/>
          <w:color w:val="000000"/>
          <w:sz w:val="21"/>
          <w:szCs w:val="21"/>
        </w:rPr>
        <w:t>15</w:t>
      </w:r>
      <w:r w:rsidRPr="00832F55">
        <w:rPr>
          <w:rFonts w:ascii="Book Antiqua" w:hAnsi="Book Antiqua" w:cs="宋体"/>
          <w:color w:val="000000"/>
          <w:sz w:val="21"/>
          <w:szCs w:val="21"/>
        </w:rPr>
        <w:t>: 1833-1841 [PMID: 19125645 DOI: 10.1089/ten.tea.2008.0446]</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88 </w:t>
      </w:r>
      <w:r w:rsidRPr="00832F55">
        <w:rPr>
          <w:rFonts w:ascii="Book Antiqua" w:hAnsi="Book Antiqua" w:cs="宋体"/>
          <w:b/>
          <w:bCs/>
          <w:color w:val="000000"/>
          <w:sz w:val="21"/>
          <w:szCs w:val="21"/>
        </w:rPr>
        <w:t>Zhang X</w:t>
      </w:r>
      <w:r w:rsidRPr="00832F55">
        <w:rPr>
          <w:rFonts w:ascii="Book Antiqua" w:hAnsi="Book Antiqua" w:cs="宋体"/>
          <w:color w:val="000000"/>
          <w:sz w:val="21"/>
          <w:szCs w:val="21"/>
        </w:rPr>
        <w:t>, Xie C, Lin AS, Ito H, Awad H, Lieberman JR, Rubery PT, Schwarz EM, O'Keefe RJ, Guldberg RE. Periosteal progenitor cell fate in segmental cortical bone graft transplantations: implications for functional tissue engineering. </w:t>
      </w:r>
      <w:r w:rsidRPr="00832F55">
        <w:rPr>
          <w:rFonts w:ascii="Book Antiqua" w:hAnsi="Book Antiqua" w:cs="宋体"/>
          <w:i/>
          <w:iCs/>
          <w:color w:val="000000"/>
          <w:sz w:val="21"/>
          <w:szCs w:val="21"/>
        </w:rPr>
        <w:t>J Bone Miner Res</w:t>
      </w:r>
      <w:r w:rsidRPr="00832F55">
        <w:rPr>
          <w:rFonts w:ascii="Book Antiqua" w:hAnsi="Book Antiqua" w:cs="宋体"/>
          <w:color w:val="000000"/>
          <w:sz w:val="21"/>
          <w:szCs w:val="21"/>
        </w:rPr>
        <w:t> 2005; </w:t>
      </w:r>
      <w:r w:rsidRPr="00832F55">
        <w:rPr>
          <w:rFonts w:ascii="Book Antiqua" w:hAnsi="Book Antiqua" w:cs="宋体"/>
          <w:b/>
          <w:bCs/>
          <w:color w:val="000000"/>
          <w:sz w:val="21"/>
          <w:szCs w:val="21"/>
        </w:rPr>
        <w:t>20</w:t>
      </w:r>
      <w:r w:rsidRPr="00832F55">
        <w:rPr>
          <w:rFonts w:ascii="Book Antiqua" w:hAnsi="Book Antiqua" w:cs="宋体"/>
          <w:color w:val="000000"/>
          <w:sz w:val="21"/>
          <w:szCs w:val="21"/>
        </w:rPr>
        <w:t>: 2124-2137 [PMID: 16294266 DOI: 10.1359/JBMR.050806</w:t>
      </w:r>
      <w:r>
        <w:rPr>
          <w:rFonts w:ascii="Book Antiqua" w:hAnsi="Book Antiqua" w:cs="宋体"/>
          <w:color w:val="000000"/>
          <w:szCs w:val="21"/>
        </w:rPr>
        <w:t>]</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89 </w:t>
      </w:r>
      <w:r w:rsidRPr="00832F55">
        <w:rPr>
          <w:rFonts w:ascii="Book Antiqua" w:hAnsi="Book Antiqua" w:cs="宋体"/>
          <w:b/>
          <w:bCs/>
          <w:color w:val="000000"/>
          <w:sz w:val="21"/>
          <w:szCs w:val="21"/>
        </w:rPr>
        <w:t>Masquelet AC</w:t>
      </w:r>
      <w:r w:rsidRPr="00832F55">
        <w:rPr>
          <w:rFonts w:ascii="Book Antiqua" w:hAnsi="Book Antiqua" w:cs="宋体"/>
          <w:color w:val="000000"/>
          <w:sz w:val="21"/>
          <w:szCs w:val="21"/>
        </w:rPr>
        <w:t>. Muscle reconstruction in reconstructive surgery: soft tissue repair and long bone reconstruction. </w:t>
      </w:r>
      <w:r w:rsidRPr="00832F55">
        <w:rPr>
          <w:rFonts w:ascii="Book Antiqua" w:hAnsi="Book Antiqua" w:cs="宋体"/>
          <w:i/>
          <w:iCs/>
          <w:color w:val="000000"/>
          <w:sz w:val="21"/>
          <w:szCs w:val="21"/>
        </w:rPr>
        <w:t>Langenbecks Arch Surg</w:t>
      </w:r>
      <w:r w:rsidRPr="00832F55">
        <w:rPr>
          <w:rFonts w:ascii="Book Antiqua" w:hAnsi="Book Antiqua" w:cs="宋体"/>
          <w:color w:val="000000"/>
          <w:sz w:val="21"/>
          <w:szCs w:val="21"/>
        </w:rPr>
        <w:t> 2003; </w:t>
      </w:r>
      <w:r w:rsidRPr="00832F55">
        <w:rPr>
          <w:rFonts w:ascii="Book Antiqua" w:hAnsi="Book Antiqua" w:cs="宋体"/>
          <w:b/>
          <w:bCs/>
          <w:color w:val="000000"/>
          <w:sz w:val="21"/>
          <w:szCs w:val="21"/>
        </w:rPr>
        <w:t>388</w:t>
      </w:r>
      <w:r w:rsidRPr="00832F55">
        <w:rPr>
          <w:rFonts w:ascii="Book Antiqua" w:hAnsi="Book Antiqua" w:cs="宋体"/>
          <w:color w:val="000000"/>
          <w:sz w:val="21"/>
          <w:szCs w:val="21"/>
        </w:rPr>
        <w:t>: 344-346 [PMID: 13680234]</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90 </w:t>
      </w:r>
      <w:r w:rsidRPr="00832F55">
        <w:rPr>
          <w:rFonts w:ascii="Book Antiqua" w:hAnsi="Book Antiqua" w:cs="宋体"/>
          <w:b/>
          <w:bCs/>
          <w:color w:val="000000"/>
          <w:sz w:val="21"/>
          <w:szCs w:val="21"/>
        </w:rPr>
        <w:t>Cuthbert RJ</w:t>
      </w:r>
      <w:r w:rsidRPr="00832F55">
        <w:rPr>
          <w:rFonts w:ascii="Book Antiqua" w:hAnsi="Book Antiqua" w:cs="宋体"/>
          <w:color w:val="000000"/>
          <w:sz w:val="21"/>
          <w:szCs w:val="21"/>
        </w:rPr>
        <w:t>, Churchman SM, Tan HB, McGonagle D, Jones E, Giannoudis PV. Induced periosteum a complex cellular scaffold for the treatment of large bone defects. </w:t>
      </w:r>
      <w:r w:rsidRPr="00832F55">
        <w:rPr>
          <w:rFonts w:ascii="Book Antiqua" w:hAnsi="Book Antiqua" w:cs="宋体"/>
          <w:i/>
          <w:iCs/>
          <w:color w:val="000000"/>
          <w:sz w:val="21"/>
          <w:szCs w:val="21"/>
        </w:rPr>
        <w:t>Bone</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57</w:t>
      </w:r>
      <w:r w:rsidRPr="00832F55">
        <w:rPr>
          <w:rFonts w:ascii="Book Antiqua" w:hAnsi="Book Antiqua" w:cs="宋体"/>
          <w:color w:val="000000"/>
          <w:sz w:val="21"/>
          <w:szCs w:val="21"/>
        </w:rPr>
        <w:t>: 484-492 [PMID: 23954755 DOI: 10.1016/j.bone.2013.08.009]</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91 </w:t>
      </w:r>
      <w:r w:rsidRPr="00832F55">
        <w:rPr>
          <w:rFonts w:ascii="Book Antiqua" w:hAnsi="Book Antiqua" w:cs="宋体"/>
          <w:b/>
          <w:bCs/>
          <w:color w:val="000000"/>
          <w:sz w:val="21"/>
          <w:szCs w:val="21"/>
        </w:rPr>
        <w:t>Taba M</w:t>
      </w:r>
      <w:r w:rsidRPr="00832F55">
        <w:rPr>
          <w:rFonts w:ascii="Book Antiqua" w:hAnsi="Book Antiqua" w:cs="宋体"/>
          <w:color w:val="000000"/>
          <w:sz w:val="21"/>
          <w:szCs w:val="21"/>
        </w:rPr>
        <w:t>, Jin Q, Sugai JV, Giannobile WV. Current concepts in periodontal bioengineering. </w:t>
      </w:r>
      <w:r w:rsidRPr="00832F55">
        <w:rPr>
          <w:rFonts w:ascii="Book Antiqua" w:hAnsi="Book Antiqua" w:cs="宋体"/>
          <w:i/>
          <w:iCs/>
          <w:color w:val="000000"/>
          <w:sz w:val="21"/>
          <w:szCs w:val="21"/>
        </w:rPr>
        <w:t>Orthod Craniofac Res</w:t>
      </w:r>
      <w:r w:rsidRPr="00832F55">
        <w:rPr>
          <w:rFonts w:ascii="Book Antiqua" w:hAnsi="Book Antiqua" w:cs="宋体"/>
          <w:color w:val="000000"/>
          <w:sz w:val="21"/>
          <w:szCs w:val="21"/>
        </w:rPr>
        <w:t> 2005; </w:t>
      </w:r>
      <w:r w:rsidRPr="00832F55">
        <w:rPr>
          <w:rFonts w:ascii="Book Antiqua" w:hAnsi="Book Antiqua" w:cs="宋体"/>
          <w:b/>
          <w:bCs/>
          <w:color w:val="000000"/>
          <w:sz w:val="21"/>
          <w:szCs w:val="21"/>
        </w:rPr>
        <w:t>8</w:t>
      </w:r>
      <w:r w:rsidRPr="00832F55">
        <w:rPr>
          <w:rFonts w:ascii="Book Antiqua" w:hAnsi="Book Antiqua" w:cs="宋体"/>
          <w:color w:val="000000"/>
          <w:sz w:val="21"/>
          <w:szCs w:val="21"/>
        </w:rPr>
        <w:t>: 292-302 [PMID: 16238610 DOI: 10.1111/j.1601-6343.2005.00352.x]</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92 </w:t>
      </w:r>
      <w:r w:rsidRPr="00832F55">
        <w:rPr>
          <w:rFonts w:ascii="Book Antiqua" w:hAnsi="Book Antiqua" w:cs="宋体"/>
          <w:b/>
          <w:bCs/>
          <w:color w:val="000000"/>
          <w:sz w:val="21"/>
          <w:szCs w:val="21"/>
        </w:rPr>
        <w:t>Tobón-Arroyave SI</w:t>
      </w:r>
      <w:r w:rsidRPr="00832F55">
        <w:rPr>
          <w:rFonts w:ascii="Book Antiqua" w:hAnsi="Book Antiqua" w:cs="宋体"/>
          <w:color w:val="000000"/>
          <w:sz w:val="21"/>
          <w:szCs w:val="21"/>
        </w:rPr>
        <w:t>, Domínguez-Mejía JS, Flórez-Moreno GA. Periosteal grafts as barriers in periradicular surgery: report of two cases. </w:t>
      </w:r>
      <w:r w:rsidRPr="00832F55">
        <w:rPr>
          <w:rFonts w:ascii="Book Antiqua" w:hAnsi="Book Antiqua" w:cs="宋体"/>
          <w:i/>
          <w:iCs/>
          <w:color w:val="000000"/>
          <w:sz w:val="21"/>
          <w:szCs w:val="21"/>
        </w:rPr>
        <w:t>Int Endod J</w:t>
      </w:r>
      <w:r w:rsidRPr="00832F55">
        <w:rPr>
          <w:rFonts w:ascii="Book Antiqua" w:hAnsi="Book Antiqua" w:cs="宋体"/>
          <w:color w:val="000000"/>
          <w:sz w:val="21"/>
          <w:szCs w:val="21"/>
        </w:rPr>
        <w:t> 2004; </w:t>
      </w:r>
      <w:r w:rsidRPr="00832F55">
        <w:rPr>
          <w:rFonts w:ascii="Book Antiqua" w:hAnsi="Book Antiqua" w:cs="宋体"/>
          <w:b/>
          <w:bCs/>
          <w:color w:val="000000"/>
          <w:sz w:val="21"/>
          <w:szCs w:val="21"/>
        </w:rPr>
        <w:t>37</w:t>
      </w:r>
      <w:r w:rsidRPr="00832F55">
        <w:rPr>
          <w:rFonts w:ascii="Book Antiqua" w:hAnsi="Book Antiqua" w:cs="宋体"/>
          <w:color w:val="000000"/>
          <w:sz w:val="21"/>
          <w:szCs w:val="21"/>
        </w:rPr>
        <w:t>: 632-642 [PMID: 15317567 DOI: 10.1111/j.1365-2591.2004.00855.x]</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93 </w:t>
      </w:r>
      <w:r w:rsidRPr="00832F55">
        <w:rPr>
          <w:rFonts w:ascii="Book Antiqua" w:hAnsi="Book Antiqua" w:cs="宋体"/>
          <w:b/>
          <w:bCs/>
          <w:color w:val="000000"/>
          <w:sz w:val="21"/>
          <w:szCs w:val="21"/>
        </w:rPr>
        <w:t>Olbrich M</w:t>
      </w:r>
      <w:r w:rsidRPr="00832F55">
        <w:rPr>
          <w:rFonts w:ascii="Book Antiqua" w:hAnsi="Book Antiqua" w:cs="宋体"/>
          <w:color w:val="000000"/>
          <w:sz w:val="21"/>
          <w:szCs w:val="21"/>
        </w:rPr>
        <w:t>, Rieger M, Reinert S, Alexander D. Isolation of osteoprogenitors from human jaw periosteal cells: a comparison of two magnetic separation methods. </w:t>
      </w:r>
      <w:r w:rsidRPr="00832F55">
        <w:rPr>
          <w:rFonts w:ascii="Book Antiqua" w:hAnsi="Book Antiqua" w:cs="宋体"/>
          <w:i/>
          <w:iCs/>
          <w:color w:val="000000"/>
          <w:sz w:val="21"/>
          <w:szCs w:val="21"/>
        </w:rPr>
        <w:t>PLoS One</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7</w:t>
      </w:r>
      <w:r w:rsidRPr="00832F55">
        <w:rPr>
          <w:rFonts w:ascii="Book Antiqua" w:hAnsi="Book Antiqua" w:cs="宋体"/>
          <w:color w:val="000000"/>
          <w:sz w:val="21"/>
          <w:szCs w:val="21"/>
        </w:rPr>
        <w:t>: e47176 [PMID: 23094035 DOI: 10.1371/journal.pone.0047176]</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94 </w:t>
      </w:r>
      <w:r w:rsidRPr="00832F55">
        <w:rPr>
          <w:rFonts w:ascii="Book Antiqua" w:hAnsi="Book Antiqua" w:cs="宋体"/>
          <w:b/>
          <w:bCs/>
          <w:color w:val="000000"/>
          <w:sz w:val="21"/>
          <w:szCs w:val="21"/>
        </w:rPr>
        <w:t>Lohberger B</w:t>
      </w:r>
      <w:r w:rsidRPr="00832F55">
        <w:rPr>
          <w:rFonts w:ascii="Book Antiqua" w:hAnsi="Book Antiqua" w:cs="宋体"/>
          <w:color w:val="000000"/>
          <w:sz w:val="21"/>
          <w:szCs w:val="21"/>
        </w:rPr>
        <w:t xml:space="preserve">, Payer M, Rinner B, Kaltenegger H, Wolf E, Schallmoser K, Strunk D, Rohde E, Berghold A, Pekovits K, Wildburger A, Leithner A, Windhager R, Jakse N. Tri-lineage potential of </w:t>
      </w:r>
      <w:r w:rsidRPr="00832F55">
        <w:rPr>
          <w:rFonts w:ascii="Book Antiqua" w:hAnsi="Book Antiqua" w:cs="宋体"/>
          <w:color w:val="000000"/>
          <w:sz w:val="21"/>
          <w:szCs w:val="21"/>
        </w:rPr>
        <w:lastRenderedPageBreak/>
        <w:t>intraoral tissue-derived mesenchymal stromal cells. </w:t>
      </w:r>
      <w:r w:rsidRPr="00832F55">
        <w:rPr>
          <w:rFonts w:ascii="Book Antiqua" w:hAnsi="Book Antiqua" w:cs="宋体"/>
          <w:i/>
          <w:iCs/>
          <w:color w:val="000000"/>
          <w:sz w:val="21"/>
          <w:szCs w:val="21"/>
        </w:rPr>
        <w:t>J Craniomaxillofac Surg</w:t>
      </w:r>
      <w:r w:rsidRPr="00832F55">
        <w:rPr>
          <w:rFonts w:ascii="Book Antiqua" w:hAnsi="Book Antiqua" w:cs="宋体"/>
          <w:color w:val="000000"/>
          <w:sz w:val="21"/>
          <w:szCs w:val="21"/>
        </w:rPr>
        <w:t> 2013; </w:t>
      </w:r>
      <w:r w:rsidRPr="00832F55">
        <w:rPr>
          <w:rFonts w:ascii="Book Antiqua" w:hAnsi="Book Antiqua" w:cs="宋体"/>
          <w:b/>
          <w:bCs/>
          <w:color w:val="000000"/>
          <w:sz w:val="21"/>
          <w:szCs w:val="21"/>
        </w:rPr>
        <w:t>41</w:t>
      </w:r>
      <w:r w:rsidRPr="00832F55">
        <w:rPr>
          <w:rFonts w:ascii="Book Antiqua" w:hAnsi="Book Antiqua" w:cs="宋体"/>
          <w:color w:val="000000"/>
          <w:sz w:val="21"/>
          <w:szCs w:val="21"/>
        </w:rPr>
        <w:t>: 110-118 [PMID: 22898339 DOI: 10.1016/j.jcms.2012.06.001]</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 xml:space="preserve">95 </w:t>
      </w:r>
      <w:r w:rsidRPr="00832F55">
        <w:rPr>
          <w:rFonts w:ascii="Book Antiqua" w:hAnsi="Book Antiqua" w:cs="宋体"/>
          <w:b/>
          <w:color w:val="000000"/>
          <w:sz w:val="21"/>
          <w:szCs w:val="21"/>
        </w:rPr>
        <w:t>Orciani M</w:t>
      </w:r>
      <w:r w:rsidRPr="00832F55">
        <w:rPr>
          <w:rFonts w:ascii="Book Antiqua" w:hAnsi="Book Antiqua" w:cs="宋体"/>
          <w:color w:val="000000"/>
          <w:sz w:val="21"/>
          <w:szCs w:val="21"/>
        </w:rPr>
        <w:t xml:space="preserve">, Di Primio R, Ferretti C, Orsini G., Salvolini E., Lazzarini R., Mattioli Belmonte M. In vitro evaluation of Mesenchymal stem cell isolation possibility from different intra-oral tissues. </w:t>
      </w:r>
      <w:r w:rsidRPr="00832F55">
        <w:rPr>
          <w:rFonts w:ascii="Book Antiqua" w:hAnsi="Book Antiqua" w:cs="宋体"/>
          <w:i/>
          <w:color w:val="000000"/>
          <w:sz w:val="21"/>
          <w:szCs w:val="21"/>
        </w:rPr>
        <w:t>J Biol Regul Homeost Agents</w:t>
      </w:r>
      <w:r w:rsidRPr="00832F55">
        <w:rPr>
          <w:rFonts w:ascii="Book Antiqua" w:hAnsi="Book Antiqua" w:cs="宋体"/>
          <w:color w:val="000000"/>
          <w:sz w:val="21"/>
          <w:szCs w:val="21"/>
        </w:rPr>
        <w:t xml:space="preserve"> 2012; </w:t>
      </w:r>
      <w:r w:rsidRPr="00832F55">
        <w:rPr>
          <w:rFonts w:ascii="Book Antiqua" w:hAnsi="Book Antiqua" w:cs="宋体"/>
          <w:b/>
          <w:color w:val="000000"/>
          <w:sz w:val="21"/>
          <w:szCs w:val="21"/>
        </w:rPr>
        <w:t>26</w:t>
      </w:r>
      <w:r w:rsidRPr="00832F55">
        <w:rPr>
          <w:rFonts w:ascii="Book Antiqua" w:hAnsi="Book Antiqua" w:cs="宋体"/>
          <w:color w:val="000000"/>
          <w:sz w:val="21"/>
          <w:szCs w:val="21"/>
        </w:rPr>
        <w:t>: 57S-63S</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96 </w:t>
      </w:r>
      <w:r w:rsidRPr="00832F55">
        <w:rPr>
          <w:rFonts w:ascii="Book Antiqua" w:hAnsi="Book Antiqua" w:cs="宋体"/>
          <w:b/>
          <w:bCs/>
          <w:color w:val="000000"/>
          <w:sz w:val="21"/>
          <w:szCs w:val="21"/>
        </w:rPr>
        <w:t>Kim SJ</w:t>
      </w:r>
      <w:r w:rsidRPr="00832F55">
        <w:rPr>
          <w:rFonts w:ascii="Book Antiqua" w:hAnsi="Book Antiqua" w:cs="宋体"/>
          <w:color w:val="000000"/>
          <w:sz w:val="21"/>
          <w:szCs w:val="21"/>
        </w:rPr>
        <w:t>, Choi YS, Ko ES, Lim SM, Lee CW, Kim DI. Glucose-stimulated insulin secretion of various mesenchymal stem cells after insulin-producing cell differentiation. </w:t>
      </w:r>
      <w:r w:rsidRPr="00832F55">
        <w:rPr>
          <w:rFonts w:ascii="Book Antiqua" w:hAnsi="Book Antiqua" w:cs="宋体"/>
          <w:i/>
          <w:iCs/>
          <w:color w:val="000000"/>
          <w:sz w:val="21"/>
          <w:szCs w:val="21"/>
        </w:rPr>
        <w:t>J Biosci Bioeng</w:t>
      </w:r>
      <w:r w:rsidRPr="00832F55">
        <w:rPr>
          <w:rFonts w:ascii="Book Antiqua" w:hAnsi="Book Antiqua" w:cs="宋体"/>
          <w:color w:val="000000"/>
          <w:sz w:val="21"/>
          <w:szCs w:val="21"/>
        </w:rPr>
        <w:t> 2012; </w:t>
      </w:r>
      <w:r w:rsidRPr="00832F55">
        <w:rPr>
          <w:rFonts w:ascii="Book Antiqua" w:hAnsi="Book Antiqua" w:cs="宋体"/>
          <w:b/>
          <w:bCs/>
          <w:color w:val="000000"/>
          <w:sz w:val="21"/>
          <w:szCs w:val="21"/>
        </w:rPr>
        <w:t>113</w:t>
      </w:r>
      <w:r w:rsidRPr="00832F55">
        <w:rPr>
          <w:rFonts w:ascii="Book Antiqua" w:hAnsi="Book Antiqua" w:cs="宋体"/>
          <w:color w:val="000000"/>
          <w:sz w:val="21"/>
          <w:szCs w:val="21"/>
        </w:rPr>
        <w:t>: 771-777 [PMID: 22425523 DOI: 10.1016/j.jbiosc.2012.02.007]</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97 </w:t>
      </w:r>
      <w:r w:rsidRPr="00832F55">
        <w:rPr>
          <w:rFonts w:ascii="Book Antiqua" w:hAnsi="Book Antiqua" w:cs="宋体"/>
          <w:b/>
          <w:bCs/>
          <w:color w:val="000000"/>
          <w:sz w:val="21"/>
          <w:szCs w:val="21"/>
        </w:rPr>
        <w:t>Keating JF</w:t>
      </w:r>
      <w:r w:rsidRPr="00832F55">
        <w:rPr>
          <w:rFonts w:ascii="Book Antiqua" w:hAnsi="Book Antiqua" w:cs="宋体"/>
          <w:color w:val="000000"/>
          <w:sz w:val="21"/>
          <w:szCs w:val="21"/>
        </w:rPr>
        <w:t>, Simpson AH, Robinson CM. The management of fractures with bone loss. </w:t>
      </w:r>
      <w:r w:rsidRPr="00832F55">
        <w:rPr>
          <w:rFonts w:ascii="Book Antiqua" w:hAnsi="Book Antiqua" w:cs="宋体"/>
          <w:i/>
          <w:iCs/>
          <w:color w:val="000000"/>
          <w:sz w:val="21"/>
          <w:szCs w:val="21"/>
        </w:rPr>
        <w:t>J Bone Joint Surg Br</w:t>
      </w:r>
      <w:r w:rsidRPr="00832F55">
        <w:rPr>
          <w:rFonts w:ascii="Book Antiqua" w:hAnsi="Book Antiqua" w:cs="宋体"/>
          <w:color w:val="000000"/>
          <w:sz w:val="21"/>
          <w:szCs w:val="21"/>
        </w:rPr>
        <w:t> 2005; </w:t>
      </w:r>
      <w:r w:rsidRPr="00832F55">
        <w:rPr>
          <w:rFonts w:ascii="Book Antiqua" w:hAnsi="Book Antiqua" w:cs="宋体"/>
          <w:b/>
          <w:bCs/>
          <w:color w:val="000000"/>
          <w:sz w:val="21"/>
          <w:szCs w:val="21"/>
        </w:rPr>
        <w:t>87</w:t>
      </w:r>
      <w:r w:rsidRPr="00832F55">
        <w:rPr>
          <w:rFonts w:ascii="Book Antiqua" w:hAnsi="Book Antiqua" w:cs="宋体"/>
          <w:color w:val="000000"/>
          <w:sz w:val="21"/>
          <w:szCs w:val="21"/>
        </w:rPr>
        <w:t>: 142-150 [PMID: 15736731 DOI: 10.1302/0301-620X.87B2.15874]</w:t>
      </w:r>
    </w:p>
    <w:p w:rsidR="00993921" w:rsidRPr="00832F55" w:rsidRDefault="00993921" w:rsidP="00993921">
      <w:pPr>
        <w:spacing w:line="360" w:lineRule="auto"/>
        <w:jc w:val="both"/>
        <w:rPr>
          <w:rFonts w:ascii="Book Antiqua" w:hAnsi="Book Antiqua" w:cs="宋体"/>
          <w:color w:val="000000"/>
          <w:sz w:val="21"/>
          <w:szCs w:val="21"/>
        </w:rPr>
      </w:pPr>
      <w:r w:rsidRPr="00832F55">
        <w:rPr>
          <w:rFonts w:ascii="Book Antiqua" w:hAnsi="Book Antiqua" w:cs="宋体"/>
          <w:color w:val="000000"/>
          <w:sz w:val="21"/>
          <w:szCs w:val="21"/>
        </w:rPr>
        <w:t>98 </w:t>
      </w:r>
      <w:r w:rsidRPr="00832F55">
        <w:rPr>
          <w:rFonts w:ascii="Book Antiqua" w:hAnsi="Book Antiqua" w:cs="宋体"/>
          <w:b/>
          <w:bCs/>
          <w:color w:val="000000"/>
          <w:sz w:val="21"/>
          <w:szCs w:val="21"/>
        </w:rPr>
        <w:t>Knothe UR</w:t>
      </w:r>
      <w:r w:rsidRPr="00832F55">
        <w:rPr>
          <w:rFonts w:ascii="Book Antiqua" w:hAnsi="Book Antiqua" w:cs="宋体"/>
          <w:color w:val="000000"/>
          <w:sz w:val="21"/>
          <w:szCs w:val="21"/>
        </w:rPr>
        <w:t>, Springfield DS. A novel surgical procedure for bridging of massive bone defects. </w:t>
      </w:r>
      <w:r w:rsidRPr="00832F55">
        <w:rPr>
          <w:rFonts w:ascii="Book Antiqua" w:hAnsi="Book Antiqua" w:cs="宋体"/>
          <w:i/>
          <w:iCs/>
          <w:color w:val="000000"/>
          <w:sz w:val="21"/>
          <w:szCs w:val="21"/>
        </w:rPr>
        <w:t>World J Surg Oncol</w:t>
      </w:r>
      <w:r w:rsidRPr="00832F55">
        <w:rPr>
          <w:rFonts w:ascii="Book Antiqua" w:hAnsi="Book Antiqua" w:cs="宋体"/>
          <w:color w:val="000000"/>
          <w:sz w:val="21"/>
          <w:szCs w:val="21"/>
        </w:rPr>
        <w:t> 2005; </w:t>
      </w:r>
      <w:r w:rsidRPr="00832F55">
        <w:rPr>
          <w:rFonts w:ascii="Book Antiqua" w:hAnsi="Book Antiqua" w:cs="宋体"/>
          <w:b/>
          <w:bCs/>
          <w:color w:val="000000"/>
          <w:sz w:val="21"/>
          <w:szCs w:val="21"/>
        </w:rPr>
        <w:t>3</w:t>
      </w:r>
      <w:r w:rsidRPr="00832F55">
        <w:rPr>
          <w:rFonts w:ascii="Book Antiqua" w:hAnsi="Book Antiqua" w:cs="宋体"/>
          <w:color w:val="000000"/>
          <w:sz w:val="21"/>
          <w:szCs w:val="21"/>
        </w:rPr>
        <w:t>: 7 [PMID: 15691380 DOI: 10.1186/1477-7819-3-7]</w:t>
      </w:r>
    </w:p>
    <w:p w:rsidR="00993921" w:rsidRPr="00832F55" w:rsidRDefault="00993921" w:rsidP="00993921">
      <w:pPr>
        <w:spacing w:line="360" w:lineRule="auto"/>
        <w:jc w:val="both"/>
        <w:rPr>
          <w:rFonts w:ascii="Book Antiqua" w:hAnsi="Book Antiqua"/>
          <w:sz w:val="21"/>
          <w:szCs w:val="21"/>
        </w:rPr>
      </w:pPr>
    </w:p>
    <w:p w:rsidR="00BE4FFC" w:rsidRPr="00D846FF" w:rsidRDefault="00BE4FFC" w:rsidP="00021E05">
      <w:pPr>
        <w:wordWrap w:val="0"/>
        <w:spacing w:line="360" w:lineRule="auto"/>
        <w:ind w:left="316" w:hangingChars="150" w:hanging="316"/>
        <w:jc w:val="right"/>
        <w:rPr>
          <w:rFonts w:ascii="Book Antiqua" w:hAnsi="Book Antiqua"/>
          <w:sz w:val="21"/>
          <w:lang w:val="en-US" w:eastAsia="zh-CN"/>
        </w:rPr>
      </w:pPr>
      <w:r w:rsidRPr="00D846FF">
        <w:rPr>
          <w:rFonts w:ascii="Book Antiqua" w:hAnsi="Book Antiqua"/>
          <w:b/>
          <w:bCs/>
          <w:sz w:val="21"/>
          <w:lang w:val="en-US"/>
        </w:rPr>
        <w:t>P-Reviewer</w:t>
      </w:r>
      <w:r w:rsidRPr="00D846FF">
        <w:rPr>
          <w:rFonts w:ascii="Book Antiqua" w:hAnsi="Book Antiqua"/>
          <w:b/>
          <w:bCs/>
          <w:sz w:val="21"/>
          <w:lang w:val="en-US" w:eastAsia="zh-CN"/>
        </w:rPr>
        <w:t>s</w:t>
      </w:r>
      <w:r w:rsidRPr="00D846FF">
        <w:rPr>
          <w:rFonts w:ascii="Book Antiqua" w:hAnsi="Book Antiqua"/>
          <w:b/>
          <w:bCs/>
          <w:sz w:val="21"/>
          <w:lang w:val="en-US"/>
        </w:rPr>
        <w:t xml:space="preserve">: </w:t>
      </w:r>
      <w:r w:rsidRPr="00D846FF">
        <w:rPr>
          <w:rFonts w:ascii="Book Antiqua" w:hAnsi="Book Antiqua"/>
          <w:bCs/>
          <w:sz w:val="21"/>
          <w:lang w:val="en-US"/>
        </w:rPr>
        <w:t>Mustapha</w:t>
      </w:r>
      <w:r w:rsidRPr="00D846FF">
        <w:rPr>
          <w:rFonts w:ascii="Book Antiqua" w:hAnsi="Book Antiqua"/>
          <w:bCs/>
          <w:sz w:val="21"/>
          <w:lang w:val="en-US" w:eastAsia="zh-CN"/>
        </w:rPr>
        <w:t xml:space="preserve"> N, Lee SH, Song GB</w:t>
      </w:r>
      <w:r w:rsidRPr="00D846FF">
        <w:rPr>
          <w:rFonts w:ascii="Book Antiqua" w:hAnsi="Book Antiqua"/>
          <w:b/>
          <w:bCs/>
          <w:sz w:val="21"/>
          <w:lang w:val="en-US" w:eastAsia="zh-CN"/>
        </w:rPr>
        <w:t xml:space="preserve"> </w:t>
      </w:r>
      <w:r w:rsidRPr="00D846FF">
        <w:rPr>
          <w:rFonts w:ascii="Book Antiqua" w:hAnsi="Book Antiqua"/>
          <w:b/>
          <w:bCs/>
          <w:sz w:val="21"/>
          <w:lang w:val="en-US"/>
        </w:rPr>
        <w:t>S-Editor:</w:t>
      </w:r>
      <w:r w:rsidRPr="00D846FF">
        <w:rPr>
          <w:rFonts w:ascii="Book Antiqua" w:hAnsi="Book Antiqua"/>
          <w:sz w:val="21"/>
          <w:lang w:val="en-US"/>
        </w:rPr>
        <w:t xml:space="preserve"> </w:t>
      </w:r>
      <w:r w:rsidRPr="00D846FF">
        <w:rPr>
          <w:rFonts w:ascii="Book Antiqua" w:hAnsi="Book Antiqua"/>
          <w:sz w:val="21"/>
          <w:lang w:val="en-US" w:eastAsia="zh-CN"/>
        </w:rPr>
        <w:t>Ma YJ</w:t>
      </w:r>
      <w:r w:rsidRPr="00D846FF">
        <w:rPr>
          <w:rFonts w:ascii="Book Antiqua" w:hAnsi="Book Antiqua"/>
          <w:sz w:val="21"/>
          <w:lang w:val="en-US"/>
        </w:rPr>
        <w:t xml:space="preserve"> </w:t>
      </w:r>
      <w:r w:rsidRPr="00D846FF">
        <w:rPr>
          <w:rFonts w:ascii="Book Antiqua" w:hAnsi="Book Antiqua"/>
          <w:b/>
          <w:bCs/>
          <w:sz w:val="21"/>
          <w:lang w:val="en-US"/>
        </w:rPr>
        <w:t>L-Editor:</w:t>
      </w:r>
      <w:r w:rsidR="00993921" w:rsidRPr="00D846FF">
        <w:rPr>
          <w:rFonts w:ascii="Book Antiqua" w:hAnsi="Book Antiqua"/>
          <w:sz w:val="21"/>
          <w:lang w:val="en-US"/>
        </w:rPr>
        <w:t xml:space="preserve"> </w:t>
      </w:r>
      <w:r w:rsidR="00021E05">
        <w:rPr>
          <w:rFonts w:ascii="Book Antiqua" w:hAnsi="Book Antiqua" w:hint="eastAsia"/>
          <w:sz w:val="21"/>
          <w:lang w:val="en-US" w:eastAsia="zh-CN"/>
        </w:rPr>
        <w:t xml:space="preserve"> </w:t>
      </w:r>
      <w:r w:rsidR="00021E05" w:rsidRPr="00B6579F">
        <w:rPr>
          <w:rFonts w:ascii="Book Antiqua" w:hAnsi="Book Antiqua"/>
          <w:b/>
          <w:bCs/>
          <w:sz w:val="21"/>
        </w:rPr>
        <w:t>E-Editor</w:t>
      </w:r>
      <w:r w:rsidR="00021E05" w:rsidRPr="00B6579F">
        <w:rPr>
          <w:rFonts w:ascii="Book Antiqua" w:hAnsi="Book Antiqua" w:hint="eastAsia"/>
          <w:b/>
          <w:bCs/>
          <w:sz w:val="21"/>
        </w:rPr>
        <w:t>:</w:t>
      </w:r>
    </w:p>
    <w:p w:rsidR="00BE4FFC" w:rsidRPr="00D846FF" w:rsidRDefault="00BE4FFC" w:rsidP="00DE3756">
      <w:pPr>
        <w:spacing w:line="360" w:lineRule="auto"/>
        <w:jc w:val="both"/>
        <w:rPr>
          <w:rFonts w:ascii="Book Antiqua" w:hAnsi="Book Antiqua"/>
          <w:caps/>
          <w:lang w:val="en-GB"/>
        </w:rPr>
      </w:pPr>
      <w:r w:rsidRPr="00266631">
        <w:rPr>
          <w:rFonts w:ascii="Book Antiqua" w:hAnsi="Book Antiqua"/>
          <w:lang w:val="en-GB"/>
        </w:rPr>
        <w:br w:type="page"/>
      </w:r>
      <w:r w:rsidR="00D846FF" w:rsidRPr="00D846FF">
        <w:rPr>
          <w:rFonts w:ascii="Book Antiqua" w:hAnsi="Book Antiqua"/>
          <w:b/>
          <w:bCs/>
          <w:lang w:val="en-US" w:eastAsia="en-US"/>
        </w:rPr>
        <w:lastRenderedPageBreak/>
        <w:t xml:space="preserve">Table 1 </w:t>
      </w:r>
      <w:r w:rsidR="00D846FF" w:rsidRPr="00D846FF">
        <w:rPr>
          <w:rFonts w:ascii="Book Antiqua" w:hAnsi="Book Antiqua"/>
          <w:b/>
          <w:bCs/>
          <w:caps/>
          <w:lang w:val="en-US" w:eastAsia="en-US"/>
        </w:rPr>
        <w:t>s</w:t>
      </w:r>
      <w:r w:rsidR="00D846FF" w:rsidRPr="00D846FF">
        <w:rPr>
          <w:rFonts w:ascii="Book Antiqua" w:hAnsi="Book Antiqua"/>
          <w:b/>
          <w:bCs/>
          <w:lang w:val="en-US" w:eastAsia="en-US"/>
        </w:rPr>
        <w:t>urface markers of periosteum-derived cells</w:t>
      </w:r>
    </w:p>
    <w:tbl>
      <w:tblPr>
        <w:tblpPr w:leftFromText="141" w:rightFromText="141" w:vertAnchor="text" w:horzAnchor="page" w:tblpX="1479" w:tblpY="2"/>
        <w:tblOverlap w:val="never"/>
        <w:tblW w:w="0" w:type="auto"/>
        <w:tblBorders>
          <w:top w:val="single" w:sz="8" w:space="0" w:color="000000"/>
          <w:bottom w:val="single" w:sz="8" w:space="0" w:color="000000"/>
        </w:tblBorders>
        <w:tblLayout w:type="fixed"/>
        <w:tblLook w:val="00A0" w:firstRow="1" w:lastRow="0" w:firstColumn="1" w:lastColumn="0" w:noHBand="0" w:noVBand="0"/>
      </w:tblPr>
      <w:tblGrid>
        <w:gridCol w:w="5056"/>
        <w:gridCol w:w="540"/>
        <w:gridCol w:w="2768"/>
      </w:tblGrid>
      <w:tr w:rsidR="00BE4FFC" w:rsidRPr="00266631" w:rsidTr="00D846FF">
        <w:tc>
          <w:tcPr>
            <w:tcW w:w="5056" w:type="dxa"/>
            <w:tcBorders>
              <w:top w:val="single" w:sz="8" w:space="0" w:color="000000"/>
              <w:bottom w:val="single" w:sz="8" w:space="0" w:color="000000"/>
            </w:tcBorders>
            <w:shd w:val="clear" w:color="auto" w:fill="auto"/>
          </w:tcPr>
          <w:p w:rsidR="00BE4FFC" w:rsidRPr="00266631" w:rsidRDefault="00BE4FFC" w:rsidP="0056183D">
            <w:pPr>
              <w:jc w:val="both"/>
              <w:rPr>
                <w:rFonts w:ascii="Book Antiqua" w:hAnsi="Book Antiqua"/>
                <w:b/>
                <w:bCs/>
                <w:lang w:val="en-US" w:eastAsia="en-US"/>
              </w:rPr>
            </w:pPr>
          </w:p>
        </w:tc>
        <w:tc>
          <w:tcPr>
            <w:tcW w:w="540" w:type="dxa"/>
            <w:tcBorders>
              <w:top w:val="single" w:sz="8" w:space="0" w:color="000000"/>
              <w:bottom w:val="single" w:sz="8" w:space="0" w:color="000000"/>
            </w:tcBorders>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tcBorders>
              <w:top w:val="single" w:sz="8" w:space="0" w:color="000000"/>
              <w:bottom w:val="single" w:sz="8" w:space="0" w:color="000000"/>
            </w:tcBorders>
            <w:shd w:val="clear" w:color="auto" w:fill="auto"/>
            <w:vAlign w:val="center"/>
          </w:tcPr>
          <w:p w:rsidR="00BE4FFC" w:rsidRPr="00266631" w:rsidRDefault="00BE4FFC" w:rsidP="0056183D">
            <w:pPr>
              <w:jc w:val="both"/>
              <w:rPr>
                <w:rFonts w:ascii="Book Antiqua" w:hAnsi="Book Antiqua"/>
                <w:b/>
                <w:lang w:val="en-US" w:eastAsia="zh-CN"/>
              </w:rPr>
            </w:pPr>
            <w:r w:rsidRPr="00266631">
              <w:rPr>
                <w:rFonts w:ascii="Book Antiqua" w:hAnsi="Book Antiqua"/>
                <w:b/>
                <w:lang w:val="en-US" w:eastAsia="en-US"/>
              </w:rPr>
              <w:t>Ref</w:t>
            </w:r>
            <w:r w:rsidRPr="00266631">
              <w:rPr>
                <w:rFonts w:ascii="Book Antiqua" w:hAnsi="Book Antiqua"/>
                <w:b/>
                <w:lang w:val="en-US" w:eastAsia="zh-CN"/>
              </w:rPr>
              <w:t>.</w:t>
            </w:r>
          </w:p>
        </w:tc>
      </w:tr>
      <w:tr w:rsidR="00BE4FFC" w:rsidRPr="00266631" w:rsidTr="00D846FF">
        <w:tc>
          <w:tcPr>
            <w:tcW w:w="5056" w:type="dxa"/>
            <w:tcBorders>
              <w:top w:val="single" w:sz="8" w:space="0" w:color="000000"/>
              <w:bottom w:val="nil"/>
            </w:tcBorders>
            <w:shd w:val="clear" w:color="auto" w:fill="auto"/>
          </w:tcPr>
          <w:p w:rsidR="00BE4FFC" w:rsidRPr="00266631" w:rsidRDefault="00BE4FFC" w:rsidP="0056183D">
            <w:pPr>
              <w:jc w:val="both"/>
              <w:rPr>
                <w:rFonts w:ascii="Book Antiqua" w:hAnsi="Book Antiqua"/>
                <w:b/>
                <w:bCs/>
                <w:lang w:val="en-US" w:eastAsia="en-US"/>
              </w:rPr>
            </w:pPr>
            <w:r w:rsidRPr="00266631">
              <w:rPr>
                <w:rFonts w:ascii="Book Antiqua" w:hAnsi="Book Antiqua"/>
                <w:b/>
                <w:bCs/>
                <w:lang w:val="en-US" w:eastAsia="en-US"/>
              </w:rPr>
              <w:t xml:space="preserve">Minimal </w:t>
            </w:r>
            <w:r w:rsidR="00D846FF" w:rsidRPr="00266631">
              <w:rPr>
                <w:rFonts w:ascii="Book Antiqua" w:hAnsi="Book Antiqua"/>
                <w:b/>
                <w:bCs/>
                <w:lang w:val="en-US" w:eastAsia="en-US"/>
              </w:rPr>
              <w:t>cri</w:t>
            </w:r>
            <w:r w:rsidRPr="00266631">
              <w:rPr>
                <w:rFonts w:ascii="Book Antiqua" w:hAnsi="Book Antiqua"/>
                <w:b/>
                <w:bCs/>
                <w:lang w:val="en-US" w:eastAsia="en-US"/>
              </w:rPr>
              <w:t>teria for MSCs</w:t>
            </w:r>
          </w:p>
        </w:tc>
        <w:tc>
          <w:tcPr>
            <w:tcW w:w="540" w:type="dxa"/>
            <w:tcBorders>
              <w:top w:val="single" w:sz="8" w:space="0" w:color="000000"/>
              <w:bottom w:val="nil"/>
            </w:tcBorders>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tcBorders>
              <w:top w:val="single" w:sz="8" w:space="0" w:color="000000"/>
              <w:bottom w:val="nil"/>
            </w:tcBorders>
            <w:shd w:val="clear" w:color="auto" w:fill="auto"/>
            <w:vAlign w:val="center"/>
          </w:tcPr>
          <w:p w:rsidR="00BE4FFC" w:rsidRPr="00266631" w:rsidRDefault="00BE4FFC" w:rsidP="0056183D">
            <w:pPr>
              <w:jc w:val="both"/>
              <w:rPr>
                <w:rFonts w:ascii="Book Antiqua" w:hAnsi="Book Antiqua"/>
                <w:lang w:val="en-US" w:eastAsia="en-US"/>
              </w:rPr>
            </w:pPr>
          </w:p>
        </w:tc>
      </w:tr>
      <w:tr w:rsidR="00BE4FFC" w:rsidRPr="00266631" w:rsidTr="00D846FF">
        <w:tc>
          <w:tcPr>
            <w:tcW w:w="5056" w:type="dxa"/>
            <w:tcBorders>
              <w:top w:val="nil"/>
            </w:tcBorders>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GB" w:eastAsia="en-US"/>
              </w:rPr>
              <w:t>CD73</w:t>
            </w:r>
          </w:p>
        </w:tc>
        <w:tc>
          <w:tcPr>
            <w:tcW w:w="540" w:type="dxa"/>
            <w:tcBorders>
              <w:top w:val="nil"/>
            </w:tcBorders>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tcBorders>
              <w:top w:val="nil"/>
            </w:tcBorders>
            <w:shd w:val="clear" w:color="auto" w:fill="auto"/>
            <w:vAlign w:val="center"/>
          </w:tcPr>
          <w:p w:rsidR="00BE4FFC" w:rsidRPr="00266631" w:rsidRDefault="00D846FF" w:rsidP="0056183D">
            <w:pPr>
              <w:jc w:val="both"/>
              <w:rPr>
                <w:rFonts w:ascii="Book Antiqua" w:hAnsi="Book Antiqua"/>
                <w:lang w:eastAsia="en-US"/>
              </w:rPr>
            </w:pPr>
            <w:r>
              <w:rPr>
                <w:rFonts w:ascii="Book Antiqua" w:hAnsi="Book Antiqua"/>
                <w:lang w:val="en-US" w:eastAsia="en-US"/>
              </w:rPr>
              <w:t>13,35,79,</w:t>
            </w:r>
            <w:r w:rsidR="00BE4FFC" w:rsidRPr="00266631">
              <w:rPr>
                <w:rFonts w:ascii="Book Antiqua" w:hAnsi="Book Antiqua"/>
                <w:lang w:val="en-US" w:eastAsia="en-US"/>
              </w:rPr>
              <w:t>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GB" w:eastAsia="en-US"/>
              </w:rPr>
              <w:t>CD90</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D846FF" w:rsidP="0056183D">
            <w:pPr>
              <w:jc w:val="both"/>
              <w:rPr>
                <w:rFonts w:ascii="Book Antiqua" w:hAnsi="Book Antiqua"/>
                <w:lang w:eastAsia="en-US"/>
              </w:rPr>
            </w:pPr>
            <w:r>
              <w:rPr>
                <w:rFonts w:ascii="Book Antiqua" w:hAnsi="Book Antiqua"/>
                <w:lang w:val="en-US" w:eastAsia="en-US"/>
              </w:rPr>
              <w:t>13,35,79,</w:t>
            </w:r>
            <w:r w:rsidR="00BE4FFC" w:rsidRPr="00266631">
              <w:rPr>
                <w:rFonts w:ascii="Book Antiqua" w:hAnsi="Book Antiqua"/>
                <w:lang w:val="en-US" w:eastAsia="en-US"/>
              </w:rPr>
              <w:t>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GB" w:eastAsia="en-US"/>
              </w:rPr>
              <w:t>CD105</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D846FF" w:rsidP="0056183D">
            <w:pPr>
              <w:jc w:val="both"/>
              <w:rPr>
                <w:rFonts w:ascii="Book Antiqua" w:hAnsi="Book Antiqua"/>
                <w:lang w:eastAsia="en-US"/>
              </w:rPr>
            </w:pPr>
            <w:r>
              <w:rPr>
                <w:rFonts w:ascii="Book Antiqua" w:hAnsi="Book Antiqua"/>
                <w:lang w:val="en-US" w:eastAsia="en-US"/>
              </w:rPr>
              <w:t>13,35,79,</w:t>
            </w:r>
            <w:r w:rsidR="00BE4FFC" w:rsidRPr="00266631">
              <w:rPr>
                <w:rFonts w:ascii="Book Antiqua" w:hAnsi="Book Antiqua"/>
                <w:lang w:val="en-US" w:eastAsia="en-US"/>
              </w:rPr>
              <w:t>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GB" w:eastAsia="en-US"/>
              </w:rPr>
              <w:t>CD45</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D846FF" w:rsidP="0056183D">
            <w:pPr>
              <w:jc w:val="both"/>
              <w:rPr>
                <w:rFonts w:ascii="Book Antiqua" w:hAnsi="Book Antiqua"/>
                <w:lang w:eastAsia="en-US"/>
              </w:rPr>
            </w:pPr>
            <w:r>
              <w:rPr>
                <w:rFonts w:ascii="Book Antiqua" w:hAnsi="Book Antiqua"/>
                <w:lang w:val="en-US" w:eastAsia="en-US"/>
              </w:rPr>
              <w:t>13,35,79,</w:t>
            </w:r>
            <w:r w:rsidR="00BE4FFC" w:rsidRPr="00266631">
              <w:rPr>
                <w:rFonts w:ascii="Book Antiqua" w:hAnsi="Book Antiqua"/>
                <w:lang w:val="en-US" w:eastAsia="en-US"/>
              </w:rPr>
              <w:t>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de-DE" w:eastAsia="en-US"/>
              </w:rPr>
            </w:pPr>
            <w:r w:rsidRPr="00266631">
              <w:rPr>
                <w:rFonts w:ascii="Book Antiqua" w:hAnsi="Book Antiqua"/>
                <w:bCs/>
                <w:lang w:val="de-DE" w:eastAsia="en-US"/>
              </w:rPr>
              <w:t>HLA-DR</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D846FF" w:rsidP="0056183D">
            <w:pPr>
              <w:jc w:val="both"/>
              <w:rPr>
                <w:rFonts w:ascii="Book Antiqua" w:hAnsi="Book Antiqua"/>
                <w:lang w:eastAsia="en-US"/>
              </w:rPr>
            </w:pPr>
            <w:r>
              <w:rPr>
                <w:rFonts w:ascii="Book Antiqua" w:hAnsi="Book Antiqua"/>
                <w:lang w:val="en-US" w:eastAsia="en-US"/>
              </w:rPr>
              <w:t>13,35,79,</w:t>
            </w:r>
            <w:r w:rsidR="00BE4FFC" w:rsidRPr="00266631">
              <w:rPr>
                <w:rFonts w:ascii="Book Antiqua" w:hAnsi="Book Antiqua"/>
                <w:lang w:val="en-US" w:eastAsia="en-US"/>
              </w:rPr>
              <w:t>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GB" w:eastAsia="en-US"/>
              </w:rPr>
              <w:t>CD14</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D846FF" w:rsidP="0056183D">
            <w:pPr>
              <w:jc w:val="both"/>
              <w:rPr>
                <w:rFonts w:ascii="Book Antiqua" w:hAnsi="Book Antiqua"/>
                <w:lang w:eastAsia="en-US"/>
              </w:rPr>
            </w:pPr>
            <w:r>
              <w:rPr>
                <w:rFonts w:ascii="Book Antiqua" w:hAnsi="Book Antiqua"/>
                <w:lang w:val="en-US" w:eastAsia="en-US"/>
              </w:rPr>
              <w:t>13,35,79,</w:t>
            </w:r>
            <w:r w:rsidR="00BE4FFC" w:rsidRPr="00266631">
              <w:rPr>
                <w:rFonts w:ascii="Book Antiqua" w:hAnsi="Book Antiqua"/>
                <w:lang w:val="en-US" w:eastAsia="en-US"/>
              </w:rPr>
              <w:t>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CD34</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D846FF" w:rsidP="0056183D">
            <w:pPr>
              <w:jc w:val="both"/>
              <w:rPr>
                <w:rFonts w:ascii="Book Antiqua" w:hAnsi="Book Antiqua"/>
                <w:lang w:eastAsia="en-US"/>
              </w:rPr>
            </w:pPr>
            <w:r>
              <w:rPr>
                <w:rFonts w:ascii="Book Antiqua" w:hAnsi="Book Antiqua"/>
                <w:lang w:val="en-US" w:eastAsia="en-US"/>
              </w:rPr>
              <w:t>13,35,79,</w:t>
            </w:r>
            <w:r w:rsidR="00BE4FFC" w:rsidRPr="00266631">
              <w:rPr>
                <w:rFonts w:ascii="Book Antiqua" w:hAnsi="Book Antiqua"/>
                <w:lang w:val="en-US" w:eastAsia="en-US"/>
              </w:rPr>
              <w:t>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
                <w:bCs/>
                <w:lang w:val="en-US" w:eastAsia="en-US"/>
              </w:rPr>
            </w:pP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
                <w:bCs/>
                <w:lang w:val="en-US" w:eastAsia="en-US"/>
              </w:rPr>
            </w:pPr>
            <w:r w:rsidRPr="00266631">
              <w:rPr>
                <w:rFonts w:ascii="Book Antiqua" w:hAnsi="Book Antiqua"/>
                <w:b/>
                <w:bCs/>
                <w:lang w:val="en-US" w:eastAsia="en-US"/>
              </w:rPr>
              <w:t>Integrins</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CD29</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13,94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CD49e</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13,94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
                <w:bCs/>
                <w:lang w:val="en-US" w:eastAsia="en-US"/>
              </w:rPr>
            </w:pP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
                <w:bCs/>
                <w:lang w:val="en-US" w:eastAsia="en-US"/>
              </w:rPr>
            </w:pPr>
            <w:r w:rsidRPr="00266631">
              <w:rPr>
                <w:rFonts w:ascii="Book Antiqua" w:hAnsi="Book Antiqua"/>
                <w:b/>
                <w:bCs/>
                <w:lang w:val="en-US" w:eastAsia="en-US"/>
              </w:rPr>
              <w:t>Adhesion</w:t>
            </w:r>
            <w:r w:rsidR="00D846FF" w:rsidRPr="00266631">
              <w:rPr>
                <w:rFonts w:ascii="Book Antiqua" w:hAnsi="Book Antiqua"/>
                <w:b/>
                <w:bCs/>
                <w:lang w:val="en-US" w:eastAsia="en-US"/>
              </w:rPr>
              <w:t xml:space="preserve"> m</w:t>
            </w:r>
            <w:r w:rsidRPr="00266631">
              <w:rPr>
                <w:rFonts w:ascii="Book Antiqua" w:hAnsi="Book Antiqua"/>
                <w:b/>
                <w:bCs/>
                <w:lang w:val="en-US" w:eastAsia="en-US"/>
              </w:rPr>
              <w:t>olecules</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CD31</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13,94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CD44</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13,94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CD166</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13,36,94</w:t>
            </w:r>
          </w:p>
        </w:tc>
      </w:tr>
      <w:tr w:rsidR="00BE4FFC" w:rsidRPr="00266631" w:rsidTr="00D846FF">
        <w:trPr>
          <w:trHeight w:val="95"/>
        </w:trPr>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CD54</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13,94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CD146</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37,38</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
                <w:bCs/>
                <w:lang w:val="en-US" w:eastAsia="en-US"/>
              </w:rPr>
            </w:pP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
                <w:bCs/>
                <w:lang w:val="en-US" w:eastAsia="en-US"/>
              </w:rPr>
            </w:pPr>
            <w:r w:rsidRPr="00266631">
              <w:rPr>
                <w:rFonts w:ascii="Book Antiqua" w:hAnsi="Book Antiqua"/>
                <w:b/>
                <w:bCs/>
                <w:lang w:val="en-US" w:eastAsia="en-US"/>
              </w:rPr>
              <w:t>MHC class</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HLA-ABC</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13,94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
                <w:bCs/>
                <w:lang w:val="en-US" w:eastAsia="en-US"/>
              </w:rPr>
            </w:pP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
                <w:bCs/>
                <w:lang w:val="en-US" w:eastAsia="en-US"/>
              </w:rPr>
            </w:pPr>
            <w:r w:rsidRPr="00266631">
              <w:rPr>
                <w:rFonts w:ascii="Book Antiqua" w:hAnsi="Book Antiqua"/>
                <w:b/>
                <w:bCs/>
                <w:lang w:val="en-US" w:eastAsia="en-US"/>
              </w:rPr>
              <w:t>Hematopoietic markers</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CD14</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eastAsia="en-US"/>
              </w:rPr>
            </w:pPr>
            <w:r w:rsidRPr="00266631">
              <w:rPr>
                <w:rFonts w:ascii="Book Antiqua" w:hAnsi="Book Antiqua"/>
                <w:lang w:val="en-US" w:eastAsia="en-US"/>
              </w:rPr>
              <w:t>13,94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CD33</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eastAsia="en-US"/>
              </w:rPr>
            </w:pPr>
            <w:r w:rsidRPr="00266631">
              <w:rPr>
                <w:rFonts w:ascii="Book Antiqua" w:hAnsi="Book Antiqua"/>
                <w:lang w:val="en-US" w:eastAsia="en-US"/>
              </w:rPr>
              <w:t>13,94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CD34</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eastAsia="en-US"/>
              </w:rPr>
            </w:pPr>
            <w:r w:rsidRPr="00266631">
              <w:rPr>
                <w:rFonts w:ascii="Book Antiqua" w:hAnsi="Book Antiqua"/>
                <w:lang w:val="en-US" w:eastAsia="en-US"/>
              </w:rPr>
              <w:t>13,94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CD45</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eastAsia="en-US"/>
              </w:rPr>
            </w:pPr>
            <w:r w:rsidRPr="00266631">
              <w:rPr>
                <w:rFonts w:ascii="Book Antiqua" w:hAnsi="Book Antiqua"/>
                <w:lang w:val="en-US" w:eastAsia="en-US"/>
              </w:rPr>
              <w:t>13,94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CD133</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eastAsia="en-US"/>
              </w:rPr>
            </w:pPr>
            <w:r w:rsidRPr="00266631">
              <w:rPr>
                <w:rFonts w:ascii="Book Antiqua" w:hAnsi="Book Antiqua"/>
                <w:lang w:val="en-US" w:eastAsia="en-US"/>
              </w:rPr>
              <w:t>13,94</w:t>
            </w:r>
          </w:p>
        </w:tc>
      </w:tr>
      <w:tr w:rsidR="00BE4FFC" w:rsidRPr="00266631" w:rsidTr="00D846FF">
        <w:trPr>
          <w:trHeight w:val="396"/>
        </w:trPr>
        <w:tc>
          <w:tcPr>
            <w:tcW w:w="5056" w:type="dxa"/>
            <w:shd w:val="clear" w:color="auto" w:fill="auto"/>
          </w:tcPr>
          <w:p w:rsidR="00BE4FFC" w:rsidRPr="00266631" w:rsidRDefault="00BE4FFC" w:rsidP="0056183D">
            <w:pPr>
              <w:jc w:val="both"/>
              <w:rPr>
                <w:rFonts w:ascii="Book Antiqua" w:hAnsi="Book Antiqua"/>
                <w:b/>
                <w:bCs/>
                <w:lang w:val="en-US" w:eastAsia="en-US"/>
              </w:rPr>
            </w:pP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
                <w:bCs/>
                <w:lang w:val="en-US" w:eastAsia="en-US"/>
              </w:rPr>
            </w:pPr>
            <w:r w:rsidRPr="00266631">
              <w:rPr>
                <w:rFonts w:ascii="Book Antiqua" w:hAnsi="Book Antiqua"/>
                <w:b/>
                <w:bCs/>
                <w:lang w:val="en-US" w:eastAsia="en-US"/>
              </w:rPr>
              <w:t>Additional</w:t>
            </w:r>
            <w:r w:rsidR="00D846FF" w:rsidRPr="00266631">
              <w:rPr>
                <w:rFonts w:ascii="Book Antiqua" w:hAnsi="Book Antiqua"/>
                <w:b/>
                <w:bCs/>
                <w:lang w:val="en-US" w:eastAsia="en-US"/>
              </w:rPr>
              <w:t xml:space="preserve"> ma</w:t>
            </w:r>
            <w:r w:rsidRPr="00266631">
              <w:rPr>
                <w:rFonts w:ascii="Book Antiqua" w:hAnsi="Book Antiqua"/>
                <w:b/>
                <w:bCs/>
                <w:lang w:val="en-US" w:eastAsia="en-US"/>
              </w:rPr>
              <w:t>rkers</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MSCA-1</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93</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CD9</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13,36,94</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CD13</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37,38</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STRO-1</w:t>
            </w:r>
          </w:p>
        </w:tc>
        <w:tc>
          <w:tcPr>
            <w:tcW w:w="540" w:type="dxa"/>
            <w:shd w:val="clear" w:color="auto" w:fill="auto"/>
            <w:vAlign w:val="center"/>
          </w:tcPr>
          <w:p w:rsidR="00BE4FFC" w:rsidRPr="00266631" w:rsidRDefault="00BE4FFC" w:rsidP="0056183D">
            <w:pPr>
              <w:jc w:val="both"/>
              <w:rPr>
                <w:rFonts w:ascii="Book Antiqua" w:hAnsi="Book Antiqua"/>
                <w:b/>
                <w:lang w:val="en-US"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eastAsia="en-US"/>
              </w:rPr>
            </w:pPr>
            <w:r w:rsidRPr="00266631">
              <w:rPr>
                <w:rFonts w:ascii="Book Antiqua" w:hAnsi="Book Antiqua"/>
                <w:lang w:val="en-US" w:eastAsia="en-US"/>
              </w:rPr>
              <w:t>37,38</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SSEA-4</w:t>
            </w:r>
          </w:p>
        </w:tc>
        <w:tc>
          <w:tcPr>
            <w:tcW w:w="540" w:type="dxa"/>
            <w:shd w:val="clear" w:color="auto" w:fill="auto"/>
            <w:vAlign w:val="center"/>
          </w:tcPr>
          <w:p w:rsidR="00BE4FFC" w:rsidRPr="00266631" w:rsidRDefault="00BE4FFC" w:rsidP="0056183D">
            <w:pPr>
              <w:jc w:val="both"/>
              <w:rPr>
                <w:rFonts w:ascii="Book Antiqua" w:hAnsi="Book Antiqua"/>
                <w:b/>
                <w:lang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eastAsia="en-US"/>
              </w:rPr>
            </w:pPr>
            <w:r w:rsidRPr="00266631">
              <w:rPr>
                <w:rFonts w:ascii="Book Antiqua" w:hAnsi="Book Antiqua"/>
                <w:lang w:val="en-US" w:eastAsia="en-US"/>
              </w:rPr>
              <w:t>37,38</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ScaI</w:t>
            </w:r>
          </w:p>
        </w:tc>
        <w:tc>
          <w:tcPr>
            <w:tcW w:w="540" w:type="dxa"/>
            <w:shd w:val="clear" w:color="auto" w:fill="auto"/>
            <w:vAlign w:val="center"/>
          </w:tcPr>
          <w:p w:rsidR="00BE4FFC" w:rsidRPr="00266631" w:rsidRDefault="00BE4FFC" w:rsidP="0056183D">
            <w:pPr>
              <w:jc w:val="both"/>
              <w:rPr>
                <w:rFonts w:ascii="Book Antiqua" w:hAnsi="Book Antiqua"/>
                <w:b/>
                <w:lang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eastAsia="en-US"/>
              </w:rPr>
            </w:pPr>
            <w:r w:rsidRPr="00266631">
              <w:rPr>
                <w:rFonts w:ascii="Book Antiqua" w:hAnsi="Book Antiqua"/>
                <w:lang w:val="en-US" w:eastAsia="en-US"/>
              </w:rPr>
              <w:t>37,38</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Sox2</w:t>
            </w:r>
          </w:p>
        </w:tc>
        <w:tc>
          <w:tcPr>
            <w:tcW w:w="540" w:type="dxa"/>
            <w:shd w:val="clear" w:color="auto" w:fill="auto"/>
            <w:vAlign w:val="center"/>
          </w:tcPr>
          <w:p w:rsidR="00BE4FFC" w:rsidRPr="00266631" w:rsidRDefault="00BE4FFC" w:rsidP="0056183D">
            <w:pPr>
              <w:jc w:val="both"/>
              <w:rPr>
                <w:rFonts w:ascii="Book Antiqua" w:hAnsi="Book Antiqua"/>
                <w:b/>
                <w:lang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39</w:t>
            </w:r>
          </w:p>
        </w:tc>
      </w:tr>
      <w:tr w:rsidR="00BE4FFC" w:rsidRPr="00266631" w:rsidTr="00D846FF">
        <w:tc>
          <w:tcPr>
            <w:tcW w:w="5056" w:type="dxa"/>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Oct4</w:t>
            </w:r>
          </w:p>
        </w:tc>
        <w:tc>
          <w:tcPr>
            <w:tcW w:w="540" w:type="dxa"/>
            <w:shd w:val="clear" w:color="auto" w:fill="auto"/>
            <w:vAlign w:val="center"/>
          </w:tcPr>
          <w:p w:rsidR="00BE4FFC" w:rsidRPr="00266631" w:rsidRDefault="00BE4FFC" w:rsidP="0056183D">
            <w:pPr>
              <w:jc w:val="both"/>
              <w:rPr>
                <w:rFonts w:ascii="Book Antiqua" w:hAnsi="Book Antiqua"/>
                <w:b/>
                <w:lang w:eastAsia="en-US"/>
              </w:rPr>
            </w:pPr>
            <w:r w:rsidRPr="00266631">
              <w:rPr>
                <w:rFonts w:ascii="Book Antiqua" w:hAnsi="Book Antiqua"/>
                <w:b/>
                <w:lang w:val="en-US" w:eastAsia="en-US"/>
              </w:rPr>
              <w:t>+</w:t>
            </w:r>
          </w:p>
        </w:tc>
        <w:tc>
          <w:tcPr>
            <w:tcW w:w="2768" w:type="dxa"/>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39</w:t>
            </w:r>
          </w:p>
        </w:tc>
      </w:tr>
      <w:tr w:rsidR="00BE4FFC" w:rsidRPr="00266631" w:rsidTr="00D846FF">
        <w:tc>
          <w:tcPr>
            <w:tcW w:w="5056" w:type="dxa"/>
            <w:tcBorders>
              <w:bottom w:val="single" w:sz="8" w:space="0" w:color="000000"/>
            </w:tcBorders>
            <w:shd w:val="clear" w:color="auto" w:fill="auto"/>
          </w:tcPr>
          <w:p w:rsidR="00BE4FFC" w:rsidRPr="00266631" w:rsidRDefault="00BE4FFC" w:rsidP="0056183D">
            <w:pPr>
              <w:jc w:val="both"/>
              <w:rPr>
                <w:rFonts w:ascii="Book Antiqua" w:hAnsi="Book Antiqua"/>
                <w:bCs/>
                <w:lang w:val="en-US" w:eastAsia="en-US"/>
              </w:rPr>
            </w:pPr>
            <w:r w:rsidRPr="00266631">
              <w:rPr>
                <w:rFonts w:ascii="Book Antiqua" w:hAnsi="Book Antiqua"/>
                <w:bCs/>
                <w:lang w:val="en-US" w:eastAsia="en-US"/>
              </w:rPr>
              <w:t>Nanog</w:t>
            </w:r>
          </w:p>
        </w:tc>
        <w:tc>
          <w:tcPr>
            <w:tcW w:w="540" w:type="dxa"/>
            <w:tcBorders>
              <w:bottom w:val="single" w:sz="8" w:space="0" w:color="000000"/>
            </w:tcBorders>
            <w:shd w:val="clear" w:color="auto" w:fill="auto"/>
            <w:vAlign w:val="center"/>
          </w:tcPr>
          <w:p w:rsidR="00BE4FFC" w:rsidRPr="00266631" w:rsidRDefault="00BE4FFC" w:rsidP="0056183D">
            <w:pPr>
              <w:jc w:val="both"/>
              <w:rPr>
                <w:rFonts w:ascii="Book Antiqua" w:hAnsi="Book Antiqua"/>
                <w:b/>
                <w:lang w:eastAsia="en-US"/>
              </w:rPr>
            </w:pPr>
            <w:r w:rsidRPr="00266631">
              <w:rPr>
                <w:rFonts w:ascii="Book Antiqua" w:hAnsi="Book Antiqua"/>
                <w:b/>
                <w:lang w:val="en-US" w:eastAsia="en-US"/>
              </w:rPr>
              <w:t>+</w:t>
            </w:r>
          </w:p>
        </w:tc>
        <w:tc>
          <w:tcPr>
            <w:tcW w:w="2768" w:type="dxa"/>
            <w:tcBorders>
              <w:bottom w:val="single" w:sz="8" w:space="0" w:color="000000"/>
            </w:tcBorders>
            <w:shd w:val="clear" w:color="auto" w:fill="auto"/>
            <w:vAlign w:val="center"/>
          </w:tcPr>
          <w:p w:rsidR="00BE4FFC" w:rsidRPr="00266631" w:rsidRDefault="00BE4FFC" w:rsidP="0056183D">
            <w:pPr>
              <w:jc w:val="both"/>
              <w:rPr>
                <w:rFonts w:ascii="Book Antiqua" w:hAnsi="Book Antiqua"/>
                <w:lang w:val="en-US" w:eastAsia="en-US"/>
              </w:rPr>
            </w:pPr>
            <w:r w:rsidRPr="00266631">
              <w:rPr>
                <w:rFonts w:ascii="Book Antiqua" w:hAnsi="Book Antiqua"/>
                <w:lang w:val="en-US" w:eastAsia="en-US"/>
              </w:rPr>
              <w:t>39</w:t>
            </w:r>
          </w:p>
        </w:tc>
      </w:tr>
    </w:tbl>
    <w:p w:rsidR="00BE4FFC" w:rsidRPr="00266631" w:rsidRDefault="00BE4FFC" w:rsidP="00DE3756">
      <w:pPr>
        <w:spacing w:line="360" w:lineRule="auto"/>
        <w:jc w:val="both"/>
        <w:rPr>
          <w:rFonts w:ascii="Book Antiqua" w:hAnsi="Book Antiqua"/>
          <w:b/>
          <w:lang w:val="en-GB"/>
        </w:rPr>
      </w:pPr>
    </w:p>
    <w:p w:rsidR="00D846FF" w:rsidRPr="00D846FF" w:rsidRDefault="0056183D" w:rsidP="0056183D">
      <w:pPr>
        <w:spacing w:line="360" w:lineRule="auto"/>
        <w:jc w:val="both"/>
        <w:rPr>
          <w:rFonts w:ascii="Book Antiqua" w:hAnsi="Book Antiqua"/>
          <w:lang w:val="en-GB" w:eastAsia="zh-CN"/>
        </w:rPr>
      </w:pPr>
      <w:r w:rsidRPr="00266631">
        <w:rPr>
          <w:rFonts w:ascii="Book Antiqua" w:hAnsi="Book Antiqua"/>
          <w:b/>
          <w:lang w:val="en-GB"/>
        </w:rPr>
        <w:br w:type="page"/>
      </w:r>
      <w:r w:rsidR="00D846FF" w:rsidRPr="00D846FF">
        <w:rPr>
          <w:rFonts w:ascii="Book Antiqua" w:hAnsi="Book Antiqua"/>
          <w:lang w:val="en-GB"/>
        </w:rPr>
        <w:lastRenderedPageBreak/>
        <w:t>CD: Cluster of differentiation; HLA: Human leucocyte antigen; MSCA-1: Mesenchymal stem cell antigen 1; STRO-1: Stromal cell antigen -1; SSEA-4: Stage specific embryonic antigens 4; ScaI: Stem cell antigen I; Sox2: Sex determining region Y box; Oct4: Octamer-binding 4.</w:t>
      </w:r>
    </w:p>
    <w:p w:rsidR="00D846FF" w:rsidRPr="00D846FF" w:rsidRDefault="00D846FF" w:rsidP="0056183D">
      <w:pPr>
        <w:spacing w:line="360" w:lineRule="auto"/>
        <w:jc w:val="both"/>
        <w:rPr>
          <w:rFonts w:ascii="Book Antiqua" w:hAnsi="Book Antiqua"/>
          <w:b/>
          <w:lang w:val="en-US" w:eastAsia="zh-CN"/>
        </w:rPr>
      </w:pPr>
    </w:p>
    <w:p w:rsidR="00BE4FFC" w:rsidRPr="00D846FF" w:rsidRDefault="00BE4FFC" w:rsidP="0056183D">
      <w:pPr>
        <w:spacing w:line="360" w:lineRule="auto"/>
        <w:jc w:val="both"/>
        <w:rPr>
          <w:rFonts w:ascii="Book Antiqua" w:hAnsi="Book Antiqua"/>
          <w:lang w:val="en-GB" w:eastAsia="zh-CN"/>
        </w:rPr>
      </w:pPr>
      <w:r w:rsidRPr="00D846FF">
        <w:rPr>
          <w:rFonts w:ascii="Book Antiqua" w:hAnsi="Book Antiqua"/>
          <w:b/>
          <w:lang w:val="en-GB"/>
        </w:rPr>
        <w:t>Figure 1 Schematic representation of periosteum as well as the distribution of cell populations</w:t>
      </w:r>
      <w:r w:rsidR="00D846FF">
        <w:rPr>
          <w:rFonts w:ascii="Book Antiqua" w:hAnsi="Book Antiqua" w:hint="eastAsia"/>
          <w:b/>
          <w:lang w:val="en-GB" w:eastAsia="zh-CN"/>
        </w:rPr>
        <w:t xml:space="preserve"> </w:t>
      </w:r>
      <w:r w:rsidRPr="00D846FF">
        <w:rPr>
          <w:rFonts w:ascii="Book Antiqua" w:hAnsi="Book Antiqua"/>
          <w:b/>
          <w:lang w:val="en-GB"/>
        </w:rPr>
        <w:t>and extracellular matrix that contribute to its biological and mechanical properties.</w:t>
      </w:r>
      <w:r w:rsidR="00D846FF">
        <w:rPr>
          <w:rFonts w:ascii="Book Antiqua" w:hAnsi="Book Antiqua" w:hint="eastAsia"/>
          <w:b/>
          <w:lang w:val="en-GB" w:eastAsia="zh-CN"/>
        </w:rPr>
        <w:t xml:space="preserve"> </w:t>
      </w:r>
      <w:r w:rsidR="00D846FF" w:rsidRPr="00D846FF">
        <w:rPr>
          <w:rFonts w:ascii="Book Antiqua" w:hAnsi="Book Antiqua"/>
          <w:lang w:val="en-GB"/>
        </w:rPr>
        <w:t>PDPCs</w:t>
      </w:r>
      <w:r w:rsidR="00D846FF" w:rsidRPr="00D846FF">
        <w:rPr>
          <w:rFonts w:ascii="Book Antiqua" w:hAnsi="Book Antiqua" w:hint="eastAsia"/>
          <w:lang w:val="en-GB" w:eastAsia="zh-CN"/>
        </w:rPr>
        <w:t xml:space="preserve">: </w:t>
      </w:r>
      <w:r w:rsidR="00D846FF" w:rsidRPr="00D846FF">
        <w:rPr>
          <w:rFonts w:ascii="Book Antiqua" w:hAnsi="Book Antiqua"/>
          <w:caps/>
          <w:lang w:val="en-GB"/>
        </w:rPr>
        <w:t>p</w:t>
      </w:r>
      <w:r w:rsidR="00D846FF" w:rsidRPr="00D846FF">
        <w:rPr>
          <w:rFonts w:ascii="Book Antiqua" w:hAnsi="Book Antiqua"/>
          <w:lang w:val="en-GB"/>
        </w:rPr>
        <w:t>eriosteum-derived precursor cells</w:t>
      </w:r>
      <w:r w:rsidR="00D846FF" w:rsidRPr="00D846FF">
        <w:rPr>
          <w:rFonts w:ascii="Book Antiqua" w:hAnsi="Book Antiqua" w:hint="eastAsia"/>
          <w:lang w:val="en-GB" w:eastAsia="zh-CN"/>
        </w:rPr>
        <w:t>.</w:t>
      </w:r>
    </w:p>
    <w:p w:rsidR="00BE4FFC" w:rsidRPr="00D846FF" w:rsidRDefault="00BE4FFC" w:rsidP="00DE3756">
      <w:pPr>
        <w:spacing w:line="360" w:lineRule="auto"/>
        <w:jc w:val="both"/>
        <w:rPr>
          <w:rFonts w:ascii="Book Antiqua" w:hAnsi="Book Antiqua"/>
          <w:i/>
          <w:lang w:val="en-GB" w:eastAsia="zh-CN"/>
        </w:rPr>
      </w:pPr>
    </w:p>
    <w:p w:rsidR="00BE4FFC" w:rsidRPr="00D846FF" w:rsidRDefault="00BE4FFC" w:rsidP="00DE3756">
      <w:pPr>
        <w:spacing w:line="360" w:lineRule="auto"/>
        <w:jc w:val="both"/>
        <w:rPr>
          <w:rFonts w:ascii="Book Antiqua" w:hAnsi="Book Antiqua"/>
          <w:lang w:val="en-GB"/>
        </w:rPr>
      </w:pPr>
      <w:r w:rsidRPr="00D846FF">
        <w:rPr>
          <w:rFonts w:ascii="Book Antiqua" w:hAnsi="Book Antiqua"/>
          <w:b/>
          <w:lang w:val="en-GB"/>
        </w:rPr>
        <w:t xml:space="preserve">Figure 2 </w:t>
      </w:r>
      <w:r w:rsidRPr="00D846FF">
        <w:rPr>
          <w:rFonts w:ascii="Book Antiqua" w:hAnsi="Book Antiqua"/>
          <w:b/>
          <w:caps/>
          <w:lang w:val="en-GB"/>
        </w:rPr>
        <w:t>s</w:t>
      </w:r>
      <w:r w:rsidRPr="00D846FF">
        <w:rPr>
          <w:rFonts w:ascii="Book Antiqua" w:hAnsi="Book Antiqua"/>
          <w:b/>
          <w:lang w:val="en-GB"/>
        </w:rPr>
        <w:t>tromal cell-derived factor 1/</w:t>
      </w:r>
      <w:r w:rsidR="00D846FF">
        <w:rPr>
          <w:rFonts w:ascii="Book Antiqua" w:hAnsi="Book Antiqua"/>
          <w:b/>
          <w:lang w:val="en-GB"/>
        </w:rPr>
        <w:t>chemochine</w:t>
      </w:r>
      <w:r w:rsidRPr="00D846FF">
        <w:rPr>
          <w:rFonts w:ascii="Book Antiqua" w:hAnsi="Book Antiqua"/>
          <w:b/>
          <w:lang w:val="en-GB"/>
        </w:rPr>
        <w:t xml:space="preserve"> receptor 4 can recruit </w:t>
      </w:r>
      <w:r w:rsidR="00D846FF" w:rsidRPr="00D846FF">
        <w:rPr>
          <w:rFonts w:ascii="Book Antiqua" w:hAnsi="Book Antiqua"/>
          <w:b/>
          <w:lang w:val="en-GB"/>
        </w:rPr>
        <w:t xml:space="preserve">mesenchymal stem cells </w:t>
      </w:r>
      <w:r w:rsidRPr="00D846FF">
        <w:rPr>
          <w:rFonts w:ascii="Book Antiqua" w:hAnsi="Book Antiqua"/>
          <w:b/>
          <w:lang w:val="en-GB"/>
        </w:rPr>
        <w:t xml:space="preserve">to induce fracture repair in skeletal healing. </w:t>
      </w:r>
      <w:r w:rsidR="00D846FF" w:rsidRPr="00D846FF">
        <w:rPr>
          <w:rFonts w:ascii="Book Antiqua" w:hAnsi="Book Antiqua"/>
          <w:caps/>
          <w:lang w:val="en-GB"/>
        </w:rPr>
        <w:t>s</w:t>
      </w:r>
      <w:r w:rsidR="00D846FF" w:rsidRPr="00D846FF">
        <w:rPr>
          <w:rFonts w:ascii="Book Antiqua" w:hAnsi="Book Antiqua"/>
          <w:lang w:val="en-GB"/>
        </w:rPr>
        <w:t>tromal cell-derived factor 1 (SDF-1)</w:t>
      </w:r>
      <w:r w:rsidRPr="00D846FF">
        <w:rPr>
          <w:rFonts w:ascii="Book Antiqua" w:hAnsi="Book Antiqua"/>
          <w:lang w:val="en-GB"/>
        </w:rPr>
        <w:t xml:space="preserve"> is expresses on the periosteum of the bone graft and recruited </w:t>
      </w:r>
      <w:r w:rsidR="00D846FF" w:rsidRPr="00D846FF">
        <w:rPr>
          <w:rFonts w:ascii="Book Antiqua" w:hAnsi="Book Antiqua"/>
          <w:lang w:val="en-GB"/>
        </w:rPr>
        <w:t>chemochine (C-X-C motif) receptor 4 (CXCR4)</w:t>
      </w:r>
      <w:r w:rsidRPr="00D846FF">
        <w:rPr>
          <w:rFonts w:ascii="Book Antiqua" w:hAnsi="Book Antiqua"/>
          <w:lang w:val="en-GB"/>
        </w:rPr>
        <w:t xml:space="preserve"> expressing </w:t>
      </w:r>
      <w:r w:rsidR="00D846FF" w:rsidRPr="00D846FF">
        <w:rPr>
          <w:rFonts w:ascii="Book Antiqua" w:hAnsi="Book Antiqua"/>
          <w:lang w:val="en-GB"/>
        </w:rPr>
        <w:t xml:space="preserve">mesenchymal stem cells </w:t>
      </w:r>
      <w:r w:rsidR="00D846FF" w:rsidRPr="00D846FF">
        <w:rPr>
          <w:rFonts w:ascii="Book Antiqua" w:hAnsi="Book Antiqua" w:hint="eastAsia"/>
          <w:lang w:val="en-GB" w:eastAsia="zh-CN"/>
        </w:rPr>
        <w:t>(</w:t>
      </w:r>
      <w:r w:rsidRPr="00D846FF">
        <w:rPr>
          <w:rFonts w:ascii="Book Antiqua" w:hAnsi="Book Antiqua"/>
          <w:lang w:val="en-GB"/>
        </w:rPr>
        <w:t>MSCs</w:t>
      </w:r>
      <w:r w:rsidR="00D846FF" w:rsidRPr="00D846FF">
        <w:rPr>
          <w:rFonts w:ascii="Book Antiqua" w:hAnsi="Book Antiqua" w:hint="eastAsia"/>
          <w:lang w:val="en-GB" w:eastAsia="zh-CN"/>
        </w:rPr>
        <w:t>)</w:t>
      </w:r>
      <w:r w:rsidRPr="00D846FF">
        <w:rPr>
          <w:rFonts w:ascii="Book Antiqua" w:hAnsi="Book Antiqua"/>
          <w:lang w:val="en-GB"/>
        </w:rPr>
        <w:t xml:space="preserve"> in the acute phase of bone repair.</w:t>
      </w:r>
    </w:p>
    <w:p w:rsidR="00BE4FFC" w:rsidRPr="00D846FF" w:rsidRDefault="00BE4FFC" w:rsidP="00DE3756">
      <w:pPr>
        <w:spacing w:line="360" w:lineRule="auto"/>
        <w:jc w:val="both"/>
        <w:rPr>
          <w:rFonts w:ascii="Book Antiqua" w:hAnsi="Book Antiqua"/>
          <w:lang w:val="en-GB"/>
        </w:rPr>
      </w:pPr>
    </w:p>
    <w:p w:rsidR="00BE4FFC" w:rsidRPr="00D846FF" w:rsidRDefault="00BE4FFC" w:rsidP="00DE3756">
      <w:pPr>
        <w:spacing w:line="360" w:lineRule="auto"/>
        <w:jc w:val="both"/>
        <w:rPr>
          <w:rFonts w:ascii="Book Antiqua" w:hAnsi="Book Antiqua"/>
          <w:b/>
          <w:i/>
          <w:lang w:val="en-GB"/>
        </w:rPr>
      </w:pPr>
      <w:r w:rsidRPr="00D846FF">
        <w:rPr>
          <w:rFonts w:ascii="Book Antiqua" w:hAnsi="Book Antiqua"/>
          <w:b/>
          <w:lang w:val="en-GB"/>
        </w:rPr>
        <w:t xml:space="preserve">Figure 3 </w:t>
      </w:r>
      <w:r w:rsidR="00D846FF" w:rsidRPr="00D846FF">
        <w:rPr>
          <w:rFonts w:ascii="Book Antiqua" w:hAnsi="Book Antiqua" w:hint="eastAsia"/>
          <w:b/>
          <w:caps/>
          <w:lang w:val="en-GB" w:eastAsia="zh-CN"/>
        </w:rPr>
        <w:t>i</w:t>
      </w:r>
      <w:r w:rsidRPr="00D846FF">
        <w:rPr>
          <w:rFonts w:ascii="Book Antiqua" w:hAnsi="Book Antiqua"/>
          <w:b/>
          <w:lang w:val="en-GB"/>
        </w:rPr>
        <w:t>nteractive ‘‘diamond’’ concept of Tissue Engineering and Regenerative Medicine</w:t>
      </w:r>
      <w:r w:rsidR="00D846FF">
        <w:rPr>
          <w:rFonts w:ascii="Book Antiqua" w:hAnsi="Book Antiqua" w:hint="eastAsia"/>
          <w:b/>
          <w:lang w:val="en-GB" w:eastAsia="zh-CN"/>
        </w:rPr>
        <w:t xml:space="preserve"> </w:t>
      </w:r>
      <w:r w:rsidRPr="00D846FF">
        <w:rPr>
          <w:rFonts w:ascii="Book Antiqua" w:hAnsi="Book Antiqua"/>
          <w:b/>
          <w:lang w:val="en-GB"/>
        </w:rPr>
        <w:t>suggests that in addition to cell type, 3D dimensional structure/architecture, mechanical/physical signals, and bioactive factors in the environment are critical and act in concert to direct tissue repair and regeneration. Cell activity is dynamically regulated by the other key cornerstones of the diamond.</w:t>
      </w:r>
    </w:p>
    <w:sectPr w:rsidR="00BE4FFC" w:rsidRPr="00D846FF" w:rsidSect="00415E65">
      <w:footerReference w:type="even" r:id="rId9"/>
      <w:footerReference w:type="default" r:id="rId10"/>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D4" w:rsidRDefault="003D6AD4">
      <w:r>
        <w:separator/>
      </w:r>
    </w:p>
  </w:endnote>
  <w:endnote w:type="continuationSeparator" w:id="0">
    <w:p w:rsidR="003D6AD4" w:rsidRDefault="003D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21" w:rsidRDefault="00993921" w:rsidP="003B638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93921" w:rsidRDefault="009939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21" w:rsidRDefault="00993921" w:rsidP="003B638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D26D1">
      <w:rPr>
        <w:rStyle w:val="a8"/>
        <w:noProof/>
      </w:rPr>
      <w:t>28</w:t>
    </w:r>
    <w:r>
      <w:rPr>
        <w:rStyle w:val="a8"/>
      </w:rPr>
      <w:fldChar w:fldCharType="end"/>
    </w:r>
  </w:p>
  <w:p w:rsidR="00993921" w:rsidRDefault="009939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D4" w:rsidRDefault="003D6AD4">
      <w:r>
        <w:separator/>
      </w:r>
    </w:p>
  </w:footnote>
  <w:footnote w:type="continuationSeparator" w:id="0">
    <w:p w:rsidR="003D6AD4" w:rsidRDefault="003D6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0D6"/>
    <w:multiLevelType w:val="multilevel"/>
    <w:tmpl w:val="8A82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58E4"/>
    <w:multiLevelType w:val="hybridMultilevel"/>
    <w:tmpl w:val="159C7116"/>
    <w:lvl w:ilvl="0" w:tplc="DBF25460">
      <w:start w:val="1"/>
      <w:numFmt w:val="decimal"/>
      <w:lvlText w:val="[%1] "/>
      <w:lvlJc w:val="left"/>
      <w:pPr>
        <w:ind w:left="720" w:hanging="360"/>
      </w:pPr>
      <w:rPr>
        <w:rFonts w:cs="Times New Roman" w:hint="default"/>
        <w:sz w:val="24"/>
        <w:szCs w:val="24"/>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DE60146"/>
    <w:multiLevelType w:val="multilevel"/>
    <w:tmpl w:val="1BEC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978D8"/>
    <w:multiLevelType w:val="hybridMultilevel"/>
    <w:tmpl w:val="6C8E021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B2"/>
    <w:rsid w:val="00003385"/>
    <w:rsid w:val="000040D8"/>
    <w:rsid w:val="0000543E"/>
    <w:rsid w:val="00007431"/>
    <w:rsid w:val="00012DA3"/>
    <w:rsid w:val="00012E6E"/>
    <w:rsid w:val="00014181"/>
    <w:rsid w:val="000146F6"/>
    <w:rsid w:val="00014A20"/>
    <w:rsid w:val="00014F9A"/>
    <w:rsid w:val="00016006"/>
    <w:rsid w:val="0002193B"/>
    <w:rsid w:val="00021E05"/>
    <w:rsid w:val="00023DEA"/>
    <w:rsid w:val="00026C8E"/>
    <w:rsid w:val="0003032D"/>
    <w:rsid w:val="00031471"/>
    <w:rsid w:val="00033F5A"/>
    <w:rsid w:val="0003746A"/>
    <w:rsid w:val="0003768A"/>
    <w:rsid w:val="000379B8"/>
    <w:rsid w:val="00040525"/>
    <w:rsid w:val="00040E85"/>
    <w:rsid w:val="00040EE1"/>
    <w:rsid w:val="00042265"/>
    <w:rsid w:val="00043A03"/>
    <w:rsid w:val="00045319"/>
    <w:rsid w:val="0004580B"/>
    <w:rsid w:val="00050F08"/>
    <w:rsid w:val="00053B7D"/>
    <w:rsid w:val="00055723"/>
    <w:rsid w:val="00057DF9"/>
    <w:rsid w:val="00064922"/>
    <w:rsid w:val="00066D90"/>
    <w:rsid w:val="00066EFE"/>
    <w:rsid w:val="00067D74"/>
    <w:rsid w:val="000700BD"/>
    <w:rsid w:val="00072512"/>
    <w:rsid w:val="000806A0"/>
    <w:rsid w:val="00080DC6"/>
    <w:rsid w:val="00082890"/>
    <w:rsid w:val="00084A3B"/>
    <w:rsid w:val="00084D04"/>
    <w:rsid w:val="00085915"/>
    <w:rsid w:val="00087950"/>
    <w:rsid w:val="00087A98"/>
    <w:rsid w:val="00096AF9"/>
    <w:rsid w:val="00096ECC"/>
    <w:rsid w:val="000A1662"/>
    <w:rsid w:val="000A22BF"/>
    <w:rsid w:val="000A25C9"/>
    <w:rsid w:val="000A45EE"/>
    <w:rsid w:val="000A4E04"/>
    <w:rsid w:val="000A78C8"/>
    <w:rsid w:val="000B2013"/>
    <w:rsid w:val="000B21B6"/>
    <w:rsid w:val="000B275A"/>
    <w:rsid w:val="000B39E5"/>
    <w:rsid w:val="000B62DF"/>
    <w:rsid w:val="000B73B3"/>
    <w:rsid w:val="000B7592"/>
    <w:rsid w:val="000C09F8"/>
    <w:rsid w:val="000C2ABD"/>
    <w:rsid w:val="000C5185"/>
    <w:rsid w:val="000C55B3"/>
    <w:rsid w:val="000C55EA"/>
    <w:rsid w:val="000C5945"/>
    <w:rsid w:val="000C7BCB"/>
    <w:rsid w:val="000D0621"/>
    <w:rsid w:val="000D0D9A"/>
    <w:rsid w:val="000D15BA"/>
    <w:rsid w:val="000D6FD4"/>
    <w:rsid w:val="000E0675"/>
    <w:rsid w:val="000E39A0"/>
    <w:rsid w:val="000E59D5"/>
    <w:rsid w:val="000E66C8"/>
    <w:rsid w:val="000F215A"/>
    <w:rsid w:val="000F2565"/>
    <w:rsid w:val="000F48F0"/>
    <w:rsid w:val="000F7685"/>
    <w:rsid w:val="001004C5"/>
    <w:rsid w:val="001009AE"/>
    <w:rsid w:val="00100BC2"/>
    <w:rsid w:val="00102E11"/>
    <w:rsid w:val="00103238"/>
    <w:rsid w:val="00105A61"/>
    <w:rsid w:val="00107818"/>
    <w:rsid w:val="00107BCC"/>
    <w:rsid w:val="001122E5"/>
    <w:rsid w:val="0011435F"/>
    <w:rsid w:val="00117082"/>
    <w:rsid w:val="001215AE"/>
    <w:rsid w:val="001217DB"/>
    <w:rsid w:val="00122C17"/>
    <w:rsid w:val="00124E84"/>
    <w:rsid w:val="00130C75"/>
    <w:rsid w:val="00130CE9"/>
    <w:rsid w:val="001337EB"/>
    <w:rsid w:val="00133CE4"/>
    <w:rsid w:val="00133D60"/>
    <w:rsid w:val="0013463A"/>
    <w:rsid w:val="00136412"/>
    <w:rsid w:val="00136F27"/>
    <w:rsid w:val="0013781F"/>
    <w:rsid w:val="00137892"/>
    <w:rsid w:val="0014189D"/>
    <w:rsid w:val="00142F1D"/>
    <w:rsid w:val="00143642"/>
    <w:rsid w:val="00143829"/>
    <w:rsid w:val="00144484"/>
    <w:rsid w:val="001448D1"/>
    <w:rsid w:val="001464D0"/>
    <w:rsid w:val="001475DF"/>
    <w:rsid w:val="00147CAE"/>
    <w:rsid w:val="00150CEB"/>
    <w:rsid w:val="001510CA"/>
    <w:rsid w:val="00153C4E"/>
    <w:rsid w:val="00154C85"/>
    <w:rsid w:val="00155327"/>
    <w:rsid w:val="00156C6C"/>
    <w:rsid w:val="001613CF"/>
    <w:rsid w:val="00162367"/>
    <w:rsid w:val="00162D5F"/>
    <w:rsid w:val="001652D1"/>
    <w:rsid w:val="00165DD4"/>
    <w:rsid w:val="00170EED"/>
    <w:rsid w:val="00176627"/>
    <w:rsid w:val="00181177"/>
    <w:rsid w:val="00182F48"/>
    <w:rsid w:val="0018308B"/>
    <w:rsid w:val="00187047"/>
    <w:rsid w:val="0018764D"/>
    <w:rsid w:val="0019127E"/>
    <w:rsid w:val="00191B2E"/>
    <w:rsid w:val="0019257E"/>
    <w:rsid w:val="00195DEF"/>
    <w:rsid w:val="001A51E7"/>
    <w:rsid w:val="001A5CBA"/>
    <w:rsid w:val="001A60C3"/>
    <w:rsid w:val="001A6615"/>
    <w:rsid w:val="001A7295"/>
    <w:rsid w:val="001A7AF8"/>
    <w:rsid w:val="001B0F12"/>
    <w:rsid w:val="001B183D"/>
    <w:rsid w:val="001B1A90"/>
    <w:rsid w:val="001B1CBF"/>
    <w:rsid w:val="001B44D9"/>
    <w:rsid w:val="001C3227"/>
    <w:rsid w:val="001C652C"/>
    <w:rsid w:val="001D0BD8"/>
    <w:rsid w:val="001D2333"/>
    <w:rsid w:val="001D3CE8"/>
    <w:rsid w:val="001D5512"/>
    <w:rsid w:val="001D6FAD"/>
    <w:rsid w:val="001D71F3"/>
    <w:rsid w:val="001E040D"/>
    <w:rsid w:val="001E1348"/>
    <w:rsid w:val="001E49C8"/>
    <w:rsid w:val="001E7B5B"/>
    <w:rsid w:val="001E7EB6"/>
    <w:rsid w:val="001F0E23"/>
    <w:rsid w:val="001F1159"/>
    <w:rsid w:val="001F34CA"/>
    <w:rsid w:val="001F352B"/>
    <w:rsid w:val="001F50D8"/>
    <w:rsid w:val="001F5697"/>
    <w:rsid w:val="001F5F23"/>
    <w:rsid w:val="001F720C"/>
    <w:rsid w:val="00200BC9"/>
    <w:rsid w:val="002015BA"/>
    <w:rsid w:val="00203C61"/>
    <w:rsid w:val="0020441D"/>
    <w:rsid w:val="002071E6"/>
    <w:rsid w:val="00207648"/>
    <w:rsid w:val="00207DAF"/>
    <w:rsid w:val="00210BF7"/>
    <w:rsid w:val="002117E1"/>
    <w:rsid w:val="00211E5B"/>
    <w:rsid w:val="00211F1E"/>
    <w:rsid w:val="00216858"/>
    <w:rsid w:val="00217719"/>
    <w:rsid w:val="00217CB8"/>
    <w:rsid w:val="00220315"/>
    <w:rsid w:val="00222131"/>
    <w:rsid w:val="00222157"/>
    <w:rsid w:val="00222288"/>
    <w:rsid w:val="002229D3"/>
    <w:rsid w:val="002240A8"/>
    <w:rsid w:val="002242F8"/>
    <w:rsid w:val="002308A2"/>
    <w:rsid w:val="002331BB"/>
    <w:rsid w:val="00234F47"/>
    <w:rsid w:val="002356A3"/>
    <w:rsid w:val="00236A75"/>
    <w:rsid w:val="00237F1B"/>
    <w:rsid w:val="00242328"/>
    <w:rsid w:val="00244C5A"/>
    <w:rsid w:val="00245ACD"/>
    <w:rsid w:val="00252DE9"/>
    <w:rsid w:val="00254411"/>
    <w:rsid w:val="002561D2"/>
    <w:rsid w:val="002567C1"/>
    <w:rsid w:val="00256B4F"/>
    <w:rsid w:val="002609AE"/>
    <w:rsid w:val="00263CA7"/>
    <w:rsid w:val="00266631"/>
    <w:rsid w:val="002674EE"/>
    <w:rsid w:val="00267599"/>
    <w:rsid w:val="0026765F"/>
    <w:rsid w:val="0027270A"/>
    <w:rsid w:val="00272DCF"/>
    <w:rsid w:val="002731B8"/>
    <w:rsid w:val="00274870"/>
    <w:rsid w:val="002774AC"/>
    <w:rsid w:val="00277F6E"/>
    <w:rsid w:val="0028349B"/>
    <w:rsid w:val="00283BE9"/>
    <w:rsid w:val="00287FA2"/>
    <w:rsid w:val="002902C5"/>
    <w:rsid w:val="00290982"/>
    <w:rsid w:val="00290AAE"/>
    <w:rsid w:val="00290C0D"/>
    <w:rsid w:val="00291E87"/>
    <w:rsid w:val="00292B3C"/>
    <w:rsid w:val="002931D1"/>
    <w:rsid w:val="002947F2"/>
    <w:rsid w:val="00296B97"/>
    <w:rsid w:val="002A42CE"/>
    <w:rsid w:val="002A4795"/>
    <w:rsid w:val="002A4820"/>
    <w:rsid w:val="002A5170"/>
    <w:rsid w:val="002A53B8"/>
    <w:rsid w:val="002A6286"/>
    <w:rsid w:val="002B02D1"/>
    <w:rsid w:val="002B080C"/>
    <w:rsid w:val="002B1B97"/>
    <w:rsid w:val="002B6817"/>
    <w:rsid w:val="002B7195"/>
    <w:rsid w:val="002C092C"/>
    <w:rsid w:val="002C30AC"/>
    <w:rsid w:val="002C407C"/>
    <w:rsid w:val="002D1398"/>
    <w:rsid w:val="002D1C6D"/>
    <w:rsid w:val="002D37E5"/>
    <w:rsid w:val="002D5029"/>
    <w:rsid w:val="002D661B"/>
    <w:rsid w:val="002E55BB"/>
    <w:rsid w:val="002E5D62"/>
    <w:rsid w:val="002F46AB"/>
    <w:rsid w:val="002F60AE"/>
    <w:rsid w:val="002F6E49"/>
    <w:rsid w:val="002F7238"/>
    <w:rsid w:val="002F7AFE"/>
    <w:rsid w:val="003034D8"/>
    <w:rsid w:val="003105F4"/>
    <w:rsid w:val="00314AC8"/>
    <w:rsid w:val="00315A08"/>
    <w:rsid w:val="0031744C"/>
    <w:rsid w:val="00320821"/>
    <w:rsid w:val="0032336D"/>
    <w:rsid w:val="00324B48"/>
    <w:rsid w:val="003253AE"/>
    <w:rsid w:val="00326087"/>
    <w:rsid w:val="00332A15"/>
    <w:rsid w:val="00336500"/>
    <w:rsid w:val="003413E8"/>
    <w:rsid w:val="0034258F"/>
    <w:rsid w:val="00347371"/>
    <w:rsid w:val="0034752D"/>
    <w:rsid w:val="00351B44"/>
    <w:rsid w:val="003525B8"/>
    <w:rsid w:val="0035315F"/>
    <w:rsid w:val="0035494D"/>
    <w:rsid w:val="00357B2A"/>
    <w:rsid w:val="003701BC"/>
    <w:rsid w:val="00371EC6"/>
    <w:rsid w:val="00373218"/>
    <w:rsid w:val="003743C5"/>
    <w:rsid w:val="00374F03"/>
    <w:rsid w:val="00376F5E"/>
    <w:rsid w:val="0038041E"/>
    <w:rsid w:val="0038044E"/>
    <w:rsid w:val="00380B8D"/>
    <w:rsid w:val="003825AC"/>
    <w:rsid w:val="003829DF"/>
    <w:rsid w:val="00382B90"/>
    <w:rsid w:val="00384BC3"/>
    <w:rsid w:val="003867C1"/>
    <w:rsid w:val="00387BF5"/>
    <w:rsid w:val="003903EC"/>
    <w:rsid w:val="00391159"/>
    <w:rsid w:val="00391773"/>
    <w:rsid w:val="00391887"/>
    <w:rsid w:val="00392759"/>
    <w:rsid w:val="003970EC"/>
    <w:rsid w:val="003A76B8"/>
    <w:rsid w:val="003A7E2E"/>
    <w:rsid w:val="003B18D6"/>
    <w:rsid w:val="003B3D33"/>
    <w:rsid w:val="003B3D91"/>
    <w:rsid w:val="003B4DDD"/>
    <w:rsid w:val="003B6382"/>
    <w:rsid w:val="003C02C3"/>
    <w:rsid w:val="003C577A"/>
    <w:rsid w:val="003C60E0"/>
    <w:rsid w:val="003C6A20"/>
    <w:rsid w:val="003C6EC6"/>
    <w:rsid w:val="003D149A"/>
    <w:rsid w:val="003D2401"/>
    <w:rsid w:val="003D31D4"/>
    <w:rsid w:val="003D50FF"/>
    <w:rsid w:val="003D6AD4"/>
    <w:rsid w:val="003D6CA8"/>
    <w:rsid w:val="003E04EB"/>
    <w:rsid w:val="003E196B"/>
    <w:rsid w:val="003E23F1"/>
    <w:rsid w:val="003E4006"/>
    <w:rsid w:val="003E44C1"/>
    <w:rsid w:val="003F0E6A"/>
    <w:rsid w:val="003F1CE1"/>
    <w:rsid w:val="003F4612"/>
    <w:rsid w:val="003F50DA"/>
    <w:rsid w:val="003F7A7E"/>
    <w:rsid w:val="003F7C2A"/>
    <w:rsid w:val="003F7CD8"/>
    <w:rsid w:val="0040060A"/>
    <w:rsid w:val="00400A29"/>
    <w:rsid w:val="00401215"/>
    <w:rsid w:val="004027FB"/>
    <w:rsid w:val="004035BE"/>
    <w:rsid w:val="00403A0E"/>
    <w:rsid w:val="004049F9"/>
    <w:rsid w:val="00404D10"/>
    <w:rsid w:val="00413600"/>
    <w:rsid w:val="00415151"/>
    <w:rsid w:val="00415743"/>
    <w:rsid w:val="00415E65"/>
    <w:rsid w:val="004169D0"/>
    <w:rsid w:val="00420620"/>
    <w:rsid w:val="00427450"/>
    <w:rsid w:val="00433EA3"/>
    <w:rsid w:val="00436CAB"/>
    <w:rsid w:val="004436A4"/>
    <w:rsid w:val="004440CD"/>
    <w:rsid w:val="00445EF2"/>
    <w:rsid w:val="00446E1F"/>
    <w:rsid w:val="004478EB"/>
    <w:rsid w:val="00447C80"/>
    <w:rsid w:val="00447D15"/>
    <w:rsid w:val="00452C7D"/>
    <w:rsid w:val="00460D78"/>
    <w:rsid w:val="00461911"/>
    <w:rsid w:val="00463BDD"/>
    <w:rsid w:val="00467662"/>
    <w:rsid w:val="00467D03"/>
    <w:rsid w:val="0047269C"/>
    <w:rsid w:val="00473DDD"/>
    <w:rsid w:val="00473E9E"/>
    <w:rsid w:val="00475480"/>
    <w:rsid w:val="00475FF7"/>
    <w:rsid w:val="00480DEA"/>
    <w:rsid w:val="00481379"/>
    <w:rsid w:val="00481A10"/>
    <w:rsid w:val="00481B77"/>
    <w:rsid w:val="004826FB"/>
    <w:rsid w:val="00485A82"/>
    <w:rsid w:val="004866B5"/>
    <w:rsid w:val="00486FC8"/>
    <w:rsid w:val="0049094D"/>
    <w:rsid w:val="00494328"/>
    <w:rsid w:val="00496453"/>
    <w:rsid w:val="004A46D6"/>
    <w:rsid w:val="004A5560"/>
    <w:rsid w:val="004A56EE"/>
    <w:rsid w:val="004A6E84"/>
    <w:rsid w:val="004A7C4D"/>
    <w:rsid w:val="004B14B4"/>
    <w:rsid w:val="004B195D"/>
    <w:rsid w:val="004B3F67"/>
    <w:rsid w:val="004B53BE"/>
    <w:rsid w:val="004B58AE"/>
    <w:rsid w:val="004B6A97"/>
    <w:rsid w:val="004C0A1D"/>
    <w:rsid w:val="004C0C4A"/>
    <w:rsid w:val="004C0EF5"/>
    <w:rsid w:val="004C3D41"/>
    <w:rsid w:val="004C4A33"/>
    <w:rsid w:val="004C60A7"/>
    <w:rsid w:val="004D1F73"/>
    <w:rsid w:val="004D36D7"/>
    <w:rsid w:val="004D4A34"/>
    <w:rsid w:val="004D57E5"/>
    <w:rsid w:val="004D7897"/>
    <w:rsid w:val="004E014C"/>
    <w:rsid w:val="004E4754"/>
    <w:rsid w:val="004E58BF"/>
    <w:rsid w:val="004F2311"/>
    <w:rsid w:val="004F6260"/>
    <w:rsid w:val="004F6F00"/>
    <w:rsid w:val="004F74BB"/>
    <w:rsid w:val="00501451"/>
    <w:rsid w:val="00501988"/>
    <w:rsid w:val="00503A2D"/>
    <w:rsid w:val="00505FB5"/>
    <w:rsid w:val="00506109"/>
    <w:rsid w:val="005066B5"/>
    <w:rsid w:val="005106F5"/>
    <w:rsid w:val="005111DE"/>
    <w:rsid w:val="005127BE"/>
    <w:rsid w:val="005129D6"/>
    <w:rsid w:val="00512F12"/>
    <w:rsid w:val="00513030"/>
    <w:rsid w:val="0051355E"/>
    <w:rsid w:val="00522806"/>
    <w:rsid w:val="00522F28"/>
    <w:rsid w:val="00524A1A"/>
    <w:rsid w:val="00525129"/>
    <w:rsid w:val="0053159E"/>
    <w:rsid w:val="00531646"/>
    <w:rsid w:val="00533096"/>
    <w:rsid w:val="00533D66"/>
    <w:rsid w:val="0053613B"/>
    <w:rsid w:val="00536AF7"/>
    <w:rsid w:val="00540523"/>
    <w:rsid w:val="005421F9"/>
    <w:rsid w:val="00544E12"/>
    <w:rsid w:val="00545DEC"/>
    <w:rsid w:val="0054603D"/>
    <w:rsid w:val="005472D9"/>
    <w:rsid w:val="005518FF"/>
    <w:rsid w:val="00551C43"/>
    <w:rsid w:val="005520C4"/>
    <w:rsid w:val="00553C4C"/>
    <w:rsid w:val="00554F6D"/>
    <w:rsid w:val="00555390"/>
    <w:rsid w:val="0056183D"/>
    <w:rsid w:val="00567E0C"/>
    <w:rsid w:val="00570262"/>
    <w:rsid w:val="00570B44"/>
    <w:rsid w:val="00571882"/>
    <w:rsid w:val="005734E7"/>
    <w:rsid w:val="005745C3"/>
    <w:rsid w:val="005751F0"/>
    <w:rsid w:val="00576A20"/>
    <w:rsid w:val="00577EDB"/>
    <w:rsid w:val="00577FBE"/>
    <w:rsid w:val="00580ECF"/>
    <w:rsid w:val="00581DFC"/>
    <w:rsid w:val="005821ED"/>
    <w:rsid w:val="00582AB1"/>
    <w:rsid w:val="0058734A"/>
    <w:rsid w:val="0059024D"/>
    <w:rsid w:val="00592B62"/>
    <w:rsid w:val="00593482"/>
    <w:rsid w:val="00594588"/>
    <w:rsid w:val="00596400"/>
    <w:rsid w:val="0059702A"/>
    <w:rsid w:val="00597CBB"/>
    <w:rsid w:val="00597FE2"/>
    <w:rsid w:val="005A0EDD"/>
    <w:rsid w:val="005A140C"/>
    <w:rsid w:val="005A4F3E"/>
    <w:rsid w:val="005B0D10"/>
    <w:rsid w:val="005B131E"/>
    <w:rsid w:val="005B2370"/>
    <w:rsid w:val="005B30EF"/>
    <w:rsid w:val="005B5B78"/>
    <w:rsid w:val="005C017B"/>
    <w:rsid w:val="005C03BC"/>
    <w:rsid w:val="005C1382"/>
    <w:rsid w:val="005C20F9"/>
    <w:rsid w:val="005C2330"/>
    <w:rsid w:val="005C3A09"/>
    <w:rsid w:val="005C3F06"/>
    <w:rsid w:val="005C411F"/>
    <w:rsid w:val="005C4650"/>
    <w:rsid w:val="005C731F"/>
    <w:rsid w:val="005C7527"/>
    <w:rsid w:val="005D1204"/>
    <w:rsid w:val="005D1422"/>
    <w:rsid w:val="005D6F54"/>
    <w:rsid w:val="005E27A1"/>
    <w:rsid w:val="005E5205"/>
    <w:rsid w:val="005E643F"/>
    <w:rsid w:val="005F2CF4"/>
    <w:rsid w:val="005F3CDF"/>
    <w:rsid w:val="005F4C51"/>
    <w:rsid w:val="005F51D2"/>
    <w:rsid w:val="005F56D2"/>
    <w:rsid w:val="005F5D60"/>
    <w:rsid w:val="005F6189"/>
    <w:rsid w:val="00600FE7"/>
    <w:rsid w:val="00602398"/>
    <w:rsid w:val="00604A71"/>
    <w:rsid w:val="00604AEF"/>
    <w:rsid w:val="006074AF"/>
    <w:rsid w:val="006123E6"/>
    <w:rsid w:val="0061321C"/>
    <w:rsid w:val="006139BD"/>
    <w:rsid w:val="00616D4E"/>
    <w:rsid w:val="00617A0B"/>
    <w:rsid w:val="00617E6B"/>
    <w:rsid w:val="00617F61"/>
    <w:rsid w:val="00620B92"/>
    <w:rsid w:val="00621C35"/>
    <w:rsid w:val="006230FB"/>
    <w:rsid w:val="00623CEC"/>
    <w:rsid w:val="00627B9A"/>
    <w:rsid w:val="00631F04"/>
    <w:rsid w:val="00632763"/>
    <w:rsid w:val="00640202"/>
    <w:rsid w:val="00640FE6"/>
    <w:rsid w:val="006415B2"/>
    <w:rsid w:val="00641E60"/>
    <w:rsid w:val="006528E4"/>
    <w:rsid w:val="00654281"/>
    <w:rsid w:val="00662ED4"/>
    <w:rsid w:val="00663361"/>
    <w:rsid w:val="0066472B"/>
    <w:rsid w:val="00670CD3"/>
    <w:rsid w:val="00671F88"/>
    <w:rsid w:val="00673209"/>
    <w:rsid w:val="0067327B"/>
    <w:rsid w:val="0067336D"/>
    <w:rsid w:val="00673685"/>
    <w:rsid w:val="00674A59"/>
    <w:rsid w:val="00675A19"/>
    <w:rsid w:val="00677F46"/>
    <w:rsid w:val="00685F93"/>
    <w:rsid w:val="00687B6F"/>
    <w:rsid w:val="00691582"/>
    <w:rsid w:val="006927C3"/>
    <w:rsid w:val="006968E1"/>
    <w:rsid w:val="00697352"/>
    <w:rsid w:val="00697F20"/>
    <w:rsid w:val="006A1C56"/>
    <w:rsid w:val="006A5025"/>
    <w:rsid w:val="006B0C14"/>
    <w:rsid w:val="006B2412"/>
    <w:rsid w:val="006B244C"/>
    <w:rsid w:val="006B35A7"/>
    <w:rsid w:val="006B3B32"/>
    <w:rsid w:val="006B3E34"/>
    <w:rsid w:val="006B4F11"/>
    <w:rsid w:val="006B5C10"/>
    <w:rsid w:val="006B722F"/>
    <w:rsid w:val="006C3089"/>
    <w:rsid w:val="006C387E"/>
    <w:rsid w:val="006D1D28"/>
    <w:rsid w:val="006D4640"/>
    <w:rsid w:val="006D510A"/>
    <w:rsid w:val="006D5557"/>
    <w:rsid w:val="006D65A7"/>
    <w:rsid w:val="006D7BD1"/>
    <w:rsid w:val="006E256A"/>
    <w:rsid w:val="006E3309"/>
    <w:rsid w:val="006E4635"/>
    <w:rsid w:val="006E77A4"/>
    <w:rsid w:val="006F0074"/>
    <w:rsid w:val="006F2A5B"/>
    <w:rsid w:val="006F36E2"/>
    <w:rsid w:val="006F48CA"/>
    <w:rsid w:val="006F5EF5"/>
    <w:rsid w:val="00700351"/>
    <w:rsid w:val="0070037B"/>
    <w:rsid w:val="00702B2B"/>
    <w:rsid w:val="0070383B"/>
    <w:rsid w:val="00704088"/>
    <w:rsid w:val="007067DC"/>
    <w:rsid w:val="007217B4"/>
    <w:rsid w:val="007232C1"/>
    <w:rsid w:val="00723AF9"/>
    <w:rsid w:val="00724366"/>
    <w:rsid w:val="00724C3E"/>
    <w:rsid w:val="0072500E"/>
    <w:rsid w:val="00725251"/>
    <w:rsid w:val="00725AF3"/>
    <w:rsid w:val="0073745F"/>
    <w:rsid w:val="00737A6C"/>
    <w:rsid w:val="00737BB8"/>
    <w:rsid w:val="00745994"/>
    <w:rsid w:val="0074647D"/>
    <w:rsid w:val="007474DD"/>
    <w:rsid w:val="00750D23"/>
    <w:rsid w:val="00751499"/>
    <w:rsid w:val="00752D28"/>
    <w:rsid w:val="007530A9"/>
    <w:rsid w:val="00753F06"/>
    <w:rsid w:val="00755D23"/>
    <w:rsid w:val="00757E54"/>
    <w:rsid w:val="00762C77"/>
    <w:rsid w:val="00764BD2"/>
    <w:rsid w:val="0076658E"/>
    <w:rsid w:val="00767F73"/>
    <w:rsid w:val="007737F5"/>
    <w:rsid w:val="0077525F"/>
    <w:rsid w:val="007758FD"/>
    <w:rsid w:val="007760B8"/>
    <w:rsid w:val="007775E3"/>
    <w:rsid w:val="00780D43"/>
    <w:rsid w:val="00781D7A"/>
    <w:rsid w:val="00782268"/>
    <w:rsid w:val="007848C0"/>
    <w:rsid w:val="007852CA"/>
    <w:rsid w:val="00785943"/>
    <w:rsid w:val="007870F7"/>
    <w:rsid w:val="00791949"/>
    <w:rsid w:val="0079260A"/>
    <w:rsid w:val="00793C2E"/>
    <w:rsid w:val="0079582D"/>
    <w:rsid w:val="00797692"/>
    <w:rsid w:val="00797B0B"/>
    <w:rsid w:val="007A2E3D"/>
    <w:rsid w:val="007A39D1"/>
    <w:rsid w:val="007A6207"/>
    <w:rsid w:val="007A6424"/>
    <w:rsid w:val="007B2E2D"/>
    <w:rsid w:val="007B2FAA"/>
    <w:rsid w:val="007B3057"/>
    <w:rsid w:val="007B3BC0"/>
    <w:rsid w:val="007B5167"/>
    <w:rsid w:val="007B5E83"/>
    <w:rsid w:val="007B6897"/>
    <w:rsid w:val="007C06C4"/>
    <w:rsid w:val="007C1293"/>
    <w:rsid w:val="007C63E2"/>
    <w:rsid w:val="007C6A2D"/>
    <w:rsid w:val="007C6BA8"/>
    <w:rsid w:val="007D0DB7"/>
    <w:rsid w:val="007D396D"/>
    <w:rsid w:val="007D7267"/>
    <w:rsid w:val="007E0133"/>
    <w:rsid w:val="007E0A40"/>
    <w:rsid w:val="007E16F1"/>
    <w:rsid w:val="007E37BA"/>
    <w:rsid w:val="007F1A28"/>
    <w:rsid w:val="007F564C"/>
    <w:rsid w:val="007F63A7"/>
    <w:rsid w:val="007F66DA"/>
    <w:rsid w:val="007F709B"/>
    <w:rsid w:val="007F7AB2"/>
    <w:rsid w:val="008078F8"/>
    <w:rsid w:val="00810A54"/>
    <w:rsid w:val="00810FA1"/>
    <w:rsid w:val="00811704"/>
    <w:rsid w:val="008122FA"/>
    <w:rsid w:val="00812927"/>
    <w:rsid w:val="00815DCD"/>
    <w:rsid w:val="008168B6"/>
    <w:rsid w:val="0081741C"/>
    <w:rsid w:val="008204D6"/>
    <w:rsid w:val="00820C85"/>
    <w:rsid w:val="008229D4"/>
    <w:rsid w:val="008279D9"/>
    <w:rsid w:val="00830F99"/>
    <w:rsid w:val="008315A5"/>
    <w:rsid w:val="00831912"/>
    <w:rsid w:val="008347F4"/>
    <w:rsid w:val="0084157F"/>
    <w:rsid w:val="0084330C"/>
    <w:rsid w:val="008434E5"/>
    <w:rsid w:val="00844970"/>
    <w:rsid w:val="00846FF8"/>
    <w:rsid w:val="00847689"/>
    <w:rsid w:val="00847F95"/>
    <w:rsid w:val="00850B76"/>
    <w:rsid w:val="00851867"/>
    <w:rsid w:val="00851D08"/>
    <w:rsid w:val="00852F20"/>
    <w:rsid w:val="008537F0"/>
    <w:rsid w:val="00855CE1"/>
    <w:rsid w:val="008615CA"/>
    <w:rsid w:val="00864A72"/>
    <w:rsid w:val="00867688"/>
    <w:rsid w:val="0086779A"/>
    <w:rsid w:val="00867D74"/>
    <w:rsid w:val="00872A3A"/>
    <w:rsid w:val="00872AA4"/>
    <w:rsid w:val="0087304D"/>
    <w:rsid w:val="00873C86"/>
    <w:rsid w:val="00874BBE"/>
    <w:rsid w:val="00880328"/>
    <w:rsid w:val="00880B07"/>
    <w:rsid w:val="00881785"/>
    <w:rsid w:val="00882BDE"/>
    <w:rsid w:val="008839DF"/>
    <w:rsid w:val="00886F1F"/>
    <w:rsid w:val="008879A2"/>
    <w:rsid w:val="00890969"/>
    <w:rsid w:val="008913DC"/>
    <w:rsid w:val="00891CFD"/>
    <w:rsid w:val="0089236F"/>
    <w:rsid w:val="00894705"/>
    <w:rsid w:val="00894FFE"/>
    <w:rsid w:val="008958E2"/>
    <w:rsid w:val="008A0DAF"/>
    <w:rsid w:val="008A2E8D"/>
    <w:rsid w:val="008A3D65"/>
    <w:rsid w:val="008A687B"/>
    <w:rsid w:val="008A74FD"/>
    <w:rsid w:val="008A7553"/>
    <w:rsid w:val="008B10B3"/>
    <w:rsid w:val="008B12CA"/>
    <w:rsid w:val="008B2CFF"/>
    <w:rsid w:val="008B2DF0"/>
    <w:rsid w:val="008B594E"/>
    <w:rsid w:val="008C6580"/>
    <w:rsid w:val="008C67DB"/>
    <w:rsid w:val="008C69FA"/>
    <w:rsid w:val="008C79BE"/>
    <w:rsid w:val="008D0063"/>
    <w:rsid w:val="008D09D6"/>
    <w:rsid w:val="008D33AA"/>
    <w:rsid w:val="008D4E4F"/>
    <w:rsid w:val="008E0E63"/>
    <w:rsid w:val="008E0E66"/>
    <w:rsid w:val="008E1234"/>
    <w:rsid w:val="008E267B"/>
    <w:rsid w:val="008E27A1"/>
    <w:rsid w:val="008E2BEE"/>
    <w:rsid w:val="008E41BC"/>
    <w:rsid w:val="008E758F"/>
    <w:rsid w:val="008F3E63"/>
    <w:rsid w:val="008F538B"/>
    <w:rsid w:val="008F5BC0"/>
    <w:rsid w:val="008F5E94"/>
    <w:rsid w:val="008F68D9"/>
    <w:rsid w:val="008F6BC3"/>
    <w:rsid w:val="008F77A3"/>
    <w:rsid w:val="009031E4"/>
    <w:rsid w:val="0090324E"/>
    <w:rsid w:val="00904BCD"/>
    <w:rsid w:val="00904D0B"/>
    <w:rsid w:val="00905CF3"/>
    <w:rsid w:val="00905F27"/>
    <w:rsid w:val="00912B4A"/>
    <w:rsid w:val="00913B76"/>
    <w:rsid w:val="00914918"/>
    <w:rsid w:val="00917338"/>
    <w:rsid w:val="00917D23"/>
    <w:rsid w:val="00917E4C"/>
    <w:rsid w:val="00917ED6"/>
    <w:rsid w:val="00923FA0"/>
    <w:rsid w:val="009243DE"/>
    <w:rsid w:val="0092440A"/>
    <w:rsid w:val="0092443A"/>
    <w:rsid w:val="00926529"/>
    <w:rsid w:val="00927A6E"/>
    <w:rsid w:val="00927B09"/>
    <w:rsid w:val="00933085"/>
    <w:rsid w:val="00936A46"/>
    <w:rsid w:val="0094032B"/>
    <w:rsid w:val="009422EA"/>
    <w:rsid w:val="00942692"/>
    <w:rsid w:val="00943976"/>
    <w:rsid w:val="00947DE8"/>
    <w:rsid w:val="00950D08"/>
    <w:rsid w:val="00953B95"/>
    <w:rsid w:val="0095421F"/>
    <w:rsid w:val="009559FB"/>
    <w:rsid w:val="00957895"/>
    <w:rsid w:val="00960643"/>
    <w:rsid w:val="00960666"/>
    <w:rsid w:val="00963C87"/>
    <w:rsid w:val="00965648"/>
    <w:rsid w:val="009679E1"/>
    <w:rsid w:val="009700FB"/>
    <w:rsid w:val="00970E98"/>
    <w:rsid w:val="00971983"/>
    <w:rsid w:val="00972538"/>
    <w:rsid w:val="00982968"/>
    <w:rsid w:val="009837C3"/>
    <w:rsid w:val="00983BAA"/>
    <w:rsid w:val="00984F58"/>
    <w:rsid w:val="0098675C"/>
    <w:rsid w:val="00990306"/>
    <w:rsid w:val="00990462"/>
    <w:rsid w:val="0099088C"/>
    <w:rsid w:val="0099134A"/>
    <w:rsid w:val="00993921"/>
    <w:rsid w:val="00993F85"/>
    <w:rsid w:val="00994FE5"/>
    <w:rsid w:val="00996D02"/>
    <w:rsid w:val="009A31C5"/>
    <w:rsid w:val="009A3E45"/>
    <w:rsid w:val="009A5EF5"/>
    <w:rsid w:val="009B043A"/>
    <w:rsid w:val="009B109B"/>
    <w:rsid w:val="009B3137"/>
    <w:rsid w:val="009B318D"/>
    <w:rsid w:val="009B39DB"/>
    <w:rsid w:val="009B44D8"/>
    <w:rsid w:val="009B470F"/>
    <w:rsid w:val="009B6F4B"/>
    <w:rsid w:val="009C0400"/>
    <w:rsid w:val="009C1075"/>
    <w:rsid w:val="009C1F98"/>
    <w:rsid w:val="009C3EFE"/>
    <w:rsid w:val="009C403E"/>
    <w:rsid w:val="009C6E77"/>
    <w:rsid w:val="009C7B8B"/>
    <w:rsid w:val="009D10F1"/>
    <w:rsid w:val="009D2EE0"/>
    <w:rsid w:val="009D47EC"/>
    <w:rsid w:val="009D73E1"/>
    <w:rsid w:val="009E1A31"/>
    <w:rsid w:val="009E1F4F"/>
    <w:rsid w:val="009E5231"/>
    <w:rsid w:val="009E5A6F"/>
    <w:rsid w:val="009E70E3"/>
    <w:rsid w:val="009F28B8"/>
    <w:rsid w:val="009F32F2"/>
    <w:rsid w:val="009F3E6A"/>
    <w:rsid w:val="009F4D0E"/>
    <w:rsid w:val="009F6DF7"/>
    <w:rsid w:val="009F7E56"/>
    <w:rsid w:val="00A00E65"/>
    <w:rsid w:val="00A01022"/>
    <w:rsid w:val="00A02EB5"/>
    <w:rsid w:val="00A051BB"/>
    <w:rsid w:val="00A059CF"/>
    <w:rsid w:val="00A05D61"/>
    <w:rsid w:val="00A1009C"/>
    <w:rsid w:val="00A107C6"/>
    <w:rsid w:val="00A10A0C"/>
    <w:rsid w:val="00A11769"/>
    <w:rsid w:val="00A11BC7"/>
    <w:rsid w:val="00A11CB1"/>
    <w:rsid w:val="00A12343"/>
    <w:rsid w:val="00A132B9"/>
    <w:rsid w:val="00A15CE8"/>
    <w:rsid w:val="00A17510"/>
    <w:rsid w:val="00A200FC"/>
    <w:rsid w:val="00A214AE"/>
    <w:rsid w:val="00A227BC"/>
    <w:rsid w:val="00A22D27"/>
    <w:rsid w:val="00A23580"/>
    <w:rsid w:val="00A237A4"/>
    <w:rsid w:val="00A25A82"/>
    <w:rsid w:val="00A25E84"/>
    <w:rsid w:val="00A2711D"/>
    <w:rsid w:val="00A273AC"/>
    <w:rsid w:val="00A30E95"/>
    <w:rsid w:val="00A31089"/>
    <w:rsid w:val="00A3119D"/>
    <w:rsid w:val="00A33CF6"/>
    <w:rsid w:val="00A33D12"/>
    <w:rsid w:val="00A350A5"/>
    <w:rsid w:val="00A36584"/>
    <w:rsid w:val="00A41A80"/>
    <w:rsid w:val="00A43D19"/>
    <w:rsid w:val="00A452EC"/>
    <w:rsid w:val="00A45A25"/>
    <w:rsid w:val="00A46A8B"/>
    <w:rsid w:val="00A47433"/>
    <w:rsid w:val="00A5010B"/>
    <w:rsid w:val="00A50B40"/>
    <w:rsid w:val="00A53587"/>
    <w:rsid w:val="00A5412D"/>
    <w:rsid w:val="00A54CD0"/>
    <w:rsid w:val="00A56761"/>
    <w:rsid w:val="00A64A32"/>
    <w:rsid w:val="00A64C75"/>
    <w:rsid w:val="00A6654C"/>
    <w:rsid w:val="00A679F6"/>
    <w:rsid w:val="00A7159F"/>
    <w:rsid w:val="00A71661"/>
    <w:rsid w:val="00A7189C"/>
    <w:rsid w:val="00A75648"/>
    <w:rsid w:val="00A75CFD"/>
    <w:rsid w:val="00A76451"/>
    <w:rsid w:val="00A8136E"/>
    <w:rsid w:val="00A84BAB"/>
    <w:rsid w:val="00A8749A"/>
    <w:rsid w:val="00AA3BF0"/>
    <w:rsid w:val="00AA5255"/>
    <w:rsid w:val="00AA6D28"/>
    <w:rsid w:val="00AA7117"/>
    <w:rsid w:val="00AA7947"/>
    <w:rsid w:val="00AB4171"/>
    <w:rsid w:val="00AB6006"/>
    <w:rsid w:val="00AB65E9"/>
    <w:rsid w:val="00AB67E9"/>
    <w:rsid w:val="00AB7AA5"/>
    <w:rsid w:val="00AC0D92"/>
    <w:rsid w:val="00AC4B8D"/>
    <w:rsid w:val="00AC5EDB"/>
    <w:rsid w:val="00AC6FE3"/>
    <w:rsid w:val="00AD0ACD"/>
    <w:rsid w:val="00AD1055"/>
    <w:rsid w:val="00AD2002"/>
    <w:rsid w:val="00AE0956"/>
    <w:rsid w:val="00AE14DB"/>
    <w:rsid w:val="00AE4F52"/>
    <w:rsid w:val="00AE7508"/>
    <w:rsid w:val="00AE7BB1"/>
    <w:rsid w:val="00AF1AEB"/>
    <w:rsid w:val="00AF2741"/>
    <w:rsid w:val="00AF4A82"/>
    <w:rsid w:val="00AF58B4"/>
    <w:rsid w:val="00AF58F6"/>
    <w:rsid w:val="00AF68A7"/>
    <w:rsid w:val="00AF7187"/>
    <w:rsid w:val="00AF7447"/>
    <w:rsid w:val="00AF79D3"/>
    <w:rsid w:val="00B0026E"/>
    <w:rsid w:val="00B006B5"/>
    <w:rsid w:val="00B00F9D"/>
    <w:rsid w:val="00B02EEC"/>
    <w:rsid w:val="00B04859"/>
    <w:rsid w:val="00B069AA"/>
    <w:rsid w:val="00B06BA4"/>
    <w:rsid w:val="00B1034D"/>
    <w:rsid w:val="00B106AE"/>
    <w:rsid w:val="00B107E3"/>
    <w:rsid w:val="00B114D7"/>
    <w:rsid w:val="00B11900"/>
    <w:rsid w:val="00B12544"/>
    <w:rsid w:val="00B1405F"/>
    <w:rsid w:val="00B14610"/>
    <w:rsid w:val="00B14DF8"/>
    <w:rsid w:val="00B14ECD"/>
    <w:rsid w:val="00B14FF2"/>
    <w:rsid w:val="00B1679B"/>
    <w:rsid w:val="00B17585"/>
    <w:rsid w:val="00B17985"/>
    <w:rsid w:val="00B20011"/>
    <w:rsid w:val="00B24D51"/>
    <w:rsid w:val="00B32BCD"/>
    <w:rsid w:val="00B339E1"/>
    <w:rsid w:val="00B356E4"/>
    <w:rsid w:val="00B36890"/>
    <w:rsid w:val="00B4154A"/>
    <w:rsid w:val="00B42896"/>
    <w:rsid w:val="00B42903"/>
    <w:rsid w:val="00B43C71"/>
    <w:rsid w:val="00B44796"/>
    <w:rsid w:val="00B44A90"/>
    <w:rsid w:val="00B457C3"/>
    <w:rsid w:val="00B479D4"/>
    <w:rsid w:val="00B50C0F"/>
    <w:rsid w:val="00B528AB"/>
    <w:rsid w:val="00B53BC0"/>
    <w:rsid w:val="00B57337"/>
    <w:rsid w:val="00B57FFD"/>
    <w:rsid w:val="00B6206A"/>
    <w:rsid w:val="00B63824"/>
    <w:rsid w:val="00B64791"/>
    <w:rsid w:val="00B6753C"/>
    <w:rsid w:val="00B71C86"/>
    <w:rsid w:val="00B7296C"/>
    <w:rsid w:val="00B73506"/>
    <w:rsid w:val="00B75864"/>
    <w:rsid w:val="00B76A4C"/>
    <w:rsid w:val="00B76DC6"/>
    <w:rsid w:val="00B76E50"/>
    <w:rsid w:val="00B77711"/>
    <w:rsid w:val="00B778D7"/>
    <w:rsid w:val="00B83D60"/>
    <w:rsid w:val="00B85417"/>
    <w:rsid w:val="00B8570D"/>
    <w:rsid w:val="00B86C5E"/>
    <w:rsid w:val="00B900A2"/>
    <w:rsid w:val="00B95606"/>
    <w:rsid w:val="00B95A3F"/>
    <w:rsid w:val="00B96A06"/>
    <w:rsid w:val="00B9768D"/>
    <w:rsid w:val="00BA0237"/>
    <w:rsid w:val="00BA0488"/>
    <w:rsid w:val="00BA0818"/>
    <w:rsid w:val="00BA0826"/>
    <w:rsid w:val="00BA0B05"/>
    <w:rsid w:val="00BA6584"/>
    <w:rsid w:val="00BB3F47"/>
    <w:rsid w:val="00BC3C0B"/>
    <w:rsid w:val="00BC4892"/>
    <w:rsid w:val="00BC54AE"/>
    <w:rsid w:val="00BC74BA"/>
    <w:rsid w:val="00BD0D14"/>
    <w:rsid w:val="00BD26D1"/>
    <w:rsid w:val="00BE259E"/>
    <w:rsid w:val="00BE4FFC"/>
    <w:rsid w:val="00BE5159"/>
    <w:rsid w:val="00BF2A42"/>
    <w:rsid w:val="00BF6CDA"/>
    <w:rsid w:val="00BF7E69"/>
    <w:rsid w:val="00C01A6B"/>
    <w:rsid w:val="00C04BA0"/>
    <w:rsid w:val="00C063BF"/>
    <w:rsid w:val="00C10301"/>
    <w:rsid w:val="00C13987"/>
    <w:rsid w:val="00C173CC"/>
    <w:rsid w:val="00C17542"/>
    <w:rsid w:val="00C17E09"/>
    <w:rsid w:val="00C207DB"/>
    <w:rsid w:val="00C34851"/>
    <w:rsid w:val="00C42A55"/>
    <w:rsid w:val="00C47DB5"/>
    <w:rsid w:val="00C564AC"/>
    <w:rsid w:val="00C56DD4"/>
    <w:rsid w:val="00C571EF"/>
    <w:rsid w:val="00C578F4"/>
    <w:rsid w:val="00C57F93"/>
    <w:rsid w:val="00C60DD2"/>
    <w:rsid w:val="00C60EB3"/>
    <w:rsid w:val="00C616C5"/>
    <w:rsid w:val="00C658BD"/>
    <w:rsid w:val="00C660E7"/>
    <w:rsid w:val="00C67BC0"/>
    <w:rsid w:val="00C7176C"/>
    <w:rsid w:val="00C73591"/>
    <w:rsid w:val="00C74B36"/>
    <w:rsid w:val="00C75DE0"/>
    <w:rsid w:val="00C762EF"/>
    <w:rsid w:val="00C770E6"/>
    <w:rsid w:val="00C81185"/>
    <w:rsid w:val="00C84C5B"/>
    <w:rsid w:val="00C857E3"/>
    <w:rsid w:val="00C86E11"/>
    <w:rsid w:val="00C900EC"/>
    <w:rsid w:val="00C90603"/>
    <w:rsid w:val="00C90BE9"/>
    <w:rsid w:val="00C90F65"/>
    <w:rsid w:val="00C91865"/>
    <w:rsid w:val="00C9346F"/>
    <w:rsid w:val="00C93D5C"/>
    <w:rsid w:val="00C9437F"/>
    <w:rsid w:val="00C9512A"/>
    <w:rsid w:val="00C957C8"/>
    <w:rsid w:val="00CA2381"/>
    <w:rsid w:val="00CA3204"/>
    <w:rsid w:val="00CA3BB1"/>
    <w:rsid w:val="00CA3E1B"/>
    <w:rsid w:val="00CA5AA1"/>
    <w:rsid w:val="00CA60F1"/>
    <w:rsid w:val="00CA6338"/>
    <w:rsid w:val="00CA63A9"/>
    <w:rsid w:val="00CA74D9"/>
    <w:rsid w:val="00CA7924"/>
    <w:rsid w:val="00CB0E22"/>
    <w:rsid w:val="00CB30CA"/>
    <w:rsid w:val="00CB50EB"/>
    <w:rsid w:val="00CB5C0F"/>
    <w:rsid w:val="00CB5E41"/>
    <w:rsid w:val="00CB608F"/>
    <w:rsid w:val="00CC5278"/>
    <w:rsid w:val="00CC6143"/>
    <w:rsid w:val="00CC7733"/>
    <w:rsid w:val="00CC7A64"/>
    <w:rsid w:val="00CD026A"/>
    <w:rsid w:val="00CD1C55"/>
    <w:rsid w:val="00CD710E"/>
    <w:rsid w:val="00CE0778"/>
    <w:rsid w:val="00CE32D2"/>
    <w:rsid w:val="00CE52B9"/>
    <w:rsid w:val="00CE7B92"/>
    <w:rsid w:val="00CF0505"/>
    <w:rsid w:val="00CF11B4"/>
    <w:rsid w:val="00CF2617"/>
    <w:rsid w:val="00CF276F"/>
    <w:rsid w:val="00CF7A12"/>
    <w:rsid w:val="00D0029D"/>
    <w:rsid w:val="00D00362"/>
    <w:rsid w:val="00D00A6E"/>
    <w:rsid w:val="00D02526"/>
    <w:rsid w:val="00D03149"/>
    <w:rsid w:val="00D07155"/>
    <w:rsid w:val="00D07884"/>
    <w:rsid w:val="00D11BD1"/>
    <w:rsid w:val="00D12F7F"/>
    <w:rsid w:val="00D229EB"/>
    <w:rsid w:val="00D2485B"/>
    <w:rsid w:val="00D24AF9"/>
    <w:rsid w:val="00D26026"/>
    <w:rsid w:val="00D26D8E"/>
    <w:rsid w:val="00D31437"/>
    <w:rsid w:val="00D31D27"/>
    <w:rsid w:val="00D32CF4"/>
    <w:rsid w:val="00D4481A"/>
    <w:rsid w:val="00D45573"/>
    <w:rsid w:val="00D50322"/>
    <w:rsid w:val="00D5082B"/>
    <w:rsid w:val="00D516C0"/>
    <w:rsid w:val="00D54C19"/>
    <w:rsid w:val="00D5651F"/>
    <w:rsid w:val="00D62C8F"/>
    <w:rsid w:val="00D64181"/>
    <w:rsid w:val="00D6493A"/>
    <w:rsid w:val="00D6624D"/>
    <w:rsid w:val="00D70D34"/>
    <w:rsid w:val="00D7126B"/>
    <w:rsid w:val="00D7182F"/>
    <w:rsid w:val="00D737A3"/>
    <w:rsid w:val="00D77C79"/>
    <w:rsid w:val="00D829F6"/>
    <w:rsid w:val="00D846FF"/>
    <w:rsid w:val="00D84A0B"/>
    <w:rsid w:val="00D875B3"/>
    <w:rsid w:val="00D8779D"/>
    <w:rsid w:val="00D90AAA"/>
    <w:rsid w:val="00D927E8"/>
    <w:rsid w:val="00D93846"/>
    <w:rsid w:val="00D95921"/>
    <w:rsid w:val="00D96425"/>
    <w:rsid w:val="00D96465"/>
    <w:rsid w:val="00D969A5"/>
    <w:rsid w:val="00DA16BF"/>
    <w:rsid w:val="00DA21E2"/>
    <w:rsid w:val="00DA2798"/>
    <w:rsid w:val="00DA62E5"/>
    <w:rsid w:val="00DA68D5"/>
    <w:rsid w:val="00DB1768"/>
    <w:rsid w:val="00DB2C4D"/>
    <w:rsid w:val="00DB2D3F"/>
    <w:rsid w:val="00DB382C"/>
    <w:rsid w:val="00DB4DD7"/>
    <w:rsid w:val="00DB69B0"/>
    <w:rsid w:val="00DC1A57"/>
    <w:rsid w:val="00DC2A53"/>
    <w:rsid w:val="00DC2F96"/>
    <w:rsid w:val="00DC469C"/>
    <w:rsid w:val="00DC6AAC"/>
    <w:rsid w:val="00DD4D33"/>
    <w:rsid w:val="00DE21A7"/>
    <w:rsid w:val="00DE2A81"/>
    <w:rsid w:val="00DE3756"/>
    <w:rsid w:val="00DE472B"/>
    <w:rsid w:val="00DE57FB"/>
    <w:rsid w:val="00DF15F6"/>
    <w:rsid w:val="00DF1D78"/>
    <w:rsid w:val="00DF2BFE"/>
    <w:rsid w:val="00DF2C47"/>
    <w:rsid w:val="00DF4D2F"/>
    <w:rsid w:val="00DF5411"/>
    <w:rsid w:val="00DF6D9D"/>
    <w:rsid w:val="00DF75F7"/>
    <w:rsid w:val="00E0214F"/>
    <w:rsid w:val="00E02ED9"/>
    <w:rsid w:val="00E062CC"/>
    <w:rsid w:val="00E10016"/>
    <w:rsid w:val="00E126B0"/>
    <w:rsid w:val="00E150FB"/>
    <w:rsid w:val="00E158AB"/>
    <w:rsid w:val="00E16580"/>
    <w:rsid w:val="00E178B9"/>
    <w:rsid w:val="00E17A20"/>
    <w:rsid w:val="00E20327"/>
    <w:rsid w:val="00E22032"/>
    <w:rsid w:val="00E22972"/>
    <w:rsid w:val="00E23365"/>
    <w:rsid w:val="00E23E52"/>
    <w:rsid w:val="00E30D28"/>
    <w:rsid w:val="00E319A9"/>
    <w:rsid w:val="00E32838"/>
    <w:rsid w:val="00E367B6"/>
    <w:rsid w:val="00E40760"/>
    <w:rsid w:val="00E4451D"/>
    <w:rsid w:val="00E45D41"/>
    <w:rsid w:val="00E4620E"/>
    <w:rsid w:val="00E506AE"/>
    <w:rsid w:val="00E545A0"/>
    <w:rsid w:val="00E56AC5"/>
    <w:rsid w:val="00E57733"/>
    <w:rsid w:val="00E64705"/>
    <w:rsid w:val="00E659A8"/>
    <w:rsid w:val="00E65E88"/>
    <w:rsid w:val="00E662D2"/>
    <w:rsid w:val="00E6666E"/>
    <w:rsid w:val="00E66D2B"/>
    <w:rsid w:val="00E711E4"/>
    <w:rsid w:val="00E713E7"/>
    <w:rsid w:val="00E72304"/>
    <w:rsid w:val="00E72656"/>
    <w:rsid w:val="00E7301E"/>
    <w:rsid w:val="00E75911"/>
    <w:rsid w:val="00E7592C"/>
    <w:rsid w:val="00E7720F"/>
    <w:rsid w:val="00E7764F"/>
    <w:rsid w:val="00E83326"/>
    <w:rsid w:val="00E84691"/>
    <w:rsid w:val="00E91EA2"/>
    <w:rsid w:val="00E94028"/>
    <w:rsid w:val="00E968DB"/>
    <w:rsid w:val="00EA1D88"/>
    <w:rsid w:val="00EA304E"/>
    <w:rsid w:val="00EA3600"/>
    <w:rsid w:val="00EA4309"/>
    <w:rsid w:val="00EA5AA9"/>
    <w:rsid w:val="00EB2241"/>
    <w:rsid w:val="00EB232B"/>
    <w:rsid w:val="00EB2F5B"/>
    <w:rsid w:val="00EB55CB"/>
    <w:rsid w:val="00EB5C82"/>
    <w:rsid w:val="00EB5E57"/>
    <w:rsid w:val="00EC0DBD"/>
    <w:rsid w:val="00EC3AE7"/>
    <w:rsid w:val="00EC5209"/>
    <w:rsid w:val="00EC7B10"/>
    <w:rsid w:val="00EC7D37"/>
    <w:rsid w:val="00ED2C5D"/>
    <w:rsid w:val="00ED3534"/>
    <w:rsid w:val="00ED535E"/>
    <w:rsid w:val="00ED7535"/>
    <w:rsid w:val="00EE071B"/>
    <w:rsid w:val="00EE13F7"/>
    <w:rsid w:val="00EE17CA"/>
    <w:rsid w:val="00EE34F8"/>
    <w:rsid w:val="00EE3A20"/>
    <w:rsid w:val="00EE59AF"/>
    <w:rsid w:val="00EE6CC7"/>
    <w:rsid w:val="00EF132F"/>
    <w:rsid w:val="00EF1452"/>
    <w:rsid w:val="00EF1890"/>
    <w:rsid w:val="00EF3210"/>
    <w:rsid w:val="00EF40E7"/>
    <w:rsid w:val="00EF52A0"/>
    <w:rsid w:val="00EF75BC"/>
    <w:rsid w:val="00EF7CDE"/>
    <w:rsid w:val="00F00E9F"/>
    <w:rsid w:val="00F071ED"/>
    <w:rsid w:val="00F079AB"/>
    <w:rsid w:val="00F10560"/>
    <w:rsid w:val="00F109EC"/>
    <w:rsid w:val="00F11534"/>
    <w:rsid w:val="00F11E8F"/>
    <w:rsid w:val="00F12858"/>
    <w:rsid w:val="00F14614"/>
    <w:rsid w:val="00F14B1E"/>
    <w:rsid w:val="00F154FB"/>
    <w:rsid w:val="00F17221"/>
    <w:rsid w:val="00F22EF0"/>
    <w:rsid w:val="00F2353D"/>
    <w:rsid w:val="00F24F81"/>
    <w:rsid w:val="00F25F07"/>
    <w:rsid w:val="00F26C96"/>
    <w:rsid w:val="00F32B2E"/>
    <w:rsid w:val="00F337CE"/>
    <w:rsid w:val="00F33D7C"/>
    <w:rsid w:val="00F35201"/>
    <w:rsid w:val="00F36C01"/>
    <w:rsid w:val="00F40012"/>
    <w:rsid w:val="00F40843"/>
    <w:rsid w:val="00F41CCA"/>
    <w:rsid w:val="00F42471"/>
    <w:rsid w:val="00F431D0"/>
    <w:rsid w:val="00F433DD"/>
    <w:rsid w:val="00F44973"/>
    <w:rsid w:val="00F47581"/>
    <w:rsid w:val="00F50D51"/>
    <w:rsid w:val="00F524F5"/>
    <w:rsid w:val="00F534D4"/>
    <w:rsid w:val="00F53E26"/>
    <w:rsid w:val="00F552FD"/>
    <w:rsid w:val="00F57A12"/>
    <w:rsid w:val="00F60936"/>
    <w:rsid w:val="00F634BD"/>
    <w:rsid w:val="00F70D33"/>
    <w:rsid w:val="00F7178A"/>
    <w:rsid w:val="00F720B6"/>
    <w:rsid w:val="00F72F49"/>
    <w:rsid w:val="00F74366"/>
    <w:rsid w:val="00F75D31"/>
    <w:rsid w:val="00F75DCC"/>
    <w:rsid w:val="00F768CB"/>
    <w:rsid w:val="00F7696D"/>
    <w:rsid w:val="00F77E4C"/>
    <w:rsid w:val="00F77F51"/>
    <w:rsid w:val="00F816F9"/>
    <w:rsid w:val="00F827EB"/>
    <w:rsid w:val="00F83045"/>
    <w:rsid w:val="00F85F45"/>
    <w:rsid w:val="00F8651A"/>
    <w:rsid w:val="00F9095A"/>
    <w:rsid w:val="00F9170D"/>
    <w:rsid w:val="00F92ECF"/>
    <w:rsid w:val="00FA1F49"/>
    <w:rsid w:val="00FA3235"/>
    <w:rsid w:val="00FA3537"/>
    <w:rsid w:val="00FA461C"/>
    <w:rsid w:val="00FA4891"/>
    <w:rsid w:val="00FA494A"/>
    <w:rsid w:val="00FA5440"/>
    <w:rsid w:val="00FA6B90"/>
    <w:rsid w:val="00FA7E4F"/>
    <w:rsid w:val="00FB299A"/>
    <w:rsid w:val="00FB42F7"/>
    <w:rsid w:val="00FB4879"/>
    <w:rsid w:val="00FB4A63"/>
    <w:rsid w:val="00FB5829"/>
    <w:rsid w:val="00FB5C71"/>
    <w:rsid w:val="00FB6125"/>
    <w:rsid w:val="00FB6D1B"/>
    <w:rsid w:val="00FB6F0F"/>
    <w:rsid w:val="00FB762E"/>
    <w:rsid w:val="00FC0870"/>
    <w:rsid w:val="00FC2A6D"/>
    <w:rsid w:val="00FC2C9F"/>
    <w:rsid w:val="00FC43E9"/>
    <w:rsid w:val="00FC56C9"/>
    <w:rsid w:val="00FC7511"/>
    <w:rsid w:val="00FD4CB9"/>
    <w:rsid w:val="00FD4D91"/>
    <w:rsid w:val="00FD56E5"/>
    <w:rsid w:val="00FD656D"/>
    <w:rsid w:val="00FD6780"/>
    <w:rsid w:val="00FE003A"/>
    <w:rsid w:val="00FE1C1D"/>
    <w:rsid w:val="00FE23A9"/>
    <w:rsid w:val="00FE23E7"/>
    <w:rsid w:val="00FE45B5"/>
    <w:rsid w:val="00FE4FDD"/>
    <w:rsid w:val="00FE61CD"/>
    <w:rsid w:val="00FE6CDD"/>
    <w:rsid w:val="00FE787D"/>
    <w:rsid w:val="00FE7BA8"/>
    <w:rsid w:val="00FE7BBB"/>
    <w:rsid w:val="00FF161E"/>
    <w:rsid w:val="00FF236F"/>
    <w:rsid w:val="00FF441C"/>
    <w:rsid w:val="00FF71F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B8"/>
    <w:rPr>
      <w:sz w:val="24"/>
      <w:szCs w:val="24"/>
    </w:rPr>
  </w:style>
  <w:style w:type="paragraph" w:styleId="1">
    <w:name w:val="heading 1"/>
    <w:basedOn w:val="a"/>
    <w:next w:val="a"/>
    <w:link w:val="1Char"/>
    <w:uiPriority w:val="99"/>
    <w:qFormat/>
    <w:rsid w:val="000E59D5"/>
    <w:pPr>
      <w:keepNext/>
      <w:spacing w:before="240" w:after="60"/>
      <w:outlineLvl w:val="0"/>
    </w:pPr>
    <w:rPr>
      <w:rFonts w:ascii="Cambria" w:hAnsi="Cambria"/>
      <w:b/>
      <w:kern w:val="32"/>
      <w:sz w:val="32"/>
      <w:szCs w:val="20"/>
    </w:rPr>
  </w:style>
  <w:style w:type="paragraph" w:styleId="3">
    <w:name w:val="heading 3"/>
    <w:basedOn w:val="a"/>
    <w:next w:val="a"/>
    <w:link w:val="3Char"/>
    <w:uiPriority w:val="99"/>
    <w:qFormat/>
    <w:rsid w:val="005066B5"/>
    <w:pPr>
      <w:keepNext/>
      <w:spacing w:before="240" w:after="60"/>
      <w:outlineLvl w:val="2"/>
    </w:pPr>
    <w:rPr>
      <w:rFonts w:ascii="Cambria" w:hAnsi="Cambria"/>
      <w:b/>
      <w:sz w:val="26"/>
      <w:szCs w:val="20"/>
    </w:rPr>
  </w:style>
  <w:style w:type="paragraph" w:styleId="4">
    <w:name w:val="heading 4"/>
    <w:basedOn w:val="a"/>
    <w:link w:val="4Char"/>
    <w:uiPriority w:val="99"/>
    <w:qFormat/>
    <w:rsid w:val="008E0E63"/>
    <w:pPr>
      <w:spacing w:before="100" w:beforeAutospacing="1" w:after="100" w:afterAutospacing="1"/>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32A15"/>
    <w:rPr>
      <w:rFonts w:ascii="Cambria" w:hAnsi="Cambria"/>
      <w:b/>
      <w:kern w:val="32"/>
      <w:sz w:val="32"/>
    </w:rPr>
  </w:style>
  <w:style w:type="character" w:customStyle="1" w:styleId="3Char">
    <w:name w:val="标题 3 Char"/>
    <w:link w:val="3"/>
    <w:uiPriority w:val="99"/>
    <w:semiHidden/>
    <w:locked/>
    <w:rsid w:val="00332A15"/>
    <w:rPr>
      <w:rFonts w:ascii="Cambria" w:hAnsi="Cambria"/>
      <w:b/>
      <w:sz w:val="26"/>
    </w:rPr>
  </w:style>
  <w:style w:type="character" w:customStyle="1" w:styleId="4Char">
    <w:name w:val="标题 4 Char"/>
    <w:link w:val="4"/>
    <w:uiPriority w:val="99"/>
    <w:semiHidden/>
    <w:locked/>
    <w:rsid w:val="00332A15"/>
    <w:rPr>
      <w:rFonts w:ascii="Calibri" w:hAnsi="Calibri"/>
      <w:b/>
      <w:sz w:val="28"/>
    </w:rPr>
  </w:style>
  <w:style w:type="paragraph" w:styleId="a3">
    <w:name w:val="Normal (Web)"/>
    <w:basedOn w:val="a"/>
    <w:uiPriority w:val="99"/>
    <w:rsid w:val="007F7AB2"/>
    <w:pPr>
      <w:spacing w:before="100" w:beforeAutospacing="1" w:after="100" w:afterAutospacing="1"/>
    </w:pPr>
  </w:style>
  <w:style w:type="character" w:styleId="a4">
    <w:name w:val="Strong"/>
    <w:uiPriority w:val="99"/>
    <w:qFormat/>
    <w:rsid w:val="007F7AB2"/>
    <w:rPr>
      <w:rFonts w:cs="Times New Roman"/>
      <w:b/>
    </w:rPr>
  </w:style>
  <w:style w:type="character" w:customStyle="1" w:styleId="apple-converted-space">
    <w:name w:val="apple-converted-space"/>
    <w:uiPriority w:val="99"/>
    <w:rsid w:val="007F7AB2"/>
  </w:style>
  <w:style w:type="character" w:styleId="a5">
    <w:name w:val="Hyperlink"/>
    <w:uiPriority w:val="99"/>
    <w:rsid w:val="007F7AB2"/>
    <w:rPr>
      <w:rFonts w:cs="Times New Roman"/>
      <w:color w:val="0000FF"/>
      <w:u w:val="single"/>
    </w:rPr>
  </w:style>
  <w:style w:type="character" w:styleId="a6">
    <w:name w:val="Emphasis"/>
    <w:uiPriority w:val="99"/>
    <w:qFormat/>
    <w:rsid w:val="00E0214F"/>
    <w:rPr>
      <w:rFonts w:cs="Times New Roman"/>
      <w:i/>
    </w:rPr>
  </w:style>
  <w:style w:type="paragraph" w:styleId="a7">
    <w:name w:val="footer"/>
    <w:basedOn w:val="a"/>
    <w:link w:val="Char"/>
    <w:uiPriority w:val="99"/>
    <w:rsid w:val="00287FA2"/>
    <w:pPr>
      <w:tabs>
        <w:tab w:val="center" w:pos="4819"/>
        <w:tab w:val="right" w:pos="9638"/>
      </w:tabs>
    </w:pPr>
    <w:rPr>
      <w:szCs w:val="20"/>
    </w:rPr>
  </w:style>
  <w:style w:type="character" w:customStyle="1" w:styleId="Char">
    <w:name w:val="页脚 Char"/>
    <w:link w:val="a7"/>
    <w:uiPriority w:val="99"/>
    <w:semiHidden/>
    <w:locked/>
    <w:rsid w:val="00332A15"/>
    <w:rPr>
      <w:sz w:val="24"/>
    </w:rPr>
  </w:style>
  <w:style w:type="character" w:styleId="a8">
    <w:name w:val="page number"/>
    <w:uiPriority w:val="99"/>
    <w:rsid w:val="00287FA2"/>
    <w:rPr>
      <w:rFonts w:cs="Times New Roman"/>
    </w:rPr>
  </w:style>
  <w:style w:type="character" w:customStyle="1" w:styleId="highlight">
    <w:name w:val="highlight"/>
    <w:uiPriority w:val="99"/>
    <w:rsid w:val="0019127E"/>
  </w:style>
  <w:style w:type="paragraph" w:styleId="a9">
    <w:name w:val="Balloon Text"/>
    <w:basedOn w:val="a"/>
    <w:link w:val="Char0"/>
    <w:uiPriority w:val="99"/>
    <w:rsid w:val="00F77F51"/>
    <w:rPr>
      <w:rFonts w:ascii="Tahoma" w:hAnsi="Tahoma"/>
      <w:sz w:val="16"/>
      <w:szCs w:val="20"/>
    </w:rPr>
  </w:style>
  <w:style w:type="character" w:customStyle="1" w:styleId="Char0">
    <w:name w:val="批注框文本 Char"/>
    <w:link w:val="a9"/>
    <w:uiPriority w:val="99"/>
    <w:locked/>
    <w:rsid w:val="00F77F51"/>
    <w:rPr>
      <w:rFonts w:ascii="Tahoma" w:hAnsi="Tahoma"/>
      <w:sz w:val="16"/>
    </w:rPr>
  </w:style>
  <w:style w:type="character" w:styleId="aa">
    <w:name w:val="annotation reference"/>
    <w:uiPriority w:val="99"/>
    <w:rsid w:val="00D12F7F"/>
    <w:rPr>
      <w:rFonts w:cs="Times New Roman"/>
      <w:sz w:val="16"/>
    </w:rPr>
  </w:style>
  <w:style w:type="paragraph" w:styleId="ab">
    <w:name w:val="annotation text"/>
    <w:basedOn w:val="a"/>
    <w:link w:val="Char1"/>
    <w:uiPriority w:val="99"/>
    <w:rsid w:val="00D12F7F"/>
    <w:rPr>
      <w:sz w:val="20"/>
      <w:szCs w:val="20"/>
    </w:rPr>
  </w:style>
  <w:style w:type="character" w:customStyle="1" w:styleId="Char1">
    <w:name w:val="批注文字 Char"/>
    <w:basedOn w:val="a0"/>
    <w:link w:val="ab"/>
    <w:uiPriority w:val="99"/>
    <w:locked/>
    <w:rsid w:val="00D12F7F"/>
  </w:style>
  <w:style w:type="paragraph" w:styleId="ac">
    <w:name w:val="annotation subject"/>
    <w:basedOn w:val="ab"/>
    <w:next w:val="ab"/>
    <w:link w:val="Char2"/>
    <w:uiPriority w:val="99"/>
    <w:rsid w:val="00D12F7F"/>
    <w:rPr>
      <w:b/>
    </w:rPr>
  </w:style>
  <w:style w:type="character" w:customStyle="1" w:styleId="Char2">
    <w:name w:val="批注主题 Char"/>
    <w:link w:val="ac"/>
    <w:uiPriority w:val="99"/>
    <w:locked/>
    <w:rsid w:val="00D12F7F"/>
    <w:rPr>
      <w:b/>
    </w:rPr>
  </w:style>
  <w:style w:type="character" w:customStyle="1" w:styleId="cit-name-surname">
    <w:name w:val="cit-name-surname"/>
    <w:uiPriority w:val="99"/>
    <w:rsid w:val="008D4E4F"/>
  </w:style>
  <w:style w:type="table" w:styleId="ad">
    <w:name w:val="Light Shading"/>
    <w:basedOn w:val="a1"/>
    <w:uiPriority w:val="99"/>
    <w:rsid w:val="000A25C9"/>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cit-name-given-names">
    <w:name w:val="cit-name-given-names"/>
    <w:uiPriority w:val="99"/>
    <w:rsid w:val="00A33CF6"/>
  </w:style>
  <w:style w:type="character" w:styleId="HTML">
    <w:name w:val="HTML Cite"/>
    <w:uiPriority w:val="99"/>
    <w:rsid w:val="00A33CF6"/>
    <w:rPr>
      <w:rFonts w:cs="Times New Roman"/>
      <w:i/>
    </w:rPr>
  </w:style>
  <w:style w:type="character" w:customStyle="1" w:styleId="cit-pub-date">
    <w:name w:val="cit-pub-date"/>
    <w:uiPriority w:val="99"/>
    <w:rsid w:val="00A33CF6"/>
  </w:style>
  <w:style w:type="character" w:customStyle="1" w:styleId="cit-article-title">
    <w:name w:val="cit-article-title"/>
    <w:uiPriority w:val="99"/>
    <w:rsid w:val="00A33CF6"/>
  </w:style>
  <w:style w:type="character" w:customStyle="1" w:styleId="cit-vol">
    <w:name w:val="cit-vol"/>
    <w:uiPriority w:val="99"/>
    <w:rsid w:val="00A33CF6"/>
  </w:style>
  <w:style w:type="character" w:customStyle="1" w:styleId="cit-fpage">
    <w:name w:val="cit-fpage"/>
    <w:uiPriority w:val="99"/>
    <w:rsid w:val="00A33CF6"/>
  </w:style>
  <w:style w:type="character" w:customStyle="1" w:styleId="cit-lpage">
    <w:name w:val="cit-lpage"/>
    <w:uiPriority w:val="99"/>
    <w:rsid w:val="00A33CF6"/>
  </w:style>
  <w:style w:type="paragraph" w:customStyle="1" w:styleId="Titolo1">
    <w:name w:val="Titolo1"/>
    <w:basedOn w:val="a"/>
    <w:uiPriority w:val="99"/>
    <w:rsid w:val="00A33CF6"/>
    <w:pPr>
      <w:spacing w:before="100" w:beforeAutospacing="1" w:after="100" w:afterAutospacing="1"/>
    </w:pPr>
  </w:style>
  <w:style w:type="paragraph" w:styleId="ae">
    <w:name w:val="List Paragraph"/>
    <w:basedOn w:val="a"/>
    <w:uiPriority w:val="99"/>
    <w:qFormat/>
    <w:rsid w:val="00A33CF6"/>
    <w:pPr>
      <w:ind w:left="708"/>
    </w:pPr>
  </w:style>
  <w:style w:type="character" w:customStyle="1" w:styleId="slug-doi">
    <w:name w:val="slug-doi"/>
    <w:uiPriority w:val="99"/>
    <w:rsid w:val="00420620"/>
  </w:style>
  <w:style w:type="paragraph" w:styleId="af">
    <w:name w:val="header"/>
    <w:basedOn w:val="a"/>
    <w:link w:val="Char3"/>
    <w:uiPriority w:val="99"/>
    <w:rsid w:val="00D969A5"/>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f"/>
    <w:uiPriority w:val="99"/>
    <w:locked/>
    <w:rsid w:val="00D969A5"/>
    <w:rPr>
      <w:sz w:val="18"/>
    </w:rPr>
  </w:style>
  <w:style w:type="paragraph" w:styleId="af0">
    <w:name w:val="Revision"/>
    <w:hidden/>
    <w:uiPriority w:val="99"/>
    <w:semiHidden/>
    <w:rsid w:val="00570B44"/>
    <w:rPr>
      <w:sz w:val="24"/>
      <w:szCs w:val="24"/>
    </w:rPr>
  </w:style>
  <w:style w:type="character" w:styleId="af1">
    <w:name w:val="line number"/>
    <w:uiPriority w:val="99"/>
    <w:rsid w:val="00AA3B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B8"/>
    <w:rPr>
      <w:sz w:val="24"/>
      <w:szCs w:val="24"/>
    </w:rPr>
  </w:style>
  <w:style w:type="paragraph" w:styleId="1">
    <w:name w:val="heading 1"/>
    <w:basedOn w:val="a"/>
    <w:next w:val="a"/>
    <w:link w:val="1Char"/>
    <w:uiPriority w:val="99"/>
    <w:qFormat/>
    <w:rsid w:val="000E59D5"/>
    <w:pPr>
      <w:keepNext/>
      <w:spacing w:before="240" w:after="60"/>
      <w:outlineLvl w:val="0"/>
    </w:pPr>
    <w:rPr>
      <w:rFonts w:ascii="Cambria" w:hAnsi="Cambria"/>
      <w:b/>
      <w:kern w:val="32"/>
      <w:sz w:val="32"/>
      <w:szCs w:val="20"/>
    </w:rPr>
  </w:style>
  <w:style w:type="paragraph" w:styleId="3">
    <w:name w:val="heading 3"/>
    <w:basedOn w:val="a"/>
    <w:next w:val="a"/>
    <w:link w:val="3Char"/>
    <w:uiPriority w:val="99"/>
    <w:qFormat/>
    <w:rsid w:val="005066B5"/>
    <w:pPr>
      <w:keepNext/>
      <w:spacing w:before="240" w:after="60"/>
      <w:outlineLvl w:val="2"/>
    </w:pPr>
    <w:rPr>
      <w:rFonts w:ascii="Cambria" w:hAnsi="Cambria"/>
      <w:b/>
      <w:sz w:val="26"/>
      <w:szCs w:val="20"/>
    </w:rPr>
  </w:style>
  <w:style w:type="paragraph" w:styleId="4">
    <w:name w:val="heading 4"/>
    <w:basedOn w:val="a"/>
    <w:link w:val="4Char"/>
    <w:uiPriority w:val="99"/>
    <w:qFormat/>
    <w:rsid w:val="008E0E63"/>
    <w:pPr>
      <w:spacing w:before="100" w:beforeAutospacing="1" w:after="100" w:afterAutospacing="1"/>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32A15"/>
    <w:rPr>
      <w:rFonts w:ascii="Cambria" w:hAnsi="Cambria"/>
      <w:b/>
      <w:kern w:val="32"/>
      <w:sz w:val="32"/>
    </w:rPr>
  </w:style>
  <w:style w:type="character" w:customStyle="1" w:styleId="3Char">
    <w:name w:val="标题 3 Char"/>
    <w:link w:val="3"/>
    <w:uiPriority w:val="99"/>
    <w:semiHidden/>
    <w:locked/>
    <w:rsid w:val="00332A15"/>
    <w:rPr>
      <w:rFonts w:ascii="Cambria" w:hAnsi="Cambria"/>
      <w:b/>
      <w:sz w:val="26"/>
    </w:rPr>
  </w:style>
  <w:style w:type="character" w:customStyle="1" w:styleId="4Char">
    <w:name w:val="标题 4 Char"/>
    <w:link w:val="4"/>
    <w:uiPriority w:val="99"/>
    <w:semiHidden/>
    <w:locked/>
    <w:rsid w:val="00332A15"/>
    <w:rPr>
      <w:rFonts w:ascii="Calibri" w:hAnsi="Calibri"/>
      <w:b/>
      <w:sz w:val="28"/>
    </w:rPr>
  </w:style>
  <w:style w:type="paragraph" w:styleId="a3">
    <w:name w:val="Normal (Web)"/>
    <w:basedOn w:val="a"/>
    <w:uiPriority w:val="99"/>
    <w:rsid w:val="007F7AB2"/>
    <w:pPr>
      <w:spacing w:before="100" w:beforeAutospacing="1" w:after="100" w:afterAutospacing="1"/>
    </w:pPr>
  </w:style>
  <w:style w:type="character" w:styleId="a4">
    <w:name w:val="Strong"/>
    <w:uiPriority w:val="99"/>
    <w:qFormat/>
    <w:rsid w:val="007F7AB2"/>
    <w:rPr>
      <w:rFonts w:cs="Times New Roman"/>
      <w:b/>
    </w:rPr>
  </w:style>
  <w:style w:type="character" w:customStyle="1" w:styleId="apple-converted-space">
    <w:name w:val="apple-converted-space"/>
    <w:uiPriority w:val="99"/>
    <w:rsid w:val="007F7AB2"/>
  </w:style>
  <w:style w:type="character" w:styleId="a5">
    <w:name w:val="Hyperlink"/>
    <w:uiPriority w:val="99"/>
    <w:rsid w:val="007F7AB2"/>
    <w:rPr>
      <w:rFonts w:cs="Times New Roman"/>
      <w:color w:val="0000FF"/>
      <w:u w:val="single"/>
    </w:rPr>
  </w:style>
  <w:style w:type="character" w:styleId="a6">
    <w:name w:val="Emphasis"/>
    <w:uiPriority w:val="99"/>
    <w:qFormat/>
    <w:rsid w:val="00E0214F"/>
    <w:rPr>
      <w:rFonts w:cs="Times New Roman"/>
      <w:i/>
    </w:rPr>
  </w:style>
  <w:style w:type="paragraph" w:styleId="a7">
    <w:name w:val="footer"/>
    <w:basedOn w:val="a"/>
    <w:link w:val="Char"/>
    <w:uiPriority w:val="99"/>
    <w:rsid w:val="00287FA2"/>
    <w:pPr>
      <w:tabs>
        <w:tab w:val="center" w:pos="4819"/>
        <w:tab w:val="right" w:pos="9638"/>
      </w:tabs>
    </w:pPr>
    <w:rPr>
      <w:szCs w:val="20"/>
    </w:rPr>
  </w:style>
  <w:style w:type="character" w:customStyle="1" w:styleId="Char">
    <w:name w:val="页脚 Char"/>
    <w:link w:val="a7"/>
    <w:uiPriority w:val="99"/>
    <w:semiHidden/>
    <w:locked/>
    <w:rsid w:val="00332A15"/>
    <w:rPr>
      <w:sz w:val="24"/>
    </w:rPr>
  </w:style>
  <w:style w:type="character" w:styleId="a8">
    <w:name w:val="page number"/>
    <w:uiPriority w:val="99"/>
    <w:rsid w:val="00287FA2"/>
    <w:rPr>
      <w:rFonts w:cs="Times New Roman"/>
    </w:rPr>
  </w:style>
  <w:style w:type="character" w:customStyle="1" w:styleId="highlight">
    <w:name w:val="highlight"/>
    <w:uiPriority w:val="99"/>
    <w:rsid w:val="0019127E"/>
  </w:style>
  <w:style w:type="paragraph" w:styleId="a9">
    <w:name w:val="Balloon Text"/>
    <w:basedOn w:val="a"/>
    <w:link w:val="Char0"/>
    <w:uiPriority w:val="99"/>
    <w:rsid w:val="00F77F51"/>
    <w:rPr>
      <w:rFonts w:ascii="Tahoma" w:hAnsi="Tahoma"/>
      <w:sz w:val="16"/>
      <w:szCs w:val="20"/>
    </w:rPr>
  </w:style>
  <w:style w:type="character" w:customStyle="1" w:styleId="Char0">
    <w:name w:val="批注框文本 Char"/>
    <w:link w:val="a9"/>
    <w:uiPriority w:val="99"/>
    <w:locked/>
    <w:rsid w:val="00F77F51"/>
    <w:rPr>
      <w:rFonts w:ascii="Tahoma" w:hAnsi="Tahoma"/>
      <w:sz w:val="16"/>
    </w:rPr>
  </w:style>
  <w:style w:type="character" w:styleId="aa">
    <w:name w:val="annotation reference"/>
    <w:uiPriority w:val="99"/>
    <w:rsid w:val="00D12F7F"/>
    <w:rPr>
      <w:rFonts w:cs="Times New Roman"/>
      <w:sz w:val="16"/>
    </w:rPr>
  </w:style>
  <w:style w:type="paragraph" w:styleId="ab">
    <w:name w:val="annotation text"/>
    <w:basedOn w:val="a"/>
    <w:link w:val="Char1"/>
    <w:uiPriority w:val="99"/>
    <w:rsid w:val="00D12F7F"/>
    <w:rPr>
      <w:sz w:val="20"/>
      <w:szCs w:val="20"/>
    </w:rPr>
  </w:style>
  <w:style w:type="character" w:customStyle="1" w:styleId="Char1">
    <w:name w:val="批注文字 Char"/>
    <w:basedOn w:val="a0"/>
    <w:link w:val="ab"/>
    <w:uiPriority w:val="99"/>
    <w:locked/>
    <w:rsid w:val="00D12F7F"/>
  </w:style>
  <w:style w:type="paragraph" w:styleId="ac">
    <w:name w:val="annotation subject"/>
    <w:basedOn w:val="ab"/>
    <w:next w:val="ab"/>
    <w:link w:val="Char2"/>
    <w:uiPriority w:val="99"/>
    <w:rsid w:val="00D12F7F"/>
    <w:rPr>
      <w:b/>
    </w:rPr>
  </w:style>
  <w:style w:type="character" w:customStyle="1" w:styleId="Char2">
    <w:name w:val="批注主题 Char"/>
    <w:link w:val="ac"/>
    <w:uiPriority w:val="99"/>
    <w:locked/>
    <w:rsid w:val="00D12F7F"/>
    <w:rPr>
      <w:b/>
    </w:rPr>
  </w:style>
  <w:style w:type="character" w:customStyle="1" w:styleId="cit-name-surname">
    <w:name w:val="cit-name-surname"/>
    <w:uiPriority w:val="99"/>
    <w:rsid w:val="008D4E4F"/>
  </w:style>
  <w:style w:type="table" w:styleId="ad">
    <w:name w:val="Light Shading"/>
    <w:basedOn w:val="a1"/>
    <w:uiPriority w:val="99"/>
    <w:rsid w:val="000A25C9"/>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cit-name-given-names">
    <w:name w:val="cit-name-given-names"/>
    <w:uiPriority w:val="99"/>
    <w:rsid w:val="00A33CF6"/>
  </w:style>
  <w:style w:type="character" w:styleId="HTML">
    <w:name w:val="HTML Cite"/>
    <w:uiPriority w:val="99"/>
    <w:rsid w:val="00A33CF6"/>
    <w:rPr>
      <w:rFonts w:cs="Times New Roman"/>
      <w:i/>
    </w:rPr>
  </w:style>
  <w:style w:type="character" w:customStyle="1" w:styleId="cit-pub-date">
    <w:name w:val="cit-pub-date"/>
    <w:uiPriority w:val="99"/>
    <w:rsid w:val="00A33CF6"/>
  </w:style>
  <w:style w:type="character" w:customStyle="1" w:styleId="cit-article-title">
    <w:name w:val="cit-article-title"/>
    <w:uiPriority w:val="99"/>
    <w:rsid w:val="00A33CF6"/>
  </w:style>
  <w:style w:type="character" w:customStyle="1" w:styleId="cit-vol">
    <w:name w:val="cit-vol"/>
    <w:uiPriority w:val="99"/>
    <w:rsid w:val="00A33CF6"/>
  </w:style>
  <w:style w:type="character" w:customStyle="1" w:styleId="cit-fpage">
    <w:name w:val="cit-fpage"/>
    <w:uiPriority w:val="99"/>
    <w:rsid w:val="00A33CF6"/>
  </w:style>
  <w:style w:type="character" w:customStyle="1" w:styleId="cit-lpage">
    <w:name w:val="cit-lpage"/>
    <w:uiPriority w:val="99"/>
    <w:rsid w:val="00A33CF6"/>
  </w:style>
  <w:style w:type="paragraph" w:customStyle="1" w:styleId="Titolo1">
    <w:name w:val="Titolo1"/>
    <w:basedOn w:val="a"/>
    <w:uiPriority w:val="99"/>
    <w:rsid w:val="00A33CF6"/>
    <w:pPr>
      <w:spacing w:before="100" w:beforeAutospacing="1" w:after="100" w:afterAutospacing="1"/>
    </w:pPr>
  </w:style>
  <w:style w:type="paragraph" w:styleId="ae">
    <w:name w:val="List Paragraph"/>
    <w:basedOn w:val="a"/>
    <w:uiPriority w:val="99"/>
    <w:qFormat/>
    <w:rsid w:val="00A33CF6"/>
    <w:pPr>
      <w:ind w:left="708"/>
    </w:pPr>
  </w:style>
  <w:style w:type="character" w:customStyle="1" w:styleId="slug-doi">
    <w:name w:val="slug-doi"/>
    <w:uiPriority w:val="99"/>
    <w:rsid w:val="00420620"/>
  </w:style>
  <w:style w:type="paragraph" w:styleId="af">
    <w:name w:val="header"/>
    <w:basedOn w:val="a"/>
    <w:link w:val="Char3"/>
    <w:uiPriority w:val="99"/>
    <w:rsid w:val="00D969A5"/>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f"/>
    <w:uiPriority w:val="99"/>
    <w:locked/>
    <w:rsid w:val="00D969A5"/>
    <w:rPr>
      <w:sz w:val="18"/>
    </w:rPr>
  </w:style>
  <w:style w:type="paragraph" w:styleId="af0">
    <w:name w:val="Revision"/>
    <w:hidden/>
    <w:uiPriority w:val="99"/>
    <w:semiHidden/>
    <w:rsid w:val="00570B44"/>
    <w:rPr>
      <w:sz w:val="24"/>
      <w:szCs w:val="24"/>
    </w:rPr>
  </w:style>
  <w:style w:type="character" w:styleId="af1">
    <w:name w:val="line number"/>
    <w:uiPriority w:val="99"/>
    <w:rsid w:val="00AA3B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547">
      <w:marLeft w:val="0"/>
      <w:marRight w:val="0"/>
      <w:marTop w:val="0"/>
      <w:marBottom w:val="0"/>
      <w:divBdr>
        <w:top w:val="none" w:sz="0" w:space="0" w:color="auto"/>
        <w:left w:val="none" w:sz="0" w:space="0" w:color="auto"/>
        <w:bottom w:val="none" w:sz="0" w:space="0" w:color="auto"/>
        <w:right w:val="none" w:sz="0" w:space="0" w:color="auto"/>
      </w:divBdr>
      <w:divsChild>
        <w:div w:id="52124552">
          <w:marLeft w:val="0"/>
          <w:marRight w:val="0"/>
          <w:marTop w:val="0"/>
          <w:marBottom w:val="150"/>
          <w:divBdr>
            <w:top w:val="none" w:sz="0" w:space="0" w:color="auto"/>
            <w:left w:val="none" w:sz="0" w:space="0" w:color="auto"/>
            <w:bottom w:val="none" w:sz="0" w:space="0" w:color="auto"/>
            <w:right w:val="none" w:sz="0" w:space="0" w:color="auto"/>
          </w:divBdr>
        </w:div>
        <w:div w:id="52124560">
          <w:marLeft w:val="0"/>
          <w:marRight w:val="0"/>
          <w:marTop w:val="0"/>
          <w:marBottom w:val="150"/>
          <w:divBdr>
            <w:top w:val="none" w:sz="0" w:space="0" w:color="auto"/>
            <w:left w:val="none" w:sz="0" w:space="0" w:color="auto"/>
            <w:bottom w:val="none" w:sz="0" w:space="0" w:color="auto"/>
            <w:right w:val="none" w:sz="0" w:space="0" w:color="auto"/>
          </w:divBdr>
          <w:divsChild>
            <w:div w:id="52124548">
              <w:marLeft w:val="0"/>
              <w:marRight w:val="0"/>
              <w:marTop w:val="0"/>
              <w:marBottom w:val="0"/>
              <w:divBdr>
                <w:top w:val="none" w:sz="0" w:space="0" w:color="auto"/>
                <w:left w:val="none" w:sz="0" w:space="0" w:color="auto"/>
                <w:bottom w:val="none" w:sz="0" w:space="0" w:color="auto"/>
                <w:right w:val="none" w:sz="0" w:space="0" w:color="auto"/>
              </w:divBdr>
            </w:div>
          </w:divsChild>
        </w:div>
        <w:div w:id="52124566">
          <w:marLeft w:val="0"/>
          <w:marRight w:val="0"/>
          <w:marTop w:val="105"/>
          <w:marBottom w:val="150"/>
          <w:divBdr>
            <w:top w:val="none" w:sz="0" w:space="0" w:color="auto"/>
            <w:left w:val="none" w:sz="0" w:space="0" w:color="auto"/>
            <w:bottom w:val="none" w:sz="0" w:space="0" w:color="auto"/>
            <w:right w:val="none" w:sz="0" w:space="0" w:color="auto"/>
          </w:divBdr>
          <w:divsChild>
            <w:div w:id="52124559">
              <w:marLeft w:val="0"/>
              <w:marRight w:val="0"/>
              <w:marTop w:val="0"/>
              <w:marBottom w:val="0"/>
              <w:divBdr>
                <w:top w:val="none" w:sz="0" w:space="0" w:color="auto"/>
                <w:left w:val="none" w:sz="0" w:space="0" w:color="auto"/>
                <w:bottom w:val="none" w:sz="0" w:space="0" w:color="auto"/>
                <w:right w:val="none" w:sz="0" w:space="0" w:color="auto"/>
              </w:divBdr>
              <w:divsChild>
                <w:div w:id="521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4570">
          <w:marLeft w:val="0"/>
          <w:marRight w:val="0"/>
          <w:marTop w:val="0"/>
          <w:marBottom w:val="0"/>
          <w:divBdr>
            <w:top w:val="none" w:sz="0" w:space="0" w:color="auto"/>
            <w:left w:val="none" w:sz="0" w:space="0" w:color="auto"/>
            <w:bottom w:val="none" w:sz="0" w:space="0" w:color="auto"/>
            <w:right w:val="none" w:sz="0" w:space="0" w:color="auto"/>
          </w:divBdr>
        </w:div>
      </w:divsChild>
    </w:div>
    <w:div w:id="52124550">
      <w:marLeft w:val="0"/>
      <w:marRight w:val="0"/>
      <w:marTop w:val="0"/>
      <w:marBottom w:val="0"/>
      <w:divBdr>
        <w:top w:val="none" w:sz="0" w:space="0" w:color="auto"/>
        <w:left w:val="none" w:sz="0" w:space="0" w:color="auto"/>
        <w:bottom w:val="none" w:sz="0" w:space="0" w:color="auto"/>
        <w:right w:val="none" w:sz="0" w:space="0" w:color="auto"/>
      </w:divBdr>
    </w:div>
    <w:div w:id="52124553">
      <w:marLeft w:val="0"/>
      <w:marRight w:val="0"/>
      <w:marTop w:val="0"/>
      <w:marBottom w:val="0"/>
      <w:divBdr>
        <w:top w:val="none" w:sz="0" w:space="0" w:color="auto"/>
        <w:left w:val="none" w:sz="0" w:space="0" w:color="auto"/>
        <w:bottom w:val="none" w:sz="0" w:space="0" w:color="auto"/>
        <w:right w:val="none" w:sz="0" w:space="0" w:color="auto"/>
      </w:divBdr>
    </w:div>
    <w:div w:id="52124554">
      <w:marLeft w:val="0"/>
      <w:marRight w:val="0"/>
      <w:marTop w:val="0"/>
      <w:marBottom w:val="0"/>
      <w:divBdr>
        <w:top w:val="none" w:sz="0" w:space="0" w:color="auto"/>
        <w:left w:val="none" w:sz="0" w:space="0" w:color="auto"/>
        <w:bottom w:val="none" w:sz="0" w:space="0" w:color="auto"/>
        <w:right w:val="none" w:sz="0" w:space="0" w:color="auto"/>
      </w:divBdr>
      <w:divsChild>
        <w:div w:id="52124549">
          <w:marLeft w:val="0"/>
          <w:marRight w:val="0"/>
          <w:marTop w:val="0"/>
          <w:marBottom w:val="150"/>
          <w:divBdr>
            <w:top w:val="none" w:sz="0" w:space="0" w:color="auto"/>
            <w:left w:val="none" w:sz="0" w:space="0" w:color="auto"/>
            <w:bottom w:val="none" w:sz="0" w:space="0" w:color="auto"/>
            <w:right w:val="none" w:sz="0" w:space="0" w:color="auto"/>
          </w:divBdr>
          <w:divsChild>
            <w:div w:id="52124551">
              <w:marLeft w:val="0"/>
              <w:marRight w:val="0"/>
              <w:marTop w:val="0"/>
              <w:marBottom w:val="0"/>
              <w:divBdr>
                <w:top w:val="none" w:sz="0" w:space="0" w:color="auto"/>
                <w:left w:val="none" w:sz="0" w:space="0" w:color="auto"/>
                <w:bottom w:val="none" w:sz="0" w:space="0" w:color="auto"/>
                <w:right w:val="none" w:sz="0" w:space="0" w:color="auto"/>
              </w:divBdr>
            </w:div>
          </w:divsChild>
        </w:div>
        <w:div w:id="52124561">
          <w:marLeft w:val="0"/>
          <w:marRight w:val="0"/>
          <w:marTop w:val="0"/>
          <w:marBottom w:val="0"/>
          <w:divBdr>
            <w:top w:val="none" w:sz="0" w:space="0" w:color="auto"/>
            <w:left w:val="none" w:sz="0" w:space="0" w:color="auto"/>
            <w:bottom w:val="none" w:sz="0" w:space="0" w:color="auto"/>
            <w:right w:val="none" w:sz="0" w:space="0" w:color="auto"/>
          </w:divBdr>
        </w:div>
        <w:div w:id="52124569">
          <w:marLeft w:val="0"/>
          <w:marRight w:val="0"/>
          <w:marTop w:val="105"/>
          <w:marBottom w:val="150"/>
          <w:divBdr>
            <w:top w:val="none" w:sz="0" w:space="0" w:color="auto"/>
            <w:left w:val="none" w:sz="0" w:space="0" w:color="auto"/>
            <w:bottom w:val="none" w:sz="0" w:space="0" w:color="auto"/>
            <w:right w:val="none" w:sz="0" w:space="0" w:color="auto"/>
          </w:divBdr>
          <w:divsChild>
            <w:div w:id="52124555">
              <w:marLeft w:val="0"/>
              <w:marRight w:val="0"/>
              <w:marTop w:val="0"/>
              <w:marBottom w:val="0"/>
              <w:divBdr>
                <w:top w:val="none" w:sz="0" w:space="0" w:color="auto"/>
                <w:left w:val="none" w:sz="0" w:space="0" w:color="auto"/>
                <w:bottom w:val="none" w:sz="0" w:space="0" w:color="auto"/>
                <w:right w:val="none" w:sz="0" w:space="0" w:color="auto"/>
              </w:divBdr>
              <w:divsChild>
                <w:div w:id="52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4571">
          <w:marLeft w:val="0"/>
          <w:marRight w:val="0"/>
          <w:marTop w:val="0"/>
          <w:marBottom w:val="150"/>
          <w:divBdr>
            <w:top w:val="none" w:sz="0" w:space="0" w:color="auto"/>
            <w:left w:val="none" w:sz="0" w:space="0" w:color="auto"/>
            <w:bottom w:val="none" w:sz="0" w:space="0" w:color="auto"/>
            <w:right w:val="none" w:sz="0" w:space="0" w:color="auto"/>
          </w:divBdr>
        </w:div>
      </w:divsChild>
    </w:div>
    <w:div w:id="52124557">
      <w:marLeft w:val="0"/>
      <w:marRight w:val="0"/>
      <w:marTop w:val="0"/>
      <w:marBottom w:val="0"/>
      <w:divBdr>
        <w:top w:val="none" w:sz="0" w:space="0" w:color="auto"/>
        <w:left w:val="none" w:sz="0" w:space="0" w:color="auto"/>
        <w:bottom w:val="none" w:sz="0" w:space="0" w:color="auto"/>
        <w:right w:val="none" w:sz="0" w:space="0" w:color="auto"/>
      </w:divBdr>
    </w:div>
    <w:div w:id="52124558">
      <w:marLeft w:val="0"/>
      <w:marRight w:val="0"/>
      <w:marTop w:val="0"/>
      <w:marBottom w:val="0"/>
      <w:divBdr>
        <w:top w:val="none" w:sz="0" w:space="0" w:color="auto"/>
        <w:left w:val="none" w:sz="0" w:space="0" w:color="auto"/>
        <w:bottom w:val="none" w:sz="0" w:space="0" w:color="auto"/>
        <w:right w:val="none" w:sz="0" w:space="0" w:color="auto"/>
      </w:divBdr>
    </w:div>
    <w:div w:id="52124563">
      <w:marLeft w:val="0"/>
      <w:marRight w:val="0"/>
      <w:marTop w:val="0"/>
      <w:marBottom w:val="0"/>
      <w:divBdr>
        <w:top w:val="none" w:sz="0" w:space="0" w:color="auto"/>
        <w:left w:val="none" w:sz="0" w:space="0" w:color="auto"/>
        <w:bottom w:val="none" w:sz="0" w:space="0" w:color="auto"/>
        <w:right w:val="none" w:sz="0" w:space="0" w:color="auto"/>
      </w:divBdr>
      <w:divsChild>
        <w:div w:id="52124562">
          <w:marLeft w:val="0"/>
          <w:marRight w:val="0"/>
          <w:marTop w:val="288"/>
          <w:marBottom w:val="100"/>
          <w:divBdr>
            <w:top w:val="none" w:sz="0" w:space="0" w:color="auto"/>
            <w:left w:val="none" w:sz="0" w:space="0" w:color="auto"/>
            <w:bottom w:val="none" w:sz="0" w:space="0" w:color="auto"/>
            <w:right w:val="none" w:sz="0" w:space="0" w:color="auto"/>
          </w:divBdr>
          <w:divsChild>
            <w:div w:id="521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4565">
      <w:marLeft w:val="0"/>
      <w:marRight w:val="0"/>
      <w:marTop w:val="0"/>
      <w:marBottom w:val="0"/>
      <w:divBdr>
        <w:top w:val="none" w:sz="0" w:space="0" w:color="auto"/>
        <w:left w:val="none" w:sz="0" w:space="0" w:color="auto"/>
        <w:bottom w:val="none" w:sz="0" w:space="0" w:color="auto"/>
        <w:right w:val="none" w:sz="0" w:space="0" w:color="auto"/>
      </w:divBdr>
    </w:div>
    <w:div w:id="52124567">
      <w:marLeft w:val="0"/>
      <w:marRight w:val="0"/>
      <w:marTop w:val="0"/>
      <w:marBottom w:val="0"/>
      <w:divBdr>
        <w:top w:val="none" w:sz="0" w:space="0" w:color="auto"/>
        <w:left w:val="none" w:sz="0" w:space="0" w:color="auto"/>
        <w:bottom w:val="none" w:sz="0" w:space="0" w:color="auto"/>
        <w:right w:val="none" w:sz="0" w:space="0" w:color="auto"/>
      </w:divBdr>
    </w:div>
    <w:div w:id="52124572">
      <w:marLeft w:val="0"/>
      <w:marRight w:val="0"/>
      <w:marTop w:val="0"/>
      <w:marBottom w:val="0"/>
      <w:divBdr>
        <w:top w:val="none" w:sz="0" w:space="0" w:color="auto"/>
        <w:left w:val="none" w:sz="0" w:space="0" w:color="auto"/>
        <w:bottom w:val="none" w:sz="0" w:space="0" w:color="auto"/>
        <w:right w:val="none" w:sz="0" w:space="0" w:color="auto"/>
      </w:divBdr>
    </w:div>
    <w:div w:id="52124573">
      <w:marLeft w:val="0"/>
      <w:marRight w:val="0"/>
      <w:marTop w:val="0"/>
      <w:marBottom w:val="0"/>
      <w:divBdr>
        <w:top w:val="none" w:sz="0" w:space="0" w:color="auto"/>
        <w:left w:val="none" w:sz="0" w:space="0" w:color="auto"/>
        <w:bottom w:val="none" w:sz="0" w:space="0" w:color="auto"/>
        <w:right w:val="none" w:sz="0" w:space="0" w:color="auto"/>
      </w:divBdr>
    </w:div>
    <w:div w:id="52124574">
      <w:marLeft w:val="0"/>
      <w:marRight w:val="0"/>
      <w:marTop w:val="0"/>
      <w:marBottom w:val="0"/>
      <w:divBdr>
        <w:top w:val="none" w:sz="0" w:space="0" w:color="auto"/>
        <w:left w:val="none" w:sz="0" w:space="0" w:color="auto"/>
        <w:bottom w:val="none" w:sz="0" w:space="0" w:color="auto"/>
        <w:right w:val="none" w:sz="0" w:space="0" w:color="auto"/>
      </w:divBdr>
    </w:div>
    <w:div w:id="52124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C626-4CAD-4D91-88DC-EAE8F4FA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10210</Words>
  <Characters>58202</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PERIOSTEUM DERIVED STEM CELLS FOR REGENERATIVE MEDICINE PROPOSALS: BOOSTING CURRENT KNOWLEDGE</vt:lpstr>
    </vt:vector>
  </TitlesOfParts>
  <Company>Università Politecnica delle Marche</Company>
  <LinksUpToDate>false</LinksUpToDate>
  <CharactersWithSpaces>68276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PERIOSTEUM DERIVED STEM CELLS FOR REGENERATIVE MEDICINE PROPOSALS: BOOSTING CURRENT KNOWLEDGE</dc:title>
  <dc:creator>MMBC</dc:creator>
  <cp:lastModifiedBy>LS Ma</cp:lastModifiedBy>
  <cp:revision>2</cp:revision>
  <cp:lastPrinted>2014-01-09T10:10:00Z</cp:lastPrinted>
  <dcterms:created xsi:type="dcterms:W3CDTF">2014-04-25T06:36:00Z</dcterms:created>
  <dcterms:modified xsi:type="dcterms:W3CDTF">2014-04-25T06:36:00Z</dcterms:modified>
</cp:coreProperties>
</file>