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EBA74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Name of Journal: </w:t>
      </w:r>
      <w:r w:rsidRPr="00B41876">
        <w:rPr>
          <w:rFonts w:ascii="Book Antiqua" w:eastAsia="Book Antiqua" w:hAnsi="Book Antiqua" w:cs="Book Antiqua"/>
          <w:i/>
          <w:color w:val="000000" w:themeColor="text1"/>
        </w:rPr>
        <w:t>World Journal of Clinical Cases</w:t>
      </w:r>
    </w:p>
    <w:p w14:paraId="3843B029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Manuscript NO: </w:t>
      </w:r>
      <w:r w:rsidRPr="00B41876">
        <w:rPr>
          <w:rFonts w:ascii="Book Antiqua" w:eastAsia="Book Antiqua" w:hAnsi="Book Antiqua" w:cs="Book Antiqua"/>
          <w:color w:val="000000" w:themeColor="text1"/>
        </w:rPr>
        <w:t>66537</w:t>
      </w:r>
    </w:p>
    <w:p w14:paraId="17C9DB54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Manuscript Type: </w:t>
      </w:r>
      <w:r w:rsidRPr="00B41876">
        <w:rPr>
          <w:rFonts w:ascii="Book Antiqua" w:eastAsia="Book Antiqua" w:hAnsi="Book Antiqua" w:cs="Book Antiqua"/>
          <w:color w:val="000000" w:themeColor="text1"/>
        </w:rPr>
        <w:t>META-ANALYSIS</w:t>
      </w:r>
    </w:p>
    <w:p w14:paraId="35EFF577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A8A8CD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Clinical significance of breast cancer susceptibility gene 1 expression in resected non-small cell lung cancer: A meta-analysis</w:t>
      </w: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4E60A0C1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03F59C" w14:textId="4787010D" w:rsidR="00A77B3E" w:rsidRPr="00B41876" w:rsidRDefault="00F1441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G</w:t>
      </w:r>
      <w:r w:rsidRPr="00B41876">
        <w:rPr>
          <w:rFonts w:ascii="Book Antiqua" w:hAnsi="Book Antiqua" w:cs="Book Antiqua"/>
          <w:color w:val="000000" w:themeColor="text1"/>
          <w:lang w:eastAsia="zh-CN"/>
        </w:rPr>
        <w:t>ao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Y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et al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="00166BD1"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166BD1" w:rsidRPr="00B41876">
        <w:rPr>
          <w:rFonts w:ascii="Book Antiqua" w:eastAsia="Book Antiqua" w:hAnsi="Book Antiqua" w:cs="Book Antiqua"/>
          <w:color w:val="000000" w:themeColor="text1"/>
        </w:rPr>
        <w:t xml:space="preserve"> in resected NSCLC</w:t>
      </w:r>
    </w:p>
    <w:p w14:paraId="6EF25848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31B0AC" w14:textId="27336CB2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Yang Gao, Xiao</w:t>
      </w:r>
      <w:r w:rsidR="00D362CC" w:rsidRPr="00B41876">
        <w:rPr>
          <w:rFonts w:ascii="Book Antiqua" w:eastAsia="Book Antiqua" w:hAnsi="Book Antiqua" w:cs="Book Antiqua"/>
          <w:color w:val="000000" w:themeColor="text1"/>
        </w:rPr>
        <w:t xml:space="preserve">-Di </w:t>
      </w:r>
      <w:r w:rsidRPr="00B41876">
        <w:rPr>
          <w:rFonts w:ascii="Book Antiqua" w:eastAsia="Book Antiqua" w:hAnsi="Book Antiqua" w:cs="Book Antiqua"/>
          <w:color w:val="000000" w:themeColor="text1"/>
        </w:rPr>
        <w:t>Luo, Xiao</w:t>
      </w:r>
      <w:r w:rsidR="00D362CC" w:rsidRPr="00B41876">
        <w:rPr>
          <w:rFonts w:ascii="Book Antiqua" w:eastAsia="Book Antiqua" w:hAnsi="Book Antiqua" w:cs="Book Antiqua"/>
          <w:color w:val="000000" w:themeColor="text1"/>
        </w:rPr>
        <w:t xml:space="preserve">-Li </w:t>
      </w:r>
      <w:r w:rsidRPr="00B41876">
        <w:rPr>
          <w:rFonts w:ascii="Book Antiqua" w:eastAsia="Book Antiqua" w:hAnsi="Book Antiqua" w:cs="Book Antiqua"/>
          <w:color w:val="000000" w:themeColor="text1"/>
        </w:rPr>
        <w:t>Yang, Dong Tu</w:t>
      </w:r>
    </w:p>
    <w:p w14:paraId="2753B3B1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2154C8" w14:textId="12D4D71B" w:rsidR="00A77B3E" w:rsidRPr="00B41876" w:rsidRDefault="004A25B0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Yang Gao, Xiao-Di Luo, Xiao-Li Yang, Dong Tu</w:t>
      </w:r>
      <w:r w:rsidRPr="00B41876">
        <w:rPr>
          <w:rFonts w:ascii="Book Antiqua" w:hAnsi="Book Antiqua"/>
          <w:b/>
          <w:bCs/>
          <w:color w:val="000000" w:themeColor="text1"/>
          <w:lang w:eastAsia="zh-CN"/>
        </w:rPr>
        <w:t>,</w:t>
      </w:r>
      <w:r w:rsidRPr="00B41876">
        <w:rPr>
          <w:rFonts w:ascii="Book Antiqua" w:hAnsi="Book Antiqua"/>
          <w:color w:val="000000" w:themeColor="text1"/>
          <w:lang w:eastAsia="zh-CN"/>
        </w:rPr>
        <w:t xml:space="preserve"> </w:t>
      </w:r>
      <w:r w:rsidR="00166BD1" w:rsidRPr="00B41876">
        <w:rPr>
          <w:rFonts w:ascii="Book Antiqua" w:eastAsia="Book Antiqua" w:hAnsi="Book Antiqua" w:cs="Book Antiqua"/>
          <w:color w:val="000000" w:themeColor="text1"/>
        </w:rPr>
        <w:t>Department of Cardiothoracic Surgery, 920</w:t>
      </w:r>
      <w:r w:rsidR="00166BD1"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EB074C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66BD1" w:rsidRPr="00B41876">
        <w:rPr>
          <w:rFonts w:ascii="Book Antiqua" w:eastAsia="Book Antiqua" w:hAnsi="Book Antiqua" w:cs="Book Antiqua"/>
          <w:color w:val="000000" w:themeColor="text1"/>
        </w:rPr>
        <w:t xml:space="preserve">Hospital of Joint Logistics Support Force of People’s Liberation Army of China, Kunming 650032, </w:t>
      </w:r>
      <w:r w:rsidR="0040602D" w:rsidRPr="00B41876">
        <w:rPr>
          <w:rFonts w:ascii="Book Antiqua" w:eastAsia="Book Antiqua" w:hAnsi="Book Antiqua" w:cs="Book Antiqua"/>
          <w:color w:val="000000" w:themeColor="text1"/>
        </w:rPr>
        <w:t xml:space="preserve">Yunnan Province, </w:t>
      </w:r>
      <w:r w:rsidR="00166BD1" w:rsidRPr="00B41876">
        <w:rPr>
          <w:rFonts w:ascii="Book Antiqua" w:eastAsia="Book Antiqua" w:hAnsi="Book Antiqua" w:cs="Book Antiqua"/>
          <w:color w:val="000000" w:themeColor="text1"/>
        </w:rPr>
        <w:t>China</w:t>
      </w:r>
    </w:p>
    <w:p w14:paraId="75A0D940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BB74EC" w14:textId="3B2BC72E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Author contributions: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Tu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602D" w:rsidRPr="00B41876">
        <w:rPr>
          <w:rFonts w:ascii="Book Antiqua" w:eastAsia="Book Antiqua" w:hAnsi="Book Antiqua" w:cs="Book Antiqua"/>
          <w:color w:val="000000" w:themeColor="text1"/>
        </w:rPr>
        <w:t xml:space="preserve">D </w:t>
      </w:r>
      <w:r w:rsidRPr="00B41876">
        <w:rPr>
          <w:rFonts w:ascii="Book Antiqua" w:eastAsia="Book Antiqua" w:hAnsi="Book Antiqua" w:cs="Book Antiqua"/>
          <w:color w:val="000000" w:themeColor="text1"/>
        </w:rPr>
        <w:t>made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substantial contributions to the conception and design of the work; Gao </w:t>
      </w:r>
      <w:r w:rsidR="0040602D" w:rsidRPr="00B41876">
        <w:rPr>
          <w:rFonts w:ascii="Book Antiqua" w:eastAsia="Book Antiqua" w:hAnsi="Book Antiqua" w:cs="Book Antiqua"/>
          <w:color w:val="000000" w:themeColor="text1"/>
        </w:rPr>
        <w:t xml:space="preserve">Y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and Luo </w:t>
      </w:r>
      <w:r w:rsidR="0040602D" w:rsidRPr="00B41876">
        <w:rPr>
          <w:rFonts w:ascii="Book Antiqua" w:eastAsia="Book Antiqua" w:hAnsi="Book Antiqua" w:cs="Book Antiqua"/>
          <w:color w:val="000000" w:themeColor="text1"/>
        </w:rPr>
        <w:t xml:space="preserve">XD </w:t>
      </w:r>
      <w:r w:rsidRPr="00B41876">
        <w:rPr>
          <w:rFonts w:ascii="Book Antiqua" w:eastAsia="Book Antiqua" w:hAnsi="Book Antiqua" w:cs="Book Antiqua"/>
          <w:color w:val="000000" w:themeColor="text1"/>
        </w:rPr>
        <w:t>searched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 and</w:t>
      </w:r>
      <w:r w:rsidR="00183755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selected 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41876">
        <w:rPr>
          <w:rFonts w:ascii="Book Antiqua" w:eastAsia="Book Antiqua" w:hAnsi="Book Antiqua" w:cs="Book Antiqua"/>
          <w:color w:val="000000" w:themeColor="text1"/>
        </w:rPr>
        <w:t>materials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extracted 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41876">
        <w:rPr>
          <w:rFonts w:ascii="Book Antiqua" w:eastAsia="Book Antiqua" w:hAnsi="Book Antiqua" w:cs="Book Antiqua"/>
          <w:color w:val="000000" w:themeColor="text1"/>
        </w:rPr>
        <w:t>data</w:t>
      </w:r>
      <w:r w:rsidR="0040602D"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wrote this manuscript; Yang </w:t>
      </w:r>
      <w:r w:rsidR="0040602D" w:rsidRPr="00B41876">
        <w:rPr>
          <w:rFonts w:ascii="Book Antiqua" w:eastAsia="Book Antiqua" w:hAnsi="Book Antiqua" w:cs="Book Antiqua"/>
          <w:color w:val="000000" w:themeColor="text1"/>
        </w:rPr>
        <w:t xml:space="preserve">XL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and Tu </w:t>
      </w:r>
      <w:r w:rsidR="0040602D" w:rsidRPr="00B41876">
        <w:rPr>
          <w:rFonts w:ascii="Book Antiqua" w:eastAsia="Book Antiqua" w:hAnsi="Book Antiqua" w:cs="Book Antiqua"/>
          <w:color w:val="000000" w:themeColor="text1"/>
        </w:rPr>
        <w:t xml:space="preserve">D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revised the paper </w:t>
      </w:r>
      <w:r w:rsidRPr="00B41876">
        <w:rPr>
          <w:rFonts w:ascii="Book Antiqua" w:eastAsia="Book Antiqua" w:hAnsi="Book Antiqua" w:cs="Book Antiqua"/>
          <w:color w:val="000000" w:themeColor="text1"/>
        </w:rPr>
        <w:t>carefully and also contributed to the statistical analysis</w:t>
      </w:r>
      <w:r w:rsidR="0040602D" w:rsidRPr="00B41876">
        <w:rPr>
          <w:rFonts w:ascii="Book Antiqua" w:eastAsia="Book Antiqua" w:hAnsi="Book Antiqua" w:cs="Book Antiqua"/>
          <w:color w:val="000000" w:themeColor="text1"/>
        </w:rPr>
        <w:t>;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0602D" w:rsidRPr="00B41876">
        <w:rPr>
          <w:rFonts w:ascii="Book Antiqua" w:eastAsia="Book Antiqua" w:hAnsi="Book Antiqua" w:cs="Book Antiqua"/>
          <w:color w:val="000000" w:themeColor="text1"/>
        </w:rPr>
        <w:t>and all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authors have read and approved the final manuscript.</w:t>
      </w:r>
    </w:p>
    <w:p w14:paraId="50814133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AF159A" w14:textId="1D0A777C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Corresponding author: Dong Tu, MD, Professor, </w:t>
      </w:r>
      <w:r w:rsidRPr="00B41876">
        <w:rPr>
          <w:rFonts w:ascii="Book Antiqua" w:eastAsia="Book Antiqua" w:hAnsi="Book Antiqua" w:cs="Book Antiqua"/>
          <w:color w:val="000000" w:themeColor="text1"/>
        </w:rPr>
        <w:t>Department of Cardiothoracic Surgery, 920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th</w:t>
      </w:r>
      <w:r w:rsidR="008A43A2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Hospital of Joint Logistics Support Force of People’s Liberation Army of China, </w:t>
      </w:r>
      <w:r w:rsidR="00482A29" w:rsidRPr="00B41876">
        <w:rPr>
          <w:rFonts w:ascii="Book Antiqua" w:eastAsia="Book Antiqua" w:hAnsi="Book Antiqua" w:cs="Book Antiqua"/>
          <w:color w:val="000000" w:themeColor="text1"/>
        </w:rPr>
        <w:t xml:space="preserve">No. 212 </w:t>
      </w:r>
      <w:proofErr w:type="spellStart"/>
      <w:r w:rsidR="00482A29" w:rsidRPr="00B41876">
        <w:rPr>
          <w:rFonts w:ascii="Book Antiqua" w:eastAsia="Book Antiqua" w:hAnsi="Book Antiqua" w:cs="Book Antiqua"/>
          <w:color w:val="000000" w:themeColor="text1"/>
        </w:rPr>
        <w:t>Daguan</w:t>
      </w:r>
      <w:proofErr w:type="spellEnd"/>
      <w:r w:rsidR="00482A29" w:rsidRPr="00B41876">
        <w:rPr>
          <w:rFonts w:ascii="Book Antiqua" w:eastAsia="Book Antiqua" w:hAnsi="Book Antiqua" w:cs="Book Antiqua"/>
          <w:color w:val="000000" w:themeColor="text1"/>
        </w:rPr>
        <w:t xml:space="preserve"> Road, </w:t>
      </w:r>
      <w:proofErr w:type="spellStart"/>
      <w:r w:rsidR="00482A29" w:rsidRPr="00B41876">
        <w:rPr>
          <w:rFonts w:ascii="Book Antiqua" w:eastAsia="Book Antiqua" w:hAnsi="Book Antiqua" w:cs="Book Antiqua"/>
          <w:color w:val="000000" w:themeColor="text1"/>
        </w:rPr>
        <w:t>Xishan</w:t>
      </w:r>
      <w:proofErr w:type="spellEnd"/>
      <w:r w:rsidR="00482A29" w:rsidRPr="00B41876">
        <w:rPr>
          <w:rFonts w:ascii="Book Antiqua" w:eastAsia="Book Antiqua" w:hAnsi="Book Antiqua" w:cs="Book Antiqua"/>
          <w:color w:val="000000" w:themeColor="text1"/>
        </w:rPr>
        <w:t xml:space="preserve"> District,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Kunming 650032, </w:t>
      </w:r>
      <w:r w:rsidR="00544986" w:rsidRPr="00B41876">
        <w:rPr>
          <w:rFonts w:ascii="Book Antiqua" w:eastAsia="Book Antiqua" w:hAnsi="Book Antiqua" w:cs="Book Antiqua"/>
          <w:color w:val="000000" w:themeColor="text1"/>
        </w:rPr>
        <w:t xml:space="preserve">Yunnan Province, </w:t>
      </w:r>
      <w:r w:rsidRPr="00B41876">
        <w:rPr>
          <w:rFonts w:ascii="Book Antiqua" w:eastAsia="Book Antiqua" w:hAnsi="Book Antiqua" w:cs="Book Antiqua"/>
          <w:color w:val="000000" w:themeColor="text1"/>
        </w:rPr>
        <w:t>China. tudongyisheng@126.com</w:t>
      </w:r>
    </w:p>
    <w:p w14:paraId="1CDC60C8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D799619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Received: </w:t>
      </w:r>
      <w:r w:rsidRPr="00B41876">
        <w:rPr>
          <w:rFonts w:ascii="Book Antiqua" w:eastAsia="Book Antiqua" w:hAnsi="Book Antiqua" w:cs="Book Antiqua"/>
          <w:color w:val="000000" w:themeColor="text1"/>
        </w:rPr>
        <w:t>March 30, 2021</w:t>
      </w:r>
    </w:p>
    <w:p w14:paraId="4C8014D3" w14:textId="6D242721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Revised: </w:t>
      </w:r>
      <w:r w:rsidR="00D262FE" w:rsidRPr="00B41876">
        <w:rPr>
          <w:rFonts w:ascii="Book Antiqua" w:eastAsia="Book Antiqua" w:hAnsi="Book Antiqua" w:cs="Book Antiqua"/>
          <w:color w:val="000000" w:themeColor="text1"/>
        </w:rPr>
        <w:t>June 25, 2021</w:t>
      </w:r>
    </w:p>
    <w:p w14:paraId="68ABB106" w14:textId="386B177B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Accepted: </w:t>
      </w:r>
      <w:bookmarkStart w:id="0" w:name="OLE_LINK15"/>
      <w:bookmarkStart w:id="1" w:name="OLE_LINK33"/>
      <w:bookmarkStart w:id="2" w:name="OLE_LINK48"/>
      <w:r w:rsidR="00637219">
        <w:rPr>
          <w:rFonts w:ascii="Book Antiqua" w:eastAsia="宋体" w:hAnsi="Book Antiqua" w:hint="eastAsia"/>
          <w:color w:val="000000" w:themeColor="text1"/>
        </w:rPr>
        <w:t>S</w:t>
      </w:r>
      <w:r w:rsidR="00637219">
        <w:rPr>
          <w:rFonts w:ascii="Book Antiqua" w:eastAsia="宋体" w:hAnsi="Book Antiqua" w:hint="eastAsia"/>
          <w:color w:val="000000" w:themeColor="text1"/>
          <w:lang w:eastAsia="zh-CN"/>
        </w:rPr>
        <w:t>e</w:t>
      </w:r>
      <w:r w:rsidR="00637219">
        <w:rPr>
          <w:rFonts w:ascii="Book Antiqua" w:eastAsia="宋体" w:hAnsi="Book Antiqua"/>
          <w:color w:val="000000" w:themeColor="text1"/>
        </w:rPr>
        <w:t>ptember</w:t>
      </w:r>
      <w:r w:rsidR="00637219" w:rsidRPr="00F06907">
        <w:rPr>
          <w:rFonts w:ascii="Book Antiqua" w:eastAsia="宋体" w:hAnsi="Book Antiqua"/>
          <w:color w:val="000000" w:themeColor="text1"/>
        </w:rPr>
        <w:t xml:space="preserve"> </w:t>
      </w:r>
      <w:r w:rsidR="00637219">
        <w:rPr>
          <w:rFonts w:ascii="Book Antiqua" w:eastAsia="宋体" w:hAnsi="Book Antiqua"/>
          <w:color w:val="000000" w:themeColor="text1"/>
        </w:rPr>
        <w:t>2</w:t>
      </w:r>
      <w:r w:rsidR="00637219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1DB3333C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lastRenderedPageBreak/>
        <w:t xml:space="preserve">Published online: </w:t>
      </w:r>
    </w:p>
    <w:p w14:paraId="311FD27E" w14:textId="77777777" w:rsidR="00D262FE" w:rsidRPr="00B41876" w:rsidRDefault="00D262FE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65EF722F" w14:textId="77777777" w:rsidR="00D262FE" w:rsidRPr="00B41876" w:rsidRDefault="00D262FE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58086B09" w14:textId="2CDAEE29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>Abstract</w:t>
      </w:r>
    </w:p>
    <w:p w14:paraId="55FF2C2F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394EE0D7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The clinical significance of breast cancer susceptibility gene 1 (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>) in non-small cell lung cancer (NSCLC) patients undergoing surgery remains unclear up to now.</w:t>
      </w:r>
    </w:p>
    <w:p w14:paraId="221462D0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31F7CB7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AIM</w:t>
      </w:r>
    </w:p>
    <w:p w14:paraId="6A001FF7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To explore the relation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with clinicopathological characteristics and survival in patients with resected NSCLC. </w:t>
      </w:r>
    </w:p>
    <w:p w14:paraId="21D73C5F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33D9BC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METHODS</w:t>
      </w:r>
    </w:p>
    <w:p w14:paraId="3534D73E" w14:textId="58CA349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EMBASE, PubMed, We</w:t>
      </w:r>
      <w:r w:rsidRPr="00B41876">
        <w:rPr>
          <w:rFonts w:ascii="Book Antiqua" w:eastAsia="Book Antiqua" w:hAnsi="Book Antiqua" w:cs="Book Antiqua"/>
          <w:color w:val="000000" w:themeColor="text1"/>
        </w:rPr>
        <w:t>b of Science</w:t>
      </w:r>
      <w:r w:rsidR="00183755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The Cochrane Library databases were searched to identify</w:t>
      </w:r>
      <w:r w:rsidR="00391B81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relevant articles. To assess the correlation between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clinicopathological characteristics and prognosis of patients with resected NSCLC patients, the combined relative risks </w:t>
      </w:r>
      <w:r w:rsidR="00183755">
        <w:rPr>
          <w:rFonts w:ascii="Book Antiqua" w:eastAsia="Book Antiqua" w:hAnsi="Book Antiqua" w:cs="Book Antiqua"/>
          <w:color w:val="000000" w:themeColor="text1"/>
        </w:rPr>
        <w:t>or</w:t>
      </w:r>
      <w:r w:rsidR="00183755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hazard ratios (HRs) with their corresponding 95%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 confidence intervals [</w:t>
      </w:r>
      <w:r w:rsidRPr="00B41876">
        <w:rPr>
          <w:rFonts w:ascii="Book Antiqua" w:eastAsia="Book Antiqua" w:hAnsi="Book Antiqua" w:cs="Book Antiqua"/>
          <w:color w:val="000000" w:themeColor="text1"/>
        </w:rPr>
        <w:t>C</w:t>
      </w:r>
      <w:r w:rsidR="00A000E5">
        <w:rPr>
          <w:rFonts w:ascii="Book Antiqua" w:eastAsia="Book Antiqua" w:hAnsi="Book Antiqua" w:cs="Book Antiqua"/>
          <w:color w:val="000000" w:themeColor="text1"/>
        </w:rPr>
        <w:t>I</w:t>
      </w:r>
      <w:r w:rsidRPr="00B41876">
        <w:rPr>
          <w:rFonts w:ascii="Book Antiqua" w:eastAsia="Book Antiqua" w:hAnsi="Book Antiqua" w:cs="Book Antiqua"/>
          <w:color w:val="000000" w:themeColor="text1"/>
        </w:rPr>
        <w:t>s</w:t>
      </w:r>
      <w:r w:rsidR="00183755">
        <w:rPr>
          <w:rFonts w:ascii="Book Antiqua" w:eastAsia="Book Antiqua" w:hAnsi="Book Antiqua" w:cs="Book Antiqua"/>
          <w:color w:val="000000" w:themeColor="text1"/>
        </w:rPr>
        <w:t>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were estimated. </w:t>
      </w:r>
    </w:p>
    <w:p w14:paraId="4732261D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ECF00A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RESULTS</w:t>
      </w:r>
    </w:p>
    <w:p w14:paraId="41C190BD" w14:textId="71B85424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Totally, 11 articles involving 1041 patients were included in the meta-analysis. The results indicated that the expr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ession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69123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was significantly correlated with prognosis of resected NSCLC. </w:t>
      </w:r>
      <w:r w:rsidR="00DA7919">
        <w:rPr>
          <w:rFonts w:ascii="Book Antiqua" w:eastAsia="Book Antiqua" w:hAnsi="Book Antiqua" w:cs="Book Antiqua"/>
          <w:color w:val="000000" w:themeColor="text1"/>
        </w:rPr>
        <w:t>P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ositive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signified 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B41876">
        <w:rPr>
          <w:rFonts w:ascii="Book Antiqua" w:eastAsia="Book Antiqua" w:hAnsi="Book Antiqua" w:cs="Book Antiqua"/>
          <w:color w:val="000000" w:themeColor="text1"/>
        </w:rPr>
        <w:t>shorter overall survival (HR</w:t>
      </w:r>
      <w:r w:rsidR="0069123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=</w:t>
      </w:r>
      <w:r w:rsidR="0069123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1.60, 95%CI: 1.25-2.05;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9123B"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&lt;</w:t>
      </w:r>
      <w:r w:rsidR="0069123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0.001) and disease-free survival (HR</w:t>
      </w:r>
      <w:r w:rsidR="0069123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=</w:t>
      </w:r>
      <w:r w:rsidR="0069123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1.78, 95%CI: 1.42-2.23;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69123B"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69123B" w:rsidRPr="00B41876">
        <w:rPr>
          <w:rFonts w:ascii="Book Antiqua" w:hAnsi="Book Antiqua" w:cs="Book Antiqua"/>
          <w:color w:val="000000" w:themeColor="text1"/>
          <w:lang w:eastAsia="zh-CN"/>
        </w:rPr>
        <w:t xml:space="preserve">&lt;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0.001). However, no significant association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</w:t>
      </w:r>
      <w:r w:rsidRPr="00B41876">
        <w:rPr>
          <w:rFonts w:ascii="Book Antiqua" w:eastAsia="Book Antiqua" w:hAnsi="Book Antiqua" w:cs="Book Antiqua"/>
          <w:color w:val="000000" w:themeColor="text1"/>
        </w:rPr>
        <w:t>n with any clinicopathological parameters was observed.</w:t>
      </w:r>
    </w:p>
    <w:p w14:paraId="39DA8C16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03CF146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CONCLUSION</w:t>
      </w:r>
    </w:p>
    <w:p w14:paraId="0D00D6A3" w14:textId="4780E370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000E5">
        <w:rPr>
          <w:rFonts w:ascii="Book Antiqua" w:eastAsia="Book Antiqua" w:hAnsi="Book Antiqua" w:cs="Book Antiqua"/>
          <w:iCs/>
          <w:color w:val="000000" w:themeColor="text1"/>
        </w:rPr>
        <w:lastRenderedPageBreak/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</w:t>
      </w:r>
      <w:r w:rsidR="00183755" w:rsidRPr="00B41876">
        <w:rPr>
          <w:rFonts w:ascii="Book Antiqua" w:eastAsia="Book Antiqua" w:hAnsi="Book Antiqua" w:cs="Book Antiqua"/>
          <w:color w:val="000000" w:themeColor="text1"/>
        </w:rPr>
        <w:t>indicate</w:t>
      </w:r>
      <w:r w:rsidR="00183755">
        <w:rPr>
          <w:rFonts w:ascii="Book Antiqua" w:eastAsia="Book Antiqua" w:hAnsi="Book Antiqua" w:cs="Book Antiqua"/>
          <w:color w:val="000000" w:themeColor="text1"/>
        </w:rPr>
        <w:t>s a</w:t>
      </w:r>
      <w:r w:rsidR="00183755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poor prognosis in resected NSCLC patients.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might serve as an independent biomarker to predict clinical outcomes and help to customize optimal adjuvant chemotherapy for NSCLC patients who 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had </w:t>
      </w:r>
      <w:r w:rsidRPr="00B41876">
        <w:rPr>
          <w:rFonts w:ascii="Book Antiqua" w:eastAsia="Book Antiqua" w:hAnsi="Book Antiqua" w:cs="Book Antiqua"/>
          <w:color w:val="000000" w:themeColor="text1"/>
        </w:rPr>
        <w:t>rece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ived surgical therapy. </w:t>
      </w:r>
    </w:p>
    <w:p w14:paraId="7436D446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7A6FF2" w14:textId="444D95E6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Key Words: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Breast cancer susceptibility gene 1; </w:t>
      </w:r>
      <w:r w:rsidR="00C85130" w:rsidRPr="00B41876">
        <w:rPr>
          <w:rFonts w:ascii="Book Antiqua" w:eastAsia="Book Antiqua" w:hAnsi="Book Antiqua" w:cs="Book Antiqua"/>
          <w:color w:val="000000" w:themeColor="text1"/>
        </w:rPr>
        <w:t xml:space="preserve">Non-small cell lung cancer; Clinicopathological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characteristics; </w:t>
      </w:r>
      <w:r w:rsidR="00C85130" w:rsidRPr="00B41876">
        <w:rPr>
          <w:rFonts w:ascii="Book Antiqua" w:eastAsia="Book Antiqua" w:hAnsi="Book Antiqua" w:cs="Book Antiqua"/>
          <w:color w:val="000000" w:themeColor="text1"/>
        </w:rPr>
        <w:t>Prognosis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="00C85130" w:rsidRPr="00B41876">
        <w:rPr>
          <w:rFonts w:ascii="Book Antiqua" w:eastAsia="Book Antiqua" w:hAnsi="Book Antiqua" w:cs="Book Antiqua"/>
          <w:color w:val="000000" w:themeColor="text1"/>
        </w:rPr>
        <w:t>Surgery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="00C85130" w:rsidRPr="00B41876">
        <w:rPr>
          <w:rFonts w:ascii="Book Antiqua" w:eastAsia="Book Antiqua" w:hAnsi="Book Antiqua" w:cs="Book Antiqua"/>
          <w:color w:val="000000" w:themeColor="text1"/>
        </w:rPr>
        <w:t>Meta</w:t>
      </w:r>
      <w:r w:rsidRPr="00B41876">
        <w:rPr>
          <w:rFonts w:ascii="Book Antiqua" w:eastAsia="Book Antiqua" w:hAnsi="Book Antiqua" w:cs="Book Antiqua"/>
          <w:color w:val="000000" w:themeColor="text1"/>
        </w:rPr>
        <w:t>-analysis</w:t>
      </w:r>
    </w:p>
    <w:p w14:paraId="5225941E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B030D2" w14:textId="10AF016F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Gao Y, Luo X</w:t>
      </w:r>
      <w:r w:rsidR="00E9605C" w:rsidRPr="00B41876">
        <w:rPr>
          <w:rFonts w:ascii="Book Antiqua" w:eastAsia="Book Antiqua" w:hAnsi="Book Antiqua" w:cs="Book Antiqua"/>
          <w:color w:val="000000" w:themeColor="text1"/>
        </w:rPr>
        <w:t>D</w:t>
      </w:r>
      <w:r w:rsidRPr="00B41876">
        <w:rPr>
          <w:rFonts w:ascii="Book Antiqua" w:eastAsia="Book Antiqua" w:hAnsi="Book Antiqua" w:cs="Book Antiqua"/>
          <w:color w:val="000000" w:themeColor="text1"/>
        </w:rPr>
        <w:t>, Yang X</w:t>
      </w:r>
      <w:r w:rsidR="00E9605C" w:rsidRPr="00B41876">
        <w:rPr>
          <w:rFonts w:ascii="Book Antiqua" w:eastAsia="Book Antiqua" w:hAnsi="Book Antiqua" w:cs="Book Antiqua"/>
          <w:color w:val="000000" w:themeColor="text1"/>
        </w:rPr>
        <w:t>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Tu D. Clinical significance of breast cancer susceptibility gene 1 expression in resected non-small cell lung cancer: A meta-analysis.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World J Clin Cases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2021; In press</w:t>
      </w:r>
    </w:p>
    <w:p w14:paraId="304DADAD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C136CFD" w14:textId="69B96BE6" w:rsidR="009A114C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Core Tip: </w:t>
      </w:r>
      <w:r w:rsidRPr="00B41876">
        <w:rPr>
          <w:rFonts w:ascii="Book Antiqua" w:eastAsia="Book Antiqua" w:hAnsi="Book Antiqua" w:cs="Book Antiqua"/>
          <w:color w:val="000000" w:themeColor="text1"/>
        </w:rPr>
        <w:t>Based on 11 included artic</w:t>
      </w:r>
      <w:r w:rsidRPr="00B41876">
        <w:rPr>
          <w:rFonts w:ascii="Book Antiqua" w:eastAsia="Book Antiqua" w:hAnsi="Book Antiqua" w:cs="Book Antiqua"/>
          <w:color w:val="000000" w:themeColor="text1"/>
        </w:rPr>
        <w:t>les involving 1041 patients</w:t>
      </w:r>
      <w:r w:rsidR="00183755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we demonstrated that the expression of the </w:t>
      </w:r>
      <w:r w:rsidR="00196D6D" w:rsidRPr="00B41876">
        <w:rPr>
          <w:rFonts w:ascii="Book Antiqua" w:eastAsia="Book Antiqua" w:hAnsi="Book Antiqua" w:cs="Book Antiqua"/>
          <w:color w:val="000000" w:themeColor="text1"/>
        </w:rPr>
        <w:t>breast cancer susceptibility gene 1 (</w:t>
      </w:r>
      <w:r w:rsidR="00196D6D"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196D6D" w:rsidRPr="00B41876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was significantly correlated with prognosis of resected </w:t>
      </w:r>
      <w:r w:rsidR="00196D6D" w:rsidRPr="00B41876">
        <w:rPr>
          <w:rFonts w:ascii="Book Antiqua" w:eastAsia="Book Antiqua" w:hAnsi="Book Antiqua" w:cs="Book Antiqua"/>
          <w:color w:val="000000" w:themeColor="text1"/>
        </w:rPr>
        <w:t>non-small cell lung cancer (NSCLC)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Furthermore, positive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signified </w:t>
      </w:r>
      <w:r w:rsidR="00183755">
        <w:rPr>
          <w:rFonts w:ascii="Book Antiqua" w:eastAsia="Book Antiqua" w:hAnsi="Book Antiqua" w:cs="Book Antiqua"/>
          <w:color w:val="000000" w:themeColor="text1"/>
        </w:rPr>
        <w:t>a</w:t>
      </w:r>
      <w:r w:rsidR="00183755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shorter overall survival and disease-free survival. However, no significant association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with any clinicopathological parameters was observed. </w:t>
      </w:r>
      <w:r w:rsidR="00183755">
        <w:rPr>
          <w:rFonts w:ascii="Book Antiqua" w:eastAsia="Book Antiqua" w:hAnsi="Book Antiqua" w:cs="Book Antiqua"/>
          <w:color w:val="000000" w:themeColor="text1"/>
        </w:rPr>
        <w:t>O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verall,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</w:t>
      </w:r>
      <w:r w:rsidR="00183755" w:rsidRPr="00B41876">
        <w:rPr>
          <w:rFonts w:ascii="Book Antiqua" w:eastAsia="Book Antiqua" w:hAnsi="Book Antiqua" w:cs="Book Antiqua"/>
          <w:color w:val="000000" w:themeColor="text1"/>
        </w:rPr>
        <w:t>indicate</w:t>
      </w:r>
      <w:r w:rsidR="00183755">
        <w:rPr>
          <w:rFonts w:ascii="Book Antiqua" w:eastAsia="Book Antiqua" w:hAnsi="Book Antiqua" w:cs="Book Antiqua"/>
          <w:color w:val="000000" w:themeColor="text1"/>
        </w:rPr>
        <w:t>s a</w:t>
      </w:r>
      <w:r w:rsidR="00183755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poor prognosis in resected NSCLC patients.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might serve a</w:t>
      </w:r>
      <w:r w:rsidRPr="00B41876">
        <w:rPr>
          <w:rFonts w:ascii="Book Antiqua" w:eastAsia="Book Antiqua" w:hAnsi="Book Antiqua" w:cs="Book Antiqua"/>
          <w:color w:val="000000" w:themeColor="text1"/>
        </w:rPr>
        <w:t>s an independent biomarker to predict clinical outcomes and help to customize optimal adjuvant chemotherapy for NSCLC patients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who </w:t>
      </w:r>
      <w:r w:rsidR="00183755">
        <w:rPr>
          <w:rFonts w:ascii="Book Antiqua" w:eastAsia="Book Antiqua" w:hAnsi="Book Antiqua" w:cs="Book Antiqua"/>
          <w:color w:val="000000" w:themeColor="text1"/>
        </w:rPr>
        <w:t xml:space="preserve">had </w:t>
      </w:r>
      <w:r w:rsidRPr="00B41876">
        <w:rPr>
          <w:rFonts w:ascii="Book Antiqua" w:eastAsia="Book Antiqua" w:hAnsi="Book Antiqua" w:cs="Book Antiqua"/>
          <w:color w:val="000000" w:themeColor="text1"/>
        </w:rPr>
        <w:t>received 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urgical therapy. </w:t>
      </w:r>
    </w:p>
    <w:p w14:paraId="102D46E5" w14:textId="2908410B" w:rsidR="00A77B3E" w:rsidRPr="00B41876" w:rsidRDefault="009A114C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hAnsi="Book Antiqua"/>
          <w:color w:val="000000" w:themeColor="text1"/>
        </w:rPr>
        <w:br w:type="page"/>
      </w:r>
      <w:r w:rsidR="00166BD1" w:rsidRPr="00B4187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94AF82A" w14:textId="41291551" w:rsidR="00410322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Lung cancer has become the leading cause of cancer death among men and women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globally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1-3]</w:t>
      </w:r>
      <w:r w:rsidRPr="00B41876">
        <w:rPr>
          <w:rFonts w:ascii="Book Antiqua" w:eastAsia="Book Antiqua" w:hAnsi="Book Antiqua" w:cs="Book Antiqua"/>
          <w:color w:val="000000" w:themeColor="text1"/>
        </w:rPr>
        <w:t>. Accor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ding to the pathology, lung cancer is classified into two subgroups: </w:t>
      </w:r>
      <w:r w:rsidR="00BB0881">
        <w:rPr>
          <w:rFonts w:ascii="Book Antiqua" w:eastAsia="Book Antiqua" w:hAnsi="Book Antiqua" w:cs="Book Antiqua"/>
          <w:color w:val="000000" w:themeColor="text1"/>
        </w:rPr>
        <w:t>S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>mall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-cell lung cancer (SCLC) and non-small-cell lung cancer (NSCLC). And approximately 85% of all lung cancer cases belong to NSCLC. For most NSCLC patients, surgical resection is still the most important therapy. </w:t>
      </w:r>
      <w:r w:rsidR="00BB0881">
        <w:rPr>
          <w:rFonts w:ascii="Book Antiqua" w:eastAsia="Book Antiqua" w:hAnsi="Book Antiqua" w:cs="Book Antiqua"/>
          <w:color w:val="000000" w:themeColor="text1"/>
        </w:rPr>
        <w:t>Alt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hough </w:t>
      </w:r>
      <w:r w:rsidRPr="00B41876">
        <w:rPr>
          <w:rFonts w:ascii="Book Antiqua" w:eastAsia="Book Antiqua" w:hAnsi="Book Antiqua" w:cs="Book Antiqua"/>
          <w:color w:val="000000" w:themeColor="text1"/>
        </w:rPr>
        <w:t>the diagnosis and treatment techniques have been improved greatly in recent years, the overall 5-year survival rate for NSCLC in China was only 19.8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%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4]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</w:t>
      </w:r>
    </w:p>
    <w:p w14:paraId="3C5FB28F" w14:textId="7FF6D770" w:rsidR="003E7611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The tumor-node-metastasis (TNM) 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>stag</w:t>
      </w:r>
      <w:r w:rsidR="00BB0881">
        <w:rPr>
          <w:rFonts w:ascii="Book Antiqua" w:eastAsia="Book Antiqua" w:hAnsi="Book Antiqua" w:cs="Book Antiqua"/>
          <w:color w:val="000000" w:themeColor="text1"/>
        </w:rPr>
        <w:t>ing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remains the most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popular tool to assess the progression and predict the prognosis of NSCLC patients. However, a number of indicators have been reported to be significantly associated with clinicopathological characteristics and survival of NSCLC patients in recent years, including many genetic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markers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5</w:t>
      </w:r>
      <w:r w:rsidR="00410322"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6]</w:t>
      </w:r>
      <w:r w:rsidRPr="00B41876">
        <w:rPr>
          <w:rFonts w:ascii="Book Antiqua" w:eastAsia="Book Antiqua" w:hAnsi="Book Antiqua" w:cs="Book Antiqua"/>
          <w:color w:val="000000" w:themeColor="text1"/>
        </w:rPr>
        <w:t>. Increasing evidence indicates that DNA repair genes can be used as predictive and prognostic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markers in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NSCLC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B41876">
        <w:rPr>
          <w:rFonts w:ascii="Book Antiqua" w:eastAsia="Book Antiqua" w:hAnsi="Book Antiqua" w:cs="Book Antiqua"/>
          <w:color w:val="000000" w:themeColor="text1"/>
        </w:rPr>
        <w:t>. Breast cancer susceptibility gene 1 (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>) is a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220</w:t>
      </w:r>
      <w:r w:rsidR="00BB0881">
        <w:rPr>
          <w:rFonts w:ascii="Book Antiqua" w:eastAsia="Book Antiqua" w:hAnsi="Book Antiqua" w:cs="Book Antiqua"/>
          <w:color w:val="000000" w:themeColor="text1"/>
        </w:rPr>
        <w:t>-</w:t>
      </w:r>
      <w:r w:rsidRPr="00B41876">
        <w:rPr>
          <w:rFonts w:ascii="Book Antiqua" w:eastAsia="Book Antiqua" w:hAnsi="Book Antiqua" w:cs="Book Antiqua"/>
          <w:color w:val="000000" w:themeColor="text1"/>
        </w:rPr>
        <w:t>kD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multifunctional nuclear phosphoprotein </w:t>
      </w:r>
      <w:r w:rsidR="00BB0881">
        <w:rPr>
          <w:rFonts w:ascii="Book Antiqua" w:eastAsia="Book Antiqua" w:hAnsi="Book Antiqua" w:cs="Book Antiqua"/>
          <w:color w:val="000000" w:themeColor="text1"/>
        </w:rPr>
        <w:t>that has a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vital role in DNA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repair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As a member of the DNA repair genes,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plays an important role in the pathway to repair fractured double-stranded DNA. It interacts with 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MRE1/RAD50/NBS1 complex which is related to homologous recombination repair and non-homologous recombination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repair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9]</w:t>
      </w:r>
      <w:r w:rsidRPr="00B41876">
        <w:rPr>
          <w:rFonts w:ascii="Book Antiqua" w:eastAsia="Book Antiqua" w:hAnsi="Book Antiqua" w:cs="Book Antiqua"/>
          <w:color w:val="000000" w:themeColor="text1"/>
        </w:rPr>
        <w:t>.</w:t>
      </w:r>
    </w:p>
    <w:p w14:paraId="1D66904F" w14:textId="00F51FAA" w:rsidR="00C927D7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>expresse</w:t>
      </w:r>
      <w:r w:rsidR="00BB0881">
        <w:rPr>
          <w:rFonts w:ascii="Book Antiqua" w:eastAsia="Book Antiqua" w:hAnsi="Book Antiqua" w:cs="Book Antiqua"/>
          <w:color w:val="000000" w:themeColor="text1"/>
        </w:rPr>
        <w:t>d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in about 40% of inherited b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reast cancers and more than 80% of inherited ovarian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cancers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B41876">
        <w:rPr>
          <w:rFonts w:ascii="Book Antiqua" w:eastAsia="Book Antiqua" w:hAnsi="Book Antiqua" w:cs="Book Antiqua"/>
          <w:color w:val="000000" w:themeColor="text1"/>
        </w:rPr>
        <w:t>. As for NSCLC, the pr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oportion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positive cases ranged from 13.1% to 66.7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%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11,12]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Meanwhile, several studies have explored the clinicopathological and prognostic significance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in NSCLC patients who received surgical therapy. Nevertheless, their results were inconclusive and inconvincible because of limited data. </w:t>
      </w:r>
    </w:p>
    <w:p w14:paraId="6C25A472" w14:textId="3218C15A" w:rsidR="00A77B3E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Therefore, we aimed to conduct the current meta-analysis to further investigate the correlation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with clinicopathological parameters and l</w:t>
      </w:r>
      <w:r w:rsidRPr="00B41876">
        <w:rPr>
          <w:rFonts w:ascii="Book Antiqua" w:eastAsia="Book Antiqua" w:hAnsi="Book Antiqua" w:cs="Book Antiqua"/>
          <w:color w:val="000000" w:themeColor="text1"/>
        </w:rPr>
        <w:t>ong-term outcomes in resected NSCLC.</w:t>
      </w:r>
    </w:p>
    <w:p w14:paraId="7ABE7089" w14:textId="77777777" w:rsidR="006B1BB9" w:rsidRPr="00B41876" w:rsidRDefault="006B1BB9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2288DF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MATERIALS AND METHODS</w:t>
      </w:r>
    </w:p>
    <w:p w14:paraId="76E9BCBC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Literature retrieval</w:t>
      </w:r>
    </w:p>
    <w:p w14:paraId="7FFA5D85" w14:textId="79D5782B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A systematic research was conducte</w:t>
      </w:r>
      <w:r w:rsidRPr="00B41876">
        <w:rPr>
          <w:rFonts w:ascii="Book Antiqua" w:eastAsia="Book Antiqua" w:hAnsi="Book Antiqua" w:cs="Book Antiqua"/>
          <w:color w:val="000000" w:themeColor="text1"/>
        </w:rPr>
        <w:t>d in EMBASE, Web of Science, Cochrane Library</w:t>
      </w:r>
      <w:r w:rsidR="00BB0881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PubMed for relevant studies published from the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 inception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of the databases to July 4, 2020 using the following terms: BRCA1, breast cancer susceptibility gene 1, breast cancer 1, lung, pulmonary, cancer, neoplasm, tumor</w:t>
      </w:r>
      <w:r w:rsidR="00BB0881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carcinoma. The specific search strategy was: (breast cancer susceptibility gene 1 OR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>) AND (l</w:t>
      </w:r>
      <w:r w:rsidRPr="00B41876">
        <w:rPr>
          <w:rFonts w:ascii="Book Antiqua" w:eastAsia="Book Antiqua" w:hAnsi="Book Antiqua" w:cs="Book Antiqua"/>
          <w:color w:val="000000" w:themeColor="text1"/>
        </w:rPr>
        <w:t>ung OR pulmonary) AND (tumor OR cancer OR carcinoma OR neoplasm). The references listed in the included articles were also reviewed for eligibility. The literature retrieval wa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s conducted by </w:t>
      </w:r>
      <w:r w:rsidR="00BB0881">
        <w:rPr>
          <w:rFonts w:ascii="Book Antiqua" w:eastAsia="Book Antiqua" w:hAnsi="Book Antiqua" w:cs="Book Antiqua"/>
          <w:color w:val="000000" w:themeColor="text1"/>
        </w:rPr>
        <w:t>two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independent authors (Gao </w:t>
      </w:r>
      <w:r w:rsidR="006B1BB9" w:rsidRPr="00B41876">
        <w:rPr>
          <w:rFonts w:ascii="Book Antiqua" w:eastAsia="Book Antiqua" w:hAnsi="Book Antiqua" w:cs="Book Antiqua"/>
          <w:color w:val="000000" w:themeColor="text1"/>
        </w:rPr>
        <w:t xml:space="preserve">Y </w:t>
      </w:r>
      <w:r w:rsidRPr="00B41876">
        <w:rPr>
          <w:rFonts w:ascii="Book Antiqua" w:eastAsia="Book Antiqua" w:hAnsi="Book Antiqua" w:cs="Book Antiqua"/>
          <w:color w:val="000000" w:themeColor="text1"/>
        </w:rPr>
        <w:t>and Luo</w:t>
      </w:r>
      <w:r w:rsidR="006B1BB9" w:rsidRPr="00B41876">
        <w:rPr>
          <w:rFonts w:ascii="Book Antiqua" w:eastAsia="Book Antiqua" w:hAnsi="Book Antiqua" w:cs="Book Antiqua"/>
          <w:color w:val="000000" w:themeColor="text1"/>
        </w:rPr>
        <w:t xml:space="preserve"> XD</w:t>
      </w:r>
      <w:r w:rsidRPr="00B41876">
        <w:rPr>
          <w:rFonts w:ascii="Book Antiqua" w:eastAsia="Book Antiqua" w:hAnsi="Book Antiqua" w:cs="Book Antiqua"/>
          <w:color w:val="000000" w:themeColor="text1"/>
        </w:rPr>
        <w:t>).</w:t>
      </w:r>
    </w:p>
    <w:p w14:paraId="75DFDCF6" w14:textId="77777777" w:rsidR="006B1BB9" w:rsidRPr="00B41876" w:rsidRDefault="006B1BB9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2E2C6CE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Inclusion and exclusion criteria</w:t>
      </w:r>
    </w:p>
    <w:p w14:paraId="554DBC45" w14:textId="79FB8D58" w:rsidR="006B1BB9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The inclusion criteria were as follows: (1) </w:t>
      </w:r>
      <w:r w:rsidR="00BB0881">
        <w:rPr>
          <w:rFonts w:ascii="Book Antiqua" w:eastAsia="Book Antiqua" w:hAnsi="Book Antiqua" w:cs="Book Antiqua"/>
          <w:color w:val="000000" w:themeColor="text1"/>
        </w:rPr>
        <w:t>P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atients 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who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were diagnosed with NSCLC pathologically and received surgical therapies; (2) articles 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that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assessed the correlation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with  prognosis; (3) the interest outcomes included overall survival (OS) or progression-free survival (PFS) with hazard ratios (HRs) and corresponding 95%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 confidence intervals (</w:t>
      </w:r>
      <w:r w:rsidRPr="00B41876">
        <w:rPr>
          <w:rFonts w:ascii="Book Antiqua" w:eastAsia="Book Antiqua" w:hAnsi="Book Antiqua" w:cs="Book Antiqua"/>
          <w:color w:val="000000" w:themeColor="text1"/>
        </w:rPr>
        <w:t>C</w:t>
      </w:r>
      <w:r w:rsidR="00A000E5">
        <w:rPr>
          <w:rFonts w:ascii="Book Antiqua" w:eastAsia="Book Antiqua" w:hAnsi="Book Antiqua" w:cs="Book Antiqua"/>
          <w:color w:val="000000" w:themeColor="text1"/>
        </w:rPr>
        <w:t>I</w:t>
      </w:r>
      <w:r w:rsidRPr="00B41876">
        <w:rPr>
          <w:rFonts w:ascii="Book Antiqua" w:eastAsia="Book Antiqua" w:hAnsi="Book Antiqua" w:cs="Book Antiqua"/>
          <w:color w:val="000000" w:themeColor="text1"/>
        </w:rPr>
        <w:t>s</w:t>
      </w:r>
      <w:r w:rsidR="00BB0881">
        <w:rPr>
          <w:rFonts w:ascii="Book Antiqua" w:eastAsia="Book Antiqua" w:hAnsi="Book Antiqua" w:cs="Book Antiqua"/>
          <w:color w:val="000000" w:themeColor="text1"/>
        </w:rPr>
        <w:t>)</w:t>
      </w:r>
      <w:r w:rsidRPr="00B41876">
        <w:rPr>
          <w:rFonts w:ascii="Book Antiqua" w:eastAsia="Book Antiqua" w:hAnsi="Book Antiqua" w:cs="Book Antiqua"/>
          <w:color w:val="000000" w:themeColor="text1"/>
        </w:rPr>
        <w:t>; (4) enough data like Kaplan-Meier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curves were provided to calculate the HRs with 95%CIs for OS or PFS when they were not reported directly; (5) articles were published in English with full-texts; </w:t>
      </w:r>
      <w:r w:rsidR="006B1BB9" w:rsidRPr="00B41876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B41876">
        <w:rPr>
          <w:rFonts w:ascii="Book Antiqua" w:eastAsia="Book Antiqua" w:hAnsi="Book Antiqua" w:cs="Book Antiqua"/>
          <w:color w:val="000000" w:themeColor="text1"/>
        </w:rPr>
        <w:t>(6) Newcastle–Ottawa scale score ≥</w:t>
      </w:r>
      <w:r w:rsidR="006B1BB9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6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Pr="00B41876">
        <w:rPr>
          <w:rFonts w:ascii="Book Antiqua" w:eastAsia="Book Antiqua" w:hAnsi="Book Antiqua" w:cs="Book Antiqua"/>
          <w:color w:val="000000" w:themeColor="text1"/>
        </w:rPr>
        <w:t>.</w:t>
      </w:r>
    </w:p>
    <w:p w14:paraId="61E908C7" w14:textId="426A5A56" w:rsidR="006B1BB9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The exclusion criteria we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re as follows: (1) </w:t>
      </w:r>
      <w:r w:rsidR="00BB0881">
        <w:rPr>
          <w:rFonts w:ascii="Book Antiqua" w:eastAsia="Book Antiqua" w:hAnsi="Book Antiqua" w:cs="Book Antiqua"/>
          <w:color w:val="000000" w:themeColor="text1"/>
        </w:rPr>
        <w:t>E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xpert </w:t>
      </w:r>
      <w:r w:rsidRPr="00B41876">
        <w:rPr>
          <w:rFonts w:ascii="Book Antiqua" w:eastAsia="Book Antiqua" w:hAnsi="Book Antiqua" w:cs="Book Antiqua"/>
          <w:color w:val="000000" w:themeColor="text1"/>
        </w:rPr>
        <w:t>opinions, reviews, meeting abstracts, letters, case reports</w:t>
      </w:r>
      <w:r w:rsidR="00BB0881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animal trials; (2) the HRs with 95%CIs could not be calculated because of the lack of relevant information; </w:t>
      </w:r>
      <w:r w:rsidR="006B1BB9" w:rsidRPr="00B41876">
        <w:rPr>
          <w:rFonts w:ascii="Book Antiqua" w:eastAsia="Book Antiqua" w:hAnsi="Book Antiqua" w:cs="Book Antiqua"/>
          <w:color w:val="000000" w:themeColor="text1"/>
        </w:rPr>
        <w:t xml:space="preserve">and </w:t>
      </w:r>
      <w:r w:rsidRPr="00B41876">
        <w:rPr>
          <w:rFonts w:ascii="Book Antiqua" w:eastAsia="Book Antiqua" w:hAnsi="Book Antiqua" w:cs="Book Antiqua"/>
          <w:color w:val="000000" w:themeColor="text1"/>
        </w:rPr>
        <w:t>(3) duplicated or overlapped studies.</w:t>
      </w:r>
    </w:p>
    <w:p w14:paraId="51B00C74" w14:textId="05186857" w:rsidR="00A77B3E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The literature selection was performed by </w:t>
      </w:r>
      <w:r w:rsidR="00BB0881">
        <w:rPr>
          <w:rFonts w:ascii="Book Antiqua" w:eastAsia="Book Antiqua" w:hAnsi="Book Antiqua" w:cs="Book Antiqua"/>
          <w:color w:val="000000" w:themeColor="text1"/>
        </w:rPr>
        <w:t>two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investigators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independently (Gao </w:t>
      </w:r>
      <w:r w:rsidR="006B1BB9" w:rsidRPr="00B41876">
        <w:rPr>
          <w:rFonts w:ascii="Book Antiqua" w:eastAsia="Book Antiqua" w:hAnsi="Book Antiqua" w:cs="Book Antiqua"/>
          <w:color w:val="000000" w:themeColor="text1"/>
        </w:rPr>
        <w:t xml:space="preserve">Y </w:t>
      </w:r>
      <w:r w:rsidRPr="00B41876">
        <w:rPr>
          <w:rFonts w:ascii="Book Antiqua" w:eastAsia="Book Antiqua" w:hAnsi="Book Antiqua" w:cs="Book Antiqua"/>
          <w:color w:val="000000" w:themeColor="text1"/>
        </w:rPr>
        <w:t>and Luo</w:t>
      </w:r>
      <w:r w:rsidR="006B1BB9" w:rsidRPr="00B41876">
        <w:rPr>
          <w:rFonts w:ascii="Book Antiqua" w:eastAsia="Book Antiqua" w:hAnsi="Book Antiqua" w:cs="Book Antiqua"/>
          <w:color w:val="000000" w:themeColor="text1"/>
        </w:rPr>
        <w:t xml:space="preserve"> XD</w:t>
      </w:r>
      <w:r w:rsidRPr="00B41876">
        <w:rPr>
          <w:rFonts w:ascii="Book Antiqua" w:eastAsia="Book Antiqua" w:hAnsi="Book Antiqua" w:cs="Book Antiqua"/>
          <w:color w:val="000000" w:themeColor="text1"/>
        </w:rPr>
        <w:t>).</w:t>
      </w:r>
    </w:p>
    <w:p w14:paraId="374F1098" w14:textId="77777777" w:rsidR="006B1BB9" w:rsidRPr="00B41876" w:rsidRDefault="006B1BB9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69DA94C1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Data extraction and quality assessment</w:t>
      </w:r>
    </w:p>
    <w:p w14:paraId="3BB4CA39" w14:textId="67EA9CC2" w:rsidR="00C1506D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The following information was extracted from each includ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ed study: </w:t>
      </w:r>
      <w:r w:rsidR="00BB0881">
        <w:rPr>
          <w:rFonts w:ascii="Book Antiqua" w:eastAsia="Book Antiqua" w:hAnsi="Book Antiqua" w:cs="Book Antiqua"/>
          <w:color w:val="000000" w:themeColor="text1"/>
        </w:rPr>
        <w:t>T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he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name </w:t>
      </w:r>
      <w:r w:rsidRPr="00B41876">
        <w:rPr>
          <w:rFonts w:ascii="Book Antiqua" w:eastAsia="Book Antiqua" w:hAnsi="Book Antiqua" w:cs="Book Antiqua"/>
          <w:color w:val="000000" w:themeColor="text1"/>
        </w:rPr>
        <w:t>of the first author, publication year, country, sample size, num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ber of patients with positive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DA7919">
        <w:rPr>
          <w:rFonts w:ascii="Book Antiqua" w:eastAsia="Book Antiqua" w:hAnsi="Book Antiqua" w:cs="Book Antiqua"/>
          <w:iCs/>
          <w:color w:val="000000" w:themeColor="text1"/>
        </w:rPr>
        <w:t xml:space="preserve"> </w:t>
      </w:r>
      <w:r w:rsidR="00DA7919">
        <w:rPr>
          <w:rFonts w:ascii="Book Antiqua" w:eastAsia="Book Antiqua" w:hAnsi="Book Antiqua" w:cs="Book Antiqua"/>
          <w:iCs/>
          <w:color w:val="000000" w:themeColor="text1"/>
        </w:rPr>
        <w:lastRenderedPageBreak/>
        <w:t>expression</w:t>
      </w:r>
      <w:r w:rsidRPr="00B41876">
        <w:rPr>
          <w:rFonts w:ascii="Book Antiqua" w:eastAsia="Book Antiqua" w:hAnsi="Book Antiqua" w:cs="Book Antiqua"/>
          <w:color w:val="000000" w:themeColor="text1"/>
        </w:rPr>
        <w:t>, TNM stage, end-point events, source of HR, HRs with corresponding 95%CIs</w:t>
      </w:r>
      <w:r w:rsidR="00BB0881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other necessary data to calculate the association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DA7919" w:rsidRPr="00DA791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expression with several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clinicopathological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parameters including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gender, age, tumor size, TN</w:t>
      </w:r>
      <w:r w:rsidRPr="00B41876">
        <w:rPr>
          <w:rFonts w:ascii="Book Antiqua" w:eastAsia="Book Antiqua" w:hAnsi="Book Antiqua" w:cs="Book Antiqua"/>
          <w:color w:val="000000" w:themeColor="text1"/>
        </w:rPr>
        <w:t>M stage, differentiation stat</w:t>
      </w:r>
      <w:r w:rsidRPr="00B41876">
        <w:rPr>
          <w:rFonts w:ascii="Book Antiqua" w:eastAsia="Book Antiqua" w:hAnsi="Book Antiqua" w:cs="Book Antiqua"/>
          <w:color w:val="000000" w:themeColor="text1"/>
        </w:rPr>
        <w:t>us</w:t>
      </w:r>
      <w:r w:rsidR="00BB0881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histological type.</w:t>
      </w:r>
    </w:p>
    <w:p w14:paraId="1A1B66A7" w14:textId="305D88D1" w:rsidR="00A77B3E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The quality of included studies was assessed using the Newcastle-Ottawa scale score and studies that earned a score of 6 or higher were regarded as high-quality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studies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B41876">
        <w:rPr>
          <w:rFonts w:ascii="Book Antiqua" w:eastAsia="Book Antiqua" w:hAnsi="Book Antiqua" w:cs="Book Antiqua"/>
          <w:color w:val="000000" w:themeColor="text1"/>
        </w:rPr>
        <w:t>.</w:t>
      </w:r>
    </w:p>
    <w:p w14:paraId="0F5677D2" w14:textId="77777777" w:rsidR="00C1506D" w:rsidRPr="00B41876" w:rsidRDefault="00C1506D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</w:p>
    <w:p w14:paraId="283DD2C9" w14:textId="2E8CBAA2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Statistical </w:t>
      </w:r>
      <w:r w:rsidR="00BB0881"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</w:t>
      </w:r>
      <w:r w:rsidR="00BB0881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i</w:t>
      </w:r>
      <w:r w:rsidR="00BB0881"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</w:t>
      </w:r>
    </w:p>
    <w:p w14:paraId="66CC3E40" w14:textId="7A0509D4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All statistical analyses were conducted using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STATA 12.0 software (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StataCorp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>, College Station, TX</w:t>
      </w:r>
      <w:r w:rsidR="00637219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U</w:t>
      </w:r>
      <w:r w:rsidR="00637219">
        <w:rPr>
          <w:rFonts w:ascii="Book Antiqua" w:eastAsia="Book Antiqua" w:hAnsi="Book Antiqua" w:cs="Book Antiqua"/>
          <w:color w:val="000000" w:themeColor="text1"/>
        </w:rPr>
        <w:t>nited States</w:t>
      </w:r>
      <w:r w:rsidRPr="00B41876">
        <w:rPr>
          <w:rFonts w:ascii="Book Antiqua" w:eastAsia="Book Antiqua" w:hAnsi="Book Antiqua" w:cs="Book Antiqua"/>
          <w:color w:val="000000" w:themeColor="text1"/>
        </w:rPr>
        <w:t>). T</w:t>
      </w:r>
      <w:r w:rsidRPr="00B41876">
        <w:rPr>
          <w:rFonts w:ascii="Book Antiqua" w:eastAsia="Book Antiqua" w:hAnsi="Book Antiqua" w:cs="Book Antiqua"/>
          <w:color w:val="000000" w:themeColor="text1"/>
        </w:rPr>
        <w:t>he relatio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with the clinicopathological characteristics and prognosis was assessed by the pooled relative ratios </w:t>
      </w:r>
      <w:r w:rsidR="00BB0881">
        <w:rPr>
          <w:rFonts w:ascii="Book Antiqua" w:eastAsia="Book Antiqua" w:hAnsi="Book Antiqua" w:cs="Book Antiqua"/>
          <w:color w:val="000000" w:themeColor="text1"/>
        </w:rPr>
        <w:t>or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HRs with 95%CIs. HRs with 95%CIs from multivariable models were used whenever available. If the articles did not report them directly, they would be estimated from the Kaplan-Meier curves using the method reported by Tierney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et </w:t>
      </w:r>
      <w:proofErr w:type="gram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The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-based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Q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-test and the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statistic were applied to calculate the heterogeneity among the included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studies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Pr="00B41876">
        <w:rPr>
          <w:rFonts w:ascii="Book Antiqua" w:eastAsia="Book Antiqua" w:hAnsi="Book Antiqua" w:cs="Book Antiqua"/>
          <w:color w:val="000000" w:themeColor="text1"/>
        </w:rPr>
        <w:t>. If there was significant heterogeneity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 (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C1506D"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C1506D" w:rsidRPr="00B41876">
        <w:rPr>
          <w:rFonts w:ascii="Book Antiqua" w:hAnsi="Book Antiqua" w:cs="Book Antiqua"/>
          <w:color w:val="000000" w:themeColor="text1"/>
          <w:lang w:eastAsia="zh-CN"/>
        </w:rPr>
        <w:t xml:space="preserve">&lt;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0.10 and/or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="00C1506D" w:rsidRPr="00B41876">
        <w:rPr>
          <w:rFonts w:ascii="Book Antiqua" w:hAnsi="Book Antiqua" w:cs="Book Antiqua"/>
          <w:color w:val="000000" w:themeColor="text1"/>
          <w:lang w:eastAsia="zh-CN"/>
        </w:rPr>
        <w:t xml:space="preserve"> &gt; </w:t>
      </w:r>
      <w:r w:rsidRPr="00B41876">
        <w:rPr>
          <w:rFonts w:ascii="Book Antiqua" w:eastAsia="Book Antiqua" w:hAnsi="Book Antiqua" w:cs="Book Antiqua"/>
          <w:color w:val="000000" w:themeColor="text1"/>
        </w:rPr>
        <w:t>50%</w:t>
      </w:r>
      <w:r w:rsidR="00BB0881">
        <w:rPr>
          <w:rFonts w:ascii="Book Antiqua" w:eastAsia="Book Antiqua" w:hAnsi="Book Antiqua" w:cs="Book Antiqua"/>
          <w:color w:val="000000" w:themeColor="text1"/>
        </w:rPr>
        <w:t>)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the 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>random</w:t>
      </w:r>
      <w:r w:rsidR="00BB0881">
        <w:rPr>
          <w:rFonts w:ascii="Book Antiqua" w:eastAsia="Book Antiqua" w:hAnsi="Book Antiqua" w:cs="Book Antiqua"/>
          <w:color w:val="000000" w:themeColor="text1"/>
        </w:rPr>
        <w:t>-</w:t>
      </w:r>
      <w:r w:rsidRPr="00B41876">
        <w:rPr>
          <w:rFonts w:ascii="Book Antiqua" w:eastAsia="Book Antiqua" w:hAnsi="Book Antiqua" w:cs="Book Antiqua"/>
          <w:color w:val="000000" w:themeColor="text1"/>
        </w:rPr>
        <w:t>effect</w:t>
      </w:r>
      <w:r w:rsidR="00BB0881">
        <w:rPr>
          <w:rFonts w:ascii="Book Antiqua" w:eastAsia="Book Antiqua" w:hAnsi="Book Antiqua" w:cs="Book Antiqua"/>
          <w:color w:val="000000" w:themeColor="text1"/>
        </w:rPr>
        <w:t>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mode</w:t>
      </w:r>
      <w:r w:rsidR="00BB0881">
        <w:rPr>
          <w:rFonts w:ascii="Book Antiqua" w:eastAsia="Book Antiqua" w:hAnsi="Book Antiqua" w:cs="Book Antiqua"/>
          <w:color w:val="000000" w:themeColor="text1"/>
        </w:rPr>
        <w:t>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was used; otherwise, the fixed-effect</w:t>
      </w:r>
      <w:r w:rsidR="00BB0881">
        <w:rPr>
          <w:rFonts w:ascii="Book Antiqua" w:eastAsia="Book Antiqua" w:hAnsi="Book Antiqua" w:cs="Book Antiqua"/>
          <w:color w:val="000000" w:themeColor="text1"/>
        </w:rPr>
        <w:t>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model was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used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16]</w:t>
      </w:r>
      <w:r w:rsidRPr="00B41876">
        <w:rPr>
          <w:rFonts w:ascii="Book Antiqua" w:eastAsia="Book Antiqua" w:hAnsi="Book Antiqua" w:cs="Book Antiqua"/>
          <w:color w:val="000000" w:themeColor="text1"/>
        </w:rPr>
        <w:t>. The stability of pooled results was assessed by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sensitivity analys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is. Potential publication bias was detected using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Begg’s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funnel plot and Egger’s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test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17]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A log-rank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value</w:t>
      </w:r>
      <w:r w:rsidR="00C1506D" w:rsidRPr="00B41876">
        <w:rPr>
          <w:rFonts w:ascii="Book Antiqua" w:hAnsi="Book Antiqua" w:cs="Book Antiqua"/>
          <w:color w:val="000000" w:themeColor="text1"/>
          <w:lang w:eastAsia="zh-CN"/>
        </w:rPr>
        <w:t xml:space="preserve"> &lt; </w:t>
      </w:r>
      <w:r w:rsidRPr="00B41876">
        <w:rPr>
          <w:rFonts w:ascii="Book Antiqua" w:eastAsia="Book Antiqua" w:hAnsi="Book Antiqua" w:cs="Book Antiqua"/>
          <w:color w:val="000000" w:themeColor="text1"/>
        </w:rPr>
        <w:t>0.05 was considered statistically significant.</w:t>
      </w:r>
    </w:p>
    <w:p w14:paraId="447CFB8C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CB0760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RESULTS</w:t>
      </w:r>
    </w:p>
    <w:p w14:paraId="4CE6955D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Characteristics of included studies</w:t>
      </w:r>
    </w:p>
    <w:p w14:paraId="44FCE00F" w14:textId="5BAB9E0A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As shown in Figure 1, initially 3609 records were identified through database searching. After removing the duplicates, 2836 records were left. Then 29 publications were reviewed with full-texts for eligibility after excluding 2807 irrelevant records. Finally, 11 articles involving 1041 patients were included in the meta-analysis 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[11,12,18-26]</w:t>
      </w:r>
      <w:r w:rsidRPr="00B41876">
        <w:rPr>
          <w:rFonts w:ascii="Book Antiqua" w:eastAsia="Book Antiqua" w:hAnsi="Book Antiqua" w:cs="Book Antiqua"/>
          <w:color w:val="000000" w:themeColor="text1"/>
        </w:rPr>
        <w:t>. The sample sizes ranged from 32 to 221 and the proportion of patient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s with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DA791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ex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pression ranged from 13.1% to 66.7%. Furthermore, </w:t>
      </w:r>
      <w:r w:rsidR="00F3109E" w:rsidRPr="00B41876">
        <w:rPr>
          <w:rFonts w:ascii="Book Antiqua" w:eastAsia="Book Antiqua" w:hAnsi="Book Antiqua" w:cs="Book Antiqua"/>
          <w:color w:val="000000" w:themeColor="text1"/>
        </w:rPr>
        <w:t xml:space="preserve">Gachechiladze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et </w:t>
      </w:r>
      <w:proofErr w:type="gram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F3109E"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F3109E"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performed subgroup analysis </w:t>
      </w: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>based on the TNM stage and provided sufficient data of the two groups, so we considered them as two studies during the process of statistical analyses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Other specific information </w:t>
      </w:r>
      <w:r w:rsidR="00BB0881">
        <w:rPr>
          <w:rFonts w:ascii="Book Antiqua" w:eastAsia="Book Antiqua" w:hAnsi="Book Antiqua" w:cs="Book Antiqua"/>
          <w:color w:val="000000" w:themeColor="text1"/>
        </w:rPr>
        <w:t>i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B41876">
        <w:rPr>
          <w:rFonts w:ascii="Book Antiqua" w:eastAsia="Book Antiqua" w:hAnsi="Book Antiqua" w:cs="Book Antiqua"/>
          <w:color w:val="000000" w:themeColor="text1"/>
        </w:rPr>
        <w:t>summarized in Table 1.</w:t>
      </w:r>
    </w:p>
    <w:p w14:paraId="1078E42D" w14:textId="77777777" w:rsidR="00F3109E" w:rsidRPr="00B41876" w:rsidRDefault="00F3109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42C8008" w14:textId="20942F42" w:rsidR="00A77B3E" w:rsidRPr="00B41876" w:rsidRDefault="00BB088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</w:t>
      </w:r>
      <w:r w:rsidR="00166BD1"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ssociation of BRCA1</w:t>
      </w:r>
      <w:r w:rsidR="00DA7919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166BD1"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expression with </w:t>
      </w:r>
      <w:proofErr w:type="spellStart"/>
      <w:r w:rsidR="00166BD1"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clinicopathological</w:t>
      </w:r>
      <w:proofErr w:type="spellEnd"/>
      <w:r w:rsidR="00166BD1"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parameters in patients with resected NSCLC</w:t>
      </w:r>
    </w:p>
    <w:p w14:paraId="2A3891EB" w14:textId="51BA3BEF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Based on the information provided by included studies, we explored the relationship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DA791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expression with gender, age (≥</w:t>
      </w:r>
      <w:r w:rsidR="00F3109E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60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109E" w:rsidRPr="00B41876">
        <w:rPr>
          <w:rFonts w:ascii="Book Antiqua" w:hAnsi="Book Antiqua" w:cs="Book Antiqua"/>
          <w:color w:val="000000" w:themeColor="text1"/>
          <w:lang w:eastAsia="zh-CN"/>
        </w:rPr>
        <w:t xml:space="preserve">&lt; </w:t>
      </w:r>
      <w:r w:rsidRPr="00B41876">
        <w:rPr>
          <w:rFonts w:ascii="Book Antiqua" w:eastAsia="Book Antiqua" w:hAnsi="Book Antiqua" w:cs="Book Antiqua"/>
          <w:color w:val="000000" w:themeColor="text1"/>
        </w:rPr>
        <w:t>60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 years</w:t>
      </w:r>
      <w:r w:rsidRPr="00B41876">
        <w:rPr>
          <w:rFonts w:ascii="Book Antiqua" w:eastAsia="Book Antiqua" w:hAnsi="Book Antiqua" w:cs="Book Antiqua"/>
          <w:color w:val="000000" w:themeColor="text1"/>
        </w:rPr>
        <w:t>), tumor size (</w:t>
      </w:r>
      <w:r w:rsidRPr="00DA7919">
        <w:rPr>
          <w:rFonts w:ascii="Book Antiqua" w:eastAsia="Book Antiqua" w:hAnsi="Book Antiqua" w:cs="Book Antiqua"/>
          <w:color w:val="000000" w:themeColor="text1"/>
        </w:rPr>
        <w:t>T3</w:t>
      </w:r>
      <w:r w:rsidR="00BB0881" w:rsidRPr="00DA7919">
        <w:rPr>
          <w:rFonts w:ascii="Book Antiqua" w:eastAsia="Book Antiqua" w:hAnsi="Book Antiqua" w:cs="Book Antiqua"/>
          <w:color w:val="000000" w:themeColor="text1"/>
        </w:rPr>
        <w:t>/</w:t>
      </w:r>
      <w:r w:rsidRPr="00DA7919">
        <w:rPr>
          <w:rFonts w:ascii="Book Antiqua" w:eastAsia="Book Antiqua" w:hAnsi="Book Antiqua" w:cs="Book Antiqua"/>
          <w:color w:val="000000" w:themeColor="text1"/>
        </w:rPr>
        <w:t xml:space="preserve">4 </w:t>
      </w:r>
      <w:r w:rsidRPr="00DA7919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Pr="00DA791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B0881" w:rsidRPr="00DA7919">
        <w:rPr>
          <w:rFonts w:ascii="Book Antiqua" w:eastAsia="Book Antiqua" w:hAnsi="Book Antiqua" w:cs="Book Antiqua"/>
          <w:color w:val="000000" w:themeColor="text1"/>
        </w:rPr>
        <w:t>T1/2</w:t>
      </w:r>
      <w:r w:rsidRPr="00B41876">
        <w:rPr>
          <w:rFonts w:ascii="Book Antiqua" w:eastAsia="Book Antiqua" w:hAnsi="Book Antiqua" w:cs="Book Antiqua"/>
          <w:color w:val="000000" w:themeColor="text1"/>
        </w:rPr>
        <w:t>), TNM stage (</w:t>
      </w:r>
      <w:r w:rsidR="00F3109E" w:rsidRPr="00B41876">
        <w:rPr>
          <w:rFonts w:ascii="Book Antiqua" w:eastAsia="Book Antiqua" w:hAnsi="Book Antiqua" w:cs="Book Antiqua"/>
          <w:color w:val="000000" w:themeColor="text1"/>
        </w:rPr>
        <w:t>IV</w:t>
      </w:r>
      <w:r w:rsidR="00BB0881">
        <w:rPr>
          <w:rFonts w:ascii="Book Antiqua" w:eastAsia="Book Antiqua" w:hAnsi="Book Antiqua" w:cs="Book Antiqua"/>
          <w:color w:val="000000" w:themeColor="text1"/>
        </w:rPr>
        <w:t>/</w:t>
      </w:r>
      <w:r w:rsidR="00F3109E" w:rsidRPr="00B41876">
        <w:rPr>
          <w:rFonts w:ascii="Book Antiqua" w:eastAsia="Book Antiqua" w:hAnsi="Book Antiqua" w:cs="Book Antiqua"/>
          <w:color w:val="000000" w:themeColor="text1"/>
        </w:rPr>
        <w:t>III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3109E" w:rsidRPr="00B41876">
        <w:rPr>
          <w:rFonts w:ascii="Book Antiqua" w:eastAsia="Book Antiqua" w:hAnsi="Book Antiqua" w:cs="Book Antiqua"/>
          <w:color w:val="000000" w:themeColor="text1"/>
        </w:rPr>
        <w:t>I</w:t>
      </w:r>
      <w:r w:rsidR="00BB0881">
        <w:rPr>
          <w:rFonts w:ascii="Book Antiqua" w:eastAsia="Book Antiqua" w:hAnsi="Book Antiqua" w:cs="Book Antiqua"/>
          <w:color w:val="000000" w:themeColor="text1"/>
        </w:rPr>
        <w:t>/</w:t>
      </w:r>
      <w:r w:rsidR="00F3109E" w:rsidRPr="00B41876">
        <w:rPr>
          <w:rFonts w:ascii="Book Antiqua" w:eastAsia="Book Antiqua" w:hAnsi="Book Antiqua" w:cs="Book Antiqua"/>
          <w:color w:val="000000" w:themeColor="text1"/>
        </w:rPr>
        <w:t>I</w:t>
      </w:r>
      <w:r w:rsidR="00BB0881">
        <w:rPr>
          <w:rFonts w:ascii="Book Antiqua" w:eastAsia="Book Antiqua" w:hAnsi="Book Antiqua" w:cs="Book Antiqua"/>
          <w:color w:val="000000" w:themeColor="text1"/>
        </w:rPr>
        <w:t>I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), histology (adenocarcinoma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squamous cell carcinoma), differentiation (poor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moderate</w:t>
      </w:r>
      <w:r w:rsidR="00BB0881">
        <w:rPr>
          <w:rFonts w:ascii="Book Antiqua" w:eastAsia="Book Antiqua" w:hAnsi="Book Antiqua" w:cs="Book Antiqua"/>
          <w:color w:val="000000" w:themeColor="text1"/>
        </w:rPr>
        <w:t>/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well). However, no significant association between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and these parameters was observed (Tabl</w:t>
      </w:r>
      <w:r w:rsidRPr="00B41876">
        <w:rPr>
          <w:rFonts w:ascii="Book Antiqua" w:eastAsia="Book Antiqua" w:hAnsi="Book Antiqua" w:cs="Book Antiqua"/>
          <w:color w:val="000000" w:themeColor="text1"/>
        </w:rPr>
        <w:t>e 2)</w:t>
      </w:r>
      <w:r w:rsidR="00F3109E" w:rsidRPr="00B41876">
        <w:rPr>
          <w:rFonts w:ascii="Book Antiqua" w:eastAsia="Book Antiqua" w:hAnsi="Book Antiqua" w:cs="Book Antiqua"/>
          <w:color w:val="000000" w:themeColor="text1"/>
        </w:rPr>
        <w:t>.</w:t>
      </w:r>
    </w:p>
    <w:p w14:paraId="114DDB8D" w14:textId="77777777" w:rsidR="00F3109E" w:rsidRPr="00B41876" w:rsidRDefault="00F3109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42A422" w14:textId="7C5A5EF0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Association between BRCA1 expression and OS</w:t>
      </w:r>
    </w:p>
    <w:p w14:paraId="329F9C4C" w14:textId="3CADC491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Tot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ally </w:t>
      </w:r>
      <w:r w:rsidR="00BB0881">
        <w:rPr>
          <w:rFonts w:ascii="Book Antiqua" w:eastAsia="Book Antiqua" w:hAnsi="Book Antiqua" w:cs="Book Antiqua"/>
          <w:color w:val="000000" w:themeColor="text1"/>
        </w:rPr>
        <w:t>ten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studies of 893 patients compared OS between 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-positive group and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>-negative group. The fixed-effects model was adopted because of the low heterogeneity (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= 0.0%,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D7F2A"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=</w:t>
      </w:r>
      <w:r w:rsidR="005D7F2A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0.794) among those studies included. The pooled HR was 1.60 </w:t>
      </w:r>
      <w:r w:rsidR="00BB0881">
        <w:rPr>
          <w:rFonts w:ascii="Book Antiqua" w:eastAsia="Book Antiqua" w:hAnsi="Book Antiqua" w:cs="Book Antiqua"/>
          <w:color w:val="000000" w:themeColor="text1"/>
        </w:rPr>
        <w:t>(</w:t>
      </w:r>
      <w:r w:rsidRPr="00B41876">
        <w:rPr>
          <w:rFonts w:ascii="Book Antiqua" w:eastAsia="Book Antiqua" w:hAnsi="Book Antiqua" w:cs="Book Antiqua"/>
          <w:color w:val="000000" w:themeColor="text1"/>
        </w:rPr>
        <w:t>95%CI: 1.25-2.05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D7F2A"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&lt;</w:t>
      </w:r>
      <w:r w:rsidR="005D7F2A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0.001), which indicated that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positive expression was an independent risk factor for OS of resected NSCLC patients (Figure 2</w:t>
      </w:r>
      <w:r w:rsidR="00D2761C" w:rsidRPr="00B41876">
        <w:rPr>
          <w:rFonts w:ascii="Book Antiqua" w:eastAsia="Book Antiqua" w:hAnsi="Book Antiqua" w:cs="Book Antiqua"/>
          <w:color w:val="000000" w:themeColor="text1"/>
        </w:rPr>
        <w:t>A</w:t>
      </w:r>
      <w:r w:rsidRPr="00B41876">
        <w:rPr>
          <w:rFonts w:ascii="Book Antiqua" w:eastAsia="Book Antiqua" w:hAnsi="Book Antiqua" w:cs="Book Antiqua"/>
          <w:color w:val="000000" w:themeColor="text1"/>
        </w:rPr>
        <w:t>). The results of subgroup analysis stratified by the country was similar with the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overall pooled results</w:t>
      </w:r>
      <w:r w:rsidR="005D7F2A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(Table 3)</w:t>
      </w:r>
      <w:r w:rsidR="005D7F2A" w:rsidRPr="00B41876">
        <w:rPr>
          <w:rFonts w:ascii="Book Antiqua" w:eastAsia="Book Antiqua" w:hAnsi="Book Antiqua" w:cs="Book Antiqua"/>
          <w:color w:val="000000" w:themeColor="text1"/>
        </w:rPr>
        <w:t>.</w:t>
      </w:r>
    </w:p>
    <w:p w14:paraId="66FA4D91" w14:textId="77777777" w:rsidR="005D7F2A" w:rsidRPr="00B41876" w:rsidRDefault="005D7F2A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03BD153" w14:textId="3A5CE8C5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Association between BRCA1 expression and disease-free survival</w:t>
      </w:r>
    </w:p>
    <w:p w14:paraId="01DA1C19" w14:textId="3F758809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In tot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al, </w:t>
      </w:r>
      <w:r w:rsidR="00BB0881">
        <w:rPr>
          <w:rFonts w:ascii="Book Antiqua" w:eastAsia="Book Antiqua" w:hAnsi="Book Antiqua" w:cs="Book Antiqua"/>
          <w:color w:val="000000" w:themeColor="text1"/>
        </w:rPr>
        <w:t>nine</w:t>
      </w:r>
      <w:r w:rsidR="00BB08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studies of 767 patients explored the impact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on the </w:t>
      </w:r>
      <w:r w:rsidR="005D7F2A" w:rsidRPr="00B41876">
        <w:rPr>
          <w:rFonts w:ascii="Book Antiqua" w:eastAsia="Book Antiqua" w:hAnsi="Book Antiqua" w:cs="Book Antiqua"/>
          <w:color w:val="000000" w:themeColor="text1"/>
        </w:rPr>
        <w:t>disease-free survival (DFS)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The patients with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negative expression had a significantly prolonged DFS compared to patients with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positive expression (HR = 1.78, 95%CI: 1.42-2.23,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5109D5" w:rsidRPr="00B41876">
        <w:rPr>
          <w:rFonts w:ascii="Book Antiqua" w:hAnsi="Book Antiqua" w:cs="Book Antiqua"/>
          <w:color w:val="000000" w:themeColor="text1"/>
          <w:lang w:eastAsia="zh-CN"/>
        </w:rPr>
        <w:t xml:space="preserve"> &lt; </w:t>
      </w:r>
      <w:r w:rsidRPr="00B41876">
        <w:rPr>
          <w:rFonts w:ascii="Book Antiqua" w:eastAsia="Book Antiqua" w:hAnsi="Book Antiqua" w:cs="Book Antiqua"/>
          <w:color w:val="000000" w:themeColor="text1"/>
        </w:rPr>
        <w:t>0.001) with no heterogeneity (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I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  <w:vertAlign w:val="superscript"/>
        </w:rPr>
        <w:t>2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= 0.0%,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P</w:t>
      </w:r>
      <w:r w:rsidR="005109D5"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= 0.781) (Figure </w:t>
      </w:r>
      <w:r w:rsidR="00D2761C" w:rsidRPr="00B41876">
        <w:rPr>
          <w:rFonts w:ascii="Book Antiqua" w:eastAsia="Book Antiqua" w:hAnsi="Book Antiqua" w:cs="Book Antiqua"/>
          <w:color w:val="000000" w:themeColor="text1"/>
        </w:rPr>
        <w:t>2B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). Subgroup analysis based on the country further verified </w:t>
      </w:r>
      <w:r w:rsidR="00BB088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above result </w:t>
      </w:r>
      <w:r w:rsidRPr="00B41876">
        <w:rPr>
          <w:rFonts w:ascii="Book Antiqua" w:eastAsia="Book Antiqua" w:hAnsi="Book Antiqua" w:cs="Book Antiqua"/>
          <w:color w:val="000000" w:themeColor="text1"/>
        </w:rPr>
        <w:t>(Table 3)</w:t>
      </w:r>
      <w:r w:rsidR="005109D5" w:rsidRPr="00B41876">
        <w:rPr>
          <w:rFonts w:ascii="Book Antiqua" w:eastAsia="Book Antiqua" w:hAnsi="Book Antiqua" w:cs="Book Antiqua"/>
          <w:color w:val="000000" w:themeColor="text1"/>
        </w:rPr>
        <w:t>.</w:t>
      </w:r>
    </w:p>
    <w:p w14:paraId="7766C9FD" w14:textId="77777777" w:rsidR="005109D5" w:rsidRPr="00B41876" w:rsidRDefault="005109D5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7748E60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Sensitivity analysis and publication bias</w:t>
      </w:r>
    </w:p>
    <w:p w14:paraId="3D86C18F" w14:textId="3CD9E199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 xml:space="preserve">The sensitivity analysis performed by excluding each study individually signified that the results of our meta-analysis were stable (Figure </w:t>
      </w:r>
      <w:r w:rsidR="001E52CE" w:rsidRPr="00B41876">
        <w:rPr>
          <w:rFonts w:ascii="Book Antiqua" w:eastAsia="Book Antiqua" w:hAnsi="Book Antiqua" w:cs="Book Antiqua"/>
          <w:color w:val="000000" w:themeColor="text1"/>
        </w:rPr>
        <w:t>3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). We conducted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Begg’s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funnel plot and Egger’s test to identify potential publication bias. As a result,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Begg’s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funnel plot was symmetrical (Figure </w:t>
      </w:r>
      <w:r w:rsidR="001E52CE" w:rsidRPr="00B41876">
        <w:rPr>
          <w:rFonts w:ascii="Book Antiqua" w:eastAsia="Book Antiqua" w:hAnsi="Book Antiqua" w:cs="Book Antiqua"/>
          <w:color w:val="000000" w:themeColor="text1"/>
        </w:rPr>
        <w:t>4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) and the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value for Egger’s test was 0.451, which both indicated that no significant publication bias existed.</w:t>
      </w:r>
    </w:p>
    <w:p w14:paraId="75BC5CC5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3FD8E4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6DE76E1B" w14:textId="043C10DC" w:rsidR="003925C5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The results of the current meta-analysis which summarized 11 studies involving 1041 patients showed that p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ositive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>w</w:t>
      </w:r>
      <w:r w:rsidR="00CC22AB">
        <w:rPr>
          <w:rFonts w:ascii="Book Antiqua" w:eastAsia="Book Antiqua" w:hAnsi="Book Antiqua" w:cs="Book Antiqua"/>
          <w:color w:val="000000" w:themeColor="text1"/>
        </w:rPr>
        <w:t>as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associated with</w:t>
      </w:r>
      <w:r w:rsidR="00CC22AB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shorter OS and DFS without regional disparities. The conclusion 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>w</w:t>
      </w:r>
      <w:r w:rsidR="00CC22AB">
        <w:rPr>
          <w:rFonts w:ascii="Book Antiqua" w:eastAsia="Book Antiqua" w:hAnsi="Book Antiqua" w:cs="Book Antiqua"/>
          <w:color w:val="000000" w:themeColor="text1"/>
        </w:rPr>
        <w:t>as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consistent with the results of the previous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studies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18,21,25,26]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status could serve as a novel indicator for the assessment of prognosis and formulation of therapy strategy </w:t>
      </w:r>
      <w:r w:rsidR="00CC22AB">
        <w:rPr>
          <w:rFonts w:ascii="Book Antiqua" w:eastAsia="Book Antiqua" w:hAnsi="Book Antiqua" w:cs="Book Antiqua"/>
          <w:color w:val="000000" w:themeColor="text1"/>
        </w:rPr>
        <w:t>for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resected NSCLC patients. No significant correlation between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and clinicopathological characteristics was observed in our study. However, more than half of included studies did not report the relation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with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clinicopathological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parameters including</w:t>
      </w:r>
      <w:r w:rsidR="00CC22A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gender, age, tumor size, TNM stage, histology type</w:t>
      </w:r>
      <w:r w:rsidR="00CC22AB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differentiation. </w:t>
      </w:r>
      <w:r w:rsidR="00CC22AB">
        <w:rPr>
          <w:rFonts w:ascii="Book Antiqua" w:eastAsia="Book Antiqua" w:hAnsi="Book Antiqua" w:cs="Book Antiqua"/>
          <w:color w:val="000000" w:themeColor="text1"/>
        </w:rPr>
        <w:t>Therefore</w:t>
      </w:r>
      <w:r w:rsidRPr="00B41876">
        <w:rPr>
          <w:rFonts w:ascii="Book Antiqua" w:eastAsia="Book Antiqua" w:hAnsi="Book Antiqua" w:cs="Book Antiqua"/>
          <w:color w:val="000000" w:themeColor="text1"/>
        </w:rPr>
        <w:t>, we believe that more in</w:t>
      </w:r>
      <w:r w:rsidRPr="00B41876">
        <w:rPr>
          <w:rFonts w:ascii="Book Antiqua" w:eastAsia="Book Antiqua" w:hAnsi="Book Antiqua" w:cs="Book Antiqua"/>
          <w:color w:val="000000" w:themeColor="text1"/>
        </w:rPr>
        <w:t>vestigations are still needed to further determine the association betw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een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status and these parameters.</w:t>
      </w:r>
    </w:p>
    <w:p w14:paraId="287ED607" w14:textId="2459B6FE" w:rsidR="00B4301D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Cellular DNA is continuously attacked by intracellular active substances and environmental factors. Toxicity and mutagenesis are minimized by different repair pathways. Approximately130 known human genes are involved during DNA repair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process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As a part of them, the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gene 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>w</w:t>
      </w:r>
      <w:r w:rsidR="00CC22AB">
        <w:rPr>
          <w:rFonts w:ascii="Book Antiqua" w:eastAsia="Book Antiqua" w:hAnsi="Book Antiqua" w:cs="Book Antiqua"/>
          <w:color w:val="000000" w:themeColor="text1"/>
        </w:rPr>
        <w:t>as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identified </w:t>
      </w:r>
      <w:r w:rsidR="00CC22AB">
        <w:rPr>
          <w:rFonts w:ascii="Book Antiqua" w:eastAsia="Book Antiqua" w:hAnsi="Book Antiqua" w:cs="Book Antiqua"/>
          <w:color w:val="000000" w:themeColor="text1"/>
        </w:rPr>
        <w:t>to have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normal cellular functions, such as replication, transcription regulation, cell cycle regulation</w:t>
      </w:r>
      <w:r w:rsidR="00CC22AB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higher chromatin hierarchical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control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Furthermore,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plays a crucial role in DNA damage response (DDR) through</w:t>
      </w:r>
      <w:r w:rsidR="00CC22AB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direct interaction with DD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R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proteins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</w:t>
      </w:r>
    </w:p>
    <w:p w14:paraId="15B4D602" w14:textId="06AC6E1B" w:rsidR="00F26086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mutation is known as a risk factor for breast and ovarian cancers. And breast cancer patients with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mutation account for 51% to 75% of all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cases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It has also been reported that prostate carcinomas with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positive expression showed </w:t>
      </w:r>
      <w:r w:rsidR="00CC22AB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high tumor proliferation index due to the cell-cycle regulation, and signified </w:t>
      </w:r>
      <w:r w:rsidR="00CC22AB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B41876">
        <w:rPr>
          <w:rFonts w:ascii="Book Antiqua" w:eastAsia="Book Antiqua" w:hAnsi="Book Antiqua" w:cs="Book Antiqua"/>
          <w:color w:val="000000" w:themeColor="text1"/>
        </w:rPr>
        <w:t>wor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se prognosis </w:t>
      </w: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>compared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to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negative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tumors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Although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mutations have not been found in NSCLC, the downregulation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mRNA and protein expression 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>w</w:t>
      </w:r>
      <w:r w:rsidR="00CC22AB">
        <w:rPr>
          <w:rFonts w:ascii="Book Antiqua" w:eastAsia="Book Antiqua" w:hAnsi="Book Antiqua" w:cs="Book Antiqua"/>
          <w:color w:val="000000" w:themeColor="text1"/>
        </w:rPr>
        <w:t>as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found in 30% of NSCLC</w:t>
      </w:r>
      <w:r w:rsidR="00CC22AB">
        <w:rPr>
          <w:rFonts w:ascii="Book Antiqua" w:eastAsia="Book Antiqua" w:hAnsi="Book Antiqua" w:cs="Book Antiqua"/>
          <w:color w:val="000000" w:themeColor="text1"/>
        </w:rPr>
        <w:t xml:space="preserve"> cases (</w:t>
      </w:r>
      <w:r w:rsidRPr="00B41876">
        <w:rPr>
          <w:rFonts w:ascii="Book Antiqua" w:eastAsia="Book Antiqua" w:hAnsi="Book Antiqua" w:cs="Book Antiqua"/>
          <w:color w:val="000000" w:themeColor="text1"/>
        </w:rPr>
        <w:t>mostly adenocarcinoma</w:t>
      </w:r>
      <w:proofErr w:type="gramStart"/>
      <w:r w:rsidR="00CC22AB">
        <w:rPr>
          <w:rFonts w:ascii="Book Antiqua" w:eastAsia="Book Antiqua" w:hAnsi="Book Antiqua" w:cs="Book Antiqua"/>
          <w:color w:val="000000" w:themeColor="text1"/>
        </w:rPr>
        <w:t>)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31]</w:t>
      </w:r>
      <w:r w:rsidRPr="00B41876">
        <w:rPr>
          <w:rFonts w:ascii="Book Antiqua" w:eastAsia="Book Antiqua" w:hAnsi="Book Antiqua" w:cs="Book Antiqua"/>
          <w:color w:val="000000" w:themeColor="text1"/>
        </w:rPr>
        <w:t>.</w:t>
      </w:r>
    </w:p>
    <w:p w14:paraId="78EB79EC" w14:textId="73910B97" w:rsidR="001D2A9C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One of the main targets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was the DNA damage-responsive gene </w:t>
      </w:r>
      <w:r w:rsidRPr="00A000E5">
        <w:rPr>
          <w:rFonts w:ascii="Book Antiqua" w:eastAsia="Book Antiqua" w:hAnsi="Book Antiqua" w:cs="Book Antiqua"/>
          <w:i/>
          <w:color w:val="000000" w:themeColor="text1"/>
        </w:rPr>
        <w:t>GADD45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Expression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could trigger apoptosis through the c-Jun N-terminal kinase/stress-activated protein kinase pathway (JNK/SAPK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)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which is activated by GADD45. Nevertheless, </w:t>
      </w:r>
      <w:r w:rsidR="00CC22AB">
        <w:rPr>
          <w:rFonts w:ascii="Book Antiqua" w:eastAsia="Book Antiqua" w:hAnsi="Book Antiqua" w:cs="Book Antiqua"/>
          <w:color w:val="000000" w:themeColor="text1"/>
        </w:rPr>
        <w:t>t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 xml:space="preserve">he </w:t>
      </w:r>
      <w:r w:rsidRPr="00B41876">
        <w:rPr>
          <w:rFonts w:ascii="Book Antiqua" w:eastAsia="Book Antiqua" w:hAnsi="Book Antiqua" w:cs="Book Antiqua"/>
          <w:color w:val="000000" w:themeColor="text1"/>
        </w:rPr>
        <w:t>JNK/SAPK path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way could mediate a physiological response to cisplatin-induced DNA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damage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33]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It was plausible that the absence of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incr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eased </w:t>
      </w:r>
      <w:r w:rsidR="00CC22AB">
        <w:rPr>
          <w:rFonts w:ascii="Book Antiqua" w:eastAsia="Book Antiqua" w:hAnsi="Book Antiqua" w:cs="Book Antiqua"/>
          <w:color w:val="000000" w:themeColor="text1"/>
        </w:rPr>
        <w:t>a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high sensitivity </w:t>
      </w:r>
      <w:r w:rsidR="00CC22AB">
        <w:rPr>
          <w:rFonts w:ascii="Book Antiqua" w:eastAsia="Book Antiqua" w:hAnsi="Book Antiqua" w:cs="Book Antiqua"/>
          <w:color w:val="000000" w:themeColor="text1"/>
        </w:rPr>
        <w:t xml:space="preserve">to </w:t>
      </w:r>
      <w:r w:rsidR="00CC22AB" w:rsidRPr="00B41876">
        <w:rPr>
          <w:rFonts w:ascii="Book Antiqua" w:eastAsia="Book Antiqua" w:hAnsi="Book Antiqua" w:cs="Book Antiqua"/>
          <w:color w:val="000000" w:themeColor="text1"/>
        </w:rPr>
        <w:t xml:space="preserve">cisplatin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and there was a survival advantage for </w:t>
      </w:r>
      <w:r w:rsidR="00391B81" w:rsidRPr="00B41876">
        <w:rPr>
          <w:rFonts w:ascii="Book Antiqua" w:eastAsia="Book Antiqua" w:hAnsi="Book Antiqua" w:cs="Book Antiqua"/>
          <w:color w:val="000000" w:themeColor="text1"/>
        </w:rPr>
        <w:t xml:space="preserve">patients </w:t>
      </w:r>
      <w:r w:rsidR="00391B81">
        <w:rPr>
          <w:rFonts w:ascii="Book Antiqua" w:eastAsia="Book Antiqua" w:hAnsi="Book Antiqua" w:cs="Book Antiqua"/>
          <w:color w:val="000000" w:themeColor="text1"/>
        </w:rPr>
        <w:t xml:space="preserve">with a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low level of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mRNA</w:t>
      </w:r>
      <w:r w:rsidR="00391B8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treated with platinum-based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drugs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34,35]</w:t>
      </w:r>
      <w:r w:rsidRPr="00B41876">
        <w:rPr>
          <w:rFonts w:ascii="Book Antiqua" w:eastAsia="Book Antiqua" w:hAnsi="Book Antiqua" w:cs="Book Antiqua"/>
          <w:color w:val="000000" w:themeColor="text1"/>
        </w:rPr>
        <w:t>, which was consistent with our conclusion.</w:t>
      </w:r>
    </w:p>
    <w:p w14:paraId="29C0BAB0" w14:textId="76E67180" w:rsidR="00666A7B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About the clinical significance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in NSCLC, there are still some fields which deserve further investigations. First of all, the inner mechanisms of the platinum-resistance in NSCLC patients with positive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are still not clear. It </w:t>
      </w:r>
      <w:r w:rsidR="00391B81">
        <w:rPr>
          <w:rFonts w:ascii="Book Antiqua" w:eastAsia="Book Antiqua" w:hAnsi="Book Antiqua" w:cs="Book Antiqua"/>
          <w:color w:val="000000" w:themeColor="text1"/>
        </w:rPr>
        <w:t>i</w:t>
      </w:r>
      <w:r w:rsidR="00391B81" w:rsidRPr="00B41876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necessary and valuable to seek more potent agents to reverse platinum resistance in platinum-resistant NSCLC patients. It has been published that curcumin may serve as a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chemosens</w:t>
      </w:r>
      <w:r w:rsidRPr="00B41876">
        <w:rPr>
          <w:rFonts w:ascii="Book Antiqua" w:eastAsia="Book Antiqua" w:hAnsi="Book Antiqua" w:cs="Book Antiqua"/>
          <w:color w:val="000000" w:themeColor="text1"/>
        </w:rPr>
        <w:t>itizer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to enhance cisplatin-induced proliferation inhibition and apoptosis of A549/cisplatin cells by inhibiting DNA repair in the FA/BRCA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pathway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B41876">
        <w:rPr>
          <w:rFonts w:ascii="Book Antiqua" w:eastAsia="Book Antiqua" w:hAnsi="Book Antiqua" w:cs="Book Antiqua"/>
          <w:color w:val="000000" w:themeColor="text1"/>
        </w:rPr>
        <w:t>, which is a DNA cross-link damage repair pathway that regulates cellular resistance to DNA cross-link agents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[37]</w:t>
      </w:r>
      <w:r w:rsidRPr="00B41876">
        <w:rPr>
          <w:rFonts w:ascii="Book Antiqua" w:eastAsia="Book Antiqua" w:hAnsi="Book Antiqua" w:cs="Book Antiqua"/>
          <w:color w:val="000000" w:themeColor="text1"/>
        </w:rPr>
        <w:t>. More rigorous and well-designed studies are warrant</w:t>
      </w:r>
      <w:r w:rsidR="00391B81">
        <w:rPr>
          <w:rFonts w:ascii="Book Antiqua" w:eastAsia="Book Antiqua" w:hAnsi="Book Antiqua" w:cs="Book Antiqua"/>
          <w:color w:val="000000" w:themeColor="text1"/>
        </w:rPr>
        <w:t>ed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to investigate the possibility and feasibility of agents to reverse platinum resistance. Second, as mentioned above, only five of included studies did not report the association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with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clinicopathological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characteristics, which led to</w:t>
      </w:r>
      <w:r w:rsidR="00391B81">
        <w:rPr>
          <w:rFonts w:ascii="Book Antiqua" w:eastAsia="Book Antiqua" w:hAnsi="Book Antiqua" w:cs="Book Antiqua"/>
          <w:color w:val="000000" w:themeColor="text1"/>
        </w:rPr>
        <w:t xml:space="preserve"> an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indistinct relationship between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and tumor development and progression in NSCLC. Third,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91B81">
        <w:rPr>
          <w:rFonts w:ascii="Book Antiqua" w:eastAsia="Book Antiqua" w:hAnsi="Book Antiqua" w:cs="Book Antiqua"/>
          <w:color w:val="000000" w:themeColor="text1"/>
        </w:rPr>
        <w:t xml:space="preserve">is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usually </w:t>
      </w:r>
      <w:r w:rsidR="00391B81" w:rsidRPr="00B41876">
        <w:rPr>
          <w:rFonts w:ascii="Book Antiqua" w:eastAsia="Book Antiqua" w:hAnsi="Book Antiqua" w:cs="Book Antiqua"/>
          <w:color w:val="000000" w:themeColor="text1"/>
        </w:rPr>
        <w:t>expresse</w:t>
      </w:r>
      <w:r w:rsidR="00391B81">
        <w:rPr>
          <w:rFonts w:ascii="Book Antiqua" w:eastAsia="Book Antiqua" w:hAnsi="Book Antiqua" w:cs="Book Antiqua"/>
          <w:color w:val="000000" w:themeColor="text1"/>
        </w:rPr>
        <w:t>d</w:t>
      </w:r>
      <w:r w:rsidR="00391B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in breast and ovarian </w:t>
      </w:r>
      <w:proofErr w:type="gramStart"/>
      <w:r w:rsidRPr="00B41876">
        <w:rPr>
          <w:rFonts w:ascii="Book Antiqua" w:eastAsia="Book Antiqua" w:hAnsi="Book Antiqua" w:cs="Book Antiqua"/>
          <w:color w:val="000000" w:themeColor="text1"/>
        </w:rPr>
        <w:t>cancers</w:t>
      </w:r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B41876">
        <w:rPr>
          <w:rFonts w:ascii="Book Antiqua" w:eastAsia="Book Antiqua" w:hAnsi="Book Antiqua" w:cs="Book Antiqua"/>
          <w:color w:val="000000" w:themeColor="text1"/>
          <w:vertAlign w:val="superscript"/>
        </w:rPr>
        <w:t>10]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so is there any difference in the clinical significance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between men and women?</w:t>
      </w:r>
    </w:p>
    <w:p w14:paraId="3B9E2E00" w14:textId="043F85CD" w:rsidR="00A77B3E" w:rsidRPr="00B41876" w:rsidRDefault="00166BD1" w:rsidP="00B41876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There were some limitations in our meta-analysis. First of all, only 11 studies with small sample sizes were included. Second, the methods (</w:t>
      </w:r>
      <w:r w:rsidR="00391B81">
        <w:rPr>
          <w:rFonts w:ascii="Book Antiqua" w:eastAsia="Book Antiqua" w:hAnsi="Book Antiqua" w:cs="Book Antiqua"/>
          <w:color w:val="000000" w:themeColor="text1"/>
        </w:rPr>
        <w:t>r</w:t>
      </w:r>
      <w:r w:rsidR="00391B81" w:rsidRPr="00B41876">
        <w:rPr>
          <w:rFonts w:ascii="Book Antiqua" w:eastAsia="Book Antiqua" w:hAnsi="Book Antiqua" w:cs="Book Antiqua"/>
          <w:color w:val="000000" w:themeColor="text1"/>
        </w:rPr>
        <w:t xml:space="preserve">everse </w:t>
      </w:r>
      <w:r w:rsidR="00BB0D18" w:rsidRPr="00B41876">
        <w:rPr>
          <w:rFonts w:ascii="Book Antiqua" w:eastAsia="Book Antiqua" w:hAnsi="Book Antiqua" w:cs="Book Antiqua"/>
          <w:color w:val="000000" w:themeColor="text1"/>
        </w:rPr>
        <w:t>transcription-polymerase chain reaction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</w:t>
      </w:r>
      <w:r w:rsidR="00753BFA" w:rsidRPr="00B41876">
        <w:rPr>
          <w:rFonts w:ascii="Book Antiqua" w:eastAsia="Book Antiqua" w:hAnsi="Book Antiqua" w:cs="Book Antiqua"/>
          <w:color w:val="000000" w:themeColor="text1"/>
        </w:rPr>
        <w:t>immunohistochemistry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) to calculate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were </w:t>
      </w: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>inconsistent in the studies involved. Lastly, we were unable to conduct subgroup analysis based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on age, sex</w:t>
      </w:r>
      <w:r w:rsidR="00391B81">
        <w:rPr>
          <w:rFonts w:ascii="Book Antiqua" w:eastAsia="Book Antiqua" w:hAnsi="Book Antiqua" w:cs="Book Antiqua"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and TNM stage due to the lack of original data.</w:t>
      </w:r>
    </w:p>
    <w:p w14:paraId="3E579B74" w14:textId="77777777" w:rsidR="00A77B3E" w:rsidRPr="00B41876" w:rsidRDefault="00A77B3E" w:rsidP="00B41876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41F388BB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36D154BC" w14:textId="5F57510F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In conclusion, the level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</w:t>
      </w:r>
      <w:r w:rsidR="00391B81">
        <w:rPr>
          <w:rFonts w:ascii="Book Antiqua" w:eastAsia="Book Antiqua" w:hAnsi="Book Antiqua" w:cs="Book Antiqua"/>
          <w:color w:val="000000" w:themeColor="text1"/>
        </w:rPr>
        <w:t>i</w:t>
      </w:r>
      <w:r w:rsidR="00391B81" w:rsidRPr="00B41876">
        <w:rPr>
          <w:rFonts w:ascii="Book Antiqua" w:eastAsia="Book Antiqua" w:hAnsi="Book Antiqua" w:cs="Book Antiqua"/>
          <w:color w:val="000000" w:themeColor="text1"/>
        </w:rPr>
        <w:t xml:space="preserve">s </w:t>
      </w:r>
      <w:r w:rsidRPr="00B41876">
        <w:rPr>
          <w:rFonts w:ascii="Book Antiqua" w:eastAsia="Book Antiqua" w:hAnsi="Book Antiqua" w:cs="Book Antiqua"/>
          <w:color w:val="000000" w:themeColor="text1"/>
        </w:rPr>
        <w:t>associated with</w:t>
      </w:r>
      <w:r w:rsidR="00391B81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poor prognosis in resected NSCLC.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may be a promising and independent prognostic factor in NSCLC. This information could be useful to cus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tomize the adjuvant chemotherapy for NSCLC patients who received surgical therapy. </w:t>
      </w:r>
    </w:p>
    <w:p w14:paraId="17AC923B" w14:textId="77777777" w:rsidR="00A77B3E" w:rsidRPr="00B41876" w:rsidRDefault="00A77B3E" w:rsidP="00B41876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</w:p>
    <w:p w14:paraId="5272A46B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 HIGHLIGHTS</w:t>
      </w:r>
    </w:p>
    <w:p w14:paraId="131A858D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i/>
          <w:color w:val="000000" w:themeColor="text1"/>
        </w:rPr>
        <w:t>Research background</w:t>
      </w:r>
    </w:p>
    <w:p w14:paraId="7B821C2E" w14:textId="33CDA3DE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The clinical role of breast cancer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susceptibility gene 1 (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>) expression in non-small cell lung cancer (NSCLC) patients undergoing surgery remains unclear.</w:t>
      </w:r>
    </w:p>
    <w:p w14:paraId="49800620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77C560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i/>
          <w:color w:val="000000" w:themeColor="text1"/>
        </w:rPr>
        <w:t>Research motivation</w:t>
      </w:r>
    </w:p>
    <w:p w14:paraId="40DBE637" w14:textId="01D7F1D2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This study explored the clinical value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in resected NSCLC patients.</w:t>
      </w:r>
    </w:p>
    <w:p w14:paraId="4F1BACDD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C36ECD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i/>
          <w:color w:val="000000" w:themeColor="text1"/>
        </w:rPr>
        <w:t>Research objectives</w:t>
      </w:r>
    </w:p>
    <w:p w14:paraId="2B7EAA7B" w14:textId="4C5EF753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This study aimed to explore the relation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with clinicopathological characteristics and survival in patients with resected NSCLC. </w:t>
      </w:r>
    </w:p>
    <w:p w14:paraId="355EFBD6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F021B4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i/>
          <w:color w:val="000000" w:themeColor="text1"/>
        </w:rPr>
        <w:t>Research methods</w:t>
      </w:r>
    </w:p>
    <w:p w14:paraId="7249AB83" w14:textId="6CA21F48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Several electronic databases were searched to identify </w:t>
      </w:r>
      <w:r w:rsidR="00391B8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relevant articles. The combined relative risks </w:t>
      </w:r>
      <w:r w:rsidR="00391B81">
        <w:rPr>
          <w:rFonts w:ascii="Book Antiqua" w:eastAsia="Book Antiqua" w:hAnsi="Book Antiqua" w:cs="Book Antiqua"/>
          <w:color w:val="000000" w:themeColor="text1"/>
        </w:rPr>
        <w:t>or</w:t>
      </w:r>
      <w:r w:rsidR="00391B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hazard ratios with their corresponding 95%CI</w:t>
      </w:r>
      <w:r w:rsidR="006B7792" w:rsidRPr="00B41876">
        <w:rPr>
          <w:rFonts w:ascii="Book Antiqua" w:hAnsi="Book Antiqua" w:cs="Book Antiqua"/>
          <w:color w:val="000000" w:themeColor="text1"/>
          <w:lang w:eastAsia="zh-CN"/>
        </w:rPr>
        <w:t>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were estimated. </w:t>
      </w:r>
    </w:p>
    <w:p w14:paraId="0F45B87A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C2EBC7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i/>
          <w:color w:val="000000" w:themeColor="text1"/>
        </w:rPr>
        <w:t>Research results</w:t>
      </w:r>
    </w:p>
    <w:p w14:paraId="50DBE165" w14:textId="13C0C406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The expression of the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F4017E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was significantly correlated with </w:t>
      </w:r>
      <w:r w:rsidR="00391B81">
        <w:rPr>
          <w:rFonts w:ascii="Book Antiqua" w:eastAsia="Book Antiqua" w:hAnsi="Book Antiqua" w:cs="Book Antiqua"/>
          <w:color w:val="000000" w:themeColor="text1"/>
        </w:rPr>
        <w:t xml:space="preserve">the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prognosis of resected NSCLC. </w:t>
      </w:r>
      <w:r w:rsidR="00391B81">
        <w:rPr>
          <w:rFonts w:ascii="Book Antiqua" w:eastAsia="Book Antiqua" w:hAnsi="Book Antiqua" w:cs="Book Antiqua"/>
          <w:color w:val="000000" w:themeColor="text1"/>
        </w:rPr>
        <w:t>P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ositive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signified </w:t>
      </w:r>
      <w:r w:rsidR="00391B81">
        <w:rPr>
          <w:rFonts w:ascii="Book Antiqua" w:eastAsia="Book Antiqua" w:hAnsi="Book Antiqua" w:cs="Book Antiqua"/>
          <w:color w:val="000000" w:themeColor="text1"/>
        </w:rPr>
        <w:t>a</w:t>
      </w:r>
      <w:r w:rsidR="00391B81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shorter overall survival and disease-free </w:t>
      </w: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 xml:space="preserve">survival. However, no significant association of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with any clinicopathological parameters was observed.</w:t>
      </w:r>
    </w:p>
    <w:p w14:paraId="1E62D110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FFB0AEF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i/>
          <w:color w:val="000000" w:themeColor="text1"/>
        </w:rPr>
        <w:t>Research conclusions</w:t>
      </w:r>
    </w:p>
    <w:p w14:paraId="6CDF4E89" w14:textId="77A6B882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expression indicated </w:t>
      </w:r>
      <w:r w:rsidR="00391B81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poor prognosis in resected NSCLC patients. </w:t>
      </w: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might serve as an independent biomarker to predict clinical outcomes and help to customize optimal adjuvant chemotherapy for NSCLC patients who received surgical therapy. </w:t>
      </w:r>
    </w:p>
    <w:p w14:paraId="4DD4C432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7797B0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i/>
          <w:color w:val="000000" w:themeColor="text1"/>
        </w:rPr>
        <w:t>Research perspectives</w:t>
      </w:r>
    </w:p>
    <w:p w14:paraId="65033FDC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could serve as a novel biomarker in resected NSCLC for the evaluation of prognosis and formulation of treatment strategy.</w:t>
      </w:r>
    </w:p>
    <w:p w14:paraId="2833CD14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64F3C00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08BDADA3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3"/>
      <w:r w:rsidRPr="00B41876">
        <w:rPr>
          <w:rFonts w:ascii="Book Antiqua" w:eastAsia="Book Antiqua" w:hAnsi="Book Antiqua" w:cs="Book Antiqua"/>
          <w:color w:val="000000" w:themeColor="text1"/>
        </w:rPr>
        <w:t xml:space="preserve">1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Sung H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Ferlay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J, Siegel RL,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Laversanne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Soerjomataram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I, Jemal A, Bray F. Global Cancer Statistics 2020: GLOBOCAN Estimates of Incidence and Mortality Worldwide for 36 Cancers in 185 Countries.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CA Cancer J Clin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2021;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71</w:t>
      </w:r>
      <w:r w:rsidRPr="00B41876">
        <w:rPr>
          <w:rFonts w:ascii="Book Antiqua" w:eastAsia="Book Antiqua" w:hAnsi="Book Antiqua" w:cs="Book Antiqua"/>
          <w:color w:val="000000" w:themeColor="text1"/>
        </w:rPr>
        <w:t>: 209-249 [PMID: 33538338 DOI: 10.3322/caac.21660]</w:t>
      </w:r>
    </w:p>
    <w:p w14:paraId="6FBAED53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Torre LA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Siegel RL, Jemal A. Lung Cancer Statistics.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Adv Exp Med Biol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893</w:t>
      </w:r>
      <w:r w:rsidRPr="00B41876">
        <w:rPr>
          <w:rFonts w:ascii="Book Antiqua" w:eastAsia="Book Antiqua" w:hAnsi="Book Antiqua" w:cs="Book Antiqua"/>
          <w:color w:val="000000" w:themeColor="text1"/>
        </w:rPr>
        <w:t>: 1-19 [PMID: 26667336 DOI: 10.1007/978-3-319-24223-1_1]</w:t>
      </w:r>
    </w:p>
    <w:p w14:paraId="712F824F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3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Thill PG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Goswami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P,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Berchem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Domon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B. Lung cancer statistics in Luxembourg from 1981 to 2008.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Bull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Soc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Sci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Med Grand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Duche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Luxemb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2011: 43-55 [PMID: 22272445]</w:t>
      </w:r>
    </w:p>
    <w:p w14:paraId="46A705F6" w14:textId="3D8A6EA8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4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Allemani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C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Matsuda T, Di Carlo V,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Harewood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Matz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Nikšić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Bonaventure A,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Valkov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Johnson CJ,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Estève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Ogunbiyi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OJ, Azevedo E Silva G, Chen WQ,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Eser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Engholm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G, Stiller CA,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Monnereau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A, Woods RR, Visser O, Lim GH, Aitken J, Weir HK, Coleman MP; CONCORD Working Group. Global surveillance of trends in cancer survival 2000-14 (CONCORD-3): analysis of individual records for 37</w:t>
      </w:r>
      <w:r w:rsidRPr="00B41876">
        <w:rPr>
          <w:rFonts w:ascii="MS Gothic" w:eastAsia="MS Gothic" w:hAnsi="MS Gothic" w:cs="MS Gothic" w:hint="eastAsia"/>
          <w:color w:val="000000" w:themeColor="text1"/>
        </w:rPr>
        <w:t> </w:t>
      </w:r>
      <w:r w:rsidRPr="00B41876">
        <w:rPr>
          <w:rFonts w:ascii="Book Antiqua" w:eastAsia="Book Antiqua" w:hAnsi="Book Antiqua" w:cs="Book Antiqua"/>
          <w:color w:val="000000" w:themeColor="text1"/>
        </w:rPr>
        <w:t>513</w:t>
      </w:r>
      <w:r w:rsidRPr="00B41876">
        <w:rPr>
          <w:rFonts w:ascii="MS Gothic" w:eastAsia="MS Gothic" w:hAnsi="MS Gothic" w:cs="MS Gothic" w:hint="eastAsia"/>
          <w:color w:val="000000" w:themeColor="text1"/>
        </w:rPr>
        <w:t> 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025 patients diagnosed with one of 18 cancers from 322 population-based registries in 71 countries.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Lancet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2018;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391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: 1023-1075 [PMID: 29395269 DOI: </w:t>
      </w:r>
      <w:r w:rsidR="00033255" w:rsidRPr="00B41876">
        <w:rPr>
          <w:rFonts w:ascii="Book Antiqua" w:eastAsia="Book Antiqua" w:hAnsi="Book Antiqua" w:cs="Book Antiqua"/>
          <w:color w:val="000000" w:themeColor="text1"/>
        </w:rPr>
        <w:t>10.1016/S0140-6736(17)33326-3</w:t>
      </w:r>
      <w:r w:rsidRPr="00B41876">
        <w:rPr>
          <w:rFonts w:ascii="Book Antiqua" w:eastAsia="Book Antiqua" w:hAnsi="Book Antiqua" w:cs="Book Antiqua"/>
          <w:color w:val="000000" w:themeColor="text1"/>
        </w:rPr>
        <w:t>]</w:t>
      </w:r>
    </w:p>
    <w:p w14:paraId="109C928D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 xml:space="preserve">5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Parmigiani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G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Garrett-Mayer ES,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Anbazhagan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Gabrielson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E. A cross-study comparison of gene expression studies for the molecular classification of lung cancer.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Clin Cancer Res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2004;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B41876">
        <w:rPr>
          <w:rFonts w:ascii="Book Antiqua" w:eastAsia="Book Antiqua" w:hAnsi="Book Antiqua" w:cs="Book Antiqua"/>
          <w:color w:val="000000" w:themeColor="text1"/>
        </w:rPr>
        <w:t>: 2922-2927 [PMID: 15131026 DOI: 10.1158/1078-0432.ccr-03-0490]</w:t>
      </w:r>
    </w:p>
    <w:p w14:paraId="61AED914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6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Potti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Mukherjee S, Petersen R,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Dressman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HK,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Bild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A, Koontz 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Kratzke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R, Watson MA, Kelley M, Ginsburg GS, West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Harpole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DH Jr, Nevins JR. A genomic strategy to refine prognosis in early-stage non-small-cell lung cancer.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N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Engl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J Med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2006;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355</w:t>
      </w:r>
      <w:r w:rsidRPr="00B41876">
        <w:rPr>
          <w:rFonts w:ascii="Book Antiqua" w:eastAsia="Book Antiqua" w:hAnsi="Book Antiqua" w:cs="Book Antiqua"/>
          <w:color w:val="000000" w:themeColor="text1"/>
        </w:rPr>
        <w:t>: 570-580 [PMID: 16899777 DOI: 10.1056/NEJMoa060467]</w:t>
      </w:r>
    </w:p>
    <w:p w14:paraId="0BCAB467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7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Cobo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M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Isla D,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Massuti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B, Montes A, Sanchez JM,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Provencio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Viñolas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N, Paz-Ares L, Lopez-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Vivanco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G, Muñoz MA,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Felip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Alberola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V, Camps C, Domine M, Sanchez JJ, Sanchez-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Ronco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Danenberg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K, Taron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Gandara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D,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Rosell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R. Customizing cisplatin based on quantitative excision repair cross-complementing 1 mRNA expression: a phase III trial in non-small-cell lung cancer.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J Clin Oncol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2007;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B41876">
        <w:rPr>
          <w:rFonts w:ascii="Book Antiqua" w:eastAsia="Book Antiqua" w:hAnsi="Book Antiqua" w:cs="Book Antiqua"/>
          <w:color w:val="000000" w:themeColor="text1"/>
        </w:rPr>
        <w:t>: 2747-2754 [PMID: 17602080 DOI: 10.1200/jco.2006.09.7915]</w:t>
      </w:r>
    </w:p>
    <w:p w14:paraId="7A77889D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8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Rosen EM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Fan S, Isaacs C. BRCA1 in hormonal carcinogenesis: basic and clinical research.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Endocr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Relat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Cancer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2005;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Pr="00B41876">
        <w:rPr>
          <w:rFonts w:ascii="Book Antiqua" w:eastAsia="Book Antiqua" w:hAnsi="Book Antiqua" w:cs="Book Antiqua"/>
          <w:color w:val="000000" w:themeColor="text1"/>
        </w:rPr>
        <w:t>: 533-548 [PMID: 16172191 DOI: 10.1677/erc.1.00972]</w:t>
      </w:r>
    </w:p>
    <w:p w14:paraId="56C0EDE3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9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Kennedy RD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Quinn JE, Mullan PB, Johnston PG, Harkin DP. The role of BRCA1 in the cellular response to chemotherapy.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J Natl Cancer Inst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2004;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96</w:t>
      </w:r>
      <w:r w:rsidRPr="00B41876">
        <w:rPr>
          <w:rFonts w:ascii="Book Antiqua" w:eastAsia="Book Antiqua" w:hAnsi="Book Antiqua" w:cs="Book Antiqua"/>
          <w:color w:val="000000" w:themeColor="text1"/>
        </w:rPr>
        <w:t>: 1659-1668 [PMID: 15547178 DOI: 10.1093/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jnci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>/djh312]</w:t>
      </w:r>
    </w:p>
    <w:p w14:paraId="42730B3C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10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Karami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F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Mehdipour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P. A comprehensive focus on global spectrum of BRCA1 and BRCA2 mutations in breast cancer.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Biomed Res Int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2013</w:t>
      </w:r>
      <w:r w:rsidRPr="00B41876">
        <w:rPr>
          <w:rFonts w:ascii="Book Antiqua" w:eastAsia="Book Antiqua" w:hAnsi="Book Antiqua" w:cs="Book Antiqua"/>
          <w:color w:val="000000" w:themeColor="text1"/>
        </w:rPr>
        <w:t>: 928562 [PMID: 24312913 DOI: 10.1155/2013/928562]</w:t>
      </w:r>
    </w:p>
    <w:p w14:paraId="5282DA9B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11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Bartolucci 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Wei J, Sanchez JJ, Perez-Roca L,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Chaib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I, Puma F,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Farabi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R, Mendez P,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Roila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F, Okamoto T, Taron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Rosell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R. XPG mRNA expression levels modulate prognosis in resected non-small-cell lung cancer in conjunction with BRCA1 and ERCC1 expression.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Clin Lung Cancer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2009;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B41876">
        <w:rPr>
          <w:rFonts w:ascii="Book Antiqua" w:eastAsia="Book Antiqua" w:hAnsi="Book Antiqua" w:cs="Book Antiqua"/>
          <w:color w:val="000000" w:themeColor="text1"/>
        </w:rPr>
        <w:t>: 47-52 [PMID: 19289372 DOI: 10.3816/CLC.2009.n.007]</w:t>
      </w:r>
    </w:p>
    <w:p w14:paraId="01095609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12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Huang ZL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Cao X, Luo RZ, Chen YF, Zhu LC, Wen Z. Analysis of ERCC1, BRCA1, RRM1 and TUBB3 as predictors of prognosis in patients with non-small cell lung cancer </w:t>
      </w: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 xml:space="preserve">who received cisplatin-based adjuvant chemotherapy: A prospective study.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Oncol Lett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11</w:t>
      </w:r>
      <w:r w:rsidRPr="00B41876">
        <w:rPr>
          <w:rFonts w:ascii="Book Antiqua" w:eastAsia="Book Antiqua" w:hAnsi="Book Antiqua" w:cs="Book Antiqua"/>
          <w:color w:val="000000" w:themeColor="text1"/>
        </w:rPr>
        <w:t>: 299-305 [PMID: 26870207 DOI: 10.3892/ol.2015.3894]</w:t>
      </w:r>
    </w:p>
    <w:p w14:paraId="5E36560F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13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Stang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Critical evaluation of the Newcastle-Ottawa scale for the assessment of the quality of nonrandomized studies in meta-analyses.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Eur J Epidemiol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25</w:t>
      </w:r>
      <w:r w:rsidRPr="00B41876">
        <w:rPr>
          <w:rFonts w:ascii="Book Antiqua" w:eastAsia="Book Antiqua" w:hAnsi="Book Antiqua" w:cs="Book Antiqua"/>
          <w:color w:val="000000" w:themeColor="text1"/>
        </w:rPr>
        <w:t>: 603-605 [PMID: 20652370 DOI: 10.1007/s10654-010-9491-z]</w:t>
      </w:r>
    </w:p>
    <w:p w14:paraId="65905F88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14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Tierney JF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Stewart LA,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Ghersi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D, Burdett S,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Sydes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MR. Practical methods for incorporating summary time-to-event data into meta-analysis.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Trials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2007;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B41876">
        <w:rPr>
          <w:rFonts w:ascii="Book Antiqua" w:eastAsia="Book Antiqua" w:hAnsi="Book Antiqua" w:cs="Book Antiqua"/>
          <w:color w:val="000000" w:themeColor="text1"/>
        </w:rPr>
        <w:t>: 16 [PMID: 17555582 DOI: 10.1186/1745-6215-8-16]</w:t>
      </w:r>
    </w:p>
    <w:p w14:paraId="6EADC0CA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15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Lau J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Ioannidis JP, Schmid CH. Quantitative synthesis in systematic reviews.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Ann Intern Med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1997;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127</w:t>
      </w:r>
      <w:r w:rsidRPr="00B41876">
        <w:rPr>
          <w:rFonts w:ascii="Book Antiqua" w:eastAsia="Book Antiqua" w:hAnsi="Book Antiqua" w:cs="Book Antiqua"/>
          <w:color w:val="000000" w:themeColor="text1"/>
        </w:rPr>
        <w:t>: 820-826 [PMID: 9382404 DOI: 10.7326/0003-4819-127-9-199711010-00008]</w:t>
      </w:r>
    </w:p>
    <w:p w14:paraId="1ACA042A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16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Zintzaras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Ioannidis JP. HEGESMA: genome search meta-analysis and heterogeneity testing.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Bioinformatics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2005;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B41876">
        <w:rPr>
          <w:rFonts w:ascii="Book Antiqua" w:eastAsia="Book Antiqua" w:hAnsi="Book Antiqua" w:cs="Book Antiqua"/>
          <w:color w:val="000000" w:themeColor="text1"/>
        </w:rPr>
        <w:t>: 3672-3673 [PMID: 15955784 DOI: 10.1093/bioinformatics/bti536]</w:t>
      </w:r>
    </w:p>
    <w:p w14:paraId="530E7F9F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17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Peters JL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Sutton AJ, Jones DR, Abrams KR, Rushton L. Comparison of two methods to detect publication bias in meta-analysis.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JAMA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2006;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295</w:t>
      </w:r>
      <w:r w:rsidRPr="00B41876">
        <w:rPr>
          <w:rFonts w:ascii="Book Antiqua" w:eastAsia="Book Antiqua" w:hAnsi="Book Antiqua" w:cs="Book Antiqua"/>
          <w:color w:val="000000" w:themeColor="text1"/>
        </w:rPr>
        <w:t>: 676-680 [PMID: 16467236 DOI: 10.1001/jama.295.6.676]</w:t>
      </w:r>
    </w:p>
    <w:p w14:paraId="6E42D1B9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18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Rosell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Skrzypski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Jassem E, Taron M, Bartolucci R, Sanchez JJ, Mendez P,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Chaib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I, Perez-Roca L,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Szymanowska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Rzyman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W, Puma F,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Kobierska-Gulida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G,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Farabi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R, Jassem J. BRCA1: a novel prognostic factor in resected non-small-cell lung cancer.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PLoS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One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2007;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2</w:t>
      </w:r>
      <w:r w:rsidRPr="00B41876">
        <w:rPr>
          <w:rFonts w:ascii="Book Antiqua" w:eastAsia="Book Antiqua" w:hAnsi="Book Antiqua" w:cs="Book Antiqua"/>
          <w:color w:val="000000" w:themeColor="text1"/>
        </w:rPr>
        <w:t>: e1129 [PMID: 17987116 DOI: 10.1371/journal.pone.0001129]</w:t>
      </w:r>
    </w:p>
    <w:p w14:paraId="147493AE" w14:textId="7A7DB496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19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>Ma J</w:t>
      </w:r>
      <w:r w:rsidRPr="00B41876">
        <w:rPr>
          <w:rFonts w:ascii="Book Antiqua" w:eastAsia="Book Antiqua" w:hAnsi="Book Antiqua" w:cs="Book Antiqua"/>
          <w:color w:val="000000" w:themeColor="text1"/>
          <w:highlight w:val="yellow"/>
        </w:rPr>
        <w:t>.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  <w:highlight w:val="yellow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  <w:highlight w:val="yellow"/>
        </w:rPr>
        <w:t>Expression of ERCC1, BRCA1, β-tubulin</w:t>
      </w:r>
      <w:r w:rsidR="00FB0784" w:rsidRPr="00B41876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III</w:t>
      </w:r>
      <w:r w:rsidRPr="00B41876">
        <w:rPr>
          <w:rFonts w:ascii="Book Antiqua" w:eastAsia="Book Antiqua" w:hAnsi="Book Antiqua" w:cs="Book Antiqua"/>
          <w:color w:val="000000" w:themeColor="text1"/>
          <w:highlight w:val="yellow"/>
        </w:rPr>
        <w:t>, RRM1 and Clinical Response to Adjuvant Chemotherapy in Completely Resected Staged</w:t>
      </w:r>
      <w:r w:rsidR="00FB0784" w:rsidRPr="00B41876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III </w:t>
      </w:r>
      <w:r w:rsidRPr="00B41876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A-N2 Non-Small-Cell Lung Cancer. </w:t>
      </w:r>
      <w:r w:rsidR="00FE67B7" w:rsidRPr="00B41876">
        <w:rPr>
          <w:rFonts w:ascii="Book Antiqua" w:hAnsi="Book Antiqua"/>
          <w:bCs/>
          <w:color w:val="000000" w:themeColor="text1"/>
          <w:highlight w:val="yellow"/>
        </w:rPr>
        <w:t>M.Sc. Thesis,</w:t>
      </w:r>
      <w:r w:rsidRPr="00B41876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Zhongshan University</w:t>
      </w:r>
      <w:r w:rsidR="00FE67B7" w:rsidRPr="00B41876">
        <w:rPr>
          <w:rFonts w:ascii="Book Antiqua" w:eastAsia="Book Antiqua" w:hAnsi="Book Antiqua" w:cs="Book Antiqua"/>
          <w:color w:val="000000" w:themeColor="text1"/>
          <w:highlight w:val="yellow"/>
        </w:rPr>
        <w:t>.</w:t>
      </w:r>
      <w:r w:rsidRPr="00B41876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2010</w:t>
      </w:r>
      <w:r w:rsidR="00637219">
        <w:rPr>
          <w:rFonts w:ascii="Book Antiqua" w:eastAsia="Book Antiqua" w:hAnsi="Book Antiqua" w:cs="Book Antiqua"/>
          <w:color w:val="000000" w:themeColor="text1"/>
          <w:highlight w:val="yellow"/>
        </w:rPr>
        <w:t>.</w:t>
      </w:r>
      <w:r w:rsidR="00FE67B7" w:rsidRPr="00B41876">
        <w:rPr>
          <w:rFonts w:ascii="Book Antiqua" w:eastAsia="Book Antiqua" w:hAnsi="Book Antiqua" w:cs="Book Antiqua"/>
          <w:color w:val="000000" w:themeColor="text1"/>
          <w:highlight w:val="yellow"/>
        </w:rPr>
        <w:t xml:space="preserve"> </w:t>
      </w:r>
      <w:r w:rsidR="00FE67B7" w:rsidRPr="00B41876">
        <w:rPr>
          <w:rFonts w:ascii="Book Antiqua" w:hAnsi="Book Antiqua"/>
          <w:bCs/>
          <w:color w:val="000000" w:themeColor="text1"/>
          <w:highlight w:val="yellow"/>
        </w:rPr>
        <w:t xml:space="preserve">Available from: </w:t>
      </w:r>
      <w:r w:rsidR="00FE67B7" w:rsidRPr="00B41876">
        <w:rPr>
          <w:rFonts w:ascii="Book Antiqua" w:eastAsia="Book Antiqua" w:hAnsi="Book Antiqua" w:cs="Book Antiqua"/>
          <w:color w:val="000000" w:themeColor="text1"/>
          <w:highlight w:val="yellow"/>
        </w:rPr>
        <w:t>https://d.wanfangdata.com.cn/thesis/Y1691870</w:t>
      </w:r>
    </w:p>
    <w:p w14:paraId="57523C39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20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Leng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XF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Chen MW, Xian L, Dai L, Ma GY, Li MH. Combined analysis of mRNA expression of ERCC1, BAG-1, BRCA1, RRM1 and TUBB3 to predict prognosis in patients with non-small cell lung cancer who received adjuvant chemotherapy.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J Exp Clin Cancer Res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2012;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31</w:t>
      </w:r>
      <w:r w:rsidRPr="00B41876">
        <w:rPr>
          <w:rFonts w:ascii="Book Antiqua" w:eastAsia="Book Antiqua" w:hAnsi="Book Antiqua" w:cs="Book Antiqua"/>
          <w:color w:val="000000" w:themeColor="text1"/>
        </w:rPr>
        <w:t>: 25 [PMID: 22439756 DOI: 10.1186/1756-9966-31-25]</w:t>
      </w:r>
    </w:p>
    <w:p w14:paraId="08DD3186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 xml:space="preserve">21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Gachechiladze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M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Uberall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I,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Kolek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V, Klein 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Krejci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Stastna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Radova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L,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Fridman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Skarda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J. Correlation between BRCA1 expression and clinicopathological factors including brain metastases in patients with non-small-cell lung cancer.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Biomed Pap Med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Fac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Univ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Palacky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Olomouc Czech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Repub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2013;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157</w:t>
      </w:r>
      <w:r w:rsidRPr="00B41876">
        <w:rPr>
          <w:rFonts w:ascii="Book Antiqua" w:eastAsia="Book Antiqua" w:hAnsi="Book Antiqua" w:cs="Book Antiqua"/>
          <w:color w:val="000000" w:themeColor="text1"/>
        </w:rPr>
        <w:t>: 227-232 [PMID: 23128816 DOI: 10.5507/bp.2012.099]</w:t>
      </w:r>
    </w:p>
    <w:p w14:paraId="28C19ADA" w14:textId="0F769763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22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Yu J</w:t>
      </w:r>
      <w:r w:rsidR="00C03D3D" w:rsidRPr="00B41876">
        <w:rPr>
          <w:rFonts w:ascii="Book Antiqua" w:eastAsia="Book Antiqua" w:hAnsi="Book Antiqua" w:cs="Book Antiqua"/>
          <w:b/>
          <w:bCs/>
          <w:color w:val="000000" w:themeColor="text1"/>
        </w:rPr>
        <w:t>J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Zhu L</w:t>
      </w:r>
      <w:r w:rsidR="00C03D3D" w:rsidRPr="00B41876">
        <w:rPr>
          <w:rFonts w:ascii="Book Antiqua" w:eastAsia="Book Antiqua" w:hAnsi="Book Antiqua" w:cs="Book Antiqua"/>
          <w:color w:val="000000" w:themeColor="text1"/>
        </w:rPr>
        <w:t>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Zhang W, </w:t>
      </w:r>
      <w:r w:rsidR="00C03D3D" w:rsidRPr="00B41876">
        <w:rPr>
          <w:rFonts w:ascii="Book Antiqua" w:eastAsia="Book Antiqua" w:hAnsi="Book Antiqua" w:cs="Book Antiqua"/>
          <w:color w:val="000000" w:themeColor="text1"/>
        </w:rPr>
        <w:t>Bai W.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03D3D" w:rsidRPr="00B41876">
        <w:rPr>
          <w:rFonts w:ascii="Book Antiqua" w:eastAsia="Book Antiqua" w:hAnsi="Book Antiqua" w:cs="Book Antiqua"/>
          <w:color w:val="000000" w:themeColor="text1"/>
        </w:rPr>
        <w:t>[</w:t>
      </w:r>
      <w:r w:rsidRPr="00B41876">
        <w:rPr>
          <w:rFonts w:ascii="Book Antiqua" w:eastAsia="Book Antiqua" w:hAnsi="Book Antiqua" w:cs="Book Antiqua"/>
          <w:color w:val="000000" w:themeColor="text1"/>
        </w:rPr>
        <w:t>Role of ERCC1 and BRCA1 in prognosis of NSCLC patients receiving postoperative adjuvant chemotherapy</w:t>
      </w:r>
      <w:r w:rsidR="00C03D3D" w:rsidRPr="00B41876">
        <w:rPr>
          <w:rFonts w:ascii="Book Antiqua" w:eastAsia="Book Antiqua" w:hAnsi="Book Antiqua" w:cs="Book Antiqua"/>
          <w:color w:val="000000" w:themeColor="text1"/>
        </w:rPr>
        <w:t>]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. </w:t>
      </w:r>
      <w:proofErr w:type="spellStart"/>
      <w:r w:rsidR="00C03D3D" w:rsidRPr="00B41876">
        <w:rPr>
          <w:rFonts w:ascii="Book Antiqua" w:eastAsia="Book Antiqua" w:hAnsi="Book Antiqua" w:cs="Book Antiqua"/>
          <w:i/>
          <w:iCs/>
          <w:color w:val="000000" w:themeColor="text1"/>
        </w:rPr>
        <w:t>Chongqi</w:t>
      </w:r>
      <w:proofErr w:type="spellEnd"/>
      <w:r w:rsidR="00C03D3D"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C03D3D" w:rsidRPr="00B41876">
        <w:rPr>
          <w:rFonts w:ascii="Book Antiqua" w:eastAsia="Book Antiqua" w:hAnsi="Book Antiqua" w:cs="Book Antiqua"/>
          <w:i/>
          <w:iCs/>
          <w:color w:val="000000" w:themeColor="text1"/>
        </w:rPr>
        <w:t>Yike</w:t>
      </w:r>
      <w:proofErr w:type="spellEnd"/>
      <w:r w:rsidR="00C03D3D"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C03D3D" w:rsidRPr="00B41876">
        <w:rPr>
          <w:rFonts w:ascii="Book Antiqua" w:eastAsia="Book Antiqua" w:hAnsi="Book Antiqua" w:cs="Book Antiqua"/>
          <w:i/>
          <w:iCs/>
          <w:color w:val="000000" w:themeColor="text1"/>
        </w:rPr>
        <w:t>Daxue</w:t>
      </w:r>
      <w:proofErr w:type="spellEnd"/>
      <w:r w:rsidR="00C03D3D"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="00C03D3D" w:rsidRPr="00B41876">
        <w:rPr>
          <w:rFonts w:ascii="Book Antiqua" w:eastAsia="Book Antiqua" w:hAnsi="Book Antiqua" w:cs="Book Antiqua"/>
          <w:i/>
          <w:iCs/>
          <w:color w:val="000000" w:themeColor="text1"/>
        </w:rPr>
        <w:t>Xuebao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2013</w:t>
      </w:r>
      <w:r w:rsidR="00C03D3D" w:rsidRPr="00B41876">
        <w:rPr>
          <w:rFonts w:ascii="Book Antiqua" w:eastAsia="Book Antiqua" w:hAnsi="Book Antiqua" w:cs="Book Antiqua"/>
          <w:color w:val="000000" w:themeColor="text1"/>
        </w:rPr>
        <w:t xml:space="preserve">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38</w:t>
      </w:r>
      <w:r w:rsidRPr="00B41876">
        <w:rPr>
          <w:rFonts w:ascii="Book Antiqua" w:eastAsia="Book Antiqua" w:hAnsi="Book Antiqua" w:cs="Book Antiqua"/>
          <w:color w:val="000000" w:themeColor="text1"/>
        </w:rPr>
        <w:t>:</w:t>
      </w:r>
      <w:r w:rsidR="00C03D3D" w:rsidRPr="00B4187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color w:val="000000" w:themeColor="text1"/>
        </w:rPr>
        <w:t>517-522</w:t>
      </w:r>
    </w:p>
    <w:p w14:paraId="265E6760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23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Grossi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F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Dal Bello MG, Salvi S,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Puzone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Pfeffer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U, Fontana V,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Alama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Rijavec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E, Barletta G, Genova C, Sini C,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Ratto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GB,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Taviani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Truini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Merlo DF. Expression of Ribonucleotide Reductase Subunit-2 and Thymidylate Synthase Correlates with Poor Prognosis in Patients with Resected Stages I-III Non-Small Cell Lung Cancer.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Dis Markers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2015</w:t>
      </w:r>
      <w:r w:rsidRPr="00B41876">
        <w:rPr>
          <w:rFonts w:ascii="Book Antiqua" w:eastAsia="Book Antiqua" w:hAnsi="Book Antiqua" w:cs="Book Antiqua"/>
          <w:color w:val="000000" w:themeColor="text1"/>
        </w:rPr>
        <w:t>: 302649 [PMID: 26663950 DOI: 10.1155/2015/302649]</w:t>
      </w:r>
    </w:p>
    <w:p w14:paraId="0EB0A0F9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24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Lafuente-Sanchis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A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Zúñiga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Á,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Galbis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Cremades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A,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Estors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Martínez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-Hernández NJ,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Carretero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J. Prognostic value of ERCC1, RRM1, BRCA1 and SETDB1 in early stage of non-small cell lung cancer.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Transl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Oncol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18</w:t>
      </w:r>
      <w:r w:rsidRPr="00B41876">
        <w:rPr>
          <w:rFonts w:ascii="Book Antiqua" w:eastAsia="Book Antiqua" w:hAnsi="Book Antiqua" w:cs="Book Antiqua"/>
          <w:color w:val="000000" w:themeColor="text1"/>
        </w:rPr>
        <w:t>: 798-804 [PMID: 26542178 DOI: 10.1007/s12094-015-1440-6]</w:t>
      </w:r>
    </w:p>
    <w:p w14:paraId="291C34CB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25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Wang M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Li W, Xing X, Zhang D, Lei J, Li G. BRCA1 and STMN1 as prognostic markers in NSCLCs who received cisplatin-based adjuvant chemotherapy.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Oncotarget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B41876">
        <w:rPr>
          <w:rFonts w:ascii="Book Antiqua" w:eastAsia="Book Antiqua" w:hAnsi="Book Antiqua" w:cs="Book Antiqua"/>
          <w:color w:val="000000" w:themeColor="text1"/>
        </w:rPr>
        <w:t>: 80869-80877 [PMID: 29113350 DOI: 10.18632/oncotarget.20715]</w:t>
      </w:r>
    </w:p>
    <w:p w14:paraId="3A221C66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26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Levallet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G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Dubois F,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Fouret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P, Antoine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Brosseau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Bergot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E, Beau-Faller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Gounant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Brambilla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Debieuvre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D,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Molinier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O,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Galateau-Sallé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F,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Mazieres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Quoix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Pujol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JL, Moro-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Sibilot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D,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Langlais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A, Morin F,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Westeel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V,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Zalcman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G. MSH2/BRCA1 expression as a DNA-repair signature predicting survival in early-stage lung cancer patients from the IFCT-0002 Phase 3 Trial.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Oncotarget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2017;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B41876">
        <w:rPr>
          <w:rFonts w:ascii="Book Antiqua" w:eastAsia="Book Antiqua" w:hAnsi="Book Antiqua" w:cs="Book Antiqua"/>
          <w:color w:val="000000" w:themeColor="text1"/>
        </w:rPr>
        <w:t>: 4313-4329 [PMID: 28008145 DOI: 10.18632/oncotarget.14025]</w:t>
      </w:r>
    </w:p>
    <w:p w14:paraId="49A847ED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27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Wang C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Nie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H, Li Y, Liu G, Wang X, Xing S, Zhang L, Chen X, Chen Y, Li Y. The study of the relation of DNA repair pathway genes SNPs and the sensitivity to radiotherapy </w:t>
      </w: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 xml:space="preserve">and chemotherapy of NSCLC.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Sci Rep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2016;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6</w:t>
      </w:r>
      <w:r w:rsidRPr="00B41876">
        <w:rPr>
          <w:rFonts w:ascii="Book Antiqua" w:eastAsia="Book Antiqua" w:hAnsi="Book Antiqua" w:cs="Book Antiqua"/>
          <w:color w:val="000000" w:themeColor="text1"/>
        </w:rPr>
        <w:t>: 26526 [PMID: 27246533 DOI: 10.1038/srep26526]</w:t>
      </w:r>
    </w:p>
    <w:p w14:paraId="57DC24E4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28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Yarden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RI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Papa MZ. BRCA1 at the crossroad of multiple cellular pathways: approaches for therapeutic interventions.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Mol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Cancer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Ther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2006;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5</w:t>
      </w:r>
      <w:r w:rsidRPr="00B41876">
        <w:rPr>
          <w:rFonts w:ascii="Book Antiqua" w:eastAsia="Book Antiqua" w:hAnsi="Book Antiqua" w:cs="Book Antiqua"/>
          <w:color w:val="000000" w:themeColor="text1"/>
        </w:rPr>
        <w:t>: 1396-1404 [PMID: 16818497 DOI: 10.1158/1535-7163.mct-05-0471]</w:t>
      </w:r>
    </w:p>
    <w:p w14:paraId="338017D8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29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Abdulrashid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K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AlHussaini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N, Ahmed W,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Thalib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L. Prevalence of BRCA mutations among hereditary breast and/or ovarian cancer patients in Arab countries: systematic review and meta-analysis.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BMC Cancer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19</w:t>
      </w:r>
      <w:r w:rsidRPr="00B41876">
        <w:rPr>
          <w:rFonts w:ascii="Book Antiqua" w:eastAsia="Book Antiqua" w:hAnsi="Book Antiqua" w:cs="Book Antiqua"/>
          <w:color w:val="000000" w:themeColor="text1"/>
        </w:rPr>
        <w:t>: 256 [PMID: 30898109 DOI: 10.1186/s12885-019-5463-1]</w:t>
      </w:r>
    </w:p>
    <w:p w14:paraId="541F8B37" w14:textId="4C77F858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30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Fiorentino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M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Judson G, Penney K, Flavin R, Stark J, Fiore C, Fall K, Martin N, Ma 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Sinnott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Giovannucci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E,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Stampfer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Sesso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HD,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Kantoff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PW, Finn S,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Loda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Mucci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L. Immunohistochemical expression of BRCA1 and lethal prostate cancer.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Cancer Res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2010;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70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: 3136-3139 [PMID: 20388772 DOI: </w:t>
      </w:r>
      <w:r w:rsidR="00EE7139" w:rsidRPr="00B41876">
        <w:rPr>
          <w:rFonts w:ascii="Book Antiqua" w:eastAsia="Book Antiqua" w:hAnsi="Book Antiqua" w:cs="Book Antiqua"/>
          <w:color w:val="000000" w:themeColor="text1"/>
        </w:rPr>
        <w:t>10.1158/0008-5472.CAN-09-4100</w:t>
      </w:r>
      <w:r w:rsidRPr="00B41876">
        <w:rPr>
          <w:rFonts w:ascii="Book Antiqua" w:eastAsia="Book Antiqua" w:hAnsi="Book Antiqua" w:cs="Book Antiqua"/>
          <w:color w:val="000000" w:themeColor="text1"/>
        </w:rPr>
        <w:t>]</w:t>
      </w:r>
    </w:p>
    <w:p w14:paraId="592C9D56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31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Marsit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CJ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Liu M, Nelson HH, Posner M, Suzuki M, Kelsey KT. Inactivation of the Fanconi anemia/BRCA pathway in lung and oral cancers: implications for treatment and survival.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Oncogene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2004;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23</w:t>
      </w:r>
      <w:r w:rsidRPr="00B41876">
        <w:rPr>
          <w:rFonts w:ascii="Book Antiqua" w:eastAsia="Book Antiqua" w:hAnsi="Book Antiqua" w:cs="Book Antiqua"/>
          <w:color w:val="000000" w:themeColor="text1"/>
        </w:rPr>
        <w:t>: 1000-1004 [PMID: 14647419 DOI: 10.1038/sj.onc.1207256]</w:t>
      </w:r>
    </w:p>
    <w:p w14:paraId="1F9CDCB6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32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Harkin DP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Bean JM, Miklos D, Song YH, Truong VB, Englert C, Christians FC,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Ellisen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LW,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Maheswaran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S,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Oliner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JD, Haber DA. Induction of GADD45 and JNK/SAPK-dependent apoptosis following inducible expression of BRCA1.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Cell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1999;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97</w:t>
      </w:r>
      <w:r w:rsidRPr="00B41876">
        <w:rPr>
          <w:rFonts w:ascii="Book Antiqua" w:eastAsia="Book Antiqua" w:hAnsi="Book Antiqua" w:cs="Book Antiqua"/>
          <w:color w:val="000000" w:themeColor="text1"/>
        </w:rPr>
        <w:t>: 575-586 [PMID: 10367887 DOI: 10.1016/s0092-8674(00)80769-2]</w:t>
      </w:r>
    </w:p>
    <w:p w14:paraId="5FCBFE3E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33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Potapova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O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Haghighi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A, Bost F, Liu C,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Birrer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Gjerset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R, Mercola D. The Jun kinase/stress-activated protein kinase pathway functions to regulate DNA repair and inhibition of the pathway sensitizes tumor cells to cisplatin.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J Biol Chem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1997;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272</w:t>
      </w:r>
      <w:r w:rsidRPr="00B41876">
        <w:rPr>
          <w:rFonts w:ascii="Book Antiqua" w:eastAsia="Book Antiqua" w:hAnsi="Book Antiqua" w:cs="Book Antiqua"/>
          <w:color w:val="000000" w:themeColor="text1"/>
        </w:rPr>
        <w:t>: 14041-14044 [PMID: 9162025 DOI: 10.1074/jbc.272.22.14041]</w:t>
      </w:r>
    </w:p>
    <w:p w14:paraId="2FE57F58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34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Taron M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Rosell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R,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Felip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E, Mendez P,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Souglakos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Ronco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MS,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Queralt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C,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Majo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J, Sanchez JM, Sanchez JJ,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Maestre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J. BRCA1 mRNA expression levels as an indicator of chemoresistance in lung cancer.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Hum Mol Genet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2004;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13</w:t>
      </w:r>
      <w:r w:rsidRPr="00B41876">
        <w:rPr>
          <w:rFonts w:ascii="Book Antiqua" w:eastAsia="Book Antiqua" w:hAnsi="Book Antiqua" w:cs="Book Antiqua"/>
          <w:color w:val="000000" w:themeColor="text1"/>
        </w:rPr>
        <w:t>: 2443-2449 [PMID: 15317748 DOI: 10.1093/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hmg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>/ddh260]</w:t>
      </w:r>
    </w:p>
    <w:p w14:paraId="12531F40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lastRenderedPageBreak/>
        <w:t xml:space="preserve">35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Quinn JE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Kennedy RD, Mullan PB, Gilmore PM, Carty M, Johnston PG, Harkin DP. BRCA1 functions as a differential modulator of chemotherapy-induced apoptosis. </w:t>
      </w:r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Cancer Res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2003;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63</w:t>
      </w:r>
      <w:r w:rsidRPr="00B41876">
        <w:rPr>
          <w:rFonts w:ascii="Book Antiqua" w:eastAsia="Book Antiqua" w:hAnsi="Book Antiqua" w:cs="Book Antiqua"/>
          <w:color w:val="000000" w:themeColor="text1"/>
        </w:rPr>
        <w:t>: 6221-6228 [PMID: 14559807]</w:t>
      </w:r>
    </w:p>
    <w:p w14:paraId="19E28A48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36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Chen P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Li J, Jiang HG, Lan T, Chen YC. Curcumin reverses cisplatin resistance in cisplatin-resistant lung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caner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cells by inhibiting FA/BRCA pathway.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Tumour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Biol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2015;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B41876">
        <w:rPr>
          <w:rFonts w:ascii="Book Antiqua" w:eastAsia="Book Antiqua" w:hAnsi="Book Antiqua" w:cs="Book Antiqua"/>
          <w:color w:val="000000" w:themeColor="text1"/>
        </w:rPr>
        <w:t>: 3591-3599 [PMID: 25542235 DOI: 10.1007/s13277-014-2996-4]</w:t>
      </w:r>
    </w:p>
    <w:p w14:paraId="22DFB031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 xml:space="preserve">37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Wang L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, Wang H, Wang T, Liu J, Chen W, Wang Y, Chen C, Zhu H, Dai P. Analysis of polymorphisms in genes associated with the FA/BRCA pathway in three patients with multiple primary malignant neoplasms.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Artif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Cells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Nanomed</w:t>
      </w:r>
      <w:proofErr w:type="spellEnd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i/>
          <w:iCs/>
          <w:color w:val="000000" w:themeColor="text1"/>
        </w:rPr>
        <w:t>Biotechnol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2019;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47</w:t>
      </w:r>
      <w:r w:rsidRPr="00B41876">
        <w:rPr>
          <w:rFonts w:ascii="Book Antiqua" w:eastAsia="Book Antiqua" w:hAnsi="Book Antiqua" w:cs="Book Antiqua"/>
          <w:color w:val="000000" w:themeColor="text1"/>
        </w:rPr>
        <w:t>: 1101-1112 [PMID: 30942098 DOI: 10.1080/21691401.2019.1575846]</w:t>
      </w:r>
    </w:p>
    <w:bookmarkEnd w:id="3"/>
    <w:p w14:paraId="7A771EF0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B4187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EAE6E8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3CA926BA" w14:textId="0C5B447C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Conflict-of-interest statement: </w:t>
      </w:r>
      <w:r w:rsidRPr="00B41876">
        <w:rPr>
          <w:rFonts w:ascii="Book Antiqua" w:eastAsia="Book Antiqua" w:hAnsi="Book Antiqua" w:cs="Book Antiqua"/>
          <w:color w:val="000000" w:themeColor="text1"/>
        </w:rPr>
        <w:t>The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 authors declare no potential conflicts of interest with respect to the research, authorship, and/or publication of this artic</w:t>
      </w:r>
      <w:r w:rsidRPr="00B41876">
        <w:rPr>
          <w:rFonts w:ascii="Book Antiqua" w:eastAsia="Book Antiqua" w:hAnsi="Book Antiqua" w:cs="Book Antiqua"/>
          <w:color w:val="000000" w:themeColor="text1"/>
        </w:rPr>
        <w:t>le.</w:t>
      </w:r>
    </w:p>
    <w:p w14:paraId="403F7C3F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8E4C16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PRISMA 2009 Checklist statement: </w:t>
      </w:r>
      <w:r w:rsidRPr="00B41876">
        <w:rPr>
          <w:rFonts w:ascii="Book Antiqua" w:eastAsia="Book Antiqua" w:hAnsi="Book Antiqua" w:cs="Book Antiqua"/>
          <w:color w:val="000000" w:themeColor="text1"/>
        </w:rPr>
        <w:t>The authors have read the PRISMA 2009 Checklist, and the manuscript was prepared and revised according to the PRISMA 2009 Checklist.</w:t>
      </w:r>
    </w:p>
    <w:p w14:paraId="1409C19C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553A70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Open-Access: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1AFC071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E767C28" w14:textId="33C1C5CE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Manuscript source: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Unsolicited </w:t>
      </w:r>
      <w:r w:rsidR="00726287" w:rsidRPr="00B41876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7285BA7C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500A7B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Peer-review started: </w:t>
      </w:r>
      <w:r w:rsidRPr="00B41876">
        <w:rPr>
          <w:rFonts w:ascii="Book Antiqua" w:eastAsia="Book Antiqua" w:hAnsi="Book Antiqua" w:cs="Book Antiqua"/>
          <w:color w:val="000000" w:themeColor="text1"/>
        </w:rPr>
        <w:t>April 1, 2021</w:t>
      </w:r>
    </w:p>
    <w:p w14:paraId="0CAEC5A9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First decision: </w:t>
      </w:r>
      <w:r w:rsidRPr="00B41876">
        <w:rPr>
          <w:rFonts w:ascii="Book Antiqua" w:eastAsia="Book Antiqua" w:hAnsi="Book Antiqua" w:cs="Book Antiqua"/>
          <w:color w:val="000000" w:themeColor="text1"/>
        </w:rPr>
        <w:t>June 23, 2021</w:t>
      </w:r>
    </w:p>
    <w:p w14:paraId="27E1A7FB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Article in press: </w:t>
      </w:r>
    </w:p>
    <w:p w14:paraId="16F61BE2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985C74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Specialty type: </w:t>
      </w:r>
      <w:r w:rsidRPr="00B41876">
        <w:rPr>
          <w:rFonts w:ascii="Book Antiqua" w:eastAsia="Book Antiqua" w:hAnsi="Book Antiqua" w:cs="Book Antiqua"/>
          <w:color w:val="000000" w:themeColor="text1"/>
        </w:rPr>
        <w:t xml:space="preserve">Oncology </w:t>
      </w:r>
    </w:p>
    <w:p w14:paraId="421FC68D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Country/Territory of origin: </w:t>
      </w:r>
      <w:r w:rsidRPr="00B41876">
        <w:rPr>
          <w:rFonts w:ascii="Book Antiqua" w:eastAsia="Book Antiqua" w:hAnsi="Book Antiqua" w:cs="Book Antiqua"/>
          <w:color w:val="000000" w:themeColor="text1"/>
        </w:rPr>
        <w:t>China</w:t>
      </w:r>
    </w:p>
    <w:p w14:paraId="5810E52A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>Peer-review report’s scientific quality classification</w:t>
      </w:r>
    </w:p>
    <w:p w14:paraId="1B346336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Grade A (Excellent): 0</w:t>
      </w:r>
    </w:p>
    <w:p w14:paraId="43CED81F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Grade B (Very good): B, B</w:t>
      </w:r>
    </w:p>
    <w:p w14:paraId="7145FE5E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Grade C (Good): 0</w:t>
      </w:r>
    </w:p>
    <w:p w14:paraId="253C4593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Grade D (Fair): 0</w:t>
      </w:r>
    </w:p>
    <w:p w14:paraId="1445E1C3" w14:textId="7777777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color w:val="000000" w:themeColor="text1"/>
        </w:rPr>
        <w:t>Grade E (Poor): 0</w:t>
      </w:r>
    </w:p>
    <w:p w14:paraId="57F2A2A5" w14:textId="77777777" w:rsidR="00A77B3E" w:rsidRPr="00B41876" w:rsidRDefault="00A77B3E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ED51660" w14:textId="7032101B" w:rsidR="00726287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lastRenderedPageBreak/>
        <w:t xml:space="preserve">P-Reviewer: </w:t>
      </w:r>
      <w:proofErr w:type="spellStart"/>
      <w:r w:rsidRPr="00B41876">
        <w:rPr>
          <w:rFonts w:ascii="Book Antiqua" w:eastAsia="Book Antiqua" w:hAnsi="Book Antiqua" w:cs="Book Antiqua"/>
          <w:color w:val="000000" w:themeColor="text1"/>
        </w:rPr>
        <w:t>Gebbia</w:t>
      </w:r>
      <w:proofErr w:type="spellEnd"/>
      <w:r w:rsidRPr="00B41876">
        <w:rPr>
          <w:rFonts w:ascii="Book Antiqua" w:eastAsia="Book Antiqua" w:hAnsi="Book Antiqua" w:cs="Book Antiqua"/>
          <w:color w:val="000000" w:themeColor="text1"/>
        </w:rPr>
        <w:t xml:space="preserve"> V</w:t>
      </w:r>
      <w:r w:rsidRPr="00B41876">
        <w:rPr>
          <w:rFonts w:ascii="Book Antiqua" w:eastAsia="Book Antiqua" w:hAnsi="Book Antiqua" w:cs="Book Antiqua"/>
          <w:color w:val="000000" w:themeColor="text1"/>
        </w:rPr>
        <w:t>, Kim HS</w:t>
      </w: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 S-Editor: </w:t>
      </w:r>
      <w:r w:rsidRPr="00B41876">
        <w:rPr>
          <w:rFonts w:ascii="Book Antiqua" w:eastAsia="Book Antiqua" w:hAnsi="Book Antiqua" w:cs="Book Antiqua"/>
          <w:color w:val="000000" w:themeColor="text1"/>
        </w:rPr>
        <w:t>Wang JL</w:t>
      </w: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 L-Editor: </w:t>
      </w:r>
      <w:r w:rsidR="002036F0" w:rsidRPr="00A000E5">
        <w:rPr>
          <w:rFonts w:ascii="Book Antiqua" w:eastAsia="Book Antiqua" w:hAnsi="Book Antiqua" w:cs="Book Antiqua"/>
          <w:color w:val="000000" w:themeColor="text1"/>
        </w:rPr>
        <w:t>Wang TQ</w:t>
      </w: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 P-Edi</w:t>
      </w:r>
      <w:r w:rsidRPr="00B41876">
        <w:rPr>
          <w:rFonts w:ascii="Book Antiqua" w:eastAsia="Book Antiqua" w:hAnsi="Book Antiqua" w:cs="Book Antiqua"/>
          <w:b/>
          <w:color w:val="000000" w:themeColor="text1"/>
        </w:rPr>
        <w:t xml:space="preserve">tor: </w:t>
      </w:r>
    </w:p>
    <w:p w14:paraId="1FBACD91" w14:textId="77777777" w:rsidR="00726287" w:rsidRPr="00B41876" w:rsidRDefault="00726287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1C507A34" w14:textId="5FC83C36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color w:val="000000" w:themeColor="text1"/>
        </w:rPr>
        <w:t>Figure Legends</w:t>
      </w:r>
    </w:p>
    <w:p w14:paraId="75E8966C" w14:textId="77777777" w:rsidR="005C1C37" w:rsidRPr="00B41876" w:rsidRDefault="005C1C37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41876">
        <w:rPr>
          <w:rFonts w:ascii="Book Antiqua" w:hAnsi="Book Antiqua"/>
          <w:noProof/>
          <w:color w:val="000000" w:themeColor="text1"/>
          <w:lang w:eastAsia="zh-CN"/>
        </w:rPr>
        <w:drawing>
          <wp:inline distT="0" distB="0" distL="0" distR="0" wp14:anchorId="40A6B00B" wp14:editId="2F8A42F4">
            <wp:extent cx="5943600" cy="42856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40FD" w14:textId="245F072B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Figure 1 Flow diag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ram of literat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ure review.</w:t>
      </w:r>
    </w:p>
    <w:p w14:paraId="7C5E46D4" w14:textId="77777777" w:rsidR="005C1C37" w:rsidRPr="00B41876" w:rsidRDefault="005C1C37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p w14:paraId="33FCF7FC" w14:textId="77777777" w:rsidR="00D2761C" w:rsidRPr="00B41876" w:rsidRDefault="00D2761C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B41876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31DC3117" wp14:editId="67540D6E">
            <wp:extent cx="5943600" cy="424688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2C40AF9C" w14:textId="77777777" w:rsidR="00D2761C" w:rsidRPr="00B41876" w:rsidRDefault="00D2761C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B41876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62A12A9F" wp14:editId="5BECFB96">
            <wp:extent cx="5943600" cy="416179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7DAEE51" w14:textId="74C32E67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Figure 2 For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est plot of</w:t>
      </w:r>
      <w:r w:rsidR="002036F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association </w:t>
      </w:r>
      <w:r w:rsidR="002036F0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2036F0"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C1C37"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breast cancer susceptibility gene 1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expression </w:t>
      </w:r>
      <w:r w:rsidR="002036F0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2036F0"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overall survival</w:t>
      </w:r>
      <w:r w:rsidR="002036F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5C1C37" w:rsidRPr="00B41876">
        <w:rPr>
          <w:rFonts w:ascii="Book Antiqua" w:eastAsia="Book Antiqua" w:hAnsi="Book Antiqua" w:cs="Book Antiqua"/>
          <w:b/>
          <w:bCs/>
          <w:color w:val="000000" w:themeColor="text1"/>
        </w:rPr>
        <w:t>and disease-free survival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. </w:t>
      </w:r>
      <w:r w:rsidR="005C1C37" w:rsidRPr="00B41876">
        <w:rPr>
          <w:rFonts w:ascii="Book Antiqua" w:eastAsia="Book Antiqua" w:hAnsi="Book Antiqua" w:cs="Book Antiqua"/>
          <w:color w:val="000000" w:themeColor="text1"/>
        </w:rPr>
        <w:t>A: Association between breast cancer susceptibility gene 1 (</w:t>
      </w:r>
      <w:r w:rsidR="005C1C37"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5C1C37" w:rsidRPr="00B41876">
        <w:rPr>
          <w:rFonts w:ascii="Book Antiqua" w:eastAsia="Book Antiqua" w:hAnsi="Book Antiqua" w:cs="Book Antiqua"/>
          <w:color w:val="000000" w:themeColor="text1"/>
        </w:rPr>
        <w:t xml:space="preserve">) expression and overall survival; B: Association between </w:t>
      </w:r>
      <w:r w:rsidR="005C1C37" w:rsidRPr="00A000E5">
        <w:rPr>
          <w:rFonts w:ascii="Book Antiqua" w:eastAsia="Book Antiqua" w:hAnsi="Book Antiqua" w:cs="Book Antiqua"/>
          <w:iCs/>
          <w:color w:val="000000" w:themeColor="text1"/>
        </w:rPr>
        <w:t>BRCA1</w:t>
      </w:r>
      <w:r w:rsidR="005C1C37" w:rsidRPr="00B41876">
        <w:rPr>
          <w:rFonts w:ascii="Book Antiqua" w:eastAsia="Book Antiqua" w:hAnsi="Book Antiqua" w:cs="Book Antiqua"/>
          <w:color w:val="000000" w:themeColor="text1"/>
        </w:rPr>
        <w:t xml:space="preserve"> expression and disease-free survival.</w:t>
      </w:r>
      <w:r w:rsidR="005C1C37" w:rsidRPr="00B41876">
        <w:rPr>
          <w:rFonts w:ascii="Book Antiqua" w:hAnsi="Book Antiqua" w:cs="Book Antiqua"/>
          <w:color w:val="000000" w:themeColor="text1"/>
          <w:lang w:eastAsia="zh-CN"/>
        </w:rPr>
        <w:t xml:space="preserve"> </w:t>
      </w:r>
    </w:p>
    <w:p w14:paraId="6BCBE94A" w14:textId="77777777" w:rsidR="005C1C37" w:rsidRPr="00B41876" w:rsidRDefault="005C1C37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27AF39" w14:textId="77777777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B41876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0E213431" wp14:editId="213609AF">
            <wp:extent cx="5943600" cy="39338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4F1E4" w14:textId="7ED80C4A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Figure </w:t>
      </w:r>
      <w:r w:rsidR="00B41876" w:rsidRPr="00B41876">
        <w:rPr>
          <w:rFonts w:ascii="Book Antiqua" w:eastAsia="Book Antiqua" w:hAnsi="Book Antiqua" w:cs="Book Antiqua"/>
          <w:b/>
          <w:bCs/>
          <w:color w:val="000000" w:themeColor="text1"/>
        </w:rPr>
        <w:t>3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Sensitivity anal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ysis of</w:t>
      </w:r>
      <w:r w:rsidR="002036F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association be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tween </w:t>
      </w:r>
      <w:r w:rsidR="0004161C" w:rsidRPr="00B41876">
        <w:rPr>
          <w:rFonts w:ascii="Book Antiqua" w:eastAsia="Book Antiqua" w:hAnsi="Book Antiqua" w:cs="Book Antiqua"/>
          <w:b/>
          <w:bCs/>
          <w:color w:val="000000" w:themeColor="text1"/>
        </w:rPr>
        <w:t>breast cancer susceptibility gene 1</w:t>
      </w:r>
      <w:r w:rsidR="008A5162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expression and overall survival.</w:t>
      </w:r>
    </w:p>
    <w:p w14:paraId="446F4B6D" w14:textId="77777777" w:rsidR="0004161C" w:rsidRPr="00B41876" w:rsidRDefault="0004161C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75AE9E9" w14:textId="77777777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B41876">
        <w:rPr>
          <w:rFonts w:ascii="Book Antiqua" w:hAnsi="Book Antiqua"/>
          <w:noProof/>
          <w:color w:val="000000" w:themeColor="text1"/>
          <w:lang w:eastAsia="zh-CN"/>
        </w:rPr>
        <w:lastRenderedPageBreak/>
        <w:drawing>
          <wp:inline distT="0" distB="0" distL="0" distR="0" wp14:anchorId="2BB64D7F" wp14:editId="3BCC810C">
            <wp:extent cx="5943600" cy="400748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0B45C" w14:textId="415C8239" w:rsidR="00A77B3E" w:rsidRPr="00B41876" w:rsidRDefault="00166BD1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Figure </w:t>
      </w:r>
      <w:r w:rsidR="00B41876" w:rsidRPr="00B41876">
        <w:rPr>
          <w:rFonts w:ascii="Book Antiqua" w:eastAsia="Book Antiqua" w:hAnsi="Book Antiqua" w:cs="Book Antiqua"/>
          <w:b/>
          <w:bCs/>
          <w:color w:val="000000" w:themeColor="text1"/>
        </w:rPr>
        <w:t>4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Begg’s</w:t>
      </w:r>
      <w:proofErr w:type="spellEnd"/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 funnel plot of</w:t>
      </w:r>
      <w:r w:rsidR="002036F0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association betwe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 xml:space="preserve">en </w:t>
      </w:r>
      <w:r w:rsidR="0004161C" w:rsidRPr="00B41876">
        <w:rPr>
          <w:rFonts w:ascii="Book Antiqua" w:eastAsia="Book Antiqua" w:hAnsi="Book Antiqua" w:cs="Book Antiqua"/>
          <w:b/>
          <w:bCs/>
          <w:color w:val="000000" w:themeColor="text1"/>
        </w:rPr>
        <w:t>breast cancer susceptibility gene 1</w:t>
      </w:r>
      <w:r w:rsidR="00965FAA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t>expression and overall survival.</w:t>
      </w:r>
    </w:p>
    <w:p w14:paraId="0D061696" w14:textId="3D9D2C6B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B41876">
        <w:rPr>
          <w:rFonts w:ascii="Book Antiqua" w:eastAsia="Book Antiqua" w:hAnsi="Book Antiqua" w:cs="Book Antiqua"/>
          <w:b/>
          <w:bCs/>
          <w:color w:val="000000" w:themeColor="text1"/>
        </w:rPr>
        <w:br w:type="page"/>
      </w:r>
    </w:p>
    <w:p w14:paraId="47D3B768" w14:textId="76766429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4" w:name="_Hlk7365097"/>
      <w:r w:rsidRPr="00B41876">
        <w:rPr>
          <w:rFonts w:ascii="Book Antiqua" w:hAnsi="Book Antiqua"/>
          <w:b/>
          <w:color w:val="000000" w:themeColor="text1"/>
        </w:rPr>
        <w:lastRenderedPageBreak/>
        <w:t>Table 1</w:t>
      </w:r>
      <w:r>
        <w:rPr>
          <w:rFonts w:ascii="Book Antiqua" w:hAnsi="Book Antiqua"/>
          <w:b/>
          <w:color w:val="000000" w:themeColor="text1"/>
        </w:rPr>
        <w:t xml:space="preserve"> </w:t>
      </w:r>
      <w:r w:rsidRPr="00B41876">
        <w:rPr>
          <w:rFonts w:ascii="Book Antiqua" w:hAnsi="Book Antiqua"/>
          <w:b/>
          <w:color w:val="000000" w:themeColor="text1"/>
        </w:rPr>
        <w:t>Basic characteristics of included studies</w:t>
      </w:r>
    </w:p>
    <w:tbl>
      <w:tblPr>
        <w:tblStyle w:val="a5"/>
        <w:tblW w:w="5000" w:type="pct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696"/>
        <w:gridCol w:w="1098"/>
        <w:gridCol w:w="1020"/>
        <w:gridCol w:w="1130"/>
        <w:gridCol w:w="799"/>
        <w:gridCol w:w="1188"/>
        <w:gridCol w:w="942"/>
        <w:gridCol w:w="761"/>
      </w:tblGrid>
      <w:tr w:rsidR="00B41876" w:rsidRPr="00B41876" w14:paraId="06634CBA" w14:textId="77777777" w:rsidTr="00270795">
        <w:trPr>
          <w:tblHeader/>
        </w:trPr>
        <w:tc>
          <w:tcPr>
            <w:tcW w:w="104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202FDEB5" w14:textId="3430A2C1" w:rsidR="00B41876" w:rsidRPr="00563DD5" w:rsidRDefault="00563DD5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Ref.</w:t>
            </w:r>
          </w:p>
        </w:tc>
        <w:tc>
          <w:tcPr>
            <w:tcW w:w="5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677F9BFF" w14:textId="77777777" w:rsidR="00B41876" w:rsidRPr="00563DD5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63DD5">
              <w:rPr>
                <w:rFonts w:ascii="Book Antiqua" w:hAnsi="Book Antiqua"/>
                <w:b/>
                <w:bCs/>
                <w:color w:val="000000" w:themeColor="text1"/>
              </w:rPr>
              <w:t>Year</w:t>
            </w:r>
          </w:p>
        </w:tc>
        <w:tc>
          <w:tcPr>
            <w:tcW w:w="43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2590621A" w14:textId="77777777" w:rsidR="00B41876" w:rsidRPr="00563DD5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63DD5">
              <w:rPr>
                <w:rFonts w:ascii="Book Antiqua" w:hAnsi="Book Antiqua"/>
                <w:b/>
                <w:bCs/>
                <w:color w:val="000000" w:themeColor="text1"/>
              </w:rPr>
              <w:t>Country</w:t>
            </w:r>
          </w:p>
        </w:tc>
        <w:tc>
          <w:tcPr>
            <w:tcW w:w="44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2F103878" w14:textId="77777777" w:rsidR="00B41876" w:rsidRPr="00563DD5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63DD5">
              <w:rPr>
                <w:rFonts w:ascii="Book Antiqua" w:hAnsi="Book Antiqua"/>
                <w:b/>
                <w:bCs/>
                <w:color w:val="000000" w:themeColor="text1"/>
              </w:rPr>
              <w:t>Sample size</w:t>
            </w:r>
          </w:p>
        </w:tc>
        <w:tc>
          <w:tcPr>
            <w:tcW w:w="52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1C530FD7" w14:textId="77777777" w:rsidR="00B41876" w:rsidRPr="00563DD5" w:rsidRDefault="00B41876" w:rsidP="00B41876">
            <w:pPr>
              <w:adjustRightInd w:val="0"/>
              <w:snapToGrid w:val="0"/>
              <w:spacing w:line="360" w:lineRule="auto"/>
              <w:ind w:left="120" w:hangingChars="50" w:hanging="120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63DD5">
              <w:rPr>
                <w:rFonts w:ascii="Book Antiqua" w:hAnsi="Book Antiqua"/>
                <w:b/>
                <w:bCs/>
                <w:color w:val="000000" w:themeColor="text1"/>
              </w:rPr>
              <w:t xml:space="preserve">Positive, </w:t>
            </w:r>
            <w:r w:rsidRPr="00563DD5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 w:rsidRPr="00563DD5">
              <w:rPr>
                <w:rFonts w:ascii="Book Antiqua" w:hAnsi="Book Antiqua"/>
                <w:b/>
                <w:bCs/>
                <w:color w:val="000000" w:themeColor="text1"/>
              </w:rPr>
              <w:t xml:space="preserve"> (%)</w:t>
            </w:r>
          </w:p>
        </w:tc>
        <w:tc>
          <w:tcPr>
            <w:tcW w:w="5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39936015" w14:textId="77777777" w:rsidR="00B41876" w:rsidRPr="00563DD5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63DD5">
              <w:rPr>
                <w:rFonts w:ascii="Book Antiqua" w:hAnsi="Book Antiqua"/>
                <w:b/>
                <w:bCs/>
                <w:color w:val="000000" w:themeColor="text1"/>
              </w:rPr>
              <w:t>TNM stage</w:t>
            </w:r>
          </w:p>
        </w:tc>
        <w:tc>
          <w:tcPr>
            <w:tcW w:w="5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65D9C936" w14:textId="77777777" w:rsidR="00B41876" w:rsidRPr="00563DD5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63DD5">
              <w:rPr>
                <w:rFonts w:ascii="Book Antiqua" w:hAnsi="Book Antiqua"/>
                <w:b/>
                <w:bCs/>
                <w:color w:val="000000" w:themeColor="text1"/>
              </w:rPr>
              <w:t>Outcome</w:t>
            </w:r>
          </w:p>
        </w:tc>
        <w:tc>
          <w:tcPr>
            <w:tcW w:w="5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6F0916AC" w14:textId="77777777" w:rsidR="00B41876" w:rsidRPr="00563DD5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63DD5">
              <w:rPr>
                <w:rFonts w:ascii="Book Antiqua" w:hAnsi="Book Antiqua"/>
                <w:b/>
                <w:bCs/>
                <w:color w:val="000000" w:themeColor="text1"/>
              </w:rPr>
              <w:t>Source of HR</w:t>
            </w:r>
          </w:p>
        </w:tc>
        <w:tc>
          <w:tcPr>
            <w:tcW w:w="45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4AB7C091" w14:textId="77777777" w:rsidR="00B41876" w:rsidRPr="00563DD5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563DD5">
              <w:rPr>
                <w:rFonts w:ascii="Book Antiqua" w:hAnsi="Book Antiqua"/>
                <w:b/>
                <w:bCs/>
                <w:color w:val="000000" w:themeColor="text1"/>
              </w:rPr>
              <w:t>NOS score</w:t>
            </w:r>
          </w:p>
        </w:tc>
      </w:tr>
      <w:tr w:rsidR="00B41876" w:rsidRPr="00B41876" w14:paraId="6220F835" w14:textId="77777777" w:rsidTr="00270795">
        <w:tc>
          <w:tcPr>
            <w:tcW w:w="1049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2A832B14" w14:textId="17D99BAE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41876">
              <w:rPr>
                <w:rFonts w:ascii="Book Antiqua" w:hAnsi="Book Antiqua"/>
                <w:color w:val="000000" w:themeColor="text1"/>
              </w:rPr>
              <w:t>Rosell</w:t>
            </w:r>
            <w:proofErr w:type="spellEnd"/>
            <w:r w:rsidRPr="00B41876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18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051857E4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2007</w:t>
            </w:r>
          </w:p>
        </w:tc>
        <w:tc>
          <w:tcPr>
            <w:tcW w:w="432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11F06D1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Spain</w:t>
            </w:r>
          </w:p>
        </w:tc>
        <w:tc>
          <w:tcPr>
            <w:tcW w:w="449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4F95EC16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123</w:t>
            </w:r>
          </w:p>
        </w:tc>
        <w:tc>
          <w:tcPr>
            <w:tcW w:w="525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458EF4F0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40 (32.5)</w:t>
            </w:r>
          </w:p>
        </w:tc>
        <w:tc>
          <w:tcPr>
            <w:tcW w:w="524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1857791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IB-IIIA</w:t>
            </w:r>
          </w:p>
        </w:tc>
        <w:tc>
          <w:tcPr>
            <w:tcW w:w="524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6ECC983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</w:t>
            </w:r>
          </w:p>
        </w:tc>
        <w:tc>
          <w:tcPr>
            <w:tcW w:w="524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39F8F077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R </w:t>
            </w:r>
          </w:p>
        </w:tc>
        <w:tc>
          <w:tcPr>
            <w:tcW w:w="450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1E2DE7C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B41876" w:rsidRPr="00B41876" w14:paraId="48F98EA6" w14:textId="77777777" w:rsidTr="00270795">
        <w:tc>
          <w:tcPr>
            <w:tcW w:w="1049" w:type="pct"/>
            <w:shd w:val="clear" w:color="auto" w:fill="FFFFFF"/>
            <w:hideMark/>
          </w:tcPr>
          <w:p w14:paraId="25DEF753" w14:textId="703BEF04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Bartolucci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11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75C2FE7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2009</w:t>
            </w:r>
          </w:p>
        </w:tc>
        <w:tc>
          <w:tcPr>
            <w:tcW w:w="432" w:type="pct"/>
            <w:shd w:val="clear" w:color="auto" w:fill="FFFFFF"/>
            <w:hideMark/>
          </w:tcPr>
          <w:p w14:paraId="54A9413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Italy</w:t>
            </w:r>
          </w:p>
        </w:tc>
        <w:tc>
          <w:tcPr>
            <w:tcW w:w="449" w:type="pct"/>
            <w:shd w:val="clear" w:color="auto" w:fill="FFFFFF"/>
            <w:hideMark/>
          </w:tcPr>
          <w:p w14:paraId="7C3701E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54</w:t>
            </w:r>
          </w:p>
        </w:tc>
        <w:tc>
          <w:tcPr>
            <w:tcW w:w="525" w:type="pct"/>
            <w:shd w:val="clear" w:color="auto" w:fill="FFFFFF"/>
            <w:hideMark/>
          </w:tcPr>
          <w:p w14:paraId="655062CA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36 (66.7)</w:t>
            </w:r>
          </w:p>
        </w:tc>
        <w:tc>
          <w:tcPr>
            <w:tcW w:w="524" w:type="pct"/>
            <w:shd w:val="clear" w:color="auto" w:fill="FFFFFF"/>
            <w:hideMark/>
          </w:tcPr>
          <w:p w14:paraId="57EACD00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IB-IIB</w:t>
            </w:r>
          </w:p>
        </w:tc>
        <w:tc>
          <w:tcPr>
            <w:tcW w:w="524" w:type="pct"/>
            <w:shd w:val="clear" w:color="auto" w:fill="FFFFFF"/>
            <w:hideMark/>
          </w:tcPr>
          <w:p w14:paraId="65C76F3C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OS/DFS</w:t>
            </w:r>
          </w:p>
        </w:tc>
        <w:tc>
          <w:tcPr>
            <w:tcW w:w="524" w:type="pct"/>
            <w:shd w:val="clear" w:color="auto" w:fill="FFFFFF"/>
            <w:hideMark/>
          </w:tcPr>
          <w:p w14:paraId="2F0342C4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450" w:type="pct"/>
            <w:shd w:val="clear" w:color="auto" w:fill="FFFFFF"/>
            <w:hideMark/>
          </w:tcPr>
          <w:p w14:paraId="2B25173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B41876" w:rsidRPr="00B41876" w14:paraId="7600BC3B" w14:textId="77777777" w:rsidTr="00270795">
        <w:tc>
          <w:tcPr>
            <w:tcW w:w="1049" w:type="pct"/>
            <w:shd w:val="clear" w:color="auto" w:fill="FFFFFF"/>
            <w:hideMark/>
          </w:tcPr>
          <w:p w14:paraId="28E24A14" w14:textId="47F8F603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Ma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19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0C40979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2010</w:t>
            </w:r>
          </w:p>
        </w:tc>
        <w:tc>
          <w:tcPr>
            <w:tcW w:w="432" w:type="pct"/>
            <w:shd w:val="clear" w:color="auto" w:fill="FFFFFF"/>
            <w:hideMark/>
          </w:tcPr>
          <w:p w14:paraId="250449C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China</w:t>
            </w:r>
          </w:p>
        </w:tc>
        <w:tc>
          <w:tcPr>
            <w:tcW w:w="449" w:type="pct"/>
            <w:shd w:val="clear" w:color="auto" w:fill="FFFFFF"/>
            <w:hideMark/>
          </w:tcPr>
          <w:p w14:paraId="308F53E6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89</w:t>
            </w:r>
          </w:p>
        </w:tc>
        <w:tc>
          <w:tcPr>
            <w:tcW w:w="525" w:type="pct"/>
            <w:shd w:val="clear" w:color="auto" w:fill="FFFFFF"/>
            <w:hideMark/>
          </w:tcPr>
          <w:p w14:paraId="05927B0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53 (59.6)</w:t>
            </w:r>
          </w:p>
        </w:tc>
        <w:tc>
          <w:tcPr>
            <w:tcW w:w="524" w:type="pct"/>
            <w:shd w:val="clear" w:color="auto" w:fill="FFFFFF"/>
            <w:hideMark/>
          </w:tcPr>
          <w:p w14:paraId="5F8627D6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IIIA</w:t>
            </w:r>
          </w:p>
        </w:tc>
        <w:tc>
          <w:tcPr>
            <w:tcW w:w="524" w:type="pct"/>
            <w:shd w:val="clear" w:color="auto" w:fill="FFFFFF"/>
            <w:hideMark/>
          </w:tcPr>
          <w:p w14:paraId="38B31F5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OS/DFS</w:t>
            </w:r>
          </w:p>
        </w:tc>
        <w:tc>
          <w:tcPr>
            <w:tcW w:w="524" w:type="pct"/>
            <w:shd w:val="clear" w:color="auto" w:fill="FFFFFF"/>
            <w:hideMark/>
          </w:tcPr>
          <w:p w14:paraId="4AC674A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450" w:type="pct"/>
            <w:shd w:val="clear" w:color="auto" w:fill="FFFFFF"/>
            <w:hideMark/>
          </w:tcPr>
          <w:p w14:paraId="3A76AE1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B41876" w:rsidRPr="00B41876" w14:paraId="7600D806" w14:textId="77777777" w:rsidTr="00270795">
        <w:tc>
          <w:tcPr>
            <w:tcW w:w="1049" w:type="pct"/>
            <w:shd w:val="clear" w:color="auto" w:fill="FFFFFF"/>
            <w:hideMark/>
          </w:tcPr>
          <w:p w14:paraId="15421F85" w14:textId="5AF2924D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41876">
              <w:rPr>
                <w:rFonts w:ascii="Book Antiqua" w:hAnsi="Book Antiqua"/>
                <w:color w:val="000000" w:themeColor="text1"/>
              </w:rPr>
              <w:t>Leng</w:t>
            </w:r>
            <w:proofErr w:type="spellEnd"/>
            <w:r w:rsidRPr="00B41876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20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24BFDD00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2012</w:t>
            </w:r>
          </w:p>
        </w:tc>
        <w:tc>
          <w:tcPr>
            <w:tcW w:w="432" w:type="pct"/>
            <w:shd w:val="clear" w:color="auto" w:fill="FFFFFF"/>
            <w:hideMark/>
          </w:tcPr>
          <w:p w14:paraId="6F8E1EDE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China</w:t>
            </w:r>
          </w:p>
        </w:tc>
        <w:tc>
          <w:tcPr>
            <w:tcW w:w="449" w:type="pct"/>
            <w:shd w:val="clear" w:color="auto" w:fill="FFFFFF"/>
            <w:hideMark/>
          </w:tcPr>
          <w:p w14:paraId="3A430AA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85</w:t>
            </w:r>
          </w:p>
        </w:tc>
        <w:tc>
          <w:tcPr>
            <w:tcW w:w="525" w:type="pct"/>
            <w:shd w:val="clear" w:color="auto" w:fill="FFFFFF"/>
            <w:hideMark/>
          </w:tcPr>
          <w:p w14:paraId="38FBB68E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14 (16.5)</w:t>
            </w:r>
          </w:p>
        </w:tc>
        <w:tc>
          <w:tcPr>
            <w:tcW w:w="524" w:type="pct"/>
            <w:shd w:val="clear" w:color="auto" w:fill="FFFFFF"/>
            <w:hideMark/>
          </w:tcPr>
          <w:p w14:paraId="2B9726E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I- IV</w:t>
            </w:r>
          </w:p>
        </w:tc>
        <w:tc>
          <w:tcPr>
            <w:tcW w:w="524" w:type="pct"/>
            <w:shd w:val="clear" w:color="auto" w:fill="FFFFFF"/>
            <w:hideMark/>
          </w:tcPr>
          <w:p w14:paraId="60BD148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OS/DFS</w:t>
            </w:r>
          </w:p>
        </w:tc>
        <w:tc>
          <w:tcPr>
            <w:tcW w:w="524" w:type="pct"/>
            <w:shd w:val="clear" w:color="auto" w:fill="FFFFFF"/>
            <w:hideMark/>
          </w:tcPr>
          <w:p w14:paraId="50CA903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450" w:type="pct"/>
            <w:shd w:val="clear" w:color="auto" w:fill="FFFFFF"/>
            <w:hideMark/>
          </w:tcPr>
          <w:p w14:paraId="060B2E6E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B41876" w:rsidRPr="00B41876" w14:paraId="16C05F7A" w14:textId="77777777" w:rsidTr="00270795">
        <w:tc>
          <w:tcPr>
            <w:tcW w:w="1049" w:type="pct"/>
            <w:shd w:val="clear" w:color="auto" w:fill="FFFFFF"/>
            <w:hideMark/>
          </w:tcPr>
          <w:p w14:paraId="196C4283" w14:textId="2F741CE2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Gachechiladze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21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6940577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2013</w:t>
            </w:r>
          </w:p>
        </w:tc>
        <w:tc>
          <w:tcPr>
            <w:tcW w:w="432" w:type="pct"/>
            <w:shd w:val="clear" w:color="auto" w:fill="FFFFFF"/>
            <w:hideMark/>
          </w:tcPr>
          <w:p w14:paraId="6468025C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Israel</w:t>
            </w:r>
          </w:p>
        </w:tc>
        <w:tc>
          <w:tcPr>
            <w:tcW w:w="449" w:type="pct"/>
            <w:shd w:val="clear" w:color="auto" w:fill="FFFFFF"/>
            <w:hideMark/>
          </w:tcPr>
          <w:p w14:paraId="052F81F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32</w:t>
            </w:r>
          </w:p>
        </w:tc>
        <w:tc>
          <w:tcPr>
            <w:tcW w:w="525" w:type="pct"/>
            <w:shd w:val="clear" w:color="auto" w:fill="FFFFFF"/>
            <w:hideMark/>
          </w:tcPr>
          <w:p w14:paraId="0A9A25A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9 (28.1)</w:t>
            </w:r>
          </w:p>
        </w:tc>
        <w:tc>
          <w:tcPr>
            <w:tcW w:w="524" w:type="pct"/>
            <w:shd w:val="clear" w:color="auto" w:fill="FFFFFF"/>
            <w:hideMark/>
          </w:tcPr>
          <w:p w14:paraId="56A2EBE7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I- II</w:t>
            </w:r>
          </w:p>
        </w:tc>
        <w:tc>
          <w:tcPr>
            <w:tcW w:w="524" w:type="pct"/>
            <w:shd w:val="clear" w:color="auto" w:fill="FFFFFF"/>
            <w:hideMark/>
          </w:tcPr>
          <w:p w14:paraId="4340E944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OS/DFS</w:t>
            </w:r>
          </w:p>
        </w:tc>
        <w:tc>
          <w:tcPr>
            <w:tcW w:w="524" w:type="pct"/>
            <w:shd w:val="clear" w:color="auto" w:fill="FFFFFF"/>
            <w:hideMark/>
          </w:tcPr>
          <w:p w14:paraId="2C41A23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450" w:type="pct"/>
            <w:shd w:val="clear" w:color="auto" w:fill="FFFFFF"/>
            <w:hideMark/>
          </w:tcPr>
          <w:p w14:paraId="6CF8902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B41876" w:rsidRPr="00B41876" w14:paraId="088BBEA0" w14:textId="77777777" w:rsidTr="00270795">
        <w:tc>
          <w:tcPr>
            <w:tcW w:w="1049" w:type="pct"/>
            <w:shd w:val="clear" w:color="auto" w:fill="FFFFFF"/>
            <w:hideMark/>
          </w:tcPr>
          <w:p w14:paraId="6D1B7D4C" w14:textId="587615AA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Gachechiladze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21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52A2AC5E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2013</w:t>
            </w:r>
          </w:p>
        </w:tc>
        <w:tc>
          <w:tcPr>
            <w:tcW w:w="432" w:type="pct"/>
            <w:shd w:val="clear" w:color="auto" w:fill="FFFFFF"/>
            <w:hideMark/>
          </w:tcPr>
          <w:p w14:paraId="45BB716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Israel</w:t>
            </w:r>
          </w:p>
        </w:tc>
        <w:tc>
          <w:tcPr>
            <w:tcW w:w="449" w:type="pct"/>
            <w:shd w:val="clear" w:color="auto" w:fill="FFFFFF"/>
            <w:hideMark/>
          </w:tcPr>
          <w:p w14:paraId="42F9914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58</w:t>
            </w:r>
          </w:p>
        </w:tc>
        <w:tc>
          <w:tcPr>
            <w:tcW w:w="525" w:type="pct"/>
            <w:shd w:val="clear" w:color="auto" w:fill="FFFFFF"/>
            <w:hideMark/>
          </w:tcPr>
          <w:p w14:paraId="7B46E7A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15 (25.9)</w:t>
            </w:r>
          </w:p>
        </w:tc>
        <w:tc>
          <w:tcPr>
            <w:tcW w:w="524" w:type="pct"/>
            <w:shd w:val="clear" w:color="auto" w:fill="FFFFFF"/>
            <w:hideMark/>
          </w:tcPr>
          <w:p w14:paraId="6A318E2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III- IV</w:t>
            </w:r>
          </w:p>
        </w:tc>
        <w:tc>
          <w:tcPr>
            <w:tcW w:w="524" w:type="pct"/>
            <w:shd w:val="clear" w:color="auto" w:fill="FFFFFF"/>
            <w:hideMark/>
          </w:tcPr>
          <w:p w14:paraId="0A26D5D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OS/DFS</w:t>
            </w:r>
          </w:p>
        </w:tc>
        <w:tc>
          <w:tcPr>
            <w:tcW w:w="524" w:type="pct"/>
            <w:shd w:val="clear" w:color="auto" w:fill="FFFFFF"/>
            <w:hideMark/>
          </w:tcPr>
          <w:p w14:paraId="0EE58B7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450" w:type="pct"/>
            <w:shd w:val="clear" w:color="auto" w:fill="FFFFFF"/>
            <w:hideMark/>
          </w:tcPr>
          <w:p w14:paraId="17252F14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B41876" w:rsidRPr="00B41876" w14:paraId="4F8C1207" w14:textId="77777777" w:rsidTr="00270795">
        <w:tc>
          <w:tcPr>
            <w:tcW w:w="1049" w:type="pct"/>
            <w:shd w:val="clear" w:color="auto" w:fill="FFFFFF"/>
            <w:hideMark/>
          </w:tcPr>
          <w:p w14:paraId="741CC7FA" w14:textId="4B6A8D3F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Yu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22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0F30C97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2013</w:t>
            </w:r>
          </w:p>
        </w:tc>
        <w:tc>
          <w:tcPr>
            <w:tcW w:w="432" w:type="pct"/>
            <w:shd w:val="clear" w:color="auto" w:fill="FFFFFF"/>
            <w:hideMark/>
          </w:tcPr>
          <w:p w14:paraId="5DACC53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China</w:t>
            </w:r>
          </w:p>
        </w:tc>
        <w:tc>
          <w:tcPr>
            <w:tcW w:w="449" w:type="pct"/>
            <w:shd w:val="clear" w:color="auto" w:fill="FFFFFF"/>
            <w:hideMark/>
          </w:tcPr>
          <w:p w14:paraId="48160480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80</w:t>
            </w:r>
          </w:p>
        </w:tc>
        <w:tc>
          <w:tcPr>
            <w:tcW w:w="525" w:type="pct"/>
            <w:shd w:val="clear" w:color="auto" w:fill="FFFFFF"/>
            <w:hideMark/>
          </w:tcPr>
          <w:p w14:paraId="0FB78D9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36 (45)</w:t>
            </w:r>
          </w:p>
        </w:tc>
        <w:tc>
          <w:tcPr>
            <w:tcW w:w="524" w:type="pct"/>
            <w:shd w:val="clear" w:color="auto" w:fill="FFFFFF"/>
            <w:hideMark/>
          </w:tcPr>
          <w:p w14:paraId="0FBF098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I- IV</w:t>
            </w:r>
          </w:p>
        </w:tc>
        <w:tc>
          <w:tcPr>
            <w:tcW w:w="524" w:type="pct"/>
            <w:shd w:val="clear" w:color="auto" w:fill="FFFFFF"/>
            <w:hideMark/>
          </w:tcPr>
          <w:p w14:paraId="2EDD8B0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OS/DFS</w:t>
            </w:r>
          </w:p>
        </w:tc>
        <w:tc>
          <w:tcPr>
            <w:tcW w:w="524" w:type="pct"/>
            <w:shd w:val="clear" w:color="auto" w:fill="FFFFFF"/>
            <w:hideMark/>
          </w:tcPr>
          <w:p w14:paraId="042BAFF1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E</w:t>
            </w:r>
          </w:p>
        </w:tc>
        <w:tc>
          <w:tcPr>
            <w:tcW w:w="450" w:type="pct"/>
            <w:shd w:val="clear" w:color="auto" w:fill="FFFFFF"/>
            <w:hideMark/>
          </w:tcPr>
          <w:p w14:paraId="1B09519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B41876" w:rsidRPr="00B41876" w14:paraId="01246478" w14:textId="77777777" w:rsidTr="00270795">
        <w:tc>
          <w:tcPr>
            <w:tcW w:w="1049" w:type="pct"/>
            <w:shd w:val="clear" w:color="auto" w:fill="FFFFFF"/>
            <w:hideMark/>
          </w:tcPr>
          <w:p w14:paraId="4B9C8044" w14:textId="6AF6E39A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41876">
              <w:rPr>
                <w:rFonts w:ascii="Book Antiqua" w:hAnsi="Book Antiqua"/>
                <w:color w:val="000000" w:themeColor="text1"/>
              </w:rPr>
              <w:t>Grossi</w:t>
            </w:r>
            <w:proofErr w:type="spellEnd"/>
            <w:r w:rsidRPr="00B41876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23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4DF195D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2015</w:t>
            </w:r>
          </w:p>
        </w:tc>
        <w:tc>
          <w:tcPr>
            <w:tcW w:w="432" w:type="pct"/>
            <w:shd w:val="clear" w:color="auto" w:fill="FFFFFF"/>
            <w:hideMark/>
          </w:tcPr>
          <w:p w14:paraId="480ED4A4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Italy</w:t>
            </w:r>
          </w:p>
        </w:tc>
        <w:tc>
          <w:tcPr>
            <w:tcW w:w="449" w:type="pct"/>
            <w:shd w:val="clear" w:color="auto" w:fill="FFFFFF"/>
            <w:hideMark/>
          </w:tcPr>
          <w:p w14:paraId="7C00687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81</w:t>
            </w:r>
          </w:p>
        </w:tc>
        <w:tc>
          <w:tcPr>
            <w:tcW w:w="525" w:type="pct"/>
            <w:shd w:val="clear" w:color="auto" w:fill="FFFFFF"/>
            <w:hideMark/>
          </w:tcPr>
          <w:p w14:paraId="36B5D6E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45 (55.6)</w:t>
            </w:r>
          </w:p>
        </w:tc>
        <w:tc>
          <w:tcPr>
            <w:tcW w:w="524" w:type="pct"/>
            <w:shd w:val="clear" w:color="auto" w:fill="FFFFFF"/>
            <w:hideMark/>
          </w:tcPr>
          <w:p w14:paraId="79035FF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 A-IIIB</w:t>
            </w:r>
          </w:p>
        </w:tc>
        <w:tc>
          <w:tcPr>
            <w:tcW w:w="524" w:type="pct"/>
            <w:shd w:val="clear" w:color="auto" w:fill="FFFFFF"/>
            <w:hideMark/>
          </w:tcPr>
          <w:p w14:paraId="1185A26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</w:t>
            </w:r>
          </w:p>
        </w:tc>
        <w:tc>
          <w:tcPr>
            <w:tcW w:w="524" w:type="pct"/>
            <w:shd w:val="clear" w:color="auto" w:fill="FFFFFF"/>
            <w:hideMark/>
          </w:tcPr>
          <w:p w14:paraId="4EB5412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450" w:type="pct"/>
            <w:shd w:val="clear" w:color="auto" w:fill="FFFFFF"/>
            <w:hideMark/>
          </w:tcPr>
          <w:p w14:paraId="1A927F2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B41876" w:rsidRPr="00B41876" w14:paraId="25590A84" w14:textId="77777777" w:rsidTr="00270795">
        <w:tc>
          <w:tcPr>
            <w:tcW w:w="1049" w:type="pct"/>
            <w:shd w:val="clear" w:color="auto" w:fill="FFFFFF"/>
            <w:hideMark/>
          </w:tcPr>
          <w:p w14:paraId="6C2F01A5" w14:textId="2E374501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41876">
              <w:rPr>
                <w:rFonts w:ascii="Book Antiqua" w:hAnsi="Book Antiqua"/>
                <w:color w:val="000000" w:themeColor="text1"/>
              </w:rPr>
              <w:t>Lafuente-Sanchis</w:t>
            </w:r>
            <w:proofErr w:type="spellEnd"/>
            <w:r w:rsidRPr="00B41876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24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625EFDA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2015</w:t>
            </w:r>
          </w:p>
        </w:tc>
        <w:tc>
          <w:tcPr>
            <w:tcW w:w="432" w:type="pct"/>
            <w:shd w:val="clear" w:color="auto" w:fill="FFFFFF"/>
            <w:hideMark/>
          </w:tcPr>
          <w:p w14:paraId="71366FB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Spain</w:t>
            </w:r>
          </w:p>
        </w:tc>
        <w:tc>
          <w:tcPr>
            <w:tcW w:w="449" w:type="pct"/>
            <w:shd w:val="clear" w:color="auto" w:fill="FFFFFF"/>
            <w:hideMark/>
          </w:tcPr>
          <w:p w14:paraId="5067F30E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64</w:t>
            </w:r>
          </w:p>
        </w:tc>
        <w:tc>
          <w:tcPr>
            <w:tcW w:w="525" w:type="pct"/>
            <w:shd w:val="clear" w:color="auto" w:fill="FFFFFF"/>
            <w:hideMark/>
          </w:tcPr>
          <w:p w14:paraId="3EE42F6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30 (46.9)</w:t>
            </w:r>
          </w:p>
        </w:tc>
        <w:tc>
          <w:tcPr>
            <w:tcW w:w="524" w:type="pct"/>
            <w:shd w:val="clear" w:color="auto" w:fill="FFFFFF"/>
            <w:hideMark/>
          </w:tcPr>
          <w:p w14:paraId="52FC9CE0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</w:t>
            </w:r>
          </w:p>
        </w:tc>
        <w:tc>
          <w:tcPr>
            <w:tcW w:w="524" w:type="pct"/>
            <w:shd w:val="clear" w:color="auto" w:fill="FFFFFF"/>
            <w:hideMark/>
          </w:tcPr>
          <w:p w14:paraId="401B184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DFS</w:t>
            </w:r>
          </w:p>
        </w:tc>
        <w:tc>
          <w:tcPr>
            <w:tcW w:w="524" w:type="pct"/>
            <w:shd w:val="clear" w:color="auto" w:fill="FFFFFF"/>
            <w:hideMark/>
          </w:tcPr>
          <w:p w14:paraId="6A7EA8D7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450" w:type="pct"/>
            <w:shd w:val="clear" w:color="auto" w:fill="FFFFFF"/>
            <w:hideMark/>
          </w:tcPr>
          <w:p w14:paraId="18202C8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7</w:t>
            </w:r>
          </w:p>
        </w:tc>
      </w:tr>
      <w:tr w:rsidR="00B41876" w:rsidRPr="00B41876" w14:paraId="4FF60761" w14:textId="77777777" w:rsidTr="00270795">
        <w:tc>
          <w:tcPr>
            <w:tcW w:w="1049" w:type="pct"/>
            <w:shd w:val="clear" w:color="auto" w:fill="FFFFFF"/>
            <w:hideMark/>
          </w:tcPr>
          <w:p w14:paraId="63F52AC4" w14:textId="09F2F3D2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Huang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12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4F767F9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2016</w:t>
            </w:r>
          </w:p>
        </w:tc>
        <w:tc>
          <w:tcPr>
            <w:tcW w:w="432" w:type="pct"/>
            <w:shd w:val="clear" w:color="auto" w:fill="FFFFFF"/>
            <w:hideMark/>
          </w:tcPr>
          <w:p w14:paraId="100A7EC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China</w:t>
            </w:r>
          </w:p>
        </w:tc>
        <w:tc>
          <w:tcPr>
            <w:tcW w:w="449" w:type="pct"/>
            <w:shd w:val="clear" w:color="auto" w:fill="FFFFFF"/>
            <w:hideMark/>
          </w:tcPr>
          <w:p w14:paraId="7DAE82D6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84</w:t>
            </w:r>
          </w:p>
        </w:tc>
        <w:tc>
          <w:tcPr>
            <w:tcW w:w="525" w:type="pct"/>
            <w:shd w:val="clear" w:color="auto" w:fill="FFFFFF"/>
            <w:hideMark/>
          </w:tcPr>
          <w:p w14:paraId="2ADE572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11 (13.1)</w:t>
            </w:r>
          </w:p>
        </w:tc>
        <w:tc>
          <w:tcPr>
            <w:tcW w:w="524" w:type="pct"/>
            <w:shd w:val="clear" w:color="auto" w:fill="FFFFFF"/>
            <w:hideMark/>
          </w:tcPr>
          <w:p w14:paraId="2EC3814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II-III</w:t>
            </w:r>
          </w:p>
        </w:tc>
        <w:tc>
          <w:tcPr>
            <w:tcW w:w="524" w:type="pct"/>
            <w:shd w:val="clear" w:color="auto" w:fill="FFFFFF"/>
            <w:hideMark/>
          </w:tcPr>
          <w:p w14:paraId="1D42C35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DFS</w:t>
            </w:r>
          </w:p>
        </w:tc>
        <w:tc>
          <w:tcPr>
            <w:tcW w:w="524" w:type="pct"/>
            <w:shd w:val="clear" w:color="auto" w:fill="FFFFFF"/>
            <w:hideMark/>
          </w:tcPr>
          <w:p w14:paraId="254D2FA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450" w:type="pct"/>
            <w:shd w:val="clear" w:color="auto" w:fill="FFFFFF"/>
            <w:hideMark/>
          </w:tcPr>
          <w:p w14:paraId="1D292ED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  <w:tr w:rsidR="00B41876" w:rsidRPr="00B41876" w14:paraId="14DA7950" w14:textId="77777777" w:rsidTr="00270795">
        <w:tc>
          <w:tcPr>
            <w:tcW w:w="1049" w:type="pct"/>
            <w:shd w:val="clear" w:color="auto" w:fill="FFFFFF"/>
            <w:hideMark/>
          </w:tcPr>
          <w:p w14:paraId="2C85ECF4" w14:textId="541320B6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Wang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25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28E028E1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432" w:type="pct"/>
            <w:shd w:val="clear" w:color="auto" w:fill="FFFFFF"/>
            <w:hideMark/>
          </w:tcPr>
          <w:p w14:paraId="3A8D0A3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China</w:t>
            </w:r>
          </w:p>
        </w:tc>
        <w:tc>
          <w:tcPr>
            <w:tcW w:w="449" w:type="pct"/>
            <w:shd w:val="clear" w:color="auto" w:fill="FFFFFF"/>
            <w:hideMark/>
          </w:tcPr>
          <w:p w14:paraId="4FCDCEF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70</w:t>
            </w:r>
          </w:p>
        </w:tc>
        <w:tc>
          <w:tcPr>
            <w:tcW w:w="525" w:type="pct"/>
            <w:shd w:val="clear" w:color="auto" w:fill="FFFFFF"/>
            <w:hideMark/>
          </w:tcPr>
          <w:p w14:paraId="25891A7E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NR</w:t>
            </w:r>
          </w:p>
        </w:tc>
        <w:tc>
          <w:tcPr>
            <w:tcW w:w="524" w:type="pct"/>
            <w:shd w:val="clear" w:color="auto" w:fill="FFFFFF"/>
            <w:hideMark/>
          </w:tcPr>
          <w:p w14:paraId="17CA21E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II-III</w:t>
            </w:r>
          </w:p>
        </w:tc>
        <w:tc>
          <w:tcPr>
            <w:tcW w:w="524" w:type="pct"/>
            <w:shd w:val="clear" w:color="auto" w:fill="FFFFFF"/>
            <w:hideMark/>
          </w:tcPr>
          <w:p w14:paraId="408445E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</w:t>
            </w:r>
          </w:p>
        </w:tc>
        <w:tc>
          <w:tcPr>
            <w:tcW w:w="524" w:type="pct"/>
            <w:shd w:val="clear" w:color="auto" w:fill="FFFFFF"/>
            <w:hideMark/>
          </w:tcPr>
          <w:p w14:paraId="2D79BF34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450" w:type="pct"/>
            <w:shd w:val="clear" w:color="auto" w:fill="FFFFFF"/>
            <w:hideMark/>
          </w:tcPr>
          <w:p w14:paraId="32A8E80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6</w:t>
            </w:r>
          </w:p>
        </w:tc>
      </w:tr>
      <w:tr w:rsidR="00B41876" w:rsidRPr="00B41876" w14:paraId="2E53311E" w14:textId="77777777" w:rsidTr="00270795">
        <w:tc>
          <w:tcPr>
            <w:tcW w:w="1049" w:type="pct"/>
            <w:shd w:val="clear" w:color="auto" w:fill="FFFFFF"/>
            <w:hideMark/>
          </w:tcPr>
          <w:p w14:paraId="1C6CB5F3" w14:textId="40B29BA6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41876">
              <w:rPr>
                <w:rFonts w:ascii="Book Antiqua" w:hAnsi="Book Antiqua"/>
                <w:color w:val="000000" w:themeColor="text1"/>
              </w:rPr>
              <w:t>Levallet</w:t>
            </w:r>
            <w:proofErr w:type="spellEnd"/>
            <w:r w:rsidRPr="00B41876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563DD5" w:rsidRPr="00563DD5">
              <w:rPr>
                <w:rFonts w:ascii="Book Antiqua" w:hAnsi="Book Antiqua" w:hint="eastAsia"/>
                <w:i/>
                <w:iCs/>
                <w:color w:val="000000" w:themeColor="text1"/>
              </w:rPr>
              <w:t>e</w:t>
            </w:r>
            <w:r w:rsidR="00563DD5" w:rsidRPr="00563DD5">
              <w:rPr>
                <w:rFonts w:ascii="Book Antiqua" w:hAnsi="Book Antiqua"/>
                <w:i/>
                <w:iCs/>
                <w:color w:val="000000" w:themeColor="text1"/>
              </w:rPr>
              <w:t>t al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563DD5">
              <w:rPr>
                <w:rFonts w:ascii="Book Antiqua" w:hAnsi="Book Antiqua"/>
                <w:color w:val="000000" w:themeColor="text1"/>
                <w:vertAlign w:val="superscript"/>
              </w:rPr>
              <w:t>26</w:t>
            </w:r>
            <w:r w:rsidR="00563DD5" w:rsidRPr="00563DD5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24" w:type="pct"/>
            <w:shd w:val="clear" w:color="auto" w:fill="FFFFFF"/>
            <w:hideMark/>
          </w:tcPr>
          <w:p w14:paraId="118CF47C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432" w:type="pct"/>
            <w:shd w:val="clear" w:color="auto" w:fill="FFFFFF"/>
            <w:hideMark/>
          </w:tcPr>
          <w:p w14:paraId="678BFE47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France</w:t>
            </w:r>
          </w:p>
        </w:tc>
        <w:tc>
          <w:tcPr>
            <w:tcW w:w="449" w:type="pct"/>
            <w:shd w:val="clear" w:color="auto" w:fill="FFFFFF"/>
            <w:hideMark/>
          </w:tcPr>
          <w:p w14:paraId="00A6E3B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221</w:t>
            </w:r>
          </w:p>
        </w:tc>
        <w:tc>
          <w:tcPr>
            <w:tcW w:w="525" w:type="pct"/>
            <w:shd w:val="clear" w:color="auto" w:fill="FFFFFF"/>
            <w:hideMark/>
          </w:tcPr>
          <w:p w14:paraId="1D7A382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129 (58.4)</w:t>
            </w:r>
          </w:p>
        </w:tc>
        <w:tc>
          <w:tcPr>
            <w:tcW w:w="524" w:type="pct"/>
            <w:shd w:val="clear" w:color="auto" w:fill="FFFFFF"/>
            <w:hideMark/>
          </w:tcPr>
          <w:p w14:paraId="74C9CA4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I- IV</w:t>
            </w:r>
          </w:p>
        </w:tc>
        <w:tc>
          <w:tcPr>
            <w:tcW w:w="524" w:type="pct"/>
            <w:shd w:val="clear" w:color="auto" w:fill="FFFFFF"/>
            <w:hideMark/>
          </w:tcPr>
          <w:p w14:paraId="7C61C00C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OS/DFS</w:t>
            </w:r>
          </w:p>
        </w:tc>
        <w:tc>
          <w:tcPr>
            <w:tcW w:w="524" w:type="pct"/>
            <w:shd w:val="clear" w:color="auto" w:fill="FFFFFF"/>
            <w:hideMark/>
          </w:tcPr>
          <w:p w14:paraId="4D11821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R</w:t>
            </w:r>
          </w:p>
        </w:tc>
        <w:tc>
          <w:tcPr>
            <w:tcW w:w="450" w:type="pct"/>
            <w:shd w:val="clear" w:color="auto" w:fill="FFFFFF"/>
            <w:hideMark/>
          </w:tcPr>
          <w:p w14:paraId="33B7D42A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8</w:t>
            </w:r>
          </w:p>
        </w:tc>
      </w:tr>
    </w:tbl>
    <w:p w14:paraId="489007EA" w14:textId="4CC01A20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hAnsi="Book Antiqua"/>
          <w:color w:val="000000" w:themeColor="text1"/>
        </w:rPr>
        <w:t xml:space="preserve">TNM: </w:t>
      </w:r>
      <w:r w:rsidR="00563DD5" w:rsidRPr="00B41876">
        <w:rPr>
          <w:rFonts w:ascii="Book Antiqua" w:hAnsi="Book Antiqua"/>
          <w:color w:val="000000" w:themeColor="text1"/>
        </w:rPr>
        <w:t>Tumor</w:t>
      </w:r>
      <w:r w:rsidRPr="00B41876">
        <w:rPr>
          <w:rFonts w:ascii="Book Antiqua" w:hAnsi="Book Antiqua"/>
          <w:color w:val="000000" w:themeColor="text1"/>
        </w:rPr>
        <w:t xml:space="preserve">-node-metastasis; OS: </w:t>
      </w:r>
      <w:r w:rsidR="00563DD5" w:rsidRPr="00B41876">
        <w:rPr>
          <w:rFonts w:ascii="Book Antiqua" w:hAnsi="Book Antiqua"/>
          <w:color w:val="000000" w:themeColor="text1"/>
        </w:rPr>
        <w:t xml:space="preserve">Overall </w:t>
      </w:r>
      <w:r w:rsidRPr="00B41876">
        <w:rPr>
          <w:rFonts w:ascii="Book Antiqua" w:hAnsi="Book Antiqua"/>
          <w:color w:val="000000" w:themeColor="text1"/>
        </w:rPr>
        <w:t xml:space="preserve">survival; DFS: </w:t>
      </w:r>
      <w:r w:rsidR="00563DD5" w:rsidRPr="00B41876">
        <w:rPr>
          <w:rFonts w:ascii="Book Antiqua" w:hAnsi="Book Antiqua"/>
          <w:color w:val="000000" w:themeColor="text1"/>
        </w:rPr>
        <w:t>Disease</w:t>
      </w:r>
      <w:r w:rsidRPr="00B41876">
        <w:rPr>
          <w:rFonts w:ascii="Book Antiqua" w:hAnsi="Book Antiqua"/>
          <w:color w:val="000000" w:themeColor="text1"/>
        </w:rPr>
        <w:t xml:space="preserve">-free survival; HR: </w:t>
      </w:r>
      <w:r w:rsidR="00563DD5" w:rsidRPr="00B41876">
        <w:rPr>
          <w:rFonts w:ascii="Book Antiqua" w:hAnsi="Book Antiqua"/>
          <w:color w:val="000000" w:themeColor="text1"/>
        </w:rPr>
        <w:t xml:space="preserve">Hazard </w:t>
      </w:r>
      <w:r w:rsidRPr="00B41876">
        <w:rPr>
          <w:rFonts w:ascii="Book Antiqua" w:hAnsi="Book Antiqua"/>
          <w:color w:val="000000" w:themeColor="text1"/>
        </w:rPr>
        <w:t xml:space="preserve">ratio; R: </w:t>
      </w:r>
      <w:r w:rsidR="00563DD5" w:rsidRPr="00B41876">
        <w:rPr>
          <w:rFonts w:ascii="Book Antiqua" w:hAnsi="Book Antiqua"/>
          <w:color w:val="000000" w:themeColor="text1"/>
        </w:rPr>
        <w:t>Reported</w:t>
      </w:r>
      <w:r w:rsidRPr="00B41876">
        <w:rPr>
          <w:rFonts w:ascii="Book Antiqua" w:hAnsi="Book Antiqua"/>
          <w:color w:val="000000" w:themeColor="text1"/>
        </w:rPr>
        <w:t xml:space="preserve">; E: </w:t>
      </w:r>
      <w:r w:rsidR="00563DD5" w:rsidRPr="00B41876">
        <w:rPr>
          <w:rFonts w:ascii="Book Antiqua" w:hAnsi="Book Antiqua"/>
          <w:color w:val="000000" w:themeColor="text1"/>
        </w:rPr>
        <w:t>Estimated</w:t>
      </w:r>
      <w:r w:rsidRPr="00B41876">
        <w:rPr>
          <w:rFonts w:ascii="Book Antiqua" w:hAnsi="Book Antiqua"/>
          <w:color w:val="000000" w:themeColor="text1"/>
        </w:rPr>
        <w:t xml:space="preserve">; NOS: </w:t>
      </w:r>
      <w:bookmarkStart w:id="5" w:name="_Hlk11958359"/>
      <w:r w:rsidRPr="00B41876">
        <w:rPr>
          <w:rFonts w:ascii="Book Antiqua" w:hAnsi="Book Antiqua"/>
          <w:color w:val="000000" w:themeColor="text1"/>
        </w:rPr>
        <w:t>Newcastle-Ottawa quality assessment scale</w:t>
      </w:r>
      <w:bookmarkEnd w:id="5"/>
      <w:r w:rsidRPr="00B41876">
        <w:rPr>
          <w:rFonts w:ascii="Book Antiqua" w:hAnsi="Book Antiqua"/>
          <w:color w:val="000000" w:themeColor="text1"/>
        </w:rPr>
        <w:t>.</w:t>
      </w:r>
    </w:p>
    <w:p w14:paraId="54813690" w14:textId="77777777" w:rsidR="00910614" w:rsidRDefault="00910614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6A46E3" w14:textId="375E94EF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hAnsi="Book Antiqua"/>
          <w:b/>
          <w:color w:val="000000" w:themeColor="text1"/>
        </w:rPr>
        <w:lastRenderedPageBreak/>
        <w:t xml:space="preserve">Table 2 Correlations of </w:t>
      </w:r>
      <w:r w:rsidR="009F789C" w:rsidRPr="00B41876">
        <w:rPr>
          <w:rFonts w:ascii="Book Antiqua" w:eastAsia="Book Antiqua" w:hAnsi="Book Antiqua" w:cs="Book Antiqua"/>
          <w:b/>
          <w:bCs/>
          <w:color w:val="000000" w:themeColor="text1"/>
        </w:rPr>
        <w:t>breast cancer susceptib</w:t>
      </w:r>
      <w:r w:rsidR="009F789C" w:rsidRPr="00B41876">
        <w:rPr>
          <w:rFonts w:ascii="Book Antiqua" w:eastAsia="Book Antiqua" w:hAnsi="Book Antiqua" w:cs="Book Antiqua"/>
          <w:b/>
          <w:bCs/>
          <w:color w:val="000000" w:themeColor="text1"/>
        </w:rPr>
        <w:t>ility gene 1</w:t>
      </w:r>
      <w:r w:rsidRPr="00B41876">
        <w:rPr>
          <w:rFonts w:ascii="Book Antiqua" w:hAnsi="Book Antiqua"/>
          <w:b/>
          <w:color w:val="000000" w:themeColor="text1"/>
        </w:rPr>
        <w:t xml:space="preserve"> expression with </w:t>
      </w:r>
      <w:proofErr w:type="spellStart"/>
      <w:r w:rsidRPr="00B41876">
        <w:rPr>
          <w:rFonts w:ascii="Book Antiqua" w:hAnsi="Book Antiqua"/>
          <w:b/>
          <w:color w:val="000000" w:themeColor="text1"/>
        </w:rPr>
        <w:t>clinicopathological</w:t>
      </w:r>
      <w:proofErr w:type="spellEnd"/>
      <w:r w:rsidRPr="00B41876">
        <w:rPr>
          <w:rFonts w:ascii="Book Antiqua" w:hAnsi="Book Antiqua"/>
          <w:b/>
          <w:color w:val="000000" w:themeColor="text1"/>
        </w:rPr>
        <w:t xml:space="preserve"> characteristics in resected non-small cell lung cancer</w:t>
      </w:r>
    </w:p>
    <w:tbl>
      <w:tblPr>
        <w:tblStyle w:val="a5"/>
        <w:tblW w:w="5000" w:type="pct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1043"/>
        <w:gridCol w:w="916"/>
        <w:gridCol w:w="963"/>
        <w:gridCol w:w="1060"/>
        <w:gridCol w:w="1727"/>
        <w:gridCol w:w="1883"/>
      </w:tblGrid>
      <w:tr w:rsidR="00B41876" w:rsidRPr="00B41876" w14:paraId="75335011" w14:textId="77777777" w:rsidTr="00D36B1C">
        <w:tc>
          <w:tcPr>
            <w:tcW w:w="68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732E65A0" w14:textId="191C3809" w:rsidR="00B41876" w:rsidRPr="006C139D" w:rsidRDefault="003A2A5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>Ref.</w:t>
            </w:r>
          </w:p>
        </w:tc>
        <w:tc>
          <w:tcPr>
            <w:tcW w:w="57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55FDB24B" w14:textId="77777777" w:rsidR="00B41876" w:rsidRPr="006C139D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Gender (M </w:t>
            </w:r>
            <w:r w:rsidRPr="006C139D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vs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 F)</w:t>
            </w:r>
          </w:p>
        </w:tc>
        <w:tc>
          <w:tcPr>
            <w:tcW w:w="63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00ADDB2A" w14:textId="2E275489" w:rsidR="00B41876" w:rsidRPr="006C139D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>Age (≥</w:t>
            </w:r>
            <w:r w:rsidR="006C139D"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60 </w:t>
            </w:r>
            <w:r w:rsidRPr="006C139D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vs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6C139D"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&lt; 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>60)</w:t>
            </w:r>
          </w:p>
        </w:tc>
        <w:tc>
          <w:tcPr>
            <w:tcW w:w="58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28BD8DA9" w14:textId="64900793" w:rsidR="00B41876" w:rsidRPr="006C139D" w:rsidRDefault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>Tumor size (T3</w:t>
            </w:r>
            <w:r w:rsidR="002036F0">
              <w:rPr>
                <w:rFonts w:ascii="Book Antiqua" w:hAnsi="Book Antiqua"/>
                <w:b/>
                <w:bCs/>
                <w:color w:val="000000" w:themeColor="text1"/>
              </w:rPr>
              <w:t>/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4 </w:t>
            </w:r>
            <w:r w:rsidRPr="006C139D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vs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 T1</w:t>
            </w:r>
            <w:r w:rsidR="002036F0">
              <w:rPr>
                <w:rFonts w:ascii="Book Antiqua" w:hAnsi="Book Antiqua"/>
                <w:b/>
                <w:bCs/>
                <w:color w:val="000000" w:themeColor="text1"/>
              </w:rPr>
              <w:t>/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>2)</w:t>
            </w:r>
          </w:p>
        </w:tc>
        <w:tc>
          <w:tcPr>
            <w:tcW w:w="69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0AF0571A" w14:textId="000D235A" w:rsidR="00B41876" w:rsidRPr="006C139D" w:rsidRDefault="00B41876">
            <w:pPr>
              <w:adjustRightInd w:val="0"/>
              <w:snapToGrid w:val="0"/>
              <w:spacing w:line="360" w:lineRule="auto"/>
              <w:ind w:left="120" w:hangingChars="50" w:hanging="120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>TNM stage</w:t>
            </w:r>
            <w:bookmarkStart w:id="6" w:name="_Hlk18936606"/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 (</w:t>
            </w:r>
            <w:r w:rsidR="002036F0" w:rsidRPr="006C139D">
              <w:rPr>
                <w:rFonts w:ascii="Book Antiqua" w:hAnsi="Book Antiqua" w:cs="宋体"/>
                <w:b/>
                <w:bCs/>
                <w:color w:val="000000" w:themeColor="text1"/>
              </w:rPr>
              <w:t>III</w:t>
            </w:r>
            <w:r w:rsidR="002036F0"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2036F0">
              <w:rPr>
                <w:rFonts w:ascii="Book Antiqua" w:hAnsi="Book Antiqua"/>
                <w:b/>
                <w:bCs/>
                <w:color w:val="000000" w:themeColor="text1"/>
              </w:rPr>
              <w:t>/</w:t>
            </w:r>
            <w:r w:rsidR="006C139D" w:rsidRPr="006C139D">
              <w:rPr>
                <w:rFonts w:ascii="Book Antiqua" w:hAnsi="Book Antiqua"/>
                <w:b/>
                <w:bCs/>
                <w:color w:val="000000" w:themeColor="text1"/>
              </w:rPr>
              <w:t>IV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Pr="006C139D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vs</w:t>
            </w:r>
            <w:r w:rsidR="006C139D" w:rsidRPr="006C139D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6C139D" w:rsidRPr="006C139D">
              <w:rPr>
                <w:rFonts w:ascii="Book Antiqua" w:hAnsi="Book Antiqua" w:cs="宋体"/>
                <w:b/>
                <w:bCs/>
                <w:color w:val="000000" w:themeColor="text1"/>
              </w:rPr>
              <w:t>I</w:t>
            </w:r>
            <w:r w:rsidR="002036F0">
              <w:rPr>
                <w:rFonts w:ascii="Book Antiqua" w:hAnsi="Book Antiqua" w:cs="宋体"/>
                <w:b/>
                <w:bCs/>
                <w:color w:val="000000" w:themeColor="text1"/>
              </w:rPr>
              <w:t>/</w:t>
            </w:r>
            <w:r w:rsidR="006C139D" w:rsidRPr="006C139D">
              <w:rPr>
                <w:rFonts w:ascii="Book Antiqua" w:hAnsi="Book Antiqua"/>
                <w:b/>
                <w:bCs/>
                <w:color w:val="000000" w:themeColor="text1"/>
              </w:rPr>
              <w:t>I</w:t>
            </w:r>
            <w:r w:rsidR="002036F0">
              <w:rPr>
                <w:rFonts w:ascii="Book Antiqua" w:hAnsi="Book Antiqua"/>
                <w:b/>
                <w:bCs/>
                <w:color w:val="000000" w:themeColor="text1"/>
              </w:rPr>
              <w:t>I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>)</w:t>
            </w:r>
            <w:bookmarkEnd w:id="6"/>
          </w:p>
        </w:tc>
        <w:tc>
          <w:tcPr>
            <w:tcW w:w="101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414A4318" w14:textId="77777777" w:rsidR="00B41876" w:rsidRPr="006C139D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Histology (AC </w:t>
            </w:r>
            <w:r w:rsidRPr="006C139D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vs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 SCC)</w:t>
            </w:r>
          </w:p>
        </w:tc>
        <w:tc>
          <w:tcPr>
            <w:tcW w:w="82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14:paraId="58FCCC37" w14:textId="4ECBCF0F" w:rsidR="00B41876" w:rsidRPr="006C139D" w:rsidRDefault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Differentiation (poor </w:t>
            </w:r>
            <w:r w:rsidRPr="006C139D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vs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 xml:space="preserve"> moderate</w:t>
            </w:r>
            <w:r w:rsidR="002036F0">
              <w:rPr>
                <w:rFonts w:ascii="Book Antiqua" w:hAnsi="Book Antiqua"/>
                <w:b/>
                <w:bCs/>
                <w:color w:val="000000" w:themeColor="text1"/>
              </w:rPr>
              <w:t>/</w:t>
            </w:r>
            <w:r w:rsidRPr="006C139D">
              <w:rPr>
                <w:rFonts w:ascii="Book Antiqua" w:hAnsi="Book Antiqua"/>
                <w:b/>
                <w:bCs/>
                <w:color w:val="000000" w:themeColor="text1"/>
              </w:rPr>
              <w:t>well)</w:t>
            </w:r>
          </w:p>
        </w:tc>
      </w:tr>
      <w:tr w:rsidR="00B41876" w:rsidRPr="00B41876" w14:paraId="24DCB56F" w14:textId="77777777" w:rsidTr="00D36B1C">
        <w:tc>
          <w:tcPr>
            <w:tcW w:w="681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4C938034" w14:textId="7BFC71F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41876">
              <w:rPr>
                <w:rFonts w:ascii="Book Antiqua" w:hAnsi="Book Antiqua"/>
                <w:color w:val="000000" w:themeColor="text1"/>
              </w:rPr>
              <w:t>Rosell</w:t>
            </w:r>
            <w:proofErr w:type="spellEnd"/>
            <w:r w:rsidRPr="00B41876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18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51AA379C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33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0A244B0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585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2D5EAF26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2471FE5A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1012" w:type="pct"/>
            <w:tcBorders>
              <w:top w:val="single" w:sz="4" w:space="0" w:color="000000"/>
            </w:tcBorders>
            <w:shd w:val="clear" w:color="auto" w:fill="FFFFFF"/>
          </w:tcPr>
          <w:p w14:paraId="4437895A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23" w:type="pct"/>
            <w:tcBorders>
              <w:top w:val="single" w:sz="4" w:space="0" w:color="000000"/>
            </w:tcBorders>
            <w:shd w:val="clear" w:color="auto" w:fill="FFFFFF"/>
            <w:hideMark/>
          </w:tcPr>
          <w:p w14:paraId="219D268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B41876" w:rsidRPr="00B41876" w14:paraId="4E078875" w14:textId="77777777" w:rsidTr="00D36B1C">
        <w:tc>
          <w:tcPr>
            <w:tcW w:w="681" w:type="pct"/>
            <w:shd w:val="clear" w:color="auto" w:fill="FFFFFF"/>
            <w:hideMark/>
          </w:tcPr>
          <w:p w14:paraId="42291E5E" w14:textId="219B3D3B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Bartolucci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11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3E7EDB1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33" w:type="pct"/>
            <w:shd w:val="clear" w:color="auto" w:fill="FFFFFF"/>
            <w:hideMark/>
          </w:tcPr>
          <w:p w14:paraId="23A793CA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585" w:type="pct"/>
            <w:shd w:val="clear" w:color="auto" w:fill="FFFFFF"/>
            <w:hideMark/>
          </w:tcPr>
          <w:p w14:paraId="6EDD7A1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shd w:val="clear" w:color="auto" w:fill="FFFFFF"/>
            <w:hideMark/>
          </w:tcPr>
          <w:p w14:paraId="41A15F54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1012" w:type="pct"/>
            <w:shd w:val="clear" w:color="auto" w:fill="FFFFFF"/>
          </w:tcPr>
          <w:p w14:paraId="66D30257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823" w:type="pct"/>
            <w:shd w:val="clear" w:color="auto" w:fill="FFFFFF"/>
            <w:hideMark/>
          </w:tcPr>
          <w:p w14:paraId="480DA1D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B41876" w:rsidRPr="00B41876" w14:paraId="714E0563" w14:textId="77777777" w:rsidTr="00D36B1C">
        <w:tc>
          <w:tcPr>
            <w:tcW w:w="681" w:type="pct"/>
            <w:shd w:val="clear" w:color="auto" w:fill="FFFFFF"/>
            <w:hideMark/>
          </w:tcPr>
          <w:p w14:paraId="120ABCEF" w14:textId="304AB721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Ma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19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40FEDACA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1.050 (0.740-1.489)</w:t>
            </w:r>
          </w:p>
        </w:tc>
        <w:tc>
          <w:tcPr>
            <w:tcW w:w="633" w:type="pct"/>
            <w:shd w:val="clear" w:color="auto" w:fill="FFFFFF"/>
            <w:hideMark/>
          </w:tcPr>
          <w:p w14:paraId="0C1C598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585" w:type="pct"/>
            <w:shd w:val="clear" w:color="auto" w:fill="FFFFFF"/>
            <w:hideMark/>
          </w:tcPr>
          <w:p w14:paraId="36A3DB06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1.046 (0.734-1.489)</w:t>
            </w:r>
          </w:p>
        </w:tc>
        <w:tc>
          <w:tcPr>
            <w:tcW w:w="696" w:type="pct"/>
            <w:shd w:val="clear" w:color="auto" w:fill="FFFFFF"/>
            <w:hideMark/>
          </w:tcPr>
          <w:p w14:paraId="4716517E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1012" w:type="pct"/>
            <w:shd w:val="clear" w:color="auto" w:fill="FFFFFF"/>
            <w:hideMark/>
          </w:tcPr>
          <w:p w14:paraId="3E41203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0.916 (0.636-1.319)</w:t>
            </w:r>
          </w:p>
        </w:tc>
        <w:tc>
          <w:tcPr>
            <w:tcW w:w="823" w:type="pct"/>
            <w:shd w:val="clear" w:color="auto" w:fill="FFFFFF"/>
            <w:hideMark/>
          </w:tcPr>
          <w:p w14:paraId="637DEF31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1.204 (0.860-1.687)</w:t>
            </w:r>
          </w:p>
        </w:tc>
      </w:tr>
      <w:tr w:rsidR="00B41876" w:rsidRPr="00B41876" w14:paraId="70AB098A" w14:textId="77777777" w:rsidTr="00D36B1C">
        <w:tc>
          <w:tcPr>
            <w:tcW w:w="681" w:type="pct"/>
            <w:shd w:val="clear" w:color="auto" w:fill="FFFFFF"/>
            <w:hideMark/>
          </w:tcPr>
          <w:p w14:paraId="593197F5" w14:textId="62FD2752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41876">
              <w:rPr>
                <w:rFonts w:ascii="Book Antiqua" w:hAnsi="Book Antiqua"/>
                <w:color w:val="000000" w:themeColor="text1"/>
              </w:rPr>
              <w:t>Leng</w:t>
            </w:r>
            <w:proofErr w:type="spellEnd"/>
            <w:r w:rsidRPr="00B41876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20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5E9F688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33" w:type="pct"/>
            <w:shd w:val="clear" w:color="auto" w:fill="FFFFFF"/>
            <w:hideMark/>
          </w:tcPr>
          <w:p w14:paraId="247A94D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585" w:type="pct"/>
            <w:shd w:val="clear" w:color="auto" w:fill="FFFFFF"/>
            <w:hideMark/>
          </w:tcPr>
          <w:p w14:paraId="0DAC7E4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shd w:val="clear" w:color="auto" w:fill="FFFFFF"/>
            <w:hideMark/>
          </w:tcPr>
          <w:p w14:paraId="2D754DE6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1012" w:type="pct"/>
            <w:shd w:val="clear" w:color="auto" w:fill="FFFFFF"/>
            <w:hideMark/>
          </w:tcPr>
          <w:p w14:paraId="083A3DC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23" w:type="pct"/>
            <w:shd w:val="clear" w:color="auto" w:fill="FFFFFF"/>
            <w:hideMark/>
          </w:tcPr>
          <w:p w14:paraId="3D61EC17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B41876" w:rsidRPr="00B41876" w14:paraId="056E278C" w14:textId="77777777" w:rsidTr="00D36B1C">
        <w:tc>
          <w:tcPr>
            <w:tcW w:w="681" w:type="pct"/>
            <w:shd w:val="clear" w:color="auto" w:fill="FFFFFF"/>
            <w:hideMark/>
          </w:tcPr>
          <w:p w14:paraId="6C99F581" w14:textId="03997759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Gachechiladze</w:t>
            </w:r>
            <w:r w:rsidR="006C139D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21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696C582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33" w:type="pct"/>
            <w:shd w:val="clear" w:color="auto" w:fill="FFFFFF"/>
            <w:hideMark/>
          </w:tcPr>
          <w:p w14:paraId="7C7F184C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585" w:type="pct"/>
            <w:shd w:val="clear" w:color="auto" w:fill="FFFFFF"/>
            <w:hideMark/>
          </w:tcPr>
          <w:p w14:paraId="32D4220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shd w:val="clear" w:color="auto" w:fill="FFFFFF"/>
            <w:hideMark/>
          </w:tcPr>
          <w:p w14:paraId="0F2A61A7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0.920 (0.454-1.861)</w:t>
            </w:r>
          </w:p>
        </w:tc>
        <w:tc>
          <w:tcPr>
            <w:tcW w:w="1012" w:type="pct"/>
            <w:shd w:val="clear" w:color="auto" w:fill="FFFFFF"/>
            <w:hideMark/>
          </w:tcPr>
          <w:p w14:paraId="67F107DA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23" w:type="pct"/>
            <w:shd w:val="clear" w:color="auto" w:fill="FFFFFF"/>
            <w:hideMark/>
          </w:tcPr>
          <w:p w14:paraId="24C71B47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B41876" w:rsidRPr="00B41876" w14:paraId="272E3658" w14:textId="77777777" w:rsidTr="00D36B1C">
        <w:tc>
          <w:tcPr>
            <w:tcW w:w="681" w:type="pct"/>
            <w:shd w:val="clear" w:color="auto" w:fill="FFFFFF"/>
            <w:hideMark/>
          </w:tcPr>
          <w:p w14:paraId="6DEFD48A" w14:textId="45564950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Gachechiladze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 xml:space="preserve"> 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21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24B99231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0.857 (0.608-1.210)</w:t>
            </w:r>
          </w:p>
        </w:tc>
        <w:tc>
          <w:tcPr>
            <w:tcW w:w="633" w:type="pct"/>
            <w:shd w:val="clear" w:color="auto" w:fill="FFFFFF"/>
            <w:hideMark/>
          </w:tcPr>
          <w:p w14:paraId="7E2A368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1.273 (0.917-1.768)</w:t>
            </w:r>
          </w:p>
        </w:tc>
        <w:tc>
          <w:tcPr>
            <w:tcW w:w="585" w:type="pct"/>
            <w:shd w:val="clear" w:color="auto" w:fill="FFFFFF"/>
            <w:hideMark/>
          </w:tcPr>
          <w:p w14:paraId="347B5D0C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shd w:val="clear" w:color="auto" w:fill="FFFFFF"/>
            <w:hideMark/>
          </w:tcPr>
          <w:p w14:paraId="7BAD543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1.020 (0.727-1.433)</w:t>
            </w:r>
          </w:p>
        </w:tc>
        <w:tc>
          <w:tcPr>
            <w:tcW w:w="1012" w:type="pct"/>
            <w:shd w:val="clear" w:color="auto" w:fill="FFFFFF"/>
            <w:hideMark/>
          </w:tcPr>
          <w:p w14:paraId="4384F7C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0.990 (0.704-1.392)</w:t>
            </w:r>
          </w:p>
        </w:tc>
        <w:tc>
          <w:tcPr>
            <w:tcW w:w="823" w:type="pct"/>
            <w:shd w:val="clear" w:color="auto" w:fill="FFFFFF"/>
            <w:hideMark/>
          </w:tcPr>
          <w:p w14:paraId="5F219A6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1.238 (0.890-1.723)</w:t>
            </w:r>
          </w:p>
        </w:tc>
      </w:tr>
      <w:tr w:rsidR="00B41876" w:rsidRPr="00B41876" w14:paraId="421394D3" w14:textId="77777777" w:rsidTr="00D36B1C">
        <w:tc>
          <w:tcPr>
            <w:tcW w:w="681" w:type="pct"/>
            <w:shd w:val="clear" w:color="auto" w:fill="FFFFFF"/>
            <w:hideMark/>
          </w:tcPr>
          <w:p w14:paraId="32E79347" w14:textId="42CBCA5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Yu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22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7909E54E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33" w:type="pct"/>
            <w:shd w:val="clear" w:color="auto" w:fill="FFFFFF"/>
            <w:hideMark/>
          </w:tcPr>
          <w:p w14:paraId="0BAECB5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585" w:type="pct"/>
            <w:shd w:val="clear" w:color="auto" w:fill="FFFFFF"/>
            <w:hideMark/>
          </w:tcPr>
          <w:p w14:paraId="4BBC632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shd w:val="clear" w:color="auto" w:fill="FFFFFF"/>
            <w:hideMark/>
          </w:tcPr>
          <w:p w14:paraId="1534F476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1012" w:type="pct"/>
            <w:shd w:val="clear" w:color="auto" w:fill="FFFFFF"/>
            <w:hideMark/>
          </w:tcPr>
          <w:p w14:paraId="2B93212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23" w:type="pct"/>
            <w:shd w:val="clear" w:color="auto" w:fill="FFFFFF"/>
            <w:hideMark/>
          </w:tcPr>
          <w:p w14:paraId="466C415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B41876" w:rsidRPr="00B41876" w14:paraId="2591B8EA" w14:textId="77777777" w:rsidTr="00D36B1C">
        <w:tc>
          <w:tcPr>
            <w:tcW w:w="681" w:type="pct"/>
            <w:shd w:val="clear" w:color="auto" w:fill="FFFFFF"/>
            <w:hideMark/>
          </w:tcPr>
          <w:p w14:paraId="044143EA" w14:textId="018D5FB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41876">
              <w:rPr>
                <w:rFonts w:ascii="Book Antiqua" w:hAnsi="Book Antiqua"/>
                <w:color w:val="000000" w:themeColor="text1"/>
              </w:rPr>
              <w:t>Grossi</w:t>
            </w:r>
            <w:proofErr w:type="spellEnd"/>
            <w:r w:rsidRPr="00B41876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23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56D712A4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33" w:type="pct"/>
            <w:shd w:val="clear" w:color="auto" w:fill="FFFFFF"/>
            <w:hideMark/>
          </w:tcPr>
          <w:p w14:paraId="13F304F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585" w:type="pct"/>
            <w:shd w:val="clear" w:color="auto" w:fill="FFFFFF"/>
            <w:hideMark/>
          </w:tcPr>
          <w:p w14:paraId="6D12DE22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shd w:val="clear" w:color="auto" w:fill="FFFFFF"/>
            <w:hideMark/>
          </w:tcPr>
          <w:p w14:paraId="07E0AD1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1012" w:type="pct"/>
            <w:shd w:val="clear" w:color="auto" w:fill="FFFFFF"/>
            <w:hideMark/>
          </w:tcPr>
          <w:p w14:paraId="515D5D8A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23" w:type="pct"/>
            <w:shd w:val="clear" w:color="auto" w:fill="FFFFFF"/>
            <w:hideMark/>
          </w:tcPr>
          <w:p w14:paraId="05DA5F96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B41876" w:rsidRPr="00B41876" w14:paraId="2DED25B4" w14:textId="77777777" w:rsidTr="00D36B1C">
        <w:tc>
          <w:tcPr>
            <w:tcW w:w="681" w:type="pct"/>
            <w:shd w:val="clear" w:color="auto" w:fill="FFFFFF"/>
            <w:hideMark/>
          </w:tcPr>
          <w:p w14:paraId="626F9E0E" w14:textId="67D0D628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41876">
              <w:rPr>
                <w:rFonts w:ascii="Book Antiqua" w:hAnsi="Book Antiqua"/>
                <w:color w:val="000000" w:themeColor="text1"/>
              </w:rPr>
              <w:t>Lafuente-Sanchis</w:t>
            </w:r>
            <w:proofErr w:type="spellEnd"/>
            <w:r w:rsidRPr="00B41876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24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6F0F7000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0.829 (0.265-2.592)</w:t>
            </w:r>
          </w:p>
        </w:tc>
        <w:tc>
          <w:tcPr>
            <w:tcW w:w="633" w:type="pct"/>
            <w:shd w:val="clear" w:color="auto" w:fill="FFFFFF"/>
            <w:hideMark/>
          </w:tcPr>
          <w:p w14:paraId="3E48A5F0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0.367 (0.050-2.678)</w:t>
            </w:r>
          </w:p>
        </w:tc>
        <w:tc>
          <w:tcPr>
            <w:tcW w:w="585" w:type="pct"/>
            <w:shd w:val="clear" w:color="auto" w:fill="FFFFFF"/>
            <w:hideMark/>
          </w:tcPr>
          <w:p w14:paraId="0412BE6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shd w:val="clear" w:color="auto" w:fill="FFFFFF"/>
            <w:hideMark/>
          </w:tcPr>
          <w:p w14:paraId="5E205E6C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3.375 (0.776-14.678)</w:t>
            </w:r>
          </w:p>
        </w:tc>
        <w:tc>
          <w:tcPr>
            <w:tcW w:w="1012" w:type="pct"/>
            <w:shd w:val="clear" w:color="auto" w:fill="FFFFFF"/>
            <w:hideMark/>
          </w:tcPr>
          <w:p w14:paraId="1AD3349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1.660 (0.383-7.204)</w:t>
            </w:r>
          </w:p>
        </w:tc>
        <w:tc>
          <w:tcPr>
            <w:tcW w:w="823" w:type="pct"/>
            <w:shd w:val="clear" w:color="auto" w:fill="FFFFFF"/>
            <w:hideMark/>
          </w:tcPr>
          <w:p w14:paraId="33967401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B41876" w:rsidRPr="00B41876" w14:paraId="787C5FBB" w14:textId="77777777" w:rsidTr="00D36B1C">
        <w:tc>
          <w:tcPr>
            <w:tcW w:w="681" w:type="pct"/>
            <w:shd w:val="clear" w:color="auto" w:fill="FFFFFF"/>
            <w:hideMark/>
          </w:tcPr>
          <w:p w14:paraId="7DCC2DF9" w14:textId="41B4E22A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Huang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12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1D0CA38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33" w:type="pct"/>
            <w:shd w:val="clear" w:color="auto" w:fill="FFFFFF"/>
            <w:hideMark/>
          </w:tcPr>
          <w:p w14:paraId="08E9D4C0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585" w:type="pct"/>
            <w:shd w:val="clear" w:color="auto" w:fill="FFFFFF"/>
            <w:hideMark/>
          </w:tcPr>
          <w:p w14:paraId="0D937C6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shd w:val="clear" w:color="auto" w:fill="FFFFFF"/>
            <w:hideMark/>
          </w:tcPr>
          <w:p w14:paraId="6E184D2A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1012" w:type="pct"/>
            <w:shd w:val="clear" w:color="auto" w:fill="FFFFFF"/>
            <w:hideMark/>
          </w:tcPr>
          <w:p w14:paraId="3555249E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23" w:type="pct"/>
            <w:shd w:val="clear" w:color="auto" w:fill="FFFFFF"/>
            <w:hideMark/>
          </w:tcPr>
          <w:p w14:paraId="1E6A8BA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B41876" w:rsidRPr="00B41876" w14:paraId="37C2CA83" w14:textId="77777777" w:rsidTr="00D36B1C">
        <w:tc>
          <w:tcPr>
            <w:tcW w:w="681" w:type="pct"/>
            <w:shd w:val="clear" w:color="auto" w:fill="FFFFFF"/>
            <w:hideMark/>
          </w:tcPr>
          <w:p w14:paraId="56716F82" w14:textId="7DC6EA26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Wang </w:t>
            </w:r>
            <w:r w:rsidR="006C139D" w:rsidRPr="006C139D">
              <w:rPr>
                <w:rFonts w:ascii="Book Antiqua" w:hAnsi="Book Antiqua"/>
                <w:i/>
                <w:iCs/>
                <w:color w:val="000000" w:themeColor="text1"/>
              </w:rPr>
              <w:t>et al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r w:rsidR="006C139D">
              <w:rPr>
                <w:rFonts w:ascii="Book Antiqua" w:hAnsi="Book Antiqua"/>
                <w:color w:val="000000" w:themeColor="text1"/>
                <w:vertAlign w:val="superscript"/>
              </w:rPr>
              <w:t>25</w:t>
            </w:r>
            <w:r w:rsidR="006C139D" w:rsidRPr="006C139D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</w:p>
        </w:tc>
        <w:tc>
          <w:tcPr>
            <w:tcW w:w="570" w:type="pct"/>
            <w:shd w:val="clear" w:color="auto" w:fill="FFFFFF"/>
            <w:hideMark/>
          </w:tcPr>
          <w:p w14:paraId="58CFC1B1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0.948 (0.735-1.224)</w:t>
            </w:r>
          </w:p>
        </w:tc>
        <w:tc>
          <w:tcPr>
            <w:tcW w:w="633" w:type="pct"/>
            <w:shd w:val="clear" w:color="auto" w:fill="FFFFFF"/>
            <w:hideMark/>
          </w:tcPr>
          <w:p w14:paraId="3546799F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0.889 (0.711-1.112)</w:t>
            </w:r>
          </w:p>
        </w:tc>
        <w:tc>
          <w:tcPr>
            <w:tcW w:w="585" w:type="pct"/>
            <w:shd w:val="clear" w:color="auto" w:fill="FFFFFF"/>
            <w:hideMark/>
          </w:tcPr>
          <w:p w14:paraId="6BB485D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shd w:val="clear" w:color="auto" w:fill="FFFFFF"/>
            <w:hideMark/>
          </w:tcPr>
          <w:p w14:paraId="077EF14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1012" w:type="pct"/>
            <w:shd w:val="clear" w:color="auto" w:fill="FFFFFF"/>
            <w:hideMark/>
          </w:tcPr>
          <w:p w14:paraId="2BFB13E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823" w:type="pct"/>
            <w:shd w:val="clear" w:color="auto" w:fill="FFFFFF"/>
            <w:hideMark/>
          </w:tcPr>
          <w:p w14:paraId="5A382A7C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</w:tr>
      <w:tr w:rsidR="00B41876" w:rsidRPr="00B41876" w14:paraId="4CC18A0B" w14:textId="77777777" w:rsidTr="00D36B1C">
        <w:tc>
          <w:tcPr>
            <w:tcW w:w="681" w:type="pct"/>
            <w:hideMark/>
          </w:tcPr>
          <w:p w14:paraId="46DFD9E8" w14:textId="77777777" w:rsidR="00B41876" w:rsidRPr="00DF4348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Cs/>
                <w:color w:val="000000" w:themeColor="text1"/>
              </w:rPr>
            </w:pPr>
            <w:r w:rsidRPr="00DF4348">
              <w:rPr>
                <w:rFonts w:ascii="Book Antiqua" w:hAnsi="Book Antiqua"/>
                <w:bCs/>
                <w:color w:val="000000" w:themeColor="text1"/>
              </w:rPr>
              <w:lastRenderedPageBreak/>
              <w:t>Overall</w:t>
            </w:r>
          </w:p>
        </w:tc>
        <w:tc>
          <w:tcPr>
            <w:tcW w:w="570" w:type="pct"/>
            <w:hideMark/>
          </w:tcPr>
          <w:p w14:paraId="14B77CB7" w14:textId="2371C35C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0.94 (0.79-1.12),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0.522;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I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  <w:vertAlign w:val="superscript"/>
              </w:rPr>
              <w:t>2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  <w:vertAlign w:val="superscript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0.0,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0.871</w:t>
            </w:r>
          </w:p>
        </w:tc>
        <w:tc>
          <w:tcPr>
            <w:tcW w:w="633" w:type="pct"/>
            <w:hideMark/>
          </w:tcPr>
          <w:p w14:paraId="5E382D61" w14:textId="70BC420B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1.01 (0.72-1.42),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 xml:space="preserve"> 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0.948;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I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  <w:vertAlign w:val="superscript"/>
              </w:rPr>
              <w:t>2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51.2,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0.129</w:t>
            </w:r>
          </w:p>
        </w:tc>
        <w:tc>
          <w:tcPr>
            <w:tcW w:w="585" w:type="pct"/>
            <w:hideMark/>
          </w:tcPr>
          <w:p w14:paraId="2C31C53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-</w:t>
            </w:r>
          </w:p>
        </w:tc>
        <w:tc>
          <w:tcPr>
            <w:tcW w:w="696" w:type="pct"/>
            <w:hideMark/>
          </w:tcPr>
          <w:p w14:paraId="0C67CD2A" w14:textId="43FBD32A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1.05 (0.78-1.42),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 xml:space="preserve"> 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0.739;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I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  <w:vertAlign w:val="superscript"/>
              </w:rPr>
              <w:t>2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  <w:vertAlign w:val="superscript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22,7,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0.274</w:t>
            </w:r>
          </w:p>
        </w:tc>
        <w:tc>
          <w:tcPr>
            <w:tcW w:w="1012" w:type="pct"/>
            <w:hideMark/>
          </w:tcPr>
          <w:p w14:paraId="0536733E" w14:textId="1126136B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0.97 (0.76-1.24),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0.806;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I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  <w:vertAlign w:val="superscript"/>
              </w:rPr>
              <w:t>2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  <w:vertAlign w:val="superscript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0.0,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0.732</w:t>
            </w:r>
          </w:p>
        </w:tc>
        <w:tc>
          <w:tcPr>
            <w:tcW w:w="823" w:type="pct"/>
            <w:hideMark/>
          </w:tcPr>
          <w:p w14:paraId="14EFC0BB" w14:textId="6CAD9B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1.22 (0.97-1.55),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 xml:space="preserve"> 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0.097;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I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  <w:vertAlign w:val="superscript"/>
              </w:rPr>
              <w:t>2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  <w:vertAlign w:val="superscript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 xml:space="preserve">0.0, </w:t>
            </w:r>
            <w:r w:rsidRPr="00B41876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r w:rsidR="00DF4348"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=</w:t>
            </w:r>
            <w:r w:rsidR="00DF4348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0.908</w:t>
            </w:r>
          </w:p>
        </w:tc>
      </w:tr>
    </w:tbl>
    <w:p w14:paraId="37D9A61B" w14:textId="40E18EA5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hAnsi="Book Antiqua"/>
          <w:color w:val="000000" w:themeColor="text1"/>
        </w:rPr>
        <w:t xml:space="preserve">M: </w:t>
      </w:r>
      <w:r w:rsidR="00D36B1C" w:rsidRPr="00B41876">
        <w:rPr>
          <w:rFonts w:ascii="Book Antiqua" w:hAnsi="Book Antiqua"/>
          <w:color w:val="000000" w:themeColor="text1"/>
        </w:rPr>
        <w:t>Male</w:t>
      </w:r>
      <w:r w:rsidRPr="00B41876">
        <w:rPr>
          <w:rFonts w:ascii="Book Antiqua" w:hAnsi="Book Antiqua"/>
          <w:color w:val="000000" w:themeColor="text1"/>
        </w:rPr>
        <w:t xml:space="preserve">; F: </w:t>
      </w:r>
      <w:r w:rsidR="00D36B1C" w:rsidRPr="00B41876">
        <w:rPr>
          <w:rFonts w:ascii="Book Antiqua" w:hAnsi="Book Antiqua"/>
          <w:color w:val="000000" w:themeColor="text1"/>
        </w:rPr>
        <w:t>Female</w:t>
      </w:r>
      <w:r w:rsidRPr="00B41876">
        <w:rPr>
          <w:rFonts w:ascii="Book Antiqua" w:hAnsi="Book Antiqua"/>
          <w:color w:val="000000" w:themeColor="text1"/>
        </w:rPr>
        <w:t xml:space="preserve">; TNM: </w:t>
      </w:r>
      <w:r w:rsidR="00D36B1C" w:rsidRPr="00B41876">
        <w:rPr>
          <w:rFonts w:ascii="Book Antiqua" w:hAnsi="Book Antiqua"/>
          <w:color w:val="000000" w:themeColor="text1"/>
        </w:rPr>
        <w:t>Tumor</w:t>
      </w:r>
      <w:r w:rsidRPr="00B41876">
        <w:rPr>
          <w:rFonts w:ascii="Book Antiqua" w:hAnsi="Book Antiqua"/>
          <w:color w:val="000000" w:themeColor="text1"/>
        </w:rPr>
        <w:t xml:space="preserve">-node-metastasis; AC: </w:t>
      </w:r>
      <w:r w:rsidR="00D36B1C" w:rsidRPr="00B41876">
        <w:rPr>
          <w:rFonts w:ascii="Book Antiqua" w:hAnsi="Book Antiqua"/>
          <w:color w:val="000000" w:themeColor="text1"/>
        </w:rPr>
        <w:t>Adenocarcinoma</w:t>
      </w:r>
      <w:r w:rsidRPr="00B41876">
        <w:rPr>
          <w:rFonts w:ascii="Book Antiqua" w:hAnsi="Book Antiqua"/>
          <w:color w:val="000000" w:themeColor="text1"/>
        </w:rPr>
        <w:t xml:space="preserve">; SCC: </w:t>
      </w:r>
      <w:r w:rsidR="00D36B1C" w:rsidRPr="00B41876">
        <w:rPr>
          <w:rFonts w:ascii="Book Antiqua" w:hAnsi="Book Antiqua"/>
          <w:color w:val="000000" w:themeColor="text1"/>
        </w:rPr>
        <w:t xml:space="preserve">Squamous </w:t>
      </w:r>
      <w:r w:rsidRPr="00B41876">
        <w:rPr>
          <w:rFonts w:ascii="Book Antiqua" w:hAnsi="Book Antiqua"/>
          <w:color w:val="000000" w:themeColor="text1"/>
        </w:rPr>
        <w:t>cell carcinoma.</w:t>
      </w:r>
    </w:p>
    <w:p w14:paraId="58E8D5CA" w14:textId="2F870497" w:rsidR="00783FAE" w:rsidRDefault="00783FAE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775E7F05" w14:textId="6624F519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B41876">
        <w:rPr>
          <w:rFonts w:ascii="Book Antiqua" w:hAnsi="Book Antiqua"/>
          <w:b/>
          <w:color w:val="000000" w:themeColor="text1"/>
        </w:rPr>
        <w:lastRenderedPageBreak/>
        <w:t xml:space="preserve">Table </w:t>
      </w:r>
      <w:bookmarkStart w:id="7" w:name="_GoBack"/>
      <w:r w:rsidRPr="00B41876">
        <w:rPr>
          <w:rFonts w:ascii="Book Antiqua" w:hAnsi="Book Antiqua"/>
          <w:b/>
          <w:color w:val="000000" w:themeColor="text1"/>
        </w:rPr>
        <w:t>3 Meta-</w:t>
      </w:r>
      <w:r w:rsidR="002036F0" w:rsidRPr="00B41876">
        <w:rPr>
          <w:rFonts w:ascii="Book Antiqua" w:hAnsi="Book Antiqua"/>
          <w:b/>
          <w:color w:val="000000" w:themeColor="text1"/>
        </w:rPr>
        <w:t>analys</w:t>
      </w:r>
      <w:r w:rsidR="002036F0">
        <w:rPr>
          <w:rFonts w:ascii="Book Antiqua" w:hAnsi="Book Antiqua"/>
          <w:b/>
          <w:color w:val="000000" w:themeColor="text1"/>
        </w:rPr>
        <w:t>i</w:t>
      </w:r>
      <w:r w:rsidR="002036F0" w:rsidRPr="00B41876">
        <w:rPr>
          <w:rFonts w:ascii="Book Antiqua" w:hAnsi="Book Antiqua"/>
          <w:b/>
          <w:color w:val="000000" w:themeColor="text1"/>
        </w:rPr>
        <w:t xml:space="preserve">s </w:t>
      </w:r>
      <w:r w:rsidRPr="00B41876">
        <w:rPr>
          <w:rFonts w:ascii="Book Antiqua" w:hAnsi="Book Antiqua"/>
          <w:b/>
          <w:color w:val="000000" w:themeColor="text1"/>
        </w:rPr>
        <w:t xml:space="preserve">for association of </w:t>
      </w:r>
      <w:r w:rsidR="00EB55B3" w:rsidRPr="00B41876">
        <w:rPr>
          <w:rFonts w:ascii="Book Antiqua" w:eastAsia="Book Antiqua" w:hAnsi="Book Antiqua" w:cs="Book Antiqua"/>
          <w:b/>
          <w:bCs/>
          <w:color w:val="000000" w:themeColor="text1"/>
        </w:rPr>
        <w:t>breast cancer susceptibility gene 1</w:t>
      </w:r>
      <w:r w:rsidR="002036F0">
        <w:rPr>
          <w:rFonts w:ascii="Book Antiqua" w:hAnsi="Book Antiqua"/>
          <w:b/>
          <w:color w:val="000000" w:themeColor="text1"/>
        </w:rPr>
        <w:t xml:space="preserve"> </w:t>
      </w:r>
      <w:r w:rsidRPr="00B41876">
        <w:rPr>
          <w:rFonts w:ascii="Book Antiqua" w:hAnsi="Book Antiqua"/>
          <w:b/>
          <w:color w:val="000000" w:themeColor="text1"/>
        </w:rPr>
        <w:t>expression with survival of resected esophageal squamous cell carcinoma patients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1138"/>
        <w:gridCol w:w="1709"/>
        <w:gridCol w:w="1709"/>
        <w:gridCol w:w="996"/>
        <w:gridCol w:w="1279"/>
      </w:tblGrid>
      <w:tr w:rsidR="00B41876" w:rsidRPr="00196234" w14:paraId="7234D77E" w14:textId="77777777" w:rsidTr="00662C4B">
        <w:tc>
          <w:tcPr>
            <w:tcW w:w="13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bookmarkEnd w:id="7"/>
          <w:p w14:paraId="7F3BDE72" w14:textId="77777777" w:rsidR="00B41876" w:rsidRPr="00196234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96234">
              <w:rPr>
                <w:rFonts w:ascii="Book Antiqua" w:hAnsi="Book Antiqua"/>
                <w:b/>
                <w:bCs/>
                <w:color w:val="000000" w:themeColor="text1"/>
              </w:rPr>
              <w:t xml:space="preserve">Analysis 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D1B087" w14:textId="77777777" w:rsidR="00B41876" w:rsidRPr="00196234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96234">
              <w:rPr>
                <w:rFonts w:ascii="Book Antiqua" w:hAnsi="Book Antiqua"/>
                <w:b/>
                <w:bCs/>
                <w:color w:val="000000" w:themeColor="text1"/>
              </w:rPr>
              <w:t>No. of studies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6E014A" w14:textId="0EC95BD3" w:rsidR="00B41876" w:rsidRPr="00196234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96234">
              <w:rPr>
                <w:rFonts w:ascii="Book Antiqua" w:hAnsi="Book Antiqua"/>
                <w:b/>
                <w:bCs/>
                <w:color w:val="000000" w:themeColor="text1"/>
              </w:rPr>
              <w:t xml:space="preserve">  HR (95%CI)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429FC" w14:textId="77777777" w:rsidR="00B41876" w:rsidRPr="00196234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96234">
              <w:rPr>
                <w:rFonts w:ascii="Book Antiqua" w:hAnsi="Book Antiqua"/>
                <w:b/>
                <w:bCs/>
                <w:color w:val="000000" w:themeColor="text1"/>
              </w:rPr>
              <w:t xml:space="preserve">Log-rank </w:t>
            </w:r>
            <w:r w:rsidRPr="00196234">
              <w:rPr>
                <w:rFonts w:ascii="Book Antiqua" w:hAnsi="Book Antiqua"/>
                <w:b/>
                <w:bCs/>
                <w:i/>
                <w:color w:val="000000" w:themeColor="text1"/>
              </w:rPr>
              <w:t xml:space="preserve">P </w:t>
            </w:r>
            <w:r w:rsidRPr="00196234">
              <w:rPr>
                <w:rFonts w:ascii="Book Antiqua" w:hAnsi="Book Antiqua"/>
                <w:b/>
                <w:bCs/>
                <w:color w:val="000000" w:themeColor="text1"/>
              </w:rPr>
              <w:t>value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3B6191" w14:textId="77777777" w:rsidR="00B41876" w:rsidRPr="00196234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96234">
              <w:rPr>
                <w:rFonts w:ascii="Book Antiqua" w:hAnsi="Book Antiqua"/>
                <w:b/>
                <w:bCs/>
                <w:i/>
                <w:color w:val="000000" w:themeColor="text1"/>
              </w:rPr>
              <w:t>I</w:t>
            </w:r>
            <w:r w:rsidRPr="00196234">
              <w:rPr>
                <w:rFonts w:ascii="Book Antiqua" w:hAnsi="Book Antiqua"/>
                <w:b/>
                <w:bCs/>
                <w:i/>
                <w:color w:val="000000" w:themeColor="text1"/>
                <w:vertAlign w:val="superscript"/>
              </w:rPr>
              <w:t xml:space="preserve">2 </w:t>
            </w:r>
            <w:r w:rsidRPr="00196234">
              <w:rPr>
                <w:rFonts w:ascii="Book Antiqua" w:hAnsi="Book Antiqua"/>
                <w:b/>
                <w:bCs/>
                <w:color w:val="000000" w:themeColor="text1"/>
              </w:rPr>
              <w:t>(%)</w:t>
            </w:r>
          </w:p>
        </w:tc>
        <w:tc>
          <w:tcPr>
            <w:tcW w:w="68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51ADA49" w14:textId="77777777" w:rsidR="00B41876" w:rsidRPr="00196234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196234">
              <w:rPr>
                <w:rFonts w:ascii="Book Antiqua" w:hAnsi="Book Antiqua"/>
                <w:b/>
                <w:bCs/>
                <w:i/>
                <w:color w:val="000000" w:themeColor="text1"/>
              </w:rPr>
              <w:t>P</w:t>
            </w:r>
            <w:r w:rsidRPr="00196234">
              <w:rPr>
                <w:rFonts w:ascii="Book Antiqua" w:hAnsi="Book Antiqua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B41876" w:rsidRPr="00B41876" w14:paraId="2E031FC0" w14:textId="77777777" w:rsidTr="00662C4B">
        <w:tc>
          <w:tcPr>
            <w:tcW w:w="1351" w:type="pct"/>
            <w:tcBorders>
              <w:top w:val="single" w:sz="4" w:space="0" w:color="auto"/>
            </w:tcBorders>
            <w:hideMark/>
          </w:tcPr>
          <w:p w14:paraId="703BE6B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Overall survival </w:t>
            </w:r>
          </w:p>
        </w:tc>
        <w:tc>
          <w:tcPr>
            <w:tcW w:w="608" w:type="pct"/>
            <w:tcBorders>
              <w:top w:val="single" w:sz="4" w:space="0" w:color="auto"/>
            </w:tcBorders>
            <w:hideMark/>
          </w:tcPr>
          <w:p w14:paraId="450F1B0D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10</w:t>
            </w:r>
          </w:p>
        </w:tc>
        <w:tc>
          <w:tcPr>
            <w:tcW w:w="913" w:type="pct"/>
            <w:tcBorders>
              <w:top w:val="single" w:sz="4" w:space="0" w:color="auto"/>
            </w:tcBorders>
            <w:hideMark/>
          </w:tcPr>
          <w:p w14:paraId="6F8DA573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1.60 (1.25-2.05)</w:t>
            </w:r>
          </w:p>
        </w:tc>
        <w:tc>
          <w:tcPr>
            <w:tcW w:w="913" w:type="pct"/>
            <w:tcBorders>
              <w:top w:val="single" w:sz="4" w:space="0" w:color="auto"/>
            </w:tcBorders>
            <w:hideMark/>
          </w:tcPr>
          <w:p w14:paraId="281123EA" w14:textId="3CBC8EA1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&lt;</w:t>
            </w:r>
            <w:r w:rsidR="0019623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532" w:type="pct"/>
            <w:tcBorders>
              <w:top w:val="single" w:sz="4" w:space="0" w:color="auto"/>
            </w:tcBorders>
            <w:hideMark/>
          </w:tcPr>
          <w:p w14:paraId="349B9AA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</w:tcBorders>
            <w:hideMark/>
          </w:tcPr>
          <w:p w14:paraId="5088DFEB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0.794</w:t>
            </w:r>
          </w:p>
        </w:tc>
      </w:tr>
      <w:tr w:rsidR="00B41876" w:rsidRPr="00B41876" w14:paraId="704D4D37" w14:textId="77777777" w:rsidTr="00662C4B">
        <w:trPr>
          <w:trHeight w:val="311"/>
        </w:trPr>
        <w:tc>
          <w:tcPr>
            <w:tcW w:w="1351" w:type="pct"/>
            <w:hideMark/>
          </w:tcPr>
          <w:p w14:paraId="50710FE1" w14:textId="78E88A56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Country</w:t>
            </w:r>
          </w:p>
        </w:tc>
        <w:tc>
          <w:tcPr>
            <w:tcW w:w="608" w:type="pct"/>
          </w:tcPr>
          <w:p w14:paraId="3D15794E" w14:textId="11AA4054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13" w:type="pct"/>
          </w:tcPr>
          <w:p w14:paraId="18AA4455" w14:textId="678E14AD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13" w:type="pct"/>
          </w:tcPr>
          <w:p w14:paraId="5631D65A" w14:textId="7CE5E279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32" w:type="pct"/>
          </w:tcPr>
          <w:p w14:paraId="5423277B" w14:textId="7E5E71CF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7C51FC69" w14:textId="1D171165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41573" w:rsidRPr="00B41876" w14:paraId="55D5E9CC" w14:textId="77777777" w:rsidTr="00662C4B">
        <w:trPr>
          <w:trHeight w:val="760"/>
        </w:trPr>
        <w:tc>
          <w:tcPr>
            <w:tcW w:w="1351" w:type="pct"/>
          </w:tcPr>
          <w:p w14:paraId="41984D70" w14:textId="1017B788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Non-Asian countries</w:t>
            </w:r>
          </w:p>
        </w:tc>
        <w:tc>
          <w:tcPr>
            <w:tcW w:w="608" w:type="pct"/>
          </w:tcPr>
          <w:p w14:paraId="0ADF8EDE" w14:textId="1EDE559B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4</w:t>
            </w:r>
          </w:p>
        </w:tc>
        <w:tc>
          <w:tcPr>
            <w:tcW w:w="913" w:type="pct"/>
          </w:tcPr>
          <w:p w14:paraId="3D789192" w14:textId="32B0A6F5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1.57 (1.15-2.15)</w:t>
            </w:r>
          </w:p>
        </w:tc>
        <w:tc>
          <w:tcPr>
            <w:tcW w:w="913" w:type="pct"/>
          </w:tcPr>
          <w:p w14:paraId="55756D59" w14:textId="52C65CAE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0.005</w:t>
            </w:r>
          </w:p>
        </w:tc>
        <w:tc>
          <w:tcPr>
            <w:tcW w:w="532" w:type="pct"/>
          </w:tcPr>
          <w:p w14:paraId="14F0CAF9" w14:textId="192C5BB6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0.0</w:t>
            </w:r>
          </w:p>
        </w:tc>
        <w:tc>
          <w:tcPr>
            <w:tcW w:w="684" w:type="pct"/>
          </w:tcPr>
          <w:p w14:paraId="74A76B8D" w14:textId="55C71D92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0.798</w:t>
            </w:r>
          </w:p>
        </w:tc>
      </w:tr>
      <w:tr w:rsidR="00141573" w:rsidRPr="00B41876" w14:paraId="5A0A3345" w14:textId="77777777" w:rsidTr="00662C4B">
        <w:trPr>
          <w:trHeight w:val="1152"/>
        </w:trPr>
        <w:tc>
          <w:tcPr>
            <w:tcW w:w="1351" w:type="pct"/>
          </w:tcPr>
          <w:p w14:paraId="254ED2F7" w14:textId="0C0FEC59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Asian countries</w:t>
            </w:r>
          </w:p>
        </w:tc>
        <w:tc>
          <w:tcPr>
            <w:tcW w:w="608" w:type="pct"/>
          </w:tcPr>
          <w:p w14:paraId="5C0005DA" w14:textId="15608DAC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913" w:type="pct"/>
          </w:tcPr>
          <w:p w14:paraId="07ED57E9" w14:textId="77777777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1.66 (1.12-2.45)</w:t>
            </w:r>
          </w:p>
        </w:tc>
        <w:tc>
          <w:tcPr>
            <w:tcW w:w="913" w:type="pct"/>
          </w:tcPr>
          <w:p w14:paraId="375245B6" w14:textId="3A6EBECB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0.011</w:t>
            </w:r>
          </w:p>
        </w:tc>
        <w:tc>
          <w:tcPr>
            <w:tcW w:w="532" w:type="pct"/>
          </w:tcPr>
          <w:p w14:paraId="6A491634" w14:textId="6ED8E31D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7.5</w:t>
            </w:r>
          </w:p>
        </w:tc>
        <w:tc>
          <w:tcPr>
            <w:tcW w:w="684" w:type="pct"/>
          </w:tcPr>
          <w:p w14:paraId="10E5C6D9" w14:textId="7F92C056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0.495</w:t>
            </w:r>
          </w:p>
        </w:tc>
      </w:tr>
      <w:tr w:rsidR="00B41876" w:rsidRPr="00B41876" w14:paraId="2E7BBE9E" w14:textId="77777777" w:rsidTr="00662C4B">
        <w:trPr>
          <w:trHeight w:val="375"/>
        </w:trPr>
        <w:tc>
          <w:tcPr>
            <w:tcW w:w="1351" w:type="pct"/>
            <w:hideMark/>
          </w:tcPr>
          <w:p w14:paraId="6098279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Disease-free survival</w:t>
            </w:r>
          </w:p>
        </w:tc>
        <w:tc>
          <w:tcPr>
            <w:tcW w:w="608" w:type="pct"/>
            <w:hideMark/>
          </w:tcPr>
          <w:p w14:paraId="4833F2B8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9</w:t>
            </w:r>
          </w:p>
        </w:tc>
        <w:tc>
          <w:tcPr>
            <w:tcW w:w="913" w:type="pct"/>
            <w:hideMark/>
          </w:tcPr>
          <w:p w14:paraId="0BF36A64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1.78 (1.42-2.23)</w:t>
            </w:r>
          </w:p>
        </w:tc>
        <w:tc>
          <w:tcPr>
            <w:tcW w:w="913" w:type="pct"/>
            <w:hideMark/>
          </w:tcPr>
          <w:p w14:paraId="1445473D" w14:textId="28B87C79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&lt;</w:t>
            </w:r>
            <w:r w:rsidR="00196234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532" w:type="pct"/>
            <w:hideMark/>
          </w:tcPr>
          <w:p w14:paraId="40CA9885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0.0</w:t>
            </w:r>
          </w:p>
        </w:tc>
        <w:tc>
          <w:tcPr>
            <w:tcW w:w="684" w:type="pct"/>
            <w:hideMark/>
          </w:tcPr>
          <w:p w14:paraId="374A0A59" w14:textId="7777777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0.781</w:t>
            </w:r>
          </w:p>
        </w:tc>
      </w:tr>
      <w:tr w:rsidR="00B41876" w:rsidRPr="00B41876" w14:paraId="212DA5F5" w14:textId="77777777" w:rsidTr="00662C4B">
        <w:trPr>
          <w:trHeight w:val="428"/>
        </w:trPr>
        <w:tc>
          <w:tcPr>
            <w:tcW w:w="1351" w:type="pct"/>
            <w:hideMark/>
          </w:tcPr>
          <w:p w14:paraId="6840F189" w14:textId="6025AD6D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Country</w:t>
            </w:r>
          </w:p>
        </w:tc>
        <w:tc>
          <w:tcPr>
            <w:tcW w:w="608" w:type="pct"/>
          </w:tcPr>
          <w:p w14:paraId="03A8D020" w14:textId="26BF2628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13" w:type="pct"/>
          </w:tcPr>
          <w:p w14:paraId="1390DF10" w14:textId="4BEC0EE7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913" w:type="pct"/>
          </w:tcPr>
          <w:p w14:paraId="7F0BA746" w14:textId="617F7743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532" w:type="pct"/>
          </w:tcPr>
          <w:p w14:paraId="374B5473" w14:textId="489F56B9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684" w:type="pct"/>
          </w:tcPr>
          <w:p w14:paraId="108032E8" w14:textId="559A3DD9" w:rsidR="00B41876" w:rsidRPr="00B41876" w:rsidRDefault="00B41876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</w:p>
        </w:tc>
      </w:tr>
      <w:tr w:rsidR="00141573" w:rsidRPr="00B41876" w14:paraId="0C68FFEB" w14:textId="77777777" w:rsidTr="00662C4B">
        <w:trPr>
          <w:trHeight w:val="426"/>
        </w:trPr>
        <w:tc>
          <w:tcPr>
            <w:tcW w:w="1351" w:type="pct"/>
          </w:tcPr>
          <w:p w14:paraId="2095C2DD" w14:textId="5BF4F9F2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 xml:space="preserve">Non-Asian </w:t>
            </w:r>
            <w:r w:rsidR="00F7741C" w:rsidRPr="00B41876">
              <w:rPr>
                <w:rFonts w:ascii="Book Antiqua" w:hAnsi="Book Antiqua"/>
                <w:color w:val="000000" w:themeColor="text1"/>
              </w:rPr>
              <w:t>countries</w:t>
            </w:r>
          </w:p>
        </w:tc>
        <w:tc>
          <w:tcPr>
            <w:tcW w:w="608" w:type="pct"/>
          </w:tcPr>
          <w:p w14:paraId="2C61677C" w14:textId="1476B3B7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3</w:t>
            </w:r>
          </w:p>
        </w:tc>
        <w:tc>
          <w:tcPr>
            <w:tcW w:w="913" w:type="pct"/>
          </w:tcPr>
          <w:p w14:paraId="2FCBD9AA" w14:textId="455844A0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1.58 (1.13-</w:t>
            </w:r>
            <w:r w:rsidR="00F7741C" w:rsidRPr="00B41876">
              <w:rPr>
                <w:rFonts w:ascii="Book Antiqua" w:hAnsi="Book Antiqua"/>
                <w:color w:val="000000" w:themeColor="text1"/>
              </w:rPr>
              <w:t>2.20)</w:t>
            </w:r>
          </w:p>
        </w:tc>
        <w:tc>
          <w:tcPr>
            <w:tcW w:w="913" w:type="pct"/>
          </w:tcPr>
          <w:p w14:paraId="3A6A0B86" w14:textId="1E04F45B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0.007</w:t>
            </w:r>
          </w:p>
        </w:tc>
        <w:tc>
          <w:tcPr>
            <w:tcW w:w="532" w:type="pct"/>
          </w:tcPr>
          <w:p w14:paraId="1148F96F" w14:textId="04773EAF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22.3</w:t>
            </w:r>
          </w:p>
        </w:tc>
        <w:tc>
          <w:tcPr>
            <w:tcW w:w="684" w:type="pct"/>
          </w:tcPr>
          <w:p w14:paraId="3795E46D" w14:textId="4D11CA5B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0.276</w:t>
            </w:r>
          </w:p>
        </w:tc>
      </w:tr>
      <w:tr w:rsidR="00141573" w:rsidRPr="00B41876" w14:paraId="653084EF" w14:textId="77777777" w:rsidTr="00662C4B">
        <w:trPr>
          <w:trHeight w:val="1359"/>
        </w:trPr>
        <w:tc>
          <w:tcPr>
            <w:tcW w:w="1351" w:type="pct"/>
          </w:tcPr>
          <w:p w14:paraId="596D8C5D" w14:textId="0A6B8485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Asian countries</w:t>
            </w:r>
          </w:p>
        </w:tc>
        <w:tc>
          <w:tcPr>
            <w:tcW w:w="608" w:type="pct"/>
          </w:tcPr>
          <w:p w14:paraId="5AAEB4E9" w14:textId="77777777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6</w:t>
            </w:r>
          </w:p>
        </w:tc>
        <w:tc>
          <w:tcPr>
            <w:tcW w:w="913" w:type="pct"/>
          </w:tcPr>
          <w:p w14:paraId="7B5F2269" w14:textId="77777777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1.97 (1.44-2.69)</w:t>
            </w:r>
          </w:p>
        </w:tc>
        <w:tc>
          <w:tcPr>
            <w:tcW w:w="913" w:type="pct"/>
          </w:tcPr>
          <w:p w14:paraId="0BB81933" w14:textId="77777777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&lt;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B41876">
              <w:rPr>
                <w:rFonts w:ascii="Book Antiqua" w:hAnsi="Book Antiqua"/>
                <w:color w:val="000000" w:themeColor="text1"/>
              </w:rPr>
              <w:t>0.001</w:t>
            </w:r>
          </w:p>
        </w:tc>
        <w:tc>
          <w:tcPr>
            <w:tcW w:w="532" w:type="pct"/>
          </w:tcPr>
          <w:p w14:paraId="30AB612A" w14:textId="77777777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0.0</w:t>
            </w:r>
          </w:p>
        </w:tc>
        <w:tc>
          <w:tcPr>
            <w:tcW w:w="684" w:type="pct"/>
          </w:tcPr>
          <w:p w14:paraId="39BB6578" w14:textId="77777777" w:rsidR="00141573" w:rsidRPr="00B41876" w:rsidRDefault="00141573" w:rsidP="00B41876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color w:val="000000" w:themeColor="text1"/>
              </w:rPr>
            </w:pPr>
            <w:r w:rsidRPr="00B41876">
              <w:rPr>
                <w:rFonts w:ascii="Book Antiqua" w:hAnsi="Book Antiqua"/>
                <w:color w:val="000000" w:themeColor="text1"/>
              </w:rPr>
              <w:t>0.936</w:t>
            </w:r>
          </w:p>
        </w:tc>
      </w:tr>
    </w:tbl>
    <w:p w14:paraId="6F4459E7" w14:textId="5E325AF9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B41876">
        <w:rPr>
          <w:rFonts w:ascii="Book Antiqua" w:hAnsi="Book Antiqua"/>
          <w:color w:val="000000" w:themeColor="text1"/>
        </w:rPr>
        <w:t xml:space="preserve">HR: </w:t>
      </w:r>
      <w:r w:rsidR="009B5EC6" w:rsidRPr="00B41876">
        <w:rPr>
          <w:rFonts w:ascii="Book Antiqua" w:hAnsi="Book Antiqua"/>
          <w:color w:val="000000" w:themeColor="text1"/>
        </w:rPr>
        <w:t xml:space="preserve">Hazard </w:t>
      </w:r>
      <w:r w:rsidRPr="00B41876">
        <w:rPr>
          <w:rFonts w:ascii="Book Antiqua" w:hAnsi="Book Antiqua"/>
          <w:color w:val="000000" w:themeColor="text1"/>
        </w:rPr>
        <w:t>ratio</w:t>
      </w:r>
      <w:r w:rsidR="009B5EC6">
        <w:rPr>
          <w:rFonts w:ascii="Book Antiqua" w:hAnsi="Book Antiqua"/>
          <w:color w:val="000000" w:themeColor="text1"/>
        </w:rPr>
        <w:t>.</w:t>
      </w:r>
    </w:p>
    <w:bookmarkEnd w:id="4"/>
    <w:p w14:paraId="51BDD9FD" w14:textId="77777777" w:rsidR="00B41876" w:rsidRPr="00B41876" w:rsidRDefault="00B41876" w:rsidP="00B4187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</w:p>
    <w:sectPr w:rsidR="00B41876" w:rsidRPr="00B4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D14AA" w14:textId="77777777" w:rsidR="00450D73" w:rsidRDefault="00450D73" w:rsidP="00D262FE">
      <w:r>
        <w:separator/>
      </w:r>
    </w:p>
  </w:endnote>
  <w:endnote w:type="continuationSeparator" w:id="0">
    <w:p w14:paraId="3FA7C089" w14:textId="77777777" w:rsidR="00450D73" w:rsidRDefault="00450D73" w:rsidP="00D2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934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AFE2E0" w14:textId="1F7BA404" w:rsidR="00CC22AB" w:rsidRDefault="00CC22AB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0E5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00E5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7E9A81" w14:textId="77777777" w:rsidR="00CC22AB" w:rsidRDefault="00CC22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45B7" w14:textId="77777777" w:rsidR="00450D73" w:rsidRDefault="00450D73" w:rsidP="00D262FE">
      <w:r>
        <w:separator/>
      </w:r>
    </w:p>
  </w:footnote>
  <w:footnote w:type="continuationSeparator" w:id="0">
    <w:p w14:paraId="5B257C5A" w14:textId="77777777" w:rsidR="00450D73" w:rsidRDefault="00450D73" w:rsidP="00D2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3255"/>
    <w:rsid w:val="0004161C"/>
    <w:rsid w:val="000E6C53"/>
    <w:rsid w:val="001351C8"/>
    <w:rsid w:val="00141573"/>
    <w:rsid w:val="001461A3"/>
    <w:rsid w:val="00166BD1"/>
    <w:rsid w:val="00183755"/>
    <w:rsid w:val="00192800"/>
    <w:rsid w:val="00196234"/>
    <w:rsid w:val="00196D6D"/>
    <w:rsid w:val="001B7596"/>
    <w:rsid w:val="001D2A9C"/>
    <w:rsid w:val="001E52CE"/>
    <w:rsid w:val="002036F0"/>
    <w:rsid w:val="00270795"/>
    <w:rsid w:val="0029665E"/>
    <w:rsid w:val="002F5FCA"/>
    <w:rsid w:val="00391B81"/>
    <w:rsid w:val="003925C5"/>
    <w:rsid w:val="003A2A56"/>
    <w:rsid w:val="003E58F7"/>
    <w:rsid w:val="003E7611"/>
    <w:rsid w:val="0040602D"/>
    <w:rsid w:val="00410322"/>
    <w:rsid w:val="00450D73"/>
    <w:rsid w:val="00482A29"/>
    <w:rsid w:val="004A25B0"/>
    <w:rsid w:val="005109D5"/>
    <w:rsid w:val="00544986"/>
    <w:rsid w:val="00563DD5"/>
    <w:rsid w:val="005C1C37"/>
    <w:rsid w:val="005D7F2A"/>
    <w:rsid w:val="005E786A"/>
    <w:rsid w:val="00637219"/>
    <w:rsid w:val="00662C4B"/>
    <w:rsid w:val="00666A7B"/>
    <w:rsid w:val="0069123B"/>
    <w:rsid w:val="006B1BB9"/>
    <w:rsid w:val="006B7792"/>
    <w:rsid w:val="006C139D"/>
    <w:rsid w:val="006C3103"/>
    <w:rsid w:val="00726287"/>
    <w:rsid w:val="00753BFA"/>
    <w:rsid w:val="00783FAE"/>
    <w:rsid w:val="008A43A2"/>
    <w:rsid w:val="008A5162"/>
    <w:rsid w:val="009076BC"/>
    <w:rsid w:val="00910614"/>
    <w:rsid w:val="00965FAA"/>
    <w:rsid w:val="009A114C"/>
    <w:rsid w:val="009B5EC6"/>
    <w:rsid w:val="009F789C"/>
    <w:rsid w:val="00A000E5"/>
    <w:rsid w:val="00A17951"/>
    <w:rsid w:val="00A77B3E"/>
    <w:rsid w:val="00A95C28"/>
    <w:rsid w:val="00AC6A35"/>
    <w:rsid w:val="00B41876"/>
    <w:rsid w:val="00B4301D"/>
    <w:rsid w:val="00B46679"/>
    <w:rsid w:val="00B61982"/>
    <w:rsid w:val="00BB0881"/>
    <w:rsid w:val="00BB0D18"/>
    <w:rsid w:val="00BE2716"/>
    <w:rsid w:val="00C03D3D"/>
    <w:rsid w:val="00C1506D"/>
    <w:rsid w:val="00C85130"/>
    <w:rsid w:val="00C927D7"/>
    <w:rsid w:val="00CA2A55"/>
    <w:rsid w:val="00CC22AB"/>
    <w:rsid w:val="00D262FE"/>
    <w:rsid w:val="00D2761C"/>
    <w:rsid w:val="00D362CC"/>
    <w:rsid w:val="00D36B1C"/>
    <w:rsid w:val="00DA7919"/>
    <w:rsid w:val="00DF4348"/>
    <w:rsid w:val="00E534E5"/>
    <w:rsid w:val="00E9605C"/>
    <w:rsid w:val="00EB074C"/>
    <w:rsid w:val="00EB55B3"/>
    <w:rsid w:val="00ED22D5"/>
    <w:rsid w:val="00EE7139"/>
    <w:rsid w:val="00F1441E"/>
    <w:rsid w:val="00F26086"/>
    <w:rsid w:val="00F26B4C"/>
    <w:rsid w:val="00F3109E"/>
    <w:rsid w:val="00F4017E"/>
    <w:rsid w:val="00F73B41"/>
    <w:rsid w:val="00F7741C"/>
    <w:rsid w:val="00FB0784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66E42"/>
  <w15:docId w15:val="{A3F582F7-D550-4359-8664-4421A9D2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6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6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62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62FE"/>
    <w:rPr>
      <w:sz w:val="18"/>
      <w:szCs w:val="18"/>
    </w:rPr>
  </w:style>
  <w:style w:type="table" w:styleId="a5">
    <w:name w:val="Table Grid"/>
    <w:basedOn w:val="a1"/>
    <w:uiPriority w:val="59"/>
    <w:qFormat/>
    <w:rsid w:val="00B41876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5E786A"/>
    <w:rPr>
      <w:sz w:val="18"/>
      <w:szCs w:val="18"/>
    </w:rPr>
  </w:style>
  <w:style w:type="character" w:customStyle="1" w:styleId="Char1">
    <w:name w:val="批注框文本 Char"/>
    <w:basedOn w:val="a0"/>
    <w:link w:val="a6"/>
    <w:rsid w:val="005E78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Wang,Jin-Lei BPG</dc:creator>
  <cp:lastModifiedBy>ibm</cp:lastModifiedBy>
  <cp:revision>3</cp:revision>
  <dcterms:created xsi:type="dcterms:W3CDTF">2021-09-15T09:06:00Z</dcterms:created>
  <dcterms:modified xsi:type="dcterms:W3CDTF">2021-09-15T09:12:00Z</dcterms:modified>
</cp:coreProperties>
</file>