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66612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lang w:eastAsia="zh-CN"/>
        </w:rPr>
      </w:pPr>
      <w:r>
        <w:rPr>
          <w:rFonts w:ascii="Book Antiqua" w:hAnsi="Book Antiqua" w:eastAsia="Book Antiqua" w:cs="Book Antiqua"/>
          <w:b/>
          <w:color w:val="000000"/>
        </w:rPr>
        <w:t>Simultaneous nephrectomy during kidney transplantation for polycystic kidney disease does not detrimentally impact comorbidity and graft survival</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Darius </w:t>
      </w:r>
      <w:r>
        <w:rPr>
          <w:rFonts w:ascii="Book Antiqua" w:hAnsi="Book Antiqua" w:cs="Book Antiqua"/>
          <w:color w:val="000000"/>
          <w:lang w:eastAsia="zh-CN"/>
        </w:rPr>
        <w:t>T</w:t>
      </w:r>
      <w:r>
        <w:rPr>
          <w:rFonts w:ascii="Book Antiqua" w:hAnsi="Book Antiqua" w:cs="Book Antiqua"/>
          <w:i/>
          <w:color w:val="000000"/>
          <w:lang w:eastAsia="zh-CN"/>
        </w:rPr>
        <w:t xml:space="preserve"> et al</w:t>
      </w:r>
      <w:r>
        <w:rPr>
          <w:rFonts w:ascii="Book Antiqua" w:hAnsi="Book Antiqua" w:cs="Book Antiqua"/>
          <w:color w:val="000000"/>
          <w:lang w:eastAsia="zh-CN"/>
        </w:rPr>
        <w:t>. ADPKD kidney transplantation with ipsilateral nephrectomy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Tom Darius, Sébastien Bertoni, Martine De Meyer, Antoine Buemi, Arnaud Devresse, Nada Kanaan, Eric Goffin, Michel Mourad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Tom Darius, Sébastien Bertoni, Martine De Meyer, Antoine Buemi, Michel Mourad, </w:t>
      </w:r>
      <w:r>
        <w:rPr>
          <w:rFonts w:ascii="Book Antiqua" w:hAnsi="Book Antiqua" w:eastAsia="Book Antiqua" w:cs="Book Antiqua"/>
          <w:color w:val="000000"/>
        </w:rPr>
        <w:t>Surgical and Abdominal Transplantation Unit, University Clinics Saint Luc, Brussels 1200, Belgium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Arnaud Devresse, Nada Kanaan, Eric Goffin, </w:t>
      </w:r>
      <w:r>
        <w:rPr>
          <w:rFonts w:ascii="Book Antiqua" w:hAnsi="Book Antiqua" w:eastAsia="Book Antiqua" w:cs="Book Antiqua"/>
          <w:color w:val="000000"/>
        </w:rPr>
        <w:t>Division of Nephrology, University Clinics Saint Luc, Brussels 1200, Belgium</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Darius T and De Meyer M designed the research</w:t>
      </w:r>
      <w:r>
        <w:rPr>
          <w:rFonts w:ascii="Book Antiqua" w:hAnsi="Book Antiqua" w:cs="Book Antiqua"/>
          <w:color w:val="000000"/>
          <w:lang w:eastAsia="zh-CN"/>
        </w:rPr>
        <w:t>;</w:t>
      </w:r>
      <w:r>
        <w:rPr>
          <w:rFonts w:ascii="Book Antiqua" w:hAnsi="Book Antiqua" w:eastAsia="Book Antiqua" w:cs="Book Antiqua"/>
          <w:color w:val="000000"/>
        </w:rPr>
        <w:t xml:space="preserve"> Bertoni S, De Meyer M and Darius T performed the research</w:t>
      </w:r>
      <w:r>
        <w:rPr>
          <w:rFonts w:ascii="Book Antiqua" w:hAnsi="Book Antiqua" w:cs="Book Antiqua"/>
          <w:color w:val="000000"/>
          <w:lang w:eastAsia="zh-CN"/>
        </w:rPr>
        <w:t xml:space="preserve">; </w:t>
      </w:r>
      <w:r>
        <w:rPr>
          <w:rFonts w:ascii="Book Antiqua" w:hAnsi="Book Antiqua" w:eastAsia="Book Antiqua" w:cs="Book Antiqua"/>
          <w:color w:val="000000"/>
        </w:rPr>
        <w:t>Darius T analyzed the data</w:t>
      </w:r>
      <w:r>
        <w:rPr>
          <w:rFonts w:ascii="Book Antiqua" w:hAnsi="Book Antiqua" w:cs="Book Antiqua"/>
          <w:color w:val="000000"/>
          <w:lang w:eastAsia="zh-CN"/>
        </w:rPr>
        <w:t xml:space="preserve">; </w:t>
      </w:r>
      <w:r>
        <w:rPr>
          <w:rFonts w:ascii="Book Antiqua" w:hAnsi="Book Antiqua" w:eastAsia="Book Antiqua" w:cs="Book Antiqua"/>
          <w:color w:val="000000"/>
        </w:rPr>
        <w:t>Darius T wrote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Tom Darius, FRCS (Gen Surg), MD, PhD, Doctor, Professor, Surgeon, </w:t>
      </w:r>
      <w:r>
        <w:rPr>
          <w:rFonts w:ascii="Book Antiqua" w:hAnsi="Book Antiqua" w:eastAsia="Book Antiqua" w:cs="Book Antiqua"/>
          <w:color w:val="000000"/>
        </w:rPr>
        <w:t>Surgical and Abdominal Transplantation Unit, University Clinics Saint Luc, Avenue Hippocrate 10, Brussels 1200, Belgium. tom.darius@uclouvain.be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31,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August</w:t>
      </w:r>
      <w:r>
        <w:rPr>
          <w:rFonts w:ascii="Book Antiqua" w:hAnsi="Book Antiqua" w:cs="Book Antiqua"/>
          <w:bCs/>
          <w:color w:val="000000"/>
          <w:lang w:eastAsia="zh-CN"/>
        </w:rPr>
        <w:t xml:space="preserve"> 11, 2021</w:t>
      </w:r>
    </w:p>
    <w:p>
      <w:pPr>
        <w:spacing w:line="360" w:lineRule="auto"/>
        <w:jc w:val="both"/>
        <w:rPr>
          <w:rFonts w:ascii="Book Antiqua" w:hAnsi="Book Antiqua"/>
          <w:b w:val="0"/>
          <w:bCs w:val="0"/>
          <w:color w:val="auto"/>
          <w:u w:val="none"/>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auto"/>
          <w:u w:val="none"/>
        </w:rPr>
        <w:t>April 9, 2022</w:t>
      </w:r>
    </w:p>
    <w:p>
      <w:pPr>
        <w:spacing w:line="360" w:lineRule="auto"/>
        <w:jc w:val="both"/>
        <w:rPr>
          <w:rFonts w:ascii="Book Antiqua" w:hAnsi="Book Antiqua"/>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18,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lack of space, as an indication for a native unilateral nephrectomy for positioning a future kidney graft in the absence of other autosomal dominant polycystic kidney disease-related symptoms, remains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 xml:space="preserve">o evaluate the surgical comorbidity and the impact on graft survival of an associated ipsilateral native nephrectomy during isolated kidney transplantation in patients with autosomal dominant polycystic kidney disease.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One hundred and fifty-four kidney transplantations performed between January 2007 and January 2019 of which 77 without (kidney transplant alone (KTA) group) and 77 with associated ipsilateral nephrectomy (KTIN group), were retrospectively reviewed. Demographics and surgical variables were analyzed and their respective impact on surgical comorbidity and graft survival.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Creation of space for future graft positioning was the main reason (</w:t>
      </w:r>
      <w:r>
        <w:rPr>
          <w:rFonts w:ascii="Book Antiqua" w:hAnsi="Book Antiqua" w:eastAsia="Book Antiqua" w:cs="Book Antiqua"/>
          <w:i/>
          <w:iCs/>
          <w:color w:val="000000"/>
        </w:rPr>
        <w:t>n</w:t>
      </w:r>
      <w:r>
        <w:rPr>
          <w:rFonts w:ascii="Book Antiqua" w:hAnsi="Book Antiqua" w:eastAsia="Book Antiqua" w:cs="Book Antiqua"/>
          <w:color w:val="000000"/>
        </w:rPr>
        <w:t xml:space="preserve"> = 74, 96.1%) for associated ipsilateral nephrectomy. No significant difference in surgical comorbidity (lymphocele, wound infection, incisional hernia, wound hematoma, urinary infection, need for blood transfusion, hospitalization stay, Dindo Clavien classification and readmission rate) was observed between the two study groups. The incidence of primary nonfunction and delayed graft function was comparable in both groups (0% and 2.6% (</w:t>
      </w:r>
      <w:r>
        <w:rPr>
          <w:rFonts w:ascii="Book Antiqua" w:hAnsi="Book Antiqua" w:eastAsia="Book Antiqua" w:cs="Book Antiqua"/>
          <w:i/>
          <w:iCs/>
          <w:color w:val="000000"/>
        </w:rPr>
        <w:t>P</w:t>
      </w:r>
      <w:r>
        <w:rPr>
          <w:rFonts w:ascii="Book Antiqua" w:hAnsi="Book Antiqua" w:eastAsia="Book Antiqua" w:cs="Book Antiqua"/>
          <w:color w:val="000000"/>
        </w:rPr>
        <w:t xml:space="preserve"> = 0.497) and 9.1% and 16.9% (</w:t>
      </w:r>
      <w:r>
        <w:rPr>
          <w:rFonts w:ascii="Book Antiqua" w:hAnsi="Book Antiqua" w:eastAsia="Book Antiqua" w:cs="Book Antiqua"/>
          <w:i/>
          <w:iCs/>
          <w:color w:val="000000"/>
        </w:rPr>
        <w:t>P</w:t>
      </w:r>
      <w:r>
        <w:rPr>
          <w:rFonts w:ascii="Book Antiqua" w:hAnsi="Book Antiqua" w:eastAsia="Book Antiqua" w:cs="Book Antiqua"/>
          <w:color w:val="000000"/>
        </w:rPr>
        <w:t xml:space="preserve"> = 0.230), respectively, in the KTA and KTIN group). The 1- and 5-year graft survival were 94.8% and 90.3%, and 100% and 93.8%,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0.774). The 1- and 5-year patient survival were 96.1% and 92.9%, and 100% and 100%,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0.168).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Simultaneous ipsilateral native nephrectomy to create space for graft positioning during kidney transplantation in patients with autosomal dominant polycystic kidney disease does not negatively impact surgical comorbidity and short- and long-term graft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Autosomal dominant polycystic kidney disease; </w:t>
      </w:r>
      <w:r>
        <w:rPr>
          <w:rFonts w:hint="eastAsia" w:ascii="Book Antiqua" w:hAnsi="Book Antiqua" w:cs="Book Antiqua"/>
          <w:color w:val="000000"/>
          <w:lang w:eastAsia="zh-CN"/>
        </w:rPr>
        <w:t>C</w:t>
      </w:r>
      <w:r>
        <w:rPr>
          <w:rFonts w:ascii="Book Antiqua" w:hAnsi="Book Antiqua" w:eastAsia="Book Antiqua" w:cs="Book Antiqua"/>
          <w:color w:val="000000"/>
        </w:rPr>
        <w:t xml:space="preserve">omplications; </w:t>
      </w:r>
      <w:r>
        <w:rPr>
          <w:rFonts w:hint="eastAsia" w:ascii="Book Antiqua" w:hAnsi="Book Antiqua" w:cs="Book Antiqua"/>
          <w:color w:val="000000"/>
          <w:lang w:eastAsia="zh-CN"/>
        </w:rPr>
        <w:t>K</w:t>
      </w:r>
      <w:r>
        <w:rPr>
          <w:rFonts w:ascii="Book Antiqua" w:hAnsi="Book Antiqua" w:eastAsia="Book Antiqua" w:cs="Book Antiqua"/>
          <w:color w:val="000000"/>
        </w:rPr>
        <w:t xml:space="preserve">idney transplantation; </w:t>
      </w:r>
      <w:r>
        <w:rPr>
          <w:rFonts w:hint="eastAsia" w:ascii="Book Antiqua" w:hAnsi="Book Antiqua" w:cs="Book Antiqua"/>
          <w:color w:val="000000"/>
          <w:lang w:eastAsia="zh-CN"/>
        </w:rPr>
        <w:t>G</w:t>
      </w:r>
      <w:r>
        <w:rPr>
          <w:rFonts w:ascii="Book Antiqua" w:hAnsi="Book Antiqua" w:eastAsia="Book Antiqua" w:cs="Book Antiqua"/>
          <w:color w:val="000000"/>
        </w:rPr>
        <w:t xml:space="preserve">raft survival; </w:t>
      </w:r>
      <w:r>
        <w:rPr>
          <w:rFonts w:hint="eastAsia" w:ascii="Book Antiqua" w:hAnsi="Book Antiqua" w:cs="Book Antiqua"/>
          <w:color w:val="000000"/>
          <w:lang w:eastAsia="zh-CN"/>
        </w:rPr>
        <w:t>U</w:t>
      </w:r>
      <w:r>
        <w:rPr>
          <w:rFonts w:ascii="Book Antiqua" w:hAnsi="Book Antiqua" w:eastAsia="Book Antiqua" w:cs="Book Antiqua"/>
          <w:color w:val="000000"/>
        </w:rPr>
        <w:t xml:space="preserve">nilateral nephrectomy; </w:t>
      </w:r>
      <w:r>
        <w:rPr>
          <w:rFonts w:hint="eastAsia" w:ascii="Book Antiqua" w:hAnsi="Book Antiqua" w:cs="Book Antiqua"/>
          <w:color w:val="000000"/>
          <w:lang w:eastAsia="zh-CN"/>
        </w:rPr>
        <w:t>S</w:t>
      </w:r>
      <w:r>
        <w:rPr>
          <w:rFonts w:ascii="Book Antiqua" w:hAnsi="Book Antiqua" w:eastAsia="Book Antiqua" w:cs="Book Antiqua"/>
          <w:color w:val="000000"/>
        </w:rPr>
        <w:t>urgical comorbidity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Darius T, Bertoni S, De Meyer M, Buemi A, Devresse A, Kanaan N, Goffin E, Mourad M. Simultaneous nephrectomy during kidney transplantation for polycystic kidney disease does not detrimentally impact comorbidity and graft survival.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12(5): </w:t>
      </w:r>
      <w:r>
        <w:rPr>
          <w:rFonts w:hint="eastAsia" w:ascii="Book Antiqua" w:hAnsi="Book Antiqua" w:eastAsia="宋体" w:cs="Book Antiqua"/>
          <w:color w:val="000000"/>
          <w:lang w:val="en-US" w:eastAsia="zh-CN"/>
        </w:rPr>
        <w:t>100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https://www.wjgnet.com/2220-3230/full/v12/i5/</w:t>
      </w:r>
      <w:r>
        <w:rPr>
          <w:rFonts w:hint="eastAsia" w:ascii="Book Antiqua" w:hAnsi="Book Antiqua" w:eastAsia="宋体" w:cs="Book Antiqua"/>
          <w:color w:val="000000"/>
          <w:lang w:val="en-US" w:eastAsia="zh-CN"/>
        </w:rPr>
        <w:t>100</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https://dx.doi.org/10.5500/wjt.v12.i5.</w:t>
      </w:r>
      <w:r>
        <w:rPr>
          <w:rFonts w:hint="eastAsia" w:ascii="Book Antiqua" w:hAnsi="Book Antiqua" w:eastAsia="宋体" w:cs="Book Antiqua"/>
          <w:color w:val="000000"/>
          <w:lang w:val="en-US" w:eastAsia="zh-CN"/>
        </w:rPr>
        <w:t>100</w:t>
      </w: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associated surgical comorbidity and graft survival of an ipsilateral nephrectomy during isolated kidney transplantation in patients with autosomal dominant polycystic kidney disease was evaluated. One hundred and fifty-four patients were retrospectively evaluated, of which 77 did and 77 did not undergo associated ipsilateral nephrectomy during the transplantation. In a long-term follow-up, we observed no negative impact on surgical comorbidity and graft survival of a simultaneous ipsilateral native nephrectomy to create space for graft positioning during kidney transplantation in patients with autosomal dominant polycystic kidney disease.</w:t>
      </w: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Autosomal dominant polycystic kidney disease (ADPKD) is one of the most frequent causes of renal failure in Europe and the USA and may affect 2.5% to 10% of dialysis patients. Renal failure is the result of the development and progressive expansion of multiple bilateral cysts in the renal parenchyma, leading to a progressive decline in renal function owing to compression of normal functioning parenchyma by enlarging cysts</w:t>
      </w:r>
      <w:r>
        <w:rPr>
          <w:rFonts w:ascii="Book Antiqua" w:hAnsi="Book Antiqua" w:cs="Book Antiqua"/>
          <w:color w:val="000000"/>
          <w:vertAlign w:val="superscript"/>
          <w:lang w:eastAsia="zh-CN"/>
        </w:rPr>
        <w:t>[1-3]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Clear indications for nephrectomy before transplantation include intractable pain and discomfort, ongoing hematuria, recurrent severe cyst infections, gastrointestinal symptoms such as early satiety, recurrent nephrolithiasis and risk of malignancy</w:t>
      </w:r>
      <w:r>
        <w:rPr>
          <w:rFonts w:ascii="Book Antiqua" w:hAnsi="Book Antiqua" w:cs="Book Antiqua"/>
          <w:color w:val="000000"/>
          <w:vertAlign w:val="superscript"/>
          <w:lang w:eastAsia="zh-CN"/>
        </w:rPr>
        <w:t>[1,2,4]</w:t>
      </w:r>
      <w:r>
        <w:rPr>
          <w:rFonts w:ascii="Book Antiqua" w:hAnsi="Book Antiqua" w:eastAsia="Book Antiqua" w:cs="Book Antiqua"/>
          <w:color w:val="000000"/>
        </w:rPr>
        <w:t>. Unilateral native nephrectomy to create space for graft positioning in an otherwise asymptomatic ADPKD patient is quite often routinely performed in isolated kidney transplant candidates before their activation on the waiting list. This strategy is mainly driven by the fear of increased surgical comorbidity and the possible negative impact of prolonged cold ischemia time and short- and long-term graft survival related to the associated nephrectomy during transplantation. However, many controversies still exist concerning the indication and timing of a unilateral nephrectomy to create space for graft positioning in an asymptomatic kidney transplant candidate suffering from massive enlarged polycystic kidney</w:t>
      </w:r>
      <w:r>
        <w:rPr>
          <w:rFonts w:ascii="Book Antiqua" w:hAnsi="Book Antiqua" w:cs="Book Antiqua"/>
          <w:color w:val="000000"/>
          <w:vertAlign w:val="superscript"/>
          <w:lang w:eastAsia="zh-CN"/>
        </w:rPr>
        <w:t>[3,5,6]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Therefore, this retrospective study aimed to evaluate the surgical comorbidity and the impact on early and late graft survival of an associated ipsilateral native nephrectomy during isolated kidney transplantation in ADPKD patients. Based on these results a symptom-based algorithm is proposed to decide the timing and necessity of a unilateral or bilateral nephrectomy in ADPKD candidates waiting for, or during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bCs/>
        </w:rPr>
      </w:pPr>
      <w:r>
        <w:rPr>
          <w:rFonts w:ascii="Book Antiqua" w:hAnsi="Book Antiqua" w:eastAsia="Book Antiqua" w:cs="Book Antiqua"/>
          <w:b/>
          <w:bCs/>
          <w:i/>
          <w:iCs/>
          <w:color w:val="000000"/>
        </w:rPr>
        <w:t>Donor and recipient demographics</w:t>
      </w:r>
    </w:p>
    <w:p>
      <w:pPr>
        <w:spacing w:line="360" w:lineRule="auto"/>
        <w:jc w:val="both"/>
        <w:rPr>
          <w:rFonts w:ascii="Book Antiqua" w:hAnsi="Book Antiqua"/>
        </w:rPr>
      </w:pPr>
      <w:r>
        <w:rPr>
          <w:rFonts w:ascii="Book Antiqua" w:hAnsi="Book Antiqua" w:eastAsia="Book Antiqua" w:cs="Book Antiqua"/>
          <w:color w:val="000000"/>
        </w:rPr>
        <w:t xml:space="preserve">Figure 1 illustrates the selection flowchart of this retrospective study. Between January 1 2007 and January 1 2019, a total of 1026 kidney transplantations were performed at the University Clinics Saint-Luc (Brussels, Belgium) of which 154 patients underwent isolated kidney transplantation for ADPKD. This selection was obtained using the following inclusion criteria: isolated kidney transplant recipient, ADPKD as a primary cause of renal failure, age greater than 18 years old. The exclusion criteria were the following: multi-organ recipients, ADPKD not the primary kidney disease and pediatric recipients. No patients were lost from follow-up. From these 154 ADPKD patients, 77 underwent a kidney transplantation alone (KTA group) and 77 kidney transplantation with associated native ipsilateral nephrectomy (KTIN group) and were retrospectively reviewed. This study was approved by the institutional ethical committee. The following donor characteristics were analyzed: </w:t>
      </w:r>
      <w:r>
        <w:rPr>
          <w:rFonts w:hint="eastAsia" w:ascii="Book Antiqua" w:hAnsi="Book Antiqua" w:cs="Book Antiqua"/>
          <w:color w:val="000000"/>
          <w:lang w:eastAsia="zh-CN"/>
        </w:rPr>
        <w:t>A</w:t>
      </w:r>
      <w:r>
        <w:rPr>
          <w:rFonts w:ascii="Book Antiqua" w:hAnsi="Book Antiqua" w:eastAsia="Book Antiqua" w:cs="Book Antiqua"/>
          <w:color w:val="000000"/>
        </w:rPr>
        <w:t xml:space="preserve">ge, gender, type of donor (living </w:t>
      </w:r>
      <w:r>
        <w:rPr>
          <w:rFonts w:ascii="Book Antiqua" w:hAnsi="Book Antiqua" w:eastAsia="Book Antiqua" w:cs="Book Antiqua"/>
          <w:i/>
          <w:iCs/>
          <w:color w:val="000000"/>
        </w:rPr>
        <w:t>vs</w:t>
      </w:r>
      <w:r>
        <w:rPr>
          <w:rFonts w:ascii="Book Antiqua" w:hAnsi="Book Antiqua" w:eastAsia="Book Antiqua" w:cs="Book Antiqua"/>
          <w:color w:val="000000"/>
        </w:rPr>
        <w:t xml:space="preserve"> deceased) and type of deceased donor (donation after brain death or donation after circulatory death) and cytomegalovirus status. Recipient characteristics included: age, gender, body mass index (BMI), rank of transplant, time on dialysis and residual diuresis before transplantation, Human Leucocyte Antigen (HLA) mismatching, hemoglobin and albumin level before transplantation. Donor and recipient characteristics are presented in Table 1. Combined organ transplantation and ABO incompatible transplantations were excluded.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Surgical technique</w:t>
      </w:r>
    </w:p>
    <w:p>
      <w:pPr>
        <w:spacing w:line="360" w:lineRule="auto"/>
        <w:jc w:val="both"/>
        <w:rPr>
          <w:rFonts w:ascii="Book Antiqua" w:hAnsi="Book Antiqua"/>
        </w:rPr>
      </w:pPr>
      <w:r>
        <w:rPr>
          <w:rFonts w:ascii="Book Antiqua" w:hAnsi="Book Antiqua" w:eastAsia="Book Antiqua" w:cs="Book Antiqua"/>
          <w:color w:val="000000"/>
        </w:rPr>
        <w:t>A standard kidney transplant procedure was performed by a hockey stick incision with a classical vascular reconstruction on the iliac vessels and a ureterovesical anastomosis achieved according to the extravesical approach described by Lich-Gregoir</w:t>
      </w:r>
      <w:r>
        <w:rPr>
          <w:rFonts w:ascii="Book Antiqua" w:hAnsi="Book Antiqua" w:cs="Book Antiqua"/>
          <w:color w:val="000000"/>
          <w:vertAlign w:val="superscript"/>
          <w:lang w:eastAsia="zh-CN"/>
        </w:rPr>
        <w:t>[7-9]</w:t>
      </w:r>
      <w:r>
        <w:rPr>
          <w:rFonts w:ascii="Book Antiqua" w:hAnsi="Book Antiqua" w:eastAsia="Book Antiqua" w:cs="Book Antiqua"/>
          <w:color w:val="000000"/>
        </w:rPr>
        <w:t xml:space="preserve">. A ureter stent was not routinely used but only according to the surgeon's preference and indication. An associated native ipsilateral nephrectomy was performed, if indicated, before implantation of the kidney graft with cranial extension up to the costal margin of the hockey stick incision by a retroperitoneal approach. Perioperative drainage of multiple renal cysts was frequently performed to facilitate surgical resection. The following surgical characteristics were collected: indications for associated ipsilateral native nephrectomy, total surgical time, anastomosis time (defined as the time from the start of vascular anastomosis to reperfusion of the kidney), cold ischemia time (defined as the time from the start of </w:t>
      </w:r>
      <w:r>
        <w:rPr>
          <w:rFonts w:ascii="Book Antiqua" w:hAnsi="Book Antiqua" w:eastAsia="Book Antiqua" w:cs="Book Antiqua"/>
          <w:i/>
          <w:color w:val="000000"/>
        </w:rPr>
        <w:t>in situ</w:t>
      </w:r>
      <w:r>
        <w:rPr>
          <w:rFonts w:ascii="Book Antiqua" w:hAnsi="Book Antiqua" w:eastAsia="Book Antiqua" w:cs="Book Antiqua"/>
          <w:color w:val="000000"/>
        </w:rPr>
        <w:t xml:space="preserve"> cold perfusion of the kidney in the deceased donor or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cold perfusion of the kidney in a living donor to the start of </w:t>
      </w:r>
      <w:r>
        <w:rPr>
          <w:rFonts w:ascii="Book Antiqua" w:hAnsi="Book Antiqua" w:eastAsia="Book Antiqua" w:cs="Book Antiqua"/>
          <w:i/>
          <w:color w:val="000000"/>
        </w:rPr>
        <w:t>in situ</w:t>
      </w:r>
      <w:r>
        <w:rPr>
          <w:rFonts w:ascii="Book Antiqua" w:hAnsi="Book Antiqua" w:eastAsia="Book Antiqua" w:cs="Book Antiqua"/>
          <w:color w:val="000000"/>
        </w:rPr>
        <w:t xml:space="preserve"> vascular anastomosis in the recipient) and weight of the removed native polycystic kidney.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Posttransplant immunosuppression</w:t>
      </w:r>
    </w:p>
    <w:p>
      <w:pPr>
        <w:spacing w:line="360" w:lineRule="auto"/>
        <w:jc w:val="both"/>
        <w:rPr>
          <w:rFonts w:ascii="Book Antiqua" w:hAnsi="Book Antiqua"/>
        </w:rPr>
      </w:pPr>
      <w:r>
        <w:rPr>
          <w:rFonts w:ascii="Book Antiqua" w:hAnsi="Book Antiqua" w:eastAsia="Book Antiqua" w:cs="Book Antiqua"/>
          <w:color w:val="000000"/>
        </w:rPr>
        <w:t>A triple-drug protocol consisting of tacrolimus (Advagraf, Astellas Pharma BV, Brussels, Belgium), methylprednisolone (Medrol, Pfizer NV, Brussels, Belgium) and mycophenolate mofetil (Cellcept, 2x500 mg/d, NV Roche SA, Brussels, Belgium) was used during the whole study period in all except one patient. Induction therapy with basiliximab (Simulect, Novartis Pharma GmbH, Neurenberg, Germany) on day 0 and 4 and thymoglobuline 1.25 mg/kg (Thymoglobulin, Sanofi Genzyme Europe B.V., Amsterdam, The Netherlands) day 1 until day 4 after transplantation was used in recipients of a living donor graft and a donor after circulatory death, respectively. Plasmapheresis was applied in highly immunized recipients until one month after transplantation. Tacrolimus trough levels (T</w:t>
      </w:r>
      <w:r>
        <w:rPr>
          <w:rFonts w:ascii="Book Antiqua" w:hAnsi="Book Antiqua" w:eastAsia="Book Antiqua" w:cs="Book Antiqua"/>
          <w:color w:val="000000"/>
          <w:vertAlign w:val="subscript"/>
        </w:rPr>
        <w:t>0</w:t>
      </w:r>
      <w:r>
        <w:rPr>
          <w:rFonts w:ascii="Book Antiqua" w:hAnsi="Book Antiqua" w:eastAsia="Book Antiqua" w:cs="Book Antiqua"/>
          <w:color w:val="000000"/>
        </w:rPr>
        <w:t>) were between 10 and 14 ng/mL, 7 and 10 ng/mL and 5 and 7 ng/mL, during the first month, between the second and third month and from 3 mo after transplantation, respectively. Methylprednisolone was started immediately after transplant at 16 mg/d and tapered (minus 4</w:t>
      </w:r>
      <w:r>
        <w:rPr>
          <w:rFonts w:hint="eastAsia" w:ascii="Book Antiqua" w:hAnsi="Book Antiqua" w:cs="Book Antiqua"/>
          <w:color w:val="000000"/>
          <w:lang w:eastAsia="zh-CN"/>
        </w:rPr>
        <w:t xml:space="preserve"> </w:t>
      </w:r>
      <w:r>
        <w:rPr>
          <w:rFonts w:ascii="Book Antiqua" w:hAnsi="Book Antiqua" w:eastAsia="Book Antiqua" w:cs="Book Antiqua"/>
          <w:color w:val="000000"/>
        </w:rPr>
        <w:t>mg every 2 wk) to a fixed dose of 4 mg for all recipients at long-term. Co-trimoxazole prophylaxis was given to all patients during the first 6 mo after transplantation. Valganciclovir prophylaxis (900 mg/d</w:t>
      </w:r>
      <w:r>
        <w:rPr>
          <w:rFonts w:hint="eastAsia" w:ascii="Book Antiqua" w:hAnsi="Book Antiqua" w:cs="Book Antiqua"/>
          <w:color w:val="000000"/>
          <w:lang w:eastAsia="zh-CN"/>
        </w:rPr>
        <w:t xml:space="preserve"> </w:t>
      </w:r>
      <w:r>
        <w:rPr>
          <w:rFonts w:ascii="Book Antiqua" w:hAnsi="Book Antiqua" w:eastAsia="Book Antiqua" w:cs="Book Antiqua"/>
          <w:color w:val="000000"/>
        </w:rPr>
        <w:t>for normal kidney function) was given to all patients during the first 6 mo after transplantation with the exception of cytomegalovirus donor seronegative/recipient seronegative patients. Biopsy-proven acute cellular rejection and humoral rejections were treated with methylprednisolone boluses for 3 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plasmapheresis, respectively.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Follow-up</w:t>
      </w:r>
    </w:p>
    <w:p>
      <w:pPr>
        <w:spacing w:line="360" w:lineRule="auto"/>
        <w:jc w:val="both"/>
        <w:rPr>
          <w:rFonts w:ascii="Book Antiqua" w:hAnsi="Book Antiqua"/>
        </w:rPr>
      </w:pPr>
      <w:r>
        <w:rPr>
          <w:rFonts w:ascii="Book Antiqua" w:hAnsi="Book Antiqua" w:eastAsia="Book Antiqua" w:cs="Book Antiqua"/>
          <w:color w:val="000000"/>
        </w:rPr>
        <w:t xml:space="preserve">During the transplant hospitalization, the patients were monitored daily to evaluate comorbidity and kidney function was evaluated by serum creatinine and urine analysis. If primary nonfunction (PNF), delayed graft function (DGF) or vascular problems of the kidney graft were suspected, an urgent ultrasound was performed. Otherwise, a baseline ultrasound was performed at the end of the transplant hospitalization. Ambulatory follow-up of the kidney graft function (measured by serum creatinine and urine analysis) and surgical comorbidity was performed according to local center practice. No protocol, only indication biopsies of the kidney graft were performed after the preceding ultrasound. Every year after transplantation, an ultrasound of the kidney graft and the native kidneys was performed. If malignancy of the native kidneys was suspected, nuclear magnetic resonance was carried out.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Endpoints</w:t>
      </w:r>
    </w:p>
    <w:p>
      <w:pPr>
        <w:spacing w:line="360" w:lineRule="auto"/>
        <w:jc w:val="both"/>
        <w:rPr>
          <w:rFonts w:ascii="Book Antiqua" w:hAnsi="Book Antiqua"/>
        </w:rPr>
      </w:pPr>
      <w:r>
        <w:rPr>
          <w:rFonts w:ascii="Book Antiqua" w:hAnsi="Book Antiqua" w:eastAsia="Book Antiqua" w:cs="Book Antiqua"/>
          <w:color w:val="000000"/>
        </w:rPr>
        <w:t>The primary endpoint was surgical comorbidity, measured as the incidence of postoperative lymphocele, wound infection, incisional hernia, wound hematoma, urinary infection, need for peritransplant (during and after transplantation) blood transfusion, pulmonary embolism, total hospital stay, readmission rate and surgical complications classified according to the Dindo Clavien classification</w:t>
      </w:r>
      <w:r>
        <w:rPr>
          <w:rFonts w:hint="eastAsia" w:ascii="Book Antiqua" w:hAnsi="Book Antiqua" w:cs="Book Antiqua"/>
          <w:color w:val="000000"/>
          <w:vertAlign w:val="superscript"/>
          <w:lang w:eastAsia="zh-CN"/>
        </w:rPr>
        <w:t>[10]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Secondary endpoints were the incidence of PNF, DGF (defined as the need for dialysis during the first week after transplantation), venous or arterial kidney graft thrombosis, acute rejection incidence and type of rejection (cellular </w:t>
      </w:r>
      <w:r>
        <w:rPr>
          <w:rFonts w:ascii="Book Antiqua" w:hAnsi="Book Antiqua" w:eastAsia="Book Antiqua" w:cs="Book Antiqua"/>
          <w:i/>
          <w:iCs/>
          <w:color w:val="000000"/>
        </w:rPr>
        <w:t>vs</w:t>
      </w:r>
      <w:r>
        <w:rPr>
          <w:rFonts w:ascii="Book Antiqua" w:hAnsi="Book Antiqua" w:eastAsia="Book Antiqua" w:cs="Book Antiqua"/>
          <w:color w:val="000000"/>
        </w:rPr>
        <w:t xml:space="preserve"> humoral) during the first year after transplantation and the 1- and 5-year patient- and graft survival rate.</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Characteristics of the donor, the recipient and the transplant outcome were compared using the chi-square test for categorical variables and the t-test for continuous variables. Continuous variables are provided as means and standard deviations. Log-rank statistics were used with the Kaplan-Meier product-limit method to evaluate the associations of individual covariates with allograft survival. </w:t>
      </w:r>
      <w:r>
        <w:rPr>
          <w:rFonts w:ascii="Book Antiqua" w:hAnsi="Book Antiqua" w:eastAsia="Book Antiqua" w:cs="Book Antiqua"/>
          <w:i/>
          <w:color w:val="000000"/>
        </w:rPr>
        <w:t>P</w:t>
      </w:r>
      <w:r>
        <w:rPr>
          <w:rFonts w:ascii="Book Antiqua" w:hAnsi="Book Antiqua" w:eastAsia="Book Antiqua" w:cs="Book Antiqua"/>
          <w:color w:val="000000"/>
        </w:rPr>
        <w:t xml:space="preserve"> &lt; 0.05 was considered statistically significant. Statistical analysis and plots were accomplished with SPSS 24.0 statistical software (SPSS, Chicago, IL, USA) and Prism 8.2.0 (Graphpad Software, San Diego, CA, USA).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bCs/>
        </w:rPr>
      </w:pPr>
      <w:r>
        <w:rPr>
          <w:rFonts w:ascii="Book Antiqua" w:hAnsi="Book Antiqua" w:eastAsia="Book Antiqua" w:cs="Book Antiqua"/>
          <w:b/>
          <w:bCs/>
          <w:i/>
          <w:iCs/>
          <w:color w:val="000000"/>
        </w:rPr>
        <w:t>Donor and recipient characteristics</w:t>
      </w:r>
    </w:p>
    <w:p>
      <w:pPr>
        <w:spacing w:line="360" w:lineRule="auto"/>
        <w:jc w:val="both"/>
        <w:rPr>
          <w:rFonts w:ascii="Book Antiqua" w:hAnsi="Book Antiqua"/>
        </w:rPr>
      </w:pPr>
      <w:r>
        <w:rPr>
          <w:rFonts w:ascii="Book Antiqua" w:hAnsi="Book Antiqua" w:eastAsia="Book Antiqua" w:cs="Book Antiqua"/>
          <w:color w:val="000000"/>
        </w:rPr>
        <w:t xml:space="preserve">Donor and recipient characteristics of both study groups were comparable, with the exception of the incidence of living donation, which was significantly higher in the KTIN group compared with the KTA group (21 (27.3%) </w:t>
      </w:r>
      <w:r>
        <w:rPr>
          <w:rFonts w:ascii="Book Antiqua" w:hAnsi="Book Antiqua" w:eastAsia="Book Antiqua" w:cs="Book Antiqua"/>
          <w:i/>
          <w:iCs/>
          <w:color w:val="000000"/>
        </w:rPr>
        <w:t>vs</w:t>
      </w:r>
      <w:r>
        <w:rPr>
          <w:rFonts w:ascii="Book Antiqua" w:hAnsi="Book Antiqua" w:eastAsia="Book Antiqua" w:cs="Book Antiqua"/>
          <w:color w:val="000000"/>
        </w:rPr>
        <w:t xml:space="preserve"> 6 (7.8%),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(Table 1). Peritransplant plasmapheresis was performed in 14 (18%) and 3 (4%) immunized recipients in the KTA and the KTIN group,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0.008).</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Operative data</w:t>
      </w:r>
    </w:p>
    <w:p>
      <w:pPr>
        <w:spacing w:line="360" w:lineRule="auto"/>
        <w:jc w:val="both"/>
        <w:rPr>
          <w:rFonts w:ascii="Book Antiqua" w:hAnsi="Book Antiqua"/>
        </w:rPr>
      </w:pPr>
      <w:r>
        <w:rPr>
          <w:rFonts w:ascii="Book Antiqua" w:hAnsi="Book Antiqua" w:eastAsia="Book Antiqua" w:cs="Book Antiqua"/>
          <w:color w:val="000000"/>
        </w:rPr>
        <w:t>The main indications for performing an associated ipsilateral native nephrectomy at the same site as the kidney transplantation were lack of space for graft positioning (</w:t>
      </w:r>
      <w:r>
        <w:rPr>
          <w:rFonts w:ascii="Book Antiqua" w:hAnsi="Book Antiqua" w:eastAsia="Book Antiqua" w:cs="Book Antiqua"/>
          <w:i/>
          <w:iCs/>
          <w:color w:val="000000"/>
        </w:rPr>
        <w:t>n</w:t>
      </w:r>
      <w:r>
        <w:rPr>
          <w:rFonts w:ascii="Book Antiqua" w:hAnsi="Book Antiqua" w:eastAsia="Book Antiqua" w:cs="Book Antiqua"/>
          <w:color w:val="000000"/>
        </w:rPr>
        <w:t xml:space="preserve"> = 74; 96.1%), pain (</w:t>
      </w:r>
      <w:r>
        <w:rPr>
          <w:rFonts w:ascii="Book Antiqua" w:hAnsi="Book Antiqua" w:eastAsia="Book Antiqua" w:cs="Book Antiqua"/>
          <w:i/>
          <w:iCs/>
          <w:color w:val="000000"/>
        </w:rPr>
        <w:t>n</w:t>
      </w:r>
      <w:r>
        <w:rPr>
          <w:rFonts w:ascii="Book Antiqua" w:hAnsi="Book Antiqua" w:eastAsia="Book Antiqua" w:cs="Book Antiqua"/>
          <w:color w:val="000000"/>
        </w:rPr>
        <w:t xml:space="preserve"> = 29; 37.7%) and hematuria (</w:t>
      </w:r>
      <w:r>
        <w:rPr>
          <w:rFonts w:ascii="Book Antiqua" w:hAnsi="Book Antiqua" w:eastAsia="Book Antiqua" w:cs="Book Antiqua"/>
          <w:i/>
          <w:iCs/>
          <w:color w:val="000000"/>
        </w:rPr>
        <w:t>n</w:t>
      </w:r>
      <w:r>
        <w:rPr>
          <w:rFonts w:ascii="Book Antiqua" w:hAnsi="Book Antiqua" w:eastAsia="Book Antiqua" w:cs="Book Antiqua"/>
          <w:color w:val="000000"/>
        </w:rPr>
        <w:t xml:space="preserve"> = 30; 39.0%). Pain, as the only reason for ipsilateral nephrectomy, was present in 3 (3.9%) patients. The decision not to perform an associated ipsilateral native nephrectomy was taken by the surgeon during the transplant procedure if enough space for graft positioning in combination with the absence of other ADPKD-related symptoms was estimated at the moment of transplantation. No difference in anastomosis and cold ischemia time was observed between the two study groups (Table 2). The total surgical time was significantly longer in the KTIN group as compared with the KTA group (223.29 ± 71.96 </w:t>
      </w:r>
      <w:r>
        <w:rPr>
          <w:rFonts w:ascii="Book Antiqua" w:hAnsi="Book Antiqua" w:eastAsia="Book Antiqua" w:cs="Book Antiqua"/>
          <w:i/>
          <w:color w:val="000000"/>
        </w:rPr>
        <w:t>vs</w:t>
      </w:r>
      <w:r>
        <w:rPr>
          <w:rFonts w:ascii="Book Antiqua" w:hAnsi="Book Antiqua" w:eastAsia="Book Antiqua" w:cs="Book Antiqua"/>
          <w:color w:val="000000"/>
        </w:rPr>
        <w:t xml:space="preserve"> 169.07 ± 44.31,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The mean weight of the removed polycystic kidney was 2073.94 ± 1197.89 g.</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Comorbidity after transplantation</w:t>
      </w:r>
    </w:p>
    <w:p>
      <w:pPr>
        <w:spacing w:line="360" w:lineRule="auto"/>
        <w:jc w:val="both"/>
        <w:rPr>
          <w:rFonts w:ascii="Book Antiqua" w:hAnsi="Book Antiqua"/>
        </w:rPr>
      </w:pPr>
      <w:r>
        <w:rPr>
          <w:rFonts w:ascii="Book Antiqua" w:hAnsi="Book Antiqua" w:eastAsia="Book Antiqua" w:cs="Book Antiqua"/>
          <w:color w:val="000000"/>
        </w:rPr>
        <w:t xml:space="preserve">No significant difference in surgical comorbidity (lymphocele, wound infection, incisional hernia, wound hematoma, pulmonary embolism, urinary infection, need for peritransplant blood transfusion, hospitalization stay, readmission rate and Dindo Clavien classification) was observed between the two study groups (Table 3).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Graft function and patient survival</w:t>
      </w:r>
    </w:p>
    <w:p>
      <w:pPr>
        <w:spacing w:line="360" w:lineRule="auto"/>
        <w:jc w:val="both"/>
        <w:rPr>
          <w:rFonts w:ascii="Book Antiqua" w:hAnsi="Book Antiqua"/>
        </w:rPr>
      </w:pPr>
      <w:r>
        <w:rPr>
          <w:rFonts w:ascii="Book Antiqua" w:hAnsi="Book Antiqua" w:eastAsia="Book Antiqua" w:cs="Book Antiqua"/>
          <w:color w:val="000000"/>
        </w:rPr>
        <w:t xml:space="preserve">The incidence of PNF and DGF was comparable in both groups (0% </w:t>
      </w:r>
      <w:r>
        <w:rPr>
          <w:rFonts w:ascii="Book Antiqua" w:hAnsi="Book Antiqua" w:eastAsia="Book Antiqua" w:cs="Book Antiqua"/>
          <w:i/>
          <w:iCs/>
          <w:color w:val="000000"/>
        </w:rPr>
        <w:t>vs</w:t>
      </w:r>
      <w:r>
        <w:rPr>
          <w:rFonts w:ascii="Book Antiqua" w:hAnsi="Book Antiqua" w:eastAsia="Book Antiqua" w:cs="Book Antiqua"/>
          <w:color w:val="000000"/>
        </w:rPr>
        <w:t xml:space="preserve"> 2.6% (</w:t>
      </w:r>
      <w:r>
        <w:rPr>
          <w:rFonts w:ascii="Book Antiqua" w:hAnsi="Book Antiqua" w:eastAsia="Book Antiqua" w:cs="Book Antiqua"/>
          <w:i/>
          <w:iCs/>
          <w:color w:val="000000"/>
        </w:rPr>
        <w:t>P</w:t>
      </w:r>
      <w:r>
        <w:rPr>
          <w:rFonts w:ascii="Book Antiqua" w:hAnsi="Book Antiqua" w:eastAsia="Book Antiqua" w:cs="Book Antiqua"/>
          <w:color w:val="000000"/>
        </w:rPr>
        <w:t xml:space="preserve"> = 0.497) and 9.1% </w:t>
      </w:r>
      <w:r>
        <w:rPr>
          <w:rFonts w:ascii="Book Antiqua" w:hAnsi="Book Antiqua" w:eastAsia="Book Antiqua" w:cs="Book Antiqua"/>
          <w:i/>
          <w:iCs/>
          <w:color w:val="000000"/>
        </w:rPr>
        <w:t>vs</w:t>
      </w:r>
      <w:r>
        <w:rPr>
          <w:rFonts w:ascii="Book Antiqua" w:hAnsi="Book Antiqua" w:eastAsia="Book Antiqua" w:cs="Book Antiqua"/>
          <w:color w:val="000000"/>
        </w:rPr>
        <w:t xml:space="preserve"> 16.9% (</w:t>
      </w:r>
      <w:r>
        <w:rPr>
          <w:rFonts w:ascii="Book Antiqua" w:hAnsi="Book Antiqua" w:eastAsia="Book Antiqua" w:cs="Book Antiqua"/>
          <w:i/>
          <w:iCs/>
          <w:color w:val="000000"/>
        </w:rPr>
        <w:t>P</w:t>
      </w:r>
      <w:r>
        <w:rPr>
          <w:rFonts w:ascii="Book Antiqua" w:hAnsi="Book Antiqua" w:eastAsia="Book Antiqua" w:cs="Book Antiqua"/>
          <w:color w:val="000000"/>
        </w:rPr>
        <w:t xml:space="preserve"> = 0.230), respectively, in the KTA and KTIN group) (Table 3). No significant difference in renal artery and vein thrombosis of the kidney graft was observed between the two study groups. In addition, the incidence of acute rejection within one year after transplantation was comparable among the groups.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1- and 5-year graft survival were 94.8% and 90.3, and 100% and 93.8%,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0.774)</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2). The 1- and 5-year patient survival were 96.1% and 92.9%, and 100% and 100%,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0.168)</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This retrospective single-center study is one of the largest series to demonstrate the absence of a negative impact on surgical comorbidity and short- and long-term kidney graft function following an associated ipsilateral native nephrectomy to create space for graft positioning during isolated kidney transplantation in ADPKD patients compared with ADPKD kidney transplant recipients without simultaneous nephrectomy.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lifetime nephrectomy rate of at least one kidney is approximately 20-30% for patients with ADPKD</w:t>
      </w:r>
      <w:r>
        <w:rPr>
          <w:rFonts w:ascii="Book Antiqua" w:hAnsi="Book Antiqua" w:cs="Book Antiqua"/>
          <w:color w:val="000000"/>
          <w:vertAlign w:val="superscript"/>
          <w:lang w:eastAsia="zh-CN"/>
        </w:rPr>
        <w:t>[11,12]</w:t>
      </w:r>
      <w:r>
        <w:rPr>
          <w:rFonts w:ascii="Book Antiqua" w:hAnsi="Book Antiqua" w:eastAsia="Book Antiqua" w:cs="Book Antiqua"/>
          <w:color w:val="000000"/>
        </w:rPr>
        <w:t>. Maintaining native kidneys in ADPKD transplant candidates may help to prevent renal osteodystrophy, anemia, uremia, fluid overload, congestive heart failure, and hyperkalemia</w:t>
      </w:r>
      <w:r>
        <w:rPr>
          <w:rFonts w:ascii="Book Antiqua" w:hAnsi="Book Antiqua" w:cs="Book Antiqua"/>
          <w:color w:val="000000"/>
          <w:vertAlign w:val="superscript"/>
          <w:lang w:eastAsia="zh-CN"/>
        </w:rPr>
        <w:t>[4,13,14]</w:t>
      </w:r>
      <w:r>
        <w:rPr>
          <w:rFonts w:ascii="Book Antiqua" w:hAnsi="Book Antiqua" w:eastAsia="Book Antiqua" w:cs="Book Antiqua"/>
          <w:color w:val="000000"/>
        </w:rPr>
        <w:t>. The advantage of maintaining total native urine output is important for dialysis comfort in patients on the waiting list for transplantation and confers some survival benefits on the waiting list</w:t>
      </w:r>
      <w:r>
        <w:rPr>
          <w:rFonts w:ascii="Book Antiqua" w:hAnsi="Book Antiqua" w:cs="Book Antiqua"/>
          <w:color w:val="000000"/>
          <w:vertAlign w:val="superscript"/>
          <w:lang w:eastAsia="zh-CN"/>
        </w:rPr>
        <w:t>[15]</w:t>
      </w:r>
      <w:r>
        <w:rPr>
          <w:rFonts w:ascii="Book Antiqua" w:hAnsi="Book Antiqua" w:eastAsia="Book Antiqua" w:cs="Book Antiqua"/>
          <w:color w:val="000000"/>
        </w:rPr>
        <w:t xml:space="preserve">. Even today, the indications and timing for a native unilateral or bilateral nephrectomy in ADPKD candidates for isolated kidney transplantation remain controversial and are quite often center-dependent and based on historical routine and experience. Clear indications for unilateral or bilateral native nephrectomy before transplantation are: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nvalidating </w:t>
      </w:r>
      <w:r>
        <w:rPr>
          <w:rFonts w:ascii="Book Antiqua" w:hAnsi="Book Antiqua" w:eastAsia="Book Antiqua" w:cs="Book Antiqua"/>
          <w:color w:val="000000"/>
        </w:rPr>
        <w:t>pain and discomfort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O</w:t>
      </w:r>
      <w:r>
        <w:rPr>
          <w:rFonts w:ascii="Book Antiqua" w:hAnsi="Book Antiqua" w:eastAsia="Book Antiqua" w:cs="Book Antiqua"/>
          <w:color w:val="000000"/>
        </w:rPr>
        <w:t>ngoing hematuria</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R</w:t>
      </w:r>
      <w:r>
        <w:rPr>
          <w:rFonts w:ascii="Book Antiqua" w:hAnsi="Book Antiqua" w:eastAsia="Book Antiqua" w:cs="Book Antiqua"/>
          <w:color w:val="000000"/>
        </w:rPr>
        <w:t>ecurrent renal cyst infections and gastrointestinal pressure symptoms (</w:t>
      </w:r>
      <w:r>
        <w:rPr>
          <w:rFonts w:ascii="Book Antiqua" w:hAnsi="Book Antiqua" w:eastAsia="Book Antiqua" w:cs="Book Antiqua"/>
          <w:i/>
          <w:color w:val="000000"/>
        </w:rPr>
        <w:t xml:space="preserve">e.g., </w:t>
      </w:r>
      <w:r>
        <w:rPr>
          <w:rFonts w:ascii="Book Antiqua" w:hAnsi="Book Antiqua" w:eastAsia="Book Antiqua" w:cs="Book Antiqua"/>
          <w:color w:val="000000"/>
        </w:rPr>
        <w:t>early satiety)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4) recurrent nephrolithiasis (rare)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5) </w:t>
      </w:r>
      <w:r>
        <w:rPr>
          <w:rFonts w:hint="eastAsia" w:ascii="Book Antiqua" w:hAnsi="Book Antiqua" w:cs="Book Antiqua"/>
          <w:color w:val="000000"/>
          <w:lang w:eastAsia="zh-CN"/>
        </w:rPr>
        <w:t>T</w:t>
      </w:r>
      <w:r>
        <w:rPr>
          <w:rFonts w:ascii="Book Antiqua" w:hAnsi="Book Antiqua" w:eastAsia="Book Antiqua" w:cs="Book Antiqua"/>
          <w:color w:val="000000"/>
        </w:rPr>
        <w:t>he suspicion of malignancy in those with complex cysts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w:t>
      </w:r>
      <w:r>
        <w:rPr>
          <w:rFonts w:ascii="Book Antiqua" w:hAnsi="Book Antiqua" w:eastAsia="Book Antiqua" w:cs="Book Antiqua"/>
          <w:color w:val="000000"/>
        </w:rPr>
        <w:t xml:space="preserve">6) </w:t>
      </w:r>
      <w:r>
        <w:rPr>
          <w:rFonts w:hint="eastAsia" w:ascii="Book Antiqua" w:hAnsi="Book Antiqua" w:cs="Book Antiqua"/>
          <w:color w:val="000000"/>
          <w:lang w:eastAsia="zh-CN"/>
        </w:rPr>
        <w:t>C</w:t>
      </w:r>
      <w:r>
        <w:rPr>
          <w:rFonts w:ascii="Book Antiqua" w:hAnsi="Book Antiqua" w:eastAsia="Book Antiqua" w:cs="Book Antiqua"/>
          <w:color w:val="000000"/>
        </w:rPr>
        <w:t>ombined liver and kidney transplantation. In the absence of these clear indications, the lack of space for positioning a future kidney graft remains controversial as an indication for performing a unilateral native nephrectomy before transplantation. We agree that a simultaneous ipsilateral nephrectomy to create space during isolated kidney transplantation can be technically challenging, even in the hands of an experienced surgeon. A review of the literature, as illustrated in Table 4, does not demonstrate a significant negative impact of an associated ipsilateral or bilateral nephrectomy during isolated kidney transplantation on surgical comorbidity and early and late allograft and patient survival</w:t>
      </w:r>
      <w:r>
        <w:rPr>
          <w:rFonts w:ascii="Book Antiqua" w:hAnsi="Book Antiqua" w:cs="Book Antiqua"/>
          <w:color w:val="000000"/>
          <w:vertAlign w:val="superscript"/>
          <w:lang w:eastAsia="zh-CN"/>
        </w:rPr>
        <w:t>[16-20]</w:t>
      </w:r>
      <w:r>
        <w:rPr>
          <w:rFonts w:ascii="Book Antiqua" w:hAnsi="Book Antiqua" w:eastAsia="Book Antiqua" w:cs="Book Antiqua"/>
          <w:color w:val="000000"/>
        </w:rPr>
        <w:t xml:space="preserve">. The advantage of performing the nephrectomy simultaneous with the transplantation is the avoidance of an extra anesthetic/surgical procedure and possible oliguria when performed before transplantation during the time on the waiting list. In line with these previous studies, the risk of losing a kidney graft, in relation to native nephrectomy is extremely low.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proposed algorithm to decide the optimal timing of a native nephrectomy in candidates for isolated kidney transplantation is mainly based on ADPKD-related symptoms (Figure 3). In general, we do not perform a native nephrectomy to create space for graft positioning in the absence of ADPKD-related symptoms before transplantation but by preference during the transplantation. Patients with a pretransplant clinical examination showing a polycystic kidney below the level of the umbilicus or a radiological image showing a polycystic kidney extending into the iliac fossa, are very likely to need an ipsilateral native nephrectomy during transplant. Our center policy is to add peritransplant plasmapheresis to the standard immunosuppressive therapy in all high-immunized patients. Therefore, only for high-immunized patients with an expected long waiting time on the transplant list and high associated medical comorbidity, we consider a unilateral nephrectomy to create space for future kidney graft positioning before transplantation with the aim to decrease the risk of plasmapheresis-related surgical complications (bleeding, incisional hernias, blood transfusions, ...) during transplantation. This might explain the difference in the numbers of patients receiving peritransplant plasmapheresis in favor of the KTA group in our study. For high-immunized patients with low associated medical comorbidity, our preference is to perform the associated nephrectomy during the transplantation.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Also, our strategy is to avoid an unnecessary nephrectomy after transplantation. Today, it is unusual for ADPKD patients to require nephrectomies for complications related to their native kidney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 after transplantation</w:t>
      </w:r>
      <w:r>
        <w:rPr>
          <w:rFonts w:ascii="Book Antiqua" w:hAnsi="Book Antiqua" w:cs="Book Antiqua"/>
          <w:color w:val="000000"/>
          <w:vertAlign w:val="superscript"/>
          <w:lang w:eastAsia="zh-CN"/>
        </w:rPr>
        <w:t>[5]</w:t>
      </w:r>
      <w:r>
        <w:rPr>
          <w:rFonts w:ascii="Book Antiqua" w:hAnsi="Book Antiqua" w:eastAsia="Book Antiqua" w:cs="Book Antiqua"/>
          <w:color w:val="000000"/>
        </w:rPr>
        <w:t>. Nuclear magnetic resonance of the abdomen is routinely performed after transplantation to screen for malignancies in the native polycystic kidney(s). Conflicting data exists regarding the risk of renal cell carcinomas in ADPKD-affected kidneys. While case studies report the occurrence of renal cell carcinomas in ADPKD-affected kidneys</w:t>
      </w:r>
      <w:r>
        <w:rPr>
          <w:rFonts w:ascii="Book Antiqua" w:hAnsi="Book Antiqua" w:cs="Book Antiqua"/>
          <w:color w:val="000000"/>
          <w:vertAlign w:val="superscript"/>
          <w:lang w:eastAsia="zh-CN"/>
        </w:rPr>
        <w:t>[21,22]</w:t>
      </w:r>
      <w:r>
        <w:rPr>
          <w:rFonts w:ascii="Book Antiqua" w:hAnsi="Book Antiqua" w:eastAsia="Book Antiqua" w:cs="Book Antiqua"/>
          <w:color w:val="000000"/>
        </w:rPr>
        <w:t>, these tumors may be partly due to acquired renal cystic disease resulting from long-term dialysis</w:t>
      </w:r>
      <w:r>
        <w:rPr>
          <w:rFonts w:ascii="Book Antiqua" w:hAnsi="Book Antiqua" w:cs="Book Antiqua"/>
          <w:color w:val="000000"/>
          <w:vertAlign w:val="superscript"/>
          <w:lang w:eastAsia="zh-CN"/>
        </w:rPr>
        <w:t>[23]</w:t>
      </w:r>
      <w:r>
        <w:rPr>
          <w:rFonts w:ascii="Book Antiqua" w:hAnsi="Book Antiqua" w:eastAsia="Book Antiqua" w:cs="Book Antiqua"/>
          <w:color w:val="000000"/>
        </w:rPr>
        <w:t>. In contrast, data from the Scientific Registry of Transplant Recipients observed a lower cancer risk in polycystic kidney disease recipients. This might be explained by the ADPKD mutations causing clear cyst formation, but it is also possible that these mutations trigger protective cellular mechanisms that prevent cells from undergoing malignant transformation</w:t>
      </w:r>
      <w:r>
        <w:rPr>
          <w:rFonts w:ascii="Book Antiqua" w:hAnsi="Book Antiqua" w:cs="Book Antiqua"/>
          <w:color w:val="000000"/>
          <w:vertAlign w:val="superscript"/>
          <w:lang w:eastAsia="zh-CN"/>
        </w:rPr>
        <w:t>[24]</w:t>
      </w:r>
      <w:r>
        <w:rPr>
          <w:rFonts w:ascii="Book Antiqua" w:hAnsi="Book Antiqua" w:eastAsia="Book Antiqua" w:cs="Book Antiqua"/>
          <w:color w:val="000000"/>
        </w:rPr>
        <w:t>. Ward CJ</w:t>
      </w:r>
      <w:r>
        <w:rPr>
          <w:rFonts w:ascii="Book Antiqua" w:hAnsi="Book Antiqua" w:eastAsia="Book Antiqua" w:cs="Book Antiqua"/>
          <w:i/>
          <w:color w:val="000000"/>
        </w:rPr>
        <w:t xml:space="preserve"> et al</w:t>
      </w:r>
      <w:r>
        <w:rPr>
          <w:rFonts w:ascii="Book Antiqua" w:hAnsi="Book Antiqua" w:eastAsia="Book Antiqua" w:cs="Book Antiqua"/>
          <w:color w:val="000000"/>
        </w:rPr>
        <w:t xml:space="preserve"> demonstrated that germline mutations in polycystic kidney and hepatic disease 1 were protective against colorectal cancer</w:t>
      </w:r>
      <w:r>
        <w:rPr>
          <w:rFonts w:ascii="Book Antiqua" w:hAnsi="Book Antiqua" w:cs="Book Antiqua"/>
          <w:color w:val="000000"/>
          <w:vertAlign w:val="superscript"/>
          <w:lang w:eastAsia="zh-CN"/>
        </w:rPr>
        <w:t>[25]</w:t>
      </w:r>
      <w:r>
        <w:rPr>
          <w:rFonts w:ascii="Book Antiqua" w:hAnsi="Book Antiqua" w:eastAsia="Book Antiqua" w:cs="Book Antiqua"/>
          <w:color w:val="000000"/>
        </w:rPr>
        <w:t>. However, the observed lower risk of renal cancer in the Scientific Registry of Transplant Recipients can also be explained by the higher incidence of nephrectomies in ADPKD recipients in contrast with their non-ADPKD counterparts</w:t>
      </w:r>
      <w:r>
        <w:rPr>
          <w:rFonts w:ascii="Book Antiqua" w:hAnsi="Book Antiqua" w:cs="Book Antiqua"/>
          <w:color w:val="000000"/>
          <w:vertAlign w:val="superscript"/>
          <w:lang w:eastAsia="zh-CN"/>
        </w:rPr>
        <w:t>[24]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recognize some limitations in the present study. First, this a retrospective study. Second, in recipients with associated nephrectomy during isolated kidney transplantation, the lower incidence of peritransplant plasmapheresis and higher incidence of living donors could have underestimated the surgical comorbidity in this study group.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simultaneous native ipsilateral nephrectomy to create space for graft positioning during kidney transplantation in ADPKD patients does not detrimentally impact surgical comorbidity and short- and long-term graft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lack of space, as an indication for a native unilateral nephrectomy for positioning a future kidney graft in the absence of other autosomal dominant polycystic kidney disease</w:t>
      </w:r>
      <w:r>
        <w:rPr>
          <w:rFonts w:hint="eastAsia" w:ascii="Book Antiqua" w:hAnsi="Book Antiqua" w:cs="Book Antiqua"/>
          <w:color w:val="000000"/>
          <w:lang w:eastAsia="zh-CN"/>
        </w:rPr>
        <w:t xml:space="preserve"> (ADPKD)</w:t>
      </w:r>
      <w:r>
        <w:rPr>
          <w:rFonts w:ascii="Book Antiqua" w:hAnsi="Book Antiqua" w:eastAsia="Book Antiqua" w:cs="Book Antiqua"/>
          <w:color w:val="000000"/>
        </w:rPr>
        <w:t>-related symptoms, remains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Unilateral native nephrectomy to create space for graft positioning in an otherwise asymptomatic ADPKD patient is quite often routinely performed in isolated kidney transplant candidates before their activation on the waiting list. This strategy is mainly driven by the fear of increased surgical comorbidity and the possible negative impact of prolonged cold ischemia time and short- and long-term graft survival related to the associated nephrectomy during transplantation.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evaluate the surgical comorbidity and the impact on graft survival of an associated ipsilateral native nephrectomy during isolated kidney transplantation in patients with </w:t>
      </w:r>
      <w:r>
        <w:rPr>
          <w:rFonts w:hint="eastAsia" w:ascii="Book Antiqua" w:hAnsi="Book Antiqua" w:cs="Book Antiqua"/>
          <w:color w:val="000000"/>
          <w:lang w:eastAsia="zh-CN"/>
        </w:rPr>
        <w:t>ADPKD</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One hundred and fifty-four kidney transplantations performed between January 2007 and January 2019 of which 77 without (kidney transplant alone (KTA) group) and 77 with associated ipsilateral nephrectomy (KTIN group), were retrospectively reviewed. Demographics and surgical variables were analyzed and their respective impact on surgical comorbidity and graft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No significant difference in surgical comorbidity (lymphocele, wound infection, incisional hernia, wound hematoma, urinary infection, need for blood transfusion, hospitalization stay, Dindo Clavien classification and readmission rate) was observed between the two study groups. The 1- and 5-year graft survival were 94.8% and 90.3%, and 100% and 93.8%,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0.774). The 1- and 5-year patient survival were 96.1% and 92.9%, and 100% and 100%, respectively, in the KTA and KTIN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0.168).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Simultaneous ipsilateral native nephrectomy to create space for graft positioning during kidney transplantation in patients with </w:t>
      </w:r>
      <w:r>
        <w:rPr>
          <w:rFonts w:hint="eastAsia" w:ascii="Book Antiqua" w:hAnsi="Book Antiqua" w:cs="Book Antiqua"/>
          <w:color w:val="000000"/>
          <w:lang w:eastAsia="zh-CN"/>
        </w:rPr>
        <w:t xml:space="preserve">ADPKD </w:t>
      </w:r>
      <w:r>
        <w:rPr>
          <w:rFonts w:ascii="Book Antiqua" w:hAnsi="Book Antiqua" w:eastAsia="Book Antiqua" w:cs="Book Antiqua"/>
          <w:color w:val="000000"/>
        </w:rPr>
        <w:t>does not negatively impact surgical comorbidity and short- and long-term graft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More kidney transplant candidates suffering from </w:t>
      </w:r>
      <w:r>
        <w:rPr>
          <w:rFonts w:hint="eastAsia" w:ascii="Book Antiqua" w:hAnsi="Book Antiqua" w:cs="Book Antiqua"/>
          <w:color w:val="000000"/>
          <w:lang w:eastAsia="zh-CN"/>
        </w:rPr>
        <w:t xml:space="preserve">ADPKD </w:t>
      </w:r>
      <w:r>
        <w:rPr>
          <w:rFonts w:ascii="Book Antiqua" w:hAnsi="Book Antiqua" w:eastAsia="Book Antiqua" w:cs="Book Antiqua"/>
          <w:color w:val="000000"/>
        </w:rPr>
        <w:t xml:space="preserve">when activated on the waiting list should be proposed for an associated ipsilateral nephrectomy during the transplantation instead of routinely programmed pretransplant nephrectomy.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Torres VE</w:t>
      </w:r>
      <w:r>
        <w:rPr>
          <w:rFonts w:ascii="Book Antiqua" w:hAnsi="Book Antiqua" w:eastAsia="Book Antiqua" w:cs="Book Antiqua"/>
          <w:color w:val="000000"/>
        </w:rPr>
        <w:t xml:space="preserve">, Harris PC, Pirson Y. Autosomal dominant polycystic kidney disease.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2007; </w:t>
      </w:r>
      <w:r>
        <w:rPr>
          <w:rFonts w:ascii="Book Antiqua" w:hAnsi="Book Antiqua" w:eastAsia="Book Antiqua" w:cs="Book Antiqua"/>
          <w:b/>
          <w:bCs/>
          <w:color w:val="000000"/>
        </w:rPr>
        <w:t>369</w:t>
      </w:r>
      <w:r>
        <w:rPr>
          <w:rFonts w:ascii="Book Antiqua" w:hAnsi="Book Antiqua" w:eastAsia="Book Antiqua" w:cs="Book Antiqua"/>
          <w:color w:val="000000"/>
        </w:rPr>
        <w:t>: 1287-1301 [PMID: 17434405 DOI: 10.1016/S0140-6736(07)60601-1]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Kanaan N</w:t>
      </w:r>
      <w:r>
        <w:rPr>
          <w:rFonts w:ascii="Book Antiqua" w:hAnsi="Book Antiqua" w:eastAsia="Book Antiqua" w:cs="Book Antiqua"/>
          <w:color w:val="000000"/>
        </w:rPr>
        <w:t xml:space="preserve">, Devuyst O, Pirson Y. Renal transplantation in autosomal dominant polycystic kidney disease. </w:t>
      </w:r>
      <w:r>
        <w:rPr>
          <w:rFonts w:ascii="Book Antiqua" w:hAnsi="Book Antiqua" w:eastAsia="Book Antiqua" w:cs="Book Antiqua"/>
          <w:i/>
          <w:iCs/>
          <w:color w:val="000000"/>
        </w:rPr>
        <w:t>Nat Rev Nephrol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w:t>
      </w:r>
      <w:r>
        <w:rPr>
          <w:rFonts w:ascii="Book Antiqua" w:hAnsi="Book Antiqua" w:eastAsia="Book Antiqua" w:cs="Book Antiqua"/>
          <w:color w:val="000000"/>
        </w:rPr>
        <w:t>: 455-465 [PMID: 24935705 DOI: 10.1038/nrneph.2014.104]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Akoh JA</w:t>
      </w:r>
      <w:r>
        <w:rPr>
          <w:rFonts w:ascii="Book Antiqua" w:hAnsi="Book Antiqua" w:eastAsia="Book Antiqua" w:cs="Book Antiqua"/>
          <w:color w:val="000000"/>
        </w:rPr>
        <w:t xml:space="preserve">. Current management of autosomal dominant polycystic kidney disease. </w:t>
      </w:r>
      <w:r>
        <w:rPr>
          <w:rFonts w:ascii="Book Antiqua" w:hAnsi="Book Antiqua" w:eastAsia="Book Antiqua" w:cs="Book Antiqua"/>
          <w:i/>
          <w:iCs/>
          <w:color w:val="000000"/>
        </w:rPr>
        <w:t>World J Nephrol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468-479 [PMID: 26380198 DOI: 10.5527/wjn.v4.i4.468]</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Kirkman MA,</w:t>
      </w:r>
      <w:r>
        <w:rPr>
          <w:rFonts w:ascii="Book Antiqua" w:hAnsi="Book Antiqua" w:eastAsia="Book Antiqua" w:cs="Book Antiqua"/>
          <w:color w:val="000000"/>
        </w:rPr>
        <w:t xml:space="preserve"> van Dellen D, Mehra S, Campbell BA, Tavakoli A, Pararajasingam R, Parrott NR, Riad HN, McWilliam L, Augustine T. Native nephrectomy for autosomal dominant polycystic kidney disease: before or after kidney transplantation? </w:t>
      </w:r>
      <w:r>
        <w:rPr>
          <w:rFonts w:ascii="Book Antiqua" w:hAnsi="Book Antiqua" w:eastAsia="Book Antiqua" w:cs="Book Antiqua"/>
          <w:i/>
          <w:color w:val="000000"/>
        </w:rPr>
        <w:t>BJU international</w:t>
      </w:r>
      <w:r>
        <w:rPr>
          <w:rFonts w:ascii="Book Antiqua" w:hAnsi="Book Antiqua" w:cs="Book Antiqua"/>
          <w:color w:val="000000"/>
          <w:lang w:eastAsia="zh-CN"/>
        </w:rPr>
        <w:t xml:space="preserve"> </w:t>
      </w:r>
      <w:r>
        <w:rPr>
          <w:rFonts w:ascii="Book Antiqua" w:hAnsi="Book Antiqua" w:eastAsia="Book Antiqua" w:cs="Book Antiqua"/>
          <w:color w:val="000000"/>
        </w:rPr>
        <w:t>2011;</w:t>
      </w:r>
      <w:r>
        <w:rPr>
          <w:rFonts w:ascii="Book Antiqua" w:hAnsi="Book Antiqua" w:cs="Book Antiqua"/>
          <w:color w:val="000000"/>
          <w:lang w:eastAsia="zh-CN"/>
        </w:rPr>
        <w:t xml:space="preserve"> </w:t>
      </w:r>
      <w:r>
        <w:rPr>
          <w:rFonts w:ascii="Book Antiqua" w:hAnsi="Book Antiqua" w:eastAsia="Book Antiqua" w:cs="Book Antiqua"/>
          <w:b/>
          <w:color w:val="000000"/>
        </w:rPr>
        <w:t>108</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590-</w:t>
      </w:r>
      <w:r>
        <w:rPr>
          <w:rFonts w:ascii="Book Antiqua" w:hAnsi="Book Antiqua" w:cs="Book Antiqua"/>
          <w:color w:val="000000"/>
          <w:lang w:eastAsia="zh-CN"/>
        </w:rPr>
        <w:t>59</w:t>
      </w:r>
      <w:r>
        <w:rPr>
          <w:rFonts w:ascii="Book Antiqua" w:hAnsi="Book Antiqua" w:eastAsia="Book Antiqua" w:cs="Book Antiqua"/>
          <w:color w:val="000000"/>
        </w:rPr>
        <w:t>4</w:t>
      </w:r>
      <w:r>
        <w:rPr>
          <w:rFonts w:ascii="Book Antiqua" w:hAnsi="Book Antiqua" w:cs="Book Antiqua"/>
          <w:color w:val="000000"/>
          <w:lang w:eastAsia="zh-CN"/>
        </w:rPr>
        <w:t xml:space="preserve"> </w:t>
      </w:r>
      <w:r>
        <w:rPr>
          <w:rFonts w:ascii="Book Antiqua" w:hAnsi="Book Antiqua" w:eastAsia="Book Antiqua" w:cs="Book Antiqua"/>
          <w:color w:val="000000"/>
        </w:rPr>
        <w:t>[PMID</w:t>
      </w:r>
      <w:r>
        <w:rPr>
          <w:rFonts w:ascii="Book Antiqua" w:hAnsi="Book Antiqua" w:cs="Book Antiqua"/>
          <w:color w:val="000000"/>
          <w:lang w:eastAsia="zh-CN"/>
        </w:rPr>
        <w:t>:</w:t>
      </w:r>
      <w:r>
        <w:rPr>
          <w:rFonts w:ascii="Book Antiqua" w:hAnsi="Book Antiqua" w:eastAsia="Book Antiqua" w:cs="Book Antiqua"/>
          <w:color w:val="000000"/>
        </w:rPr>
        <w:t xml:space="preserve"> 21166760 DOI: 10.1111/j.1464-410X.2010.09938.x]</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Gebicki JM</w:t>
      </w:r>
      <w:r>
        <w:rPr>
          <w:rFonts w:ascii="Book Antiqua" w:hAnsi="Book Antiqua" w:eastAsia="Book Antiqua" w:cs="Book Antiqua"/>
          <w:color w:val="000000"/>
        </w:rPr>
        <w:t xml:space="preserve">. Classic redox. Garrison WM, Jayko ME, Bennett W. Radiation-induced oxidation of protein in aqueous solution. Radiat Res 1962; 16: 483-502. </w:t>
      </w:r>
      <w:r>
        <w:rPr>
          <w:rFonts w:ascii="Book Antiqua" w:hAnsi="Book Antiqua" w:eastAsia="Book Antiqua" w:cs="Book Antiqua"/>
          <w:i/>
          <w:iCs/>
          <w:color w:val="000000"/>
        </w:rPr>
        <w:t>Redox Rep</w:t>
      </w:r>
      <w:r>
        <w:rPr>
          <w:rFonts w:ascii="Book Antiqua" w:hAnsi="Book Antiqua" w:eastAsia="Book Antiqua" w:cs="Book Antiqua"/>
          <w:color w:val="000000"/>
        </w:rPr>
        <w:t xml:space="preserve"> 2000; </w:t>
      </w:r>
      <w:r>
        <w:rPr>
          <w:rFonts w:ascii="Book Antiqua" w:hAnsi="Book Antiqua" w:eastAsia="Book Antiqua" w:cs="Book Antiqua"/>
          <w:b/>
          <w:bCs/>
          <w:color w:val="000000"/>
        </w:rPr>
        <w:t>5</w:t>
      </w:r>
      <w:r>
        <w:rPr>
          <w:rFonts w:ascii="Book Antiqua" w:hAnsi="Book Antiqua" w:eastAsia="Book Antiqua" w:cs="Book Antiqua"/>
          <w:color w:val="000000"/>
        </w:rPr>
        <w:t>: 15-16 [PMID: 10905538 DOI: 10.1179/rer.2000.5.1.15]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Argyrou C</w:t>
      </w:r>
      <w:r>
        <w:rPr>
          <w:rFonts w:ascii="Book Antiqua" w:hAnsi="Book Antiqua" w:eastAsia="Book Antiqua" w:cs="Book Antiqua"/>
          <w:color w:val="000000"/>
        </w:rPr>
        <w:t xml:space="preserve">, Moris D, Vernadakis S. Tailoring the 'Perfect Fit' for Renal Transplant Recipients with End-stage Polycystic Kidney Disease: Indications and Timing of Native Nephrectomy.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307-312 [PMID: 28438856 DOI: 10.21873/invivo.11060]</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 xml:space="preserve"> </w:t>
      </w:r>
      <w:r>
        <w:rPr>
          <w:rFonts w:ascii="Book Antiqua" w:hAnsi="Book Antiqua" w:eastAsia="Book Antiqua" w:cs="Book Antiqua"/>
          <w:b/>
          <w:bCs/>
          <w:color w:val="000000"/>
        </w:rPr>
        <w:t>Gregoir W.</w:t>
      </w:r>
      <w:r>
        <w:rPr>
          <w:rFonts w:ascii="Book Antiqua" w:hAnsi="Book Antiqua" w:eastAsia="Book Antiqua" w:cs="Book Antiqua"/>
          <w:color w:val="000000"/>
        </w:rPr>
        <w:t xml:space="preserve"> [Congenital vesico-ureteral reflux]. </w:t>
      </w:r>
      <w:r>
        <w:rPr>
          <w:rFonts w:ascii="Book Antiqua" w:hAnsi="Book Antiqua" w:eastAsia="Book Antiqua" w:cs="Book Antiqua"/>
          <w:i/>
          <w:color w:val="000000"/>
        </w:rPr>
        <w:t>Acta urologica Belgica</w:t>
      </w:r>
      <w:r>
        <w:rPr>
          <w:rFonts w:ascii="Book Antiqua" w:hAnsi="Book Antiqua" w:cs="Book Antiqua"/>
          <w:color w:val="000000"/>
          <w:lang w:eastAsia="zh-CN"/>
        </w:rPr>
        <w:t xml:space="preserve"> </w:t>
      </w:r>
      <w:r>
        <w:rPr>
          <w:rFonts w:ascii="Book Antiqua" w:hAnsi="Book Antiqua" w:eastAsia="Book Antiqua" w:cs="Book Antiqua"/>
          <w:color w:val="000000"/>
        </w:rPr>
        <w:t>1962;</w:t>
      </w:r>
      <w:r>
        <w:rPr>
          <w:rFonts w:ascii="Book Antiqua" w:hAnsi="Book Antiqua" w:cs="Book Antiqua"/>
          <w:color w:val="000000"/>
          <w:lang w:eastAsia="zh-CN"/>
        </w:rPr>
        <w:t xml:space="preserve"> </w:t>
      </w:r>
      <w:r>
        <w:rPr>
          <w:rFonts w:ascii="Book Antiqua" w:hAnsi="Book Antiqua" w:eastAsia="Book Antiqua" w:cs="Book Antiqua"/>
          <w:b/>
          <w:bCs/>
          <w:color w:val="000000"/>
        </w:rPr>
        <w:t>30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286-300</w:t>
      </w:r>
      <w:r>
        <w:rPr>
          <w:rFonts w:ascii="Book Antiqua" w:hAnsi="Book Antiqua" w:cs="Book Antiqua"/>
          <w:color w:val="000000"/>
          <w:lang w:eastAsia="zh-CN"/>
        </w:rPr>
        <w:t xml:space="preserve"> </w:t>
      </w:r>
      <w:r>
        <w:rPr>
          <w:rFonts w:ascii="Book Antiqua" w:hAnsi="Book Antiqua" w:eastAsia="Book Antiqua" w:cs="Book Antiqua"/>
          <w:color w:val="000000"/>
        </w:rPr>
        <w:t>[PMID</w:t>
      </w:r>
      <w:r>
        <w:rPr>
          <w:rFonts w:ascii="Book Antiqua" w:hAnsi="Book Antiqua" w:cs="Book Antiqua"/>
          <w:color w:val="000000"/>
          <w:lang w:eastAsia="zh-CN"/>
        </w:rPr>
        <w:t>:</w:t>
      </w:r>
      <w:r>
        <w:rPr>
          <w:rFonts w:ascii="Book Antiqua" w:hAnsi="Book Antiqua" w:eastAsia="Book Antiqua" w:cs="Book Antiqua"/>
          <w:color w:val="000000"/>
        </w:rPr>
        <w:t xml:space="preserve"> 13901619]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Lich R,</w:t>
      </w:r>
      <w:r>
        <w:rPr>
          <w:rFonts w:ascii="Book Antiqua" w:hAnsi="Book Antiqua" w:eastAsia="Book Antiqua" w:cs="Book Antiqua"/>
          <w:color w:val="000000"/>
        </w:rPr>
        <w:t xml:space="preserve"> Jr., Howerton LW, Davis LA. Childhood urosepsis. </w:t>
      </w:r>
      <w:r>
        <w:rPr>
          <w:rFonts w:ascii="Book Antiqua" w:hAnsi="Book Antiqua" w:eastAsia="Book Antiqua" w:cs="Book Antiqua"/>
          <w:i/>
          <w:color w:val="000000"/>
        </w:rPr>
        <w:t>J</w:t>
      </w:r>
      <w:r>
        <w:rPr>
          <w:rFonts w:ascii="Book Antiqua" w:hAnsi="Book Antiqua" w:cs="Book Antiqua"/>
          <w:i/>
          <w:color w:val="000000"/>
          <w:lang w:eastAsia="zh-CN"/>
        </w:rPr>
        <w:t xml:space="preserve"> </w:t>
      </w:r>
      <w:r>
        <w:rPr>
          <w:rFonts w:ascii="Book Antiqua" w:hAnsi="Book Antiqua" w:eastAsia="Book Antiqua" w:cs="Book Antiqua"/>
          <w:i/>
          <w:color w:val="000000"/>
        </w:rPr>
        <w:t>Kentucky Medical Association</w:t>
      </w:r>
      <w:r>
        <w:rPr>
          <w:rFonts w:ascii="Book Antiqua" w:hAnsi="Book Antiqua" w:cs="Book Antiqua"/>
          <w:color w:val="000000"/>
          <w:lang w:eastAsia="zh-CN"/>
        </w:rPr>
        <w:t xml:space="preserve"> </w:t>
      </w:r>
      <w:r>
        <w:rPr>
          <w:rFonts w:ascii="Book Antiqua" w:hAnsi="Book Antiqua" w:eastAsia="Book Antiqua" w:cs="Book Antiqua"/>
          <w:color w:val="000000"/>
        </w:rPr>
        <w:t>1961;</w:t>
      </w:r>
      <w:r>
        <w:rPr>
          <w:rFonts w:ascii="Book Antiqua" w:hAnsi="Book Antiqua" w:cs="Book Antiqua"/>
          <w:color w:val="000000"/>
          <w:lang w:eastAsia="zh-CN"/>
        </w:rPr>
        <w:t xml:space="preserve"> </w:t>
      </w:r>
      <w:r>
        <w:rPr>
          <w:rFonts w:ascii="Book Antiqua" w:hAnsi="Book Antiqua" w:eastAsia="Book Antiqua" w:cs="Book Antiqua"/>
          <w:b/>
          <w:bCs/>
          <w:color w:val="000000"/>
        </w:rPr>
        <w:t>59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1177-</w:t>
      </w:r>
      <w:r>
        <w:rPr>
          <w:rFonts w:ascii="Book Antiqua" w:hAnsi="Book Antiqua" w:cs="Book Antiqua"/>
          <w:color w:val="000000"/>
          <w:lang w:eastAsia="zh-CN"/>
        </w:rPr>
        <w:t>117</w:t>
      </w:r>
      <w:r>
        <w:rPr>
          <w:rFonts w:ascii="Book Antiqua" w:hAnsi="Book Antiqua" w:eastAsia="Book Antiqua" w:cs="Book Antiqua"/>
          <w:color w:val="000000"/>
        </w:rPr>
        <w:t>9</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10.1016/s0022-5347(17)65219-4]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Woodruff MF</w:t>
      </w:r>
      <w:r>
        <w:rPr>
          <w:rFonts w:ascii="Book Antiqua" w:hAnsi="Book Antiqua" w:eastAsia="Book Antiqua" w:cs="Book Antiqua"/>
          <w:color w:val="000000"/>
        </w:rPr>
        <w:t xml:space="preserve">, Nolan B, Robson JS, MacDonald MK. Renal transplantation in man. Experience in 35 cases.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1969; </w:t>
      </w:r>
      <w:r>
        <w:rPr>
          <w:rFonts w:ascii="Book Antiqua" w:hAnsi="Book Antiqua" w:eastAsia="Book Antiqua" w:cs="Book Antiqua"/>
          <w:b/>
          <w:bCs/>
          <w:color w:val="000000"/>
        </w:rPr>
        <w:t>1</w:t>
      </w:r>
      <w:r>
        <w:rPr>
          <w:rFonts w:ascii="Book Antiqua" w:hAnsi="Book Antiqua" w:eastAsia="Book Antiqua" w:cs="Book Antiqua"/>
          <w:color w:val="000000"/>
        </w:rPr>
        <w:t>: 6-12 [PMID: 4178807 DOI: 10.1016/s0140-6736(69)90982-9]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Clavien PA,</w:t>
      </w:r>
      <w:r>
        <w:rPr>
          <w:rFonts w:ascii="Book Antiqua" w:hAnsi="Book Antiqua" w:eastAsia="Book Antiqua" w:cs="Book Antiqua"/>
          <w:color w:val="000000"/>
        </w:rPr>
        <w:t xml:space="preserve"> Barkun J, de Oliveira ML, Vauthey JN, Dindo D, Schulick RD, de Santibanes E, Pekolj J, Slankamenac K, Bassi C, Graf R, Vanlanthen R, Padbury R, Cameron JL, Makuuchi M. The Clavien-Dindo classification of surgical complications: five-year experience. </w:t>
      </w:r>
      <w:r>
        <w:rPr>
          <w:rFonts w:ascii="Book Antiqua" w:hAnsi="Book Antiqua" w:eastAsia="Book Antiqua" w:cs="Book Antiqua"/>
          <w:i/>
          <w:color w:val="000000"/>
        </w:rPr>
        <w:t>Annals of surgery</w:t>
      </w:r>
      <w:r>
        <w:rPr>
          <w:rFonts w:ascii="Book Antiqua" w:hAnsi="Book Antiqua" w:cs="Book Antiqua"/>
          <w:color w:val="000000"/>
          <w:lang w:eastAsia="zh-CN"/>
        </w:rPr>
        <w:t xml:space="preserve"> </w:t>
      </w:r>
      <w:r>
        <w:rPr>
          <w:rFonts w:ascii="Book Antiqua" w:hAnsi="Book Antiqua" w:eastAsia="Book Antiqua" w:cs="Book Antiqua"/>
          <w:color w:val="000000"/>
        </w:rPr>
        <w:t>2009;</w:t>
      </w:r>
      <w:r>
        <w:rPr>
          <w:rFonts w:ascii="Book Antiqua" w:hAnsi="Book Antiqua" w:cs="Book Antiqua"/>
          <w:color w:val="000000"/>
          <w:lang w:eastAsia="zh-CN"/>
        </w:rPr>
        <w:t xml:space="preserve"> </w:t>
      </w:r>
      <w:r>
        <w:rPr>
          <w:rFonts w:ascii="Book Antiqua" w:hAnsi="Book Antiqua" w:eastAsia="Book Antiqua" w:cs="Book Antiqua"/>
          <w:b/>
          <w:color w:val="000000"/>
        </w:rPr>
        <w:t>250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187-</w:t>
      </w:r>
      <w:r>
        <w:rPr>
          <w:rFonts w:ascii="Book Antiqua" w:hAnsi="Book Antiqua" w:cs="Book Antiqua"/>
          <w:color w:val="000000"/>
          <w:lang w:eastAsia="zh-CN"/>
        </w:rPr>
        <w:t>1</w:t>
      </w:r>
      <w:r>
        <w:rPr>
          <w:rFonts w:ascii="Book Antiqua" w:hAnsi="Book Antiqua" w:eastAsia="Book Antiqua" w:cs="Book Antiqua"/>
          <w:color w:val="000000"/>
        </w:rPr>
        <w:t>96</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10.1097/sla.0b013e3181b13ca2]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Sulikowski T</w:t>
      </w:r>
      <w:r>
        <w:rPr>
          <w:rFonts w:ascii="Book Antiqua" w:hAnsi="Book Antiqua" w:eastAsia="Book Antiqua" w:cs="Book Antiqua"/>
          <w:color w:val="000000"/>
        </w:rPr>
        <w:t xml:space="preserve">, Tejchman K, Zietek Z, Rózański J, Domański L, Kamiński M, Sieńko J, Romanowski M, Nowacki M, Pabisiak K, Kaczmarczyk M, Ciechanowski K, Ciechanowicz A, Ostrowski M. Experience with autosomal dominant polycystic kidney disease in patients before and after renal transplantation: a 7-year observation.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2009; </w:t>
      </w:r>
      <w:r>
        <w:rPr>
          <w:rFonts w:ascii="Book Antiqua" w:hAnsi="Book Antiqua" w:eastAsia="Book Antiqua" w:cs="Book Antiqua"/>
          <w:b/>
          <w:bCs/>
          <w:color w:val="000000"/>
        </w:rPr>
        <w:t>41</w:t>
      </w:r>
      <w:r>
        <w:rPr>
          <w:rFonts w:ascii="Book Antiqua" w:hAnsi="Book Antiqua" w:eastAsia="Book Antiqua" w:cs="Book Antiqua"/>
          <w:color w:val="000000"/>
        </w:rPr>
        <w:t>: 177-180 [PMID: 19249508 DOI: 10.1016/j.transproceed.2008.10.034]</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Patel P</w:t>
      </w:r>
      <w:r>
        <w:rPr>
          <w:rFonts w:ascii="Book Antiqua" w:hAnsi="Book Antiqua" w:eastAsia="Book Antiqua" w:cs="Book Antiqua"/>
          <w:color w:val="000000"/>
        </w:rPr>
        <w:t xml:space="preserve">, Horsfield C, Compton F, Taylor J, Koffman G, Olsburgh J. Native nephrectomy in transplant patients with autosomal dominant polycystic kidney disease. </w:t>
      </w:r>
      <w:r>
        <w:rPr>
          <w:rFonts w:ascii="Book Antiqua" w:hAnsi="Book Antiqua" w:eastAsia="Book Antiqua" w:cs="Book Antiqua"/>
          <w:i/>
          <w:iCs/>
          <w:color w:val="000000"/>
        </w:rPr>
        <w:t>Ann R Coll Surg Engl</w:t>
      </w:r>
      <w:r>
        <w:rPr>
          <w:rFonts w:ascii="Book Antiqua" w:hAnsi="Book Antiqua" w:eastAsia="Book Antiqua" w:cs="Book Antiqua"/>
          <w:color w:val="000000"/>
        </w:rPr>
        <w:t xml:space="preserve"> 2011; </w:t>
      </w:r>
      <w:r>
        <w:rPr>
          <w:rFonts w:ascii="Book Antiqua" w:hAnsi="Book Antiqua" w:eastAsia="Book Antiqua" w:cs="Book Antiqua"/>
          <w:b/>
          <w:bCs/>
          <w:color w:val="000000"/>
        </w:rPr>
        <w:t>93</w:t>
      </w:r>
      <w:r>
        <w:rPr>
          <w:rFonts w:ascii="Book Antiqua" w:hAnsi="Book Antiqua" w:eastAsia="Book Antiqua" w:cs="Book Antiqua"/>
          <w:color w:val="000000"/>
        </w:rPr>
        <w:t>: 391-395 [PMID: 21943464 DOI: 10.1308/003588411X582690]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Brazda E</w:t>
      </w:r>
      <w:r>
        <w:rPr>
          <w:rFonts w:ascii="Book Antiqua" w:hAnsi="Book Antiqua" w:eastAsia="Book Antiqua" w:cs="Book Antiqua"/>
          <w:color w:val="000000"/>
        </w:rPr>
        <w:t xml:space="preserve">, Ofner D, Riedmann B, Spechtenhauser B, Margreiter R. The effect of nephrectomy on the outcome of renal transplantation in patients with polycystic kidney disease. </w:t>
      </w:r>
      <w:r>
        <w:rPr>
          <w:rFonts w:ascii="Book Antiqua" w:hAnsi="Book Antiqua" w:eastAsia="Book Antiqua" w:cs="Book Antiqua"/>
          <w:i/>
          <w:iCs/>
          <w:color w:val="000000"/>
        </w:rPr>
        <w:t>Ann Transplant</w:t>
      </w:r>
      <w:r>
        <w:rPr>
          <w:rFonts w:ascii="Book Antiqua" w:hAnsi="Book Antiqua" w:eastAsia="Book Antiqua" w:cs="Book Antiqua"/>
          <w:color w:val="000000"/>
        </w:rPr>
        <w:t xml:space="preserve"> 1996; </w:t>
      </w:r>
      <w:r>
        <w:rPr>
          <w:rFonts w:ascii="Book Antiqua" w:hAnsi="Book Antiqua" w:eastAsia="Book Antiqua" w:cs="Book Antiqua"/>
          <w:b/>
          <w:bCs/>
          <w:color w:val="000000"/>
        </w:rPr>
        <w:t>1</w:t>
      </w:r>
      <w:r>
        <w:rPr>
          <w:rFonts w:ascii="Book Antiqua" w:hAnsi="Book Antiqua" w:eastAsia="Book Antiqua" w:cs="Book Antiqua"/>
          <w:color w:val="000000"/>
        </w:rPr>
        <w:t>: 15-18 [PMID: 9869924]</w:t>
      </w:r>
    </w:p>
    <w:p>
      <w:pPr>
        <w:spacing w:line="360" w:lineRule="auto"/>
        <w:jc w:val="both"/>
        <w:rPr>
          <w:rFonts w:ascii="Book Antiqua" w:hAnsi="Book Antiqua"/>
          <w:lang w:val="nl-BE"/>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Pirson Y,</w:t>
      </w:r>
      <w:r>
        <w:rPr>
          <w:rFonts w:ascii="Book Antiqua" w:hAnsi="Book Antiqua" w:eastAsia="Book Antiqua" w:cs="Book Antiqua"/>
          <w:color w:val="000000"/>
        </w:rPr>
        <w:t xml:space="preserve"> Christophe JL, Goffin E. Outcome of renal replacement therapy in autosomal dominant polycystic kidney disease. Nephrology, dialysis, transplantation: official publication of the European Dialysis and Transplant Association</w:t>
      </w:r>
      <w:r>
        <w:rPr>
          <w:rFonts w:ascii="Book Antiqua" w:hAnsi="Book Antiqua" w:cs="Book Antiqua"/>
          <w:color w:val="000000"/>
          <w:lang w:eastAsia="zh-CN"/>
        </w:rPr>
        <w:t xml:space="preserve">. </w:t>
      </w:r>
      <w:r>
        <w:rPr>
          <w:rFonts w:ascii="Book Antiqua" w:hAnsi="Book Antiqua" w:eastAsia="Book Antiqua" w:cs="Book Antiqua"/>
          <w:i/>
          <w:color w:val="000000"/>
          <w:lang w:val="nl-BE"/>
        </w:rPr>
        <w:t>European Renal Association</w:t>
      </w:r>
      <w:r>
        <w:rPr>
          <w:rFonts w:ascii="Book Antiqua" w:hAnsi="Book Antiqua" w:cs="Book Antiqua"/>
          <w:color w:val="000000"/>
          <w:lang w:val="nl-BE" w:eastAsia="zh-CN"/>
        </w:rPr>
        <w:t xml:space="preserve"> </w:t>
      </w:r>
      <w:r>
        <w:rPr>
          <w:rFonts w:ascii="Book Antiqua" w:hAnsi="Book Antiqua" w:eastAsia="Book Antiqua" w:cs="Book Antiqua"/>
          <w:color w:val="000000"/>
          <w:lang w:val="nl-BE"/>
        </w:rPr>
        <w:t>1996;</w:t>
      </w:r>
      <w:r>
        <w:rPr>
          <w:rFonts w:ascii="Book Antiqua" w:hAnsi="Book Antiqua" w:cs="Book Antiqua"/>
          <w:color w:val="000000"/>
          <w:lang w:val="nl-BE" w:eastAsia="zh-CN"/>
        </w:rPr>
        <w:t xml:space="preserve"> </w:t>
      </w:r>
      <w:r>
        <w:rPr>
          <w:rFonts w:ascii="Book Antiqua" w:hAnsi="Book Antiqua" w:eastAsia="Book Antiqua" w:cs="Book Antiqua"/>
          <w:b/>
          <w:color w:val="000000"/>
          <w:lang w:val="nl-BE"/>
        </w:rPr>
        <w:t>11</w:t>
      </w:r>
      <w:r>
        <w:rPr>
          <w:rFonts w:ascii="Book Antiqua" w:hAnsi="Book Antiqua" w:eastAsia="Book Antiqua" w:cs="Book Antiqua"/>
          <w:color w:val="000000"/>
          <w:lang w:val="nl-BE"/>
        </w:rPr>
        <w:t xml:space="preserve"> Suppl </w:t>
      </w:r>
      <w:r>
        <w:rPr>
          <w:rFonts w:ascii="Book Antiqua" w:hAnsi="Book Antiqua" w:eastAsia="Book Antiqua" w:cs="Book Antiqua"/>
          <w:b/>
          <w:bCs/>
          <w:color w:val="000000"/>
          <w:lang w:val="nl-BE"/>
        </w:rPr>
        <w:t>6</w:t>
      </w:r>
      <w:r>
        <w:rPr>
          <w:rFonts w:ascii="Book Antiqua" w:hAnsi="Book Antiqua" w:eastAsia="Book Antiqua" w:cs="Book Antiqua"/>
          <w:color w:val="000000"/>
          <w:lang w:val="nl-BE"/>
        </w:rPr>
        <w:t>:</w:t>
      </w:r>
      <w:r>
        <w:rPr>
          <w:rFonts w:ascii="Book Antiqua" w:hAnsi="Book Antiqua" w:cs="Book Antiqua"/>
          <w:color w:val="000000"/>
          <w:lang w:val="nl-BE" w:eastAsia="zh-CN"/>
        </w:rPr>
        <w:t xml:space="preserve"> </w:t>
      </w:r>
      <w:r>
        <w:rPr>
          <w:rFonts w:ascii="Book Antiqua" w:hAnsi="Book Antiqua" w:eastAsia="Book Antiqua" w:cs="Book Antiqua"/>
          <w:color w:val="000000"/>
          <w:lang w:val="nl-BE"/>
        </w:rPr>
        <w:t>24-</w:t>
      </w:r>
      <w:r>
        <w:rPr>
          <w:rFonts w:ascii="Book Antiqua" w:hAnsi="Book Antiqua" w:cs="Book Antiqua"/>
          <w:color w:val="000000"/>
          <w:lang w:val="nl-BE" w:eastAsia="zh-CN"/>
        </w:rPr>
        <w:t>2</w:t>
      </w:r>
      <w:r>
        <w:rPr>
          <w:rFonts w:ascii="Book Antiqua" w:hAnsi="Book Antiqua" w:eastAsia="Book Antiqua" w:cs="Book Antiqua"/>
          <w:color w:val="000000"/>
          <w:lang w:val="nl-BE"/>
        </w:rPr>
        <w:t>8</w:t>
      </w:r>
      <w:r>
        <w:rPr>
          <w:rFonts w:ascii="Book Antiqua" w:hAnsi="Book Antiqua" w:cs="Book Antiqua"/>
          <w:color w:val="000000"/>
          <w:lang w:val="nl-BE" w:eastAsia="zh-CN"/>
        </w:rPr>
        <w:t xml:space="preserve"> </w:t>
      </w:r>
      <w:r>
        <w:rPr>
          <w:rFonts w:ascii="Book Antiqua" w:hAnsi="Book Antiqua" w:eastAsia="Book Antiqua" w:cs="Book Antiqua"/>
          <w:color w:val="000000"/>
          <w:lang w:val="nl-BE"/>
        </w:rPr>
        <w:t>[DOI:</w:t>
      </w:r>
      <w:r>
        <w:rPr>
          <w:rFonts w:ascii="Book Antiqua" w:hAnsi="Book Antiqua" w:cs="Book Antiqua"/>
          <w:color w:val="000000"/>
          <w:lang w:val="nl-BE" w:eastAsia="zh-CN"/>
        </w:rPr>
        <w:t xml:space="preserve"> </w:t>
      </w:r>
      <w:r>
        <w:rPr>
          <w:rFonts w:ascii="Book Antiqua" w:hAnsi="Book Antiqua" w:eastAsia="Book Antiqua" w:cs="Book Antiqua"/>
          <w:color w:val="000000"/>
          <w:lang w:val="nl-BE"/>
        </w:rPr>
        <w:t>10.1093/ndt/11.supp6.24]</w:t>
      </w:r>
    </w:p>
    <w:p>
      <w:pPr>
        <w:spacing w:line="360" w:lineRule="auto"/>
        <w:jc w:val="both"/>
        <w:rPr>
          <w:rFonts w:ascii="Book Antiqua" w:hAnsi="Book Antiqua"/>
        </w:rPr>
      </w:pPr>
      <w:r>
        <w:rPr>
          <w:rFonts w:ascii="Book Antiqua" w:hAnsi="Book Antiqua" w:eastAsia="Book Antiqua" w:cs="Book Antiqua"/>
          <w:color w:val="000000"/>
          <w:lang w:val="nl-BE"/>
        </w:rPr>
        <w:t xml:space="preserve">15 </w:t>
      </w:r>
      <w:r>
        <w:rPr>
          <w:rFonts w:ascii="Book Antiqua" w:hAnsi="Book Antiqua" w:eastAsia="Book Antiqua" w:cs="Book Antiqua"/>
          <w:b/>
          <w:bCs/>
          <w:color w:val="000000"/>
          <w:lang w:val="nl-BE"/>
        </w:rPr>
        <w:t>Termorshuizen F,</w:t>
      </w:r>
      <w:r>
        <w:rPr>
          <w:rFonts w:ascii="Book Antiqua" w:hAnsi="Book Antiqua" w:eastAsia="Book Antiqua" w:cs="Book Antiqua"/>
          <w:color w:val="000000"/>
          <w:lang w:val="nl-BE"/>
        </w:rPr>
        <w:t xml:space="preserve"> Dekker FW, van Manen JG, Korevaar JC, Boeschoten EW, Krediet RT. </w:t>
      </w:r>
      <w:r>
        <w:rPr>
          <w:rFonts w:ascii="Book Antiqua" w:hAnsi="Book Antiqua" w:eastAsia="Book Antiqua" w:cs="Book Antiqua"/>
          <w:color w:val="000000"/>
        </w:rPr>
        <w:t xml:space="preserve">Relative contribution of residual renal function and different measures of adequacy to survival in hemodialysis patients: an analysis of the Netherlands Cooperative Study on the Adequacy of Dialysis (NECOSAD)-2. </w:t>
      </w:r>
      <w:r>
        <w:rPr>
          <w:rFonts w:ascii="Book Antiqua" w:hAnsi="Book Antiqua" w:eastAsia="Book Antiqua" w:cs="Book Antiqua"/>
          <w:i/>
          <w:color w:val="000000"/>
        </w:rPr>
        <w:t>J Am Soc Nephrol</w:t>
      </w:r>
      <w:r>
        <w:rPr>
          <w:rFonts w:ascii="Book Antiqua" w:hAnsi="Book Antiqua" w:cs="Book Antiqua"/>
          <w:color w:val="000000"/>
          <w:lang w:eastAsia="zh-CN"/>
        </w:rPr>
        <w:t xml:space="preserve"> </w:t>
      </w:r>
      <w:r>
        <w:rPr>
          <w:rFonts w:ascii="Book Antiqua" w:hAnsi="Book Antiqua" w:eastAsia="Book Antiqua" w:cs="Book Antiqua"/>
          <w:color w:val="000000"/>
        </w:rPr>
        <w:t>2004;</w:t>
      </w:r>
      <w:r>
        <w:rPr>
          <w:rFonts w:ascii="Book Antiqua" w:hAnsi="Book Antiqua" w:cs="Book Antiqua"/>
          <w:color w:val="000000"/>
          <w:lang w:eastAsia="zh-CN"/>
        </w:rPr>
        <w:t xml:space="preserve"> </w:t>
      </w:r>
      <w:r>
        <w:rPr>
          <w:rFonts w:ascii="Book Antiqua" w:hAnsi="Book Antiqua" w:eastAsia="Book Antiqua" w:cs="Book Antiqua"/>
          <w:b/>
          <w:color w:val="000000"/>
        </w:rPr>
        <w:t>15</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1061-</w:t>
      </w:r>
      <w:r>
        <w:rPr>
          <w:rFonts w:ascii="Book Antiqua" w:hAnsi="Book Antiqua" w:cs="Book Antiqua"/>
          <w:color w:val="000000"/>
          <w:lang w:eastAsia="zh-CN"/>
        </w:rPr>
        <w:t>10</w:t>
      </w:r>
      <w:r>
        <w:rPr>
          <w:rFonts w:ascii="Book Antiqua" w:hAnsi="Book Antiqua" w:eastAsia="Book Antiqua" w:cs="Book Antiqua"/>
          <w:color w:val="000000"/>
        </w:rPr>
        <w:t>70</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10.1097/01.asn.0000117976.29592.93]</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Nunes P</w:t>
      </w:r>
      <w:r>
        <w:rPr>
          <w:rFonts w:ascii="Book Antiqua" w:hAnsi="Book Antiqua" w:eastAsia="Book Antiqua" w:cs="Book Antiqua"/>
          <w:color w:val="000000"/>
        </w:rPr>
        <w:t xml:space="preserve">, Mota A, Alves R, Figueiredo A, Parada B, Macário F, Rolo F. Simultaneous renal transplantation and native nephrectomy in patients with autosomal-dominant polycystic kidney disease.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2007; </w:t>
      </w:r>
      <w:r>
        <w:rPr>
          <w:rFonts w:ascii="Book Antiqua" w:hAnsi="Book Antiqua" w:eastAsia="Book Antiqua" w:cs="Book Antiqua"/>
          <w:b/>
          <w:bCs/>
          <w:color w:val="000000"/>
        </w:rPr>
        <w:t>39</w:t>
      </w:r>
      <w:r>
        <w:rPr>
          <w:rFonts w:ascii="Book Antiqua" w:hAnsi="Book Antiqua" w:eastAsia="Book Antiqua" w:cs="Book Antiqua"/>
          <w:color w:val="000000"/>
        </w:rPr>
        <w:t>: 2483-2485 [PMID: 17954154 DOI: 10.1016/j.transproceed.2007.07.035]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Kramer A</w:t>
      </w:r>
      <w:r>
        <w:rPr>
          <w:rFonts w:ascii="Book Antiqua" w:hAnsi="Book Antiqua" w:eastAsia="Book Antiqua" w:cs="Book Antiqua"/>
          <w:color w:val="000000"/>
        </w:rPr>
        <w:t xml:space="preserve">, Sausville J, Haririan A, Bartlett S, Cooper M, Phelan M. Simultaneous bilateral native nephrectomy and living donor renal transplantation are successful for polycystic kidney disease: the University of Maryland experience. </w:t>
      </w:r>
      <w:r>
        <w:rPr>
          <w:rFonts w:ascii="Book Antiqua" w:hAnsi="Book Antiqua" w:eastAsia="Book Antiqua" w:cs="Book Antiqua"/>
          <w:i/>
          <w:iCs/>
          <w:color w:val="000000"/>
        </w:rPr>
        <w:t>J Urol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181</w:t>
      </w:r>
      <w:r>
        <w:rPr>
          <w:rFonts w:ascii="Book Antiqua" w:hAnsi="Book Antiqua" w:eastAsia="Book Antiqua" w:cs="Book Antiqua"/>
          <w:color w:val="000000"/>
        </w:rPr>
        <w:t>: 724-728 [PMID: 19091353 DOI: 10.1016/j.juro.2008.10.008]</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Skauby MH</w:t>
      </w:r>
      <w:r>
        <w:rPr>
          <w:rFonts w:ascii="Book Antiqua" w:hAnsi="Book Antiqua" w:eastAsia="Book Antiqua" w:cs="Book Antiqua"/>
          <w:color w:val="000000"/>
        </w:rPr>
        <w:t xml:space="preserve">, Øyen O, Hartman A, Leivestad T, Wadström J. Kidney transplantation with and without simultaneous bilateral native nephrectomy in patients with polycystic kidney disease: a comparative retrospective study.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2012; </w:t>
      </w:r>
      <w:r>
        <w:rPr>
          <w:rFonts w:ascii="Book Antiqua" w:hAnsi="Book Antiqua" w:eastAsia="Book Antiqua" w:cs="Book Antiqua"/>
          <w:b/>
          <w:bCs/>
          <w:color w:val="000000"/>
        </w:rPr>
        <w:t>94</w:t>
      </w:r>
      <w:r>
        <w:rPr>
          <w:rFonts w:ascii="Book Antiqua" w:hAnsi="Book Antiqua" w:eastAsia="Book Antiqua" w:cs="Book Antiqua"/>
          <w:color w:val="000000"/>
        </w:rPr>
        <w:t>: 383-388 [PMID: 22828736 DOI: 10.1097/TP.0b013e31825812b9]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Neeff HP,</w:t>
      </w:r>
      <w:r>
        <w:rPr>
          <w:rFonts w:ascii="Book Antiqua" w:hAnsi="Book Antiqua" w:eastAsia="Book Antiqua" w:cs="Book Antiqua"/>
          <w:color w:val="000000"/>
        </w:rPr>
        <w:t xml:space="preserve"> Pisarski P, Tittelbach-Helmrich D, Karajanev K, Neumann HP, Hopt UT and Drognitz O. One hundred consecutive kidney transplantations with simultaneous ipsilateral nephrectomy in patients with autosomal dominant polycystic kidney disease. Nephrology, dialysis, transplantation: official publication of the European Dialysis and Transplant Association</w:t>
      </w:r>
      <w:r>
        <w:rPr>
          <w:rFonts w:ascii="Book Antiqua" w:hAnsi="Book Antiqua" w:cs="Book Antiqua"/>
          <w:color w:val="000000"/>
          <w:lang w:eastAsia="zh-CN"/>
        </w:rPr>
        <w:t xml:space="preserve">. </w:t>
      </w:r>
      <w:r>
        <w:rPr>
          <w:rFonts w:ascii="Book Antiqua" w:hAnsi="Book Antiqua" w:eastAsia="Book Antiqua" w:cs="Book Antiqua"/>
          <w:i/>
          <w:color w:val="000000"/>
        </w:rPr>
        <w:t>European Renal Association</w:t>
      </w:r>
      <w:r>
        <w:rPr>
          <w:rFonts w:ascii="Book Antiqua" w:hAnsi="Book Antiqua" w:cs="Book Antiqua"/>
          <w:color w:val="000000"/>
          <w:lang w:eastAsia="zh-CN"/>
        </w:rPr>
        <w:t xml:space="preserve"> </w:t>
      </w:r>
      <w:r>
        <w:rPr>
          <w:rFonts w:ascii="Book Antiqua" w:hAnsi="Book Antiqua" w:eastAsia="Book Antiqua" w:cs="Book Antiqua"/>
          <w:color w:val="000000"/>
        </w:rPr>
        <w:t>2013;</w:t>
      </w:r>
      <w:r>
        <w:rPr>
          <w:rFonts w:ascii="Book Antiqua" w:hAnsi="Book Antiqua" w:cs="Book Antiqua"/>
          <w:color w:val="000000"/>
          <w:lang w:eastAsia="zh-CN"/>
        </w:rPr>
        <w:t xml:space="preserve"> </w:t>
      </w:r>
      <w:r>
        <w:rPr>
          <w:rFonts w:ascii="Book Antiqua" w:hAnsi="Book Antiqua" w:eastAsia="Book Antiqua" w:cs="Book Antiqua"/>
          <w:b/>
          <w:color w:val="000000"/>
        </w:rPr>
        <w:t>28</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466-</w:t>
      </w:r>
      <w:r>
        <w:rPr>
          <w:rFonts w:ascii="Book Antiqua" w:hAnsi="Book Antiqua" w:cs="Book Antiqua"/>
          <w:color w:val="000000"/>
          <w:lang w:eastAsia="zh-CN"/>
        </w:rPr>
        <w:t>4</w:t>
      </w:r>
      <w:r>
        <w:rPr>
          <w:rFonts w:ascii="Book Antiqua" w:hAnsi="Book Antiqua" w:eastAsia="Book Antiqua" w:cs="Book Antiqua"/>
          <w:color w:val="000000"/>
        </w:rPr>
        <w:t>71 [DOI:</w:t>
      </w:r>
      <w:r>
        <w:rPr>
          <w:rFonts w:ascii="Book Antiqua" w:hAnsi="Book Antiqua" w:cs="Book Antiqua"/>
          <w:color w:val="000000"/>
          <w:lang w:eastAsia="zh-CN"/>
        </w:rPr>
        <w:t xml:space="preserve"> </w:t>
      </w:r>
      <w:r>
        <w:rPr>
          <w:rFonts w:ascii="Book Antiqua" w:hAnsi="Book Antiqua" w:eastAsia="Book Antiqua" w:cs="Book Antiqua"/>
          <w:color w:val="000000"/>
        </w:rPr>
        <w:t>10.1093/ndt/gfs118]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Ahmad SB</w:t>
      </w:r>
      <w:r>
        <w:rPr>
          <w:rFonts w:ascii="Book Antiqua" w:hAnsi="Book Antiqua" w:eastAsia="Book Antiqua" w:cs="Book Antiqua"/>
          <w:color w:val="000000"/>
        </w:rPr>
        <w:t xml:space="preserve">, Inouye B, Phelan MS, Kramer AC, Sulek J, Weir MR, Barth RN, LaMattina JC, Schweitzer EJ, Leeser DB, Niederhaus SV, Bartlett ST, Bromberg JS. Live Donor Renal Transplant With Simultaneous Bilateral Nephrectomy for Autosomal Dominant Polycystic Kidney Disease Is Feasible and Satisfactory at Long-term Follow-up.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407-415 [PMID: 26262506 DOI: 10.1097/TP.0000000000000838]</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Hajj P</w:t>
      </w:r>
      <w:r>
        <w:rPr>
          <w:rFonts w:ascii="Book Antiqua" w:hAnsi="Book Antiqua" w:eastAsia="Book Antiqua" w:cs="Book Antiqua"/>
          <w:color w:val="000000"/>
        </w:rPr>
        <w:t xml:space="preserve">, Ferlicot S, Massoud W, Awad A, Hammoudi Y, Charpentier B, Durrbach A, Droupy S, Benoît G. Prevalence of renal cell carcinoma in patients with autosomal dominant polycystic kidney disease and chronic renal failure. </w:t>
      </w:r>
      <w:r>
        <w:rPr>
          <w:rFonts w:ascii="Book Antiqua" w:hAnsi="Book Antiqua" w:eastAsia="Book Antiqua" w:cs="Book Antiqua"/>
          <w:i/>
          <w:iCs/>
          <w:color w:val="000000"/>
        </w:rPr>
        <w:t>Urology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74</w:t>
      </w:r>
      <w:r>
        <w:rPr>
          <w:rFonts w:ascii="Book Antiqua" w:hAnsi="Book Antiqua" w:eastAsia="Book Antiqua" w:cs="Book Antiqua"/>
          <w:color w:val="000000"/>
        </w:rPr>
        <w:t>: 631-634 [PMID: 19616833 DOI: 10.1016/j.urology.2009.02.078]</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Jilg CA</w:t>
      </w:r>
      <w:r>
        <w:rPr>
          <w:rFonts w:ascii="Book Antiqua" w:hAnsi="Book Antiqua" w:eastAsia="Book Antiqua" w:cs="Book Antiqua"/>
          <w:color w:val="000000"/>
        </w:rPr>
        <w:t xml:space="preserve">, Drendel V, Bacher J, Pisarski P, Neeff H, Drognitz O, Schwardt M, Gläsker S, Malinoc A, Erlic Z, Nunez M, Weber A, Azurmendi P, Schultze-Seemann W, Werner M, Neumann HP. Autosomal dominant polycystic kidney disease: prevalence of renal neoplasias in surgical kidney specimens. </w:t>
      </w:r>
      <w:r>
        <w:rPr>
          <w:rFonts w:ascii="Book Antiqua" w:hAnsi="Book Antiqua" w:eastAsia="Book Antiqua" w:cs="Book Antiqua"/>
          <w:i/>
          <w:iCs/>
          <w:color w:val="000000"/>
        </w:rPr>
        <w:t>Nephron Clin Pract</w:t>
      </w:r>
      <w:r>
        <w:rPr>
          <w:rFonts w:ascii="Book Antiqua" w:hAnsi="Book Antiqua" w:eastAsia="Book Antiqua" w:cs="Book Antiqua"/>
          <w:color w:val="000000"/>
        </w:rPr>
        <w:t xml:space="preserve"> 2013; </w:t>
      </w:r>
      <w:r>
        <w:rPr>
          <w:rFonts w:ascii="Book Antiqua" w:hAnsi="Book Antiqua" w:eastAsia="Book Antiqua" w:cs="Book Antiqua"/>
          <w:b/>
          <w:bCs/>
          <w:color w:val="000000"/>
        </w:rPr>
        <w:t>123</w:t>
      </w:r>
      <w:r>
        <w:rPr>
          <w:rFonts w:ascii="Book Antiqua" w:hAnsi="Book Antiqua" w:eastAsia="Book Antiqua" w:cs="Book Antiqua"/>
          <w:color w:val="000000"/>
        </w:rPr>
        <w:t>: 13-21 [PMID: 23752029 DOI: 10.1159/000351049]</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Ishikawa I,</w:t>
      </w:r>
      <w:r>
        <w:rPr>
          <w:rFonts w:ascii="Book Antiqua" w:hAnsi="Book Antiqua" w:eastAsia="Book Antiqua" w:cs="Book Antiqua"/>
          <w:color w:val="000000"/>
        </w:rPr>
        <w:t xml:space="preserve"> Hayama S, Morita K, Nakazawa T, Yokoyama H, Honda R</w:t>
      </w:r>
      <w:r>
        <w:rPr>
          <w:rFonts w:ascii="Book Antiqua" w:hAnsi="Book Antiqua" w:cs="Book Antiqua"/>
          <w:color w:val="000000"/>
          <w:lang w:eastAsia="zh-CN"/>
        </w:rPr>
        <w:t>.</w:t>
      </w:r>
      <w:r>
        <w:rPr>
          <w:rFonts w:ascii="Book Antiqua" w:hAnsi="Book Antiqua" w:eastAsia="Book Antiqua" w:cs="Book Antiqua"/>
          <w:color w:val="000000"/>
        </w:rPr>
        <w:t xml:space="preserve"> Long-term natural history of acquired cystic disease of the kidney. </w:t>
      </w:r>
      <w:r>
        <w:rPr>
          <w:rFonts w:ascii="Book Antiqua" w:hAnsi="Book Antiqua" w:eastAsia="Book Antiqua" w:cs="Book Antiqua"/>
          <w:i/>
          <w:color w:val="000000"/>
        </w:rPr>
        <w:t>Ther Apher Dial</w:t>
      </w:r>
      <w:r>
        <w:rPr>
          <w:rFonts w:ascii="Book Antiqua" w:hAnsi="Book Antiqua" w:cs="Book Antiqua"/>
          <w:color w:val="000000"/>
          <w:lang w:eastAsia="zh-CN"/>
        </w:rPr>
        <w:t xml:space="preserve"> </w:t>
      </w:r>
      <w:r>
        <w:rPr>
          <w:rFonts w:ascii="Book Antiqua" w:hAnsi="Book Antiqua" w:eastAsia="Book Antiqua" w:cs="Book Antiqua"/>
          <w:color w:val="000000"/>
        </w:rPr>
        <w:t>2010;</w:t>
      </w:r>
      <w:r>
        <w:rPr>
          <w:rFonts w:ascii="Book Antiqua" w:hAnsi="Book Antiqua" w:cs="Book Antiqua"/>
          <w:color w:val="000000"/>
          <w:lang w:eastAsia="zh-CN"/>
        </w:rPr>
        <w:t xml:space="preserve"> </w:t>
      </w:r>
      <w:r>
        <w:rPr>
          <w:rFonts w:ascii="Book Antiqua" w:hAnsi="Book Antiqua" w:eastAsia="Book Antiqua" w:cs="Book Antiqua"/>
          <w:b/>
          <w:color w:val="000000"/>
        </w:rPr>
        <w:t>14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409-</w:t>
      </w:r>
      <w:r>
        <w:rPr>
          <w:rFonts w:ascii="Book Antiqua" w:hAnsi="Book Antiqua" w:cs="Book Antiqua"/>
          <w:color w:val="000000"/>
          <w:lang w:eastAsia="zh-CN"/>
        </w:rPr>
        <w:t>4</w:t>
      </w:r>
      <w:r>
        <w:rPr>
          <w:rFonts w:ascii="Book Antiqua" w:hAnsi="Book Antiqua" w:eastAsia="Book Antiqua" w:cs="Book Antiqua"/>
          <w:color w:val="000000"/>
        </w:rPr>
        <w:t>16 [PMID: 20649762 DOI:</w:t>
      </w:r>
      <w:r>
        <w:rPr>
          <w:rFonts w:ascii="Book Antiqua" w:hAnsi="Book Antiqua" w:cs="Book Antiqua"/>
          <w:color w:val="000000"/>
          <w:lang w:eastAsia="zh-CN"/>
        </w:rPr>
        <w:t xml:space="preserve"> </w:t>
      </w:r>
      <w:r>
        <w:rPr>
          <w:rFonts w:ascii="Book Antiqua" w:hAnsi="Book Antiqua" w:eastAsia="Book Antiqua" w:cs="Book Antiqua"/>
          <w:color w:val="000000"/>
        </w:rPr>
        <w:t>10.1111/j.1744-9987.2010.00819.x]</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Wetmore JB</w:t>
      </w:r>
      <w:r>
        <w:rPr>
          <w:rFonts w:ascii="Book Antiqua" w:hAnsi="Book Antiqua" w:eastAsia="Book Antiqua" w:cs="Book Antiqua"/>
          <w:color w:val="000000"/>
        </w:rPr>
        <w:t xml:space="preserve">, Calvet JP, Yu AS, Lynch CF, Wang CJ, Kasiske BL, Engels EA. Polycystic kidney disease and cancer after renal transplantation.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2335-2341 [PMID: 24854270 DOI: 10.1681/ASN.2013101122]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Ward CJ</w:t>
      </w:r>
      <w:r>
        <w:rPr>
          <w:rFonts w:ascii="Book Antiqua" w:hAnsi="Book Antiqua" w:eastAsia="Book Antiqua" w:cs="Book Antiqua"/>
          <w:color w:val="000000"/>
        </w:rPr>
        <w:t xml:space="preserve">, Wu Y, Johnson RA, Woollard JR, Bergstralh EJ, Cicek MS, Bakeberg J, Rossetti S, Heyer CM, Petersen GM, Lindor NM, Thibodeau SN, Harris PC, Torres VE, Hogan MC, Boardman LA. Germline PKHD1 mutations are protective against colorectal cancer. </w:t>
      </w:r>
      <w:r>
        <w:rPr>
          <w:rFonts w:ascii="Book Antiqua" w:hAnsi="Book Antiqua" w:eastAsia="Book Antiqua" w:cs="Book Antiqua"/>
          <w:i/>
          <w:iCs/>
          <w:color w:val="000000"/>
        </w:rPr>
        <w:t>Hum Genet</w:t>
      </w:r>
      <w:r>
        <w:rPr>
          <w:rFonts w:ascii="Book Antiqua" w:hAnsi="Book Antiqua" w:eastAsia="Book Antiqua" w:cs="Book Antiqua"/>
          <w:color w:val="000000"/>
        </w:rPr>
        <w:t xml:space="preserve"> 2011; </w:t>
      </w:r>
      <w:r>
        <w:rPr>
          <w:rFonts w:ascii="Book Antiqua" w:hAnsi="Book Antiqua" w:eastAsia="Book Antiqua" w:cs="Book Antiqua"/>
          <w:b/>
          <w:bCs/>
          <w:color w:val="000000"/>
        </w:rPr>
        <w:t>129</w:t>
      </w:r>
      <w:r>
        <w:rPr>
          <w:rFonts w:ascii="Book Antiqua" w:hAnsi="Book Antiqua" w:eastAsia="Book Antiqua" w:cs="Book Antiqua"/>
          <w:color w:val="000000"/>
        </w:rPr>
        <w:t>: 345-349 [PMID: 21274727 DOI: 10.1007/s00439-011-0950-8]</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Institutional Board of our University Hospital on the 6th of July 2020.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provided informed written consent regarding personal and medical data collection prior to study enrolment.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All the authors have no conflict of interest related to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The original anonymous dataset is available on request from the corresponding author at tom.darius@uclouvain.be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manuscript was prepared according to the STROBE statement - 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Belgian Transplant Society</w:t>
      </w:r>
      <w:r>
        <w:rPr>
          <w:rFonts w:hint="eastAsia" w:ascii="Book Antiqua" w:hAnsi="Book Antiqua" w:cs="Book Antiqua"/>
          <w:color w:val="000000"/>
          <w:lang w:eastAsia="zh-CN"/>
        </w:rPr>
        <w:t>;</w:t>
      </w:r>
      <w:r>
        <w:rPr>
          <w:rFonts w:ascii="Book Antiqua" w:hAnsi="Book Antiqua" w:eastAsia="Book Antiqua" w:cs="Book Antiqua"/>
          <w:color w:val="000000"/>
        </w:rPr>
        <w:t xml:space="preserve"> European Society for Organ Transplantation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Transplantation Society</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29, 2021</w:t>
      </w:r>
    </w:p>
    <w:p>
      <w:pPr>
        <w:spacing w:line="360" w:lineRule="auto"/>
        <w:jc w:val="both"/>
        <w:rPr>
          <w:rFonts w:ascii="Book Antiqua" w:hAnsi="Book Antiqua"/>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9,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Belgium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val="0"/>
          <w:bCs/>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Jesus-Silva SG</w:t>
      </w:r>
      <w:r>
        <w:rPr>
          <w:rFonts w:hint="eastAsia" w:ascii="Book Antiqua" w:hAnsi="Book Antiqua" w:cs="Book Antiqua"/>
          <w:color w:val="000000"/>
          <w:lang w:eastAsia="zh-CN"/>
        </w:rPr>
        <w:t xml:space="preserve">, </w:t>
      </w:r>
      <w:r>
        <w:rPr>
          <w:rFonts w:ascii="Book Antiqua" w:hAnsi="Book Antiqua" w:cs="Book Antiqua"/>
          <w:color w:val="000000"/>
          <w:lang w:eastAsia="zh-CN"/>
        </w:rPr>
        <w:t>Brazil</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w:t>
      </w:r>
      <w:r>
        <w:rPr>
          <w:rFonts w:ascii="Book Antiqua" w:hAnsi="Book Antiqua" w:cs="Book Antiqua"/>
          <w:color w:val="000000"/>
          <w:lang w:eastAsia="zh-CN"/>
        </w:rPr>
        <w:t>L</w:t>
      </w:r>
      <w:r>
        <w:rPr>
          <w:rFonts w:ascii="Book Antiqua" w:hAnsi="Book Antiqua" w:eastAsia="Book Antiqua" w:cs="Book Antiqua"/>
          <w:color w:val="000000"/>
        </w:rPr>
        <w:t>L</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Cai YX</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394960" cy="3234055"/>
            <wp:effectExtent l="0" t="0" r="0" b="12065"/>
            <wp:docPr id="1" name="图片 1" descr="WJT-12-5-10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T-12-5-100-g001"/>
                    <pic:cNvPicPr>
                      <a:picLocks noChangeAspect="1"/>
                    </pic:cNvPicPr>
                  </pic:nvPicPr>
                  <pic:blipFill>
                    <a:blip r:embed="rId5"/>
                    <a:stretch>
                      <a:fillRect/>
                    </a:stretch>
                  </pic:blipFill>
                  <pic:spPr>
                    <a:xfrm>
                      <a:off x="0" y="0"/>
                      <a:ext cx="5394960" cy="323405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ascii="Book Antiqua" w:hAnsi="Book Antiqua" w:cs="Book Antiqua"/>
          <w:b/>
          <w:color w:val="000000"/>
          <w:lang w:eastAsia="zh-CN"/>
        </w:rPr>
        <w:t xml:space="preserve"> </w:t>
      </w:r>
      <w:r>
        <w:rPr>
          <w:rFonts w:ascii="Book Antiqua" w:hAnsi="Book Antiqua" w:eastAsia="Book Antiqua" w:cs="Book Antiqua"/>
          <w:b/>
          <w:color w:val="000000"/>
        </w:rPr>
        <w:t>Selection flowchart of this retrospective study.</w:t>
      </w:r>
      <w:r>
        <w:rPr>
          <w:rFonts w:ascii="Book Antiqua" w:hAnsi="Book Antiqua" w:eastAsia="Book Antiqua" w:cs="Book Antiqua"/>
          <w:color w:val="000000"/>
        </w:rPr>
        <w:t xml:space="preserve"> ADPKD: </w:t>
      </w:r>
      <w:r>
        <w:rPr>
          <w:rFonts w:hint="eastAsia" w:ascii="Book Antiqua" w:hAnsi="Book Antiqua" w:cs="Book Antiqua"/>
          <w:color w:val="000000"/>
          <w:lang w:eastAsia="zh-CN"/>
        </w:rPr>
        <w:t>A</w:t>
      </w:r>
      <w:r>
        <w:rPr>
          <w:rFonts w:ascii="Book Antiqua" w:hAnsi="Book Antiqua" w:eastAsia="Book Antiqua" w:cs="Book Antiqua"/>
          <w:color w:val="000000"/>
        </w:rPr>
        <w:t xml:space="preserve">utosomal dominant polycystic kidney disease; KT: </w:t>
      </w:r>
      <w:r>
        <w:rPr>
          <w:rFonts w:hint="eastAsia" w:ascii="Book Antiqua" w:hAnsi="Book Antiqua" w:cs="Book Antiqua"/>
          <w:color w:val="000000"/>
          <w:lang w:eastAsia="zh-CN"/>
        </w:rPr>
        <w:t>K</w:t>
      </w:r>
      <w:r>
        <w:rPr>
          <w:rFonts w:ascii="Book Antiqua" w:hAnsi="Book Antiqua" w:eastAsia="Book Antiqua" w:cs="Book Antiqua"/>
          <w:color w:val="000000"/>
        </w:rPr>
        <w:t>idney transplantation.</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4373880" cy="6805930"/>
            <wp:effectExtent l="0" t="0" r="0" b="6350"/>
            <wp:docPr id="2" name="图片 2" descr="WJT-12-5-10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T-12-5-100-g002"/>
                    <pic:cNvPicPr>
                      <a:picLocks noChangeAspect="1"/>
                    </pic:cNvPicPr>
                  </pic:nvPicPr>
                  <pic:blipFill>
                    <a:blip r:embed="rId6"/>
                    <a:stretch>
                      <a:fillRect/>
                    </a:stretch>
                  </pic:blipFill>
                  <pic:spPr>
                    <a:xfrm>
                      <a:off x="0" y="0"/>
                      <a:ext cx="4373880" cy="680593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The graft and patient survival of 154 isolated kidney transplant recipients suffering from autosomal dominant polycystic kidney disease with or without associated ipsilateral nephrectomy during transplantation performed in a single center transplant program from January 2007 until January 2019.</w:t>
      </w:r>
      <w:r>
        <w:rPr>
          <w:rFonts w:hint="eastAsia" w:ascii="Book Antiqua" w:hAnsi="Book Antiqua" w:cs="Book Antiqua"/>
          <w:b/>
          <w:color w:val="000000"/>
          <w:lang w:eastAsia="zh-CN"/>
        </w:rPr>
        <w:t xml:space="preserve"> </w:t>
      </w:r>
      <w:r>
        <w:rPr>
          <w:rFonts w:ascii="Book Antiqua" w:hAnsi="Book Antiqua" w:eastAsia="Book Antiqua" w:cs="Book Antiqua"/>
          <w:color w:val="000000"/>
        </w:rPr>
        <w:t>KT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K</w:t>
      </w:r>
      <w:r>
        <w:rPr>
          <w:rFonts w:ascii="Book Antiqua" w:hAnsi="Book Antiqua" w:eastAsia="Book Antiqua" w:cs="Book Antiqua"/>
          <w:color w:val="000000"/>
        </w:rPr>
        <w:t>idney transplantation.</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5938520" cy="3705225"/>
            <wp:effectExtent l="0" t="0" r="5080" b="13335"/>
            <wp:docPr id="3" name="图片 3" descr="WJT-12-5-10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T-12-5-100-g003"/>
                    <pic:cNvPicPr>
                      <a:picLocks noChangeAspect="1"/>
                    </pic:cNvPicPr>
                  </pic:nvPicPr>
                  <pic:blipFill>
                    <a:blip r:embed="rId7"/>
                    <a:stretch>
                      <a:fillRect/>
                    </a:stretch>
                  </pic:blipFill>
                  <pic:spPr>
                    <a:xfrm>
                      <a:off x="0" y="0"/>
                      <a:ext cx="5938520" cy="3705225"/>
                    </a:xfrm>
                    <a:prstGeom prst="rect">
                      <a:avLst/>
                    </a:prstGeom>
                  </pic:spPr>
                </pic:pic>
              </a:graphicData>
            </a:graphic>
          </wp:inline>
        </w:drawing>
      </w:r>
      <w:bookmarkStart w:id="0" w:name="_GoBack"/>
      <w:bookmarkEnd w:id="0"/>
    </w:p>
    <w:p>
      <w:pPr>
        <w:spacing w:line="360" w:lineRule="auto"/>
        <w:jc w:val="both"/>
        <w:rPr>
          <w:rFonts w:ascii="Book Antiqua" w:hAnsi="Book Antiqua"/>
        </w:rPr>
      </w:pPr>
      <w:r>
        <w:rPr>
          <w:rFonts w:ascii="Book Antiqua" w:hAnsi="Book Antiqua" w:eastAsia="Book Antiqua" w:cs="Book Antiqua"/>
          <w:b/>
          <w:color w:val="000000"/>
        </w:rPr>
        <w:t>Figure 3</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Clinical algorithm to decide the optimal timing of a native nephrectomy in patients with autosomal dominant polycystic kidney disease, candidate for isolated kidney transplantation. </w:t>
      </w:r>
      <w:r>
        <w:rPr>
          <w:rFonts w:ascii="Book Antiqua" w:hAnsi="Book Antiqua" w:eastAsia="Book Antiqua" w:cs="Book Antiqua"/>
          <w:color w:val="000000"/>
        </w:rPr>
        <w:t>ADPKD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utosomal dominant polycystic kidney disease; NMR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uclear magnetic resonance; KT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K</w:t>
      </w:r>
      <w:r>
        <w:rPr>
          <w:rFonts w:ascii="Book Antiqua" w:hAnsi="Book Antiqua" w:eastAsia="Book Antiqua" w:cs="Book Antiqua"/>
          <w:color w:val="000000"/>
        </w:rPr>
        <w:t>idney transplantation.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bCs/>
          <w:color w:val="000000"/>
          <w:lang w:eastAsia="zh-CN"/>
        </w:rPr>
        <w:br w:type="page"/>
      </w:r>
      <w:r>
        <w:rPr>
          <w:rFonts w:ascii="Book Antiqua" w:hAnsi="Book Antiqua" w:eastAsia="Book Antiqua" w:cs="Book Antiqua"/>
          <w:b/>
          <w:color w:val="000000"/>
        </w:rPr>
        <w:t>Table 1</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Donor and recipient characteristics of 154 kidney transplant recipients suffering from </w:t>
      </w:r>
      <w:r>
        <w:rPr>
          <w:rFonts w:hint="eastAsia" w:ascii="Book Antiqua" w:hAnsi="Book Antiqua" w:cs="Book Antiqua"/>
          <w:b/>
          <w:color w:val="000000"/>
          <w:lang w:eastAsia="zh-CN"/>
        </w:rPr>
        <w:t>a</w:t>
      </w:r>
      <w:r>
        <w:rPr>
          <w:rFonts w:ascii="Book Antiqua" w:hAnsi="Book Antiqua" w:eastAsia="Book Antiqua" w:cs="Book Antiqua"/>
          <w:b/>
          <w:color w:val="000000"/>
        </w:rPr>
        <w:t>utosomal dominant polycystic kidney with or without associated ipsilateral nephrectomy during isolated kidney transplantation in a single center transplant program from January 2007 until January 2019</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3"/>
        <w:gridCol w:w="1834"/>
        <w:gridCol w:w="3030"/>
        <w:gridCol w:w="8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alone group (</w:t>
            </w:r>
            <w:r>
              <w:rPr>
                <w:rFonts w:ascii="Book Antiqua" w:hAnsi="Book Antiqua" w:eastAsia="MS Mincho" w:cs="Arial"/>
                <w:b/>
                <w:i/>
              </w:rPr>
              <w:t xml:space="preserve">n = </w:t>
            </w:r>
            <w:r>
              <w:rPr>
                <w:rFonts w:ascii="Book Antiqua" w:hAnsi="Book Antiqua" w:eastAsia="MS Mincho" w:cs="Arial"/>
                <w:b/>
              </w:rPr>
              <w:t>77)</w:t>
            </w: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with associated ipsilateral nephrectomy (</w:t>
            </w:r>
            <w:r>
              <w:rPr>
                <w:rFonts w:ascii="Book Antiqua" w:hAnsi="Book Antiqua" w:eastAsia="MS Mincho" w:cs="Arial"/>
                <w:b/>
                <w:i/>
              </w:rPr>
              <w:t xml:space="preserve">n = </w:t>
            </w:r>
            <w:r>
              <w:rPr>
                <w:rFonts w:ascii="Book Antiqua" w:hAnsi="Book Antiqua" w:eastAsia="MS Mincho" w:cs="Arial"/>
                <w:b/>
              </w:rPr>
              <w:t>77)</w:t>
            </w: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i/>
                <w:lang w:val="nl-NL"/>
              </w:rPr>
              <w:t>P</w:t>
            </w:r>
            <w:r>
              <w:rPr>
                <w:rFonts w:ascii="Book Antiqua" w:hAnsi="Book Antiqua" w:cs="Arial"/>
                <w:b/>
                <w:i/>
                <w:lang w:val="nl-NL" w:eastAsia="zh-CN"/>
              </w:rPr>
              <w:t xml:space="preserve"> </w:t>
            </w:r>
            <w:r>
              <w:rPr>
                <w:rFonts w:ascii="Book Antiqua" w:hAnsi="Book Antiqua" w:eastAsia="MS Mincho" w:cs="Arial"/>
                <w:b/>
                <w:lang w:val="nl-N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gridSpan w:val="4"/>
            <w:tcBorders>
              <w:top w:val="single" w:color="auto" w:sz="4" w:space="0"/>
            </w:tcBorders>
          </w:tcPr>
          <w:p>
            <w:pPr>
              <w:spacing w:line="360" w:lineRule="auto"/>
              <w:jc w:val="both"/>
              <w:rPr>
                <w:rFonts w:ascii="Book Antiqua" w:hAnsi="Book Antiqua" w:eastAsia="MS Mincho" w:cs="Arial"/>
                <w:lang w:val="nl-NL"/>
              </w:rPr>
            </w:pPr>
            <w:r>
              <w:rPr>
                <w:rFonts w:ascii="Book Antiqua" w:hAnsi="Book Antiqua" w:eastAsia="MS Mincho" w:cs="Arial"/>
              </w:rPr>
              <w:t>Donor characteristics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Age, yr</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46.23</w:t>
            </w:r>
            <w:r>
              <w:rPr>
                <w:rFonts w:ascii="Book Antiqua" w:hAnsi="Book Antiqua" w:eastAsia="MS Mincho" w:cs="Arial"/>
                <w:lang w:val="nl-NL"/>
              </w:rPr>
              <w:t xml:space="preserve"> ± 14.94</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47.40</w:t>
            </w:r>
            <w:r>
              <w:rPr>
                <w:rFonts w:ascii="Book Antiqua" w:hAnsi="Book Antiqua" w:eastAsia="MS Mincho" w:cs="Arial"/>
                <w:lang w:val="nl-NL"/>
              </w:rPr>
              <w:t xml:space="preserve"> ± 14.86</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Gender, male/female,</w:t>
            </w:r>
            <w:r>
              <w:rPr>
                <w:rFonts w:ascii="Book Antiqua" w:hAnsi="Book Antiqua" w:eastAsia="MS Mincho" w:cs="Arial"/>
                <w:i/>
                <w:lang w:val="nl-NL"/>
              </w:rPr>
              <w:t xml:space="preserve"> n </w:t>
            </w:r>
            <w:r>
              <w:rPr>
                <w:rFonts w:ascii="Book Antiqua" w:hAnsi="Book Antiqua" w:eastAsia="MS Mincho" w:cs="Arial"/>
                <w:lang w:val="nl-N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42/35 (54.5/45.5)</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37/40 (48.1/51.9)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CMV status, negative/positive,</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32/43 (55.2/47.8)</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26/47 (35.6/64.4)</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Type of donor, living/deceased donor,</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6/71 (7.8/92.2)</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21/56 (27.3/72.7)</w:t>
            </w:r>
          </w:p>
        </w:tc>
        <w:tc>
          <w:tcPr>
            <w:tcW w:w="0" w:type="auto"/>
          </w:tcPr>
          <w:p>
            <w:pPr>
              <w:spacing w:line="360" w:lineRule="auto"/>
              <w:jc w:val="both"/>
              <w:rPr>
                <w:rFonts w:ascii="Book Antiqua" w:hAnsi="Book Antiqua" w:eastAsia="MS Mincho" w:cs="Arial"/>
                <w:vertAlign w:val="superscript"/>
              </w:rPr>
            </w:pPr>
            <w:r>
              <w:rPr>
                <w:rFonts w:ascii="Book Antiqua" w:hAnsi="Book Antiqua" w:eastAsia="MS Mincho" w:cs="Arial"/>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Type of deceased donor, DBD/DCD,</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54/17 (76.1/23.9)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38/18 (67.9/32.1)</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gridSpan w:val="4"/>
          </w:tcPr>
          <w:p>
            <w:pPr>
              <w:spacing w:line="360" w:lineRule="auto"/>
              <w:jc w:val="both"/>
              <w:rPr>
                <w:rFonts w:ascii="Book Antiqua" w:hAnsi="Book Antiqua" w:eastAsia="MS Mincho" w:cs="Arial"/>
              </w:rPr>
            </w:pPr>
            <w:r>
              <w:rPr>
                <w:rFonts w:ascii="Book Antiqua" w:hAnsi="Book Antiqua" w:eastAsia="MS Mincho" w:cs="Arial"/>
              </w:rPr>
              <w:t>Recipient characteristics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cs="Arial"/>
                <w:lang w:eastAsia="zh-CN"/>
              </w:rPr>
            </w:pPr>
            <w:r>
              <w:rPr>
                <w:rFonts w:ascii="Book Antiqua" w:hAnsi="Book Antiqua" w:eastAsia="MS Mincho" w:cs="Arial"/>
                <w:lang w:val="nl-NL"/>
              </w:rPr>
              <w:t>Age, y</w:t>
            </w:r>
            <w:r>
              <w:rPr>
                <w:rFonts w:hint="eastAsia" w:ascii="Book Antiqua" w:hAnsi="Book Antiqua" w:cs="Arial"/>
                <w:lang w:val="nl-NL" w:eastAsia="zh-CN"/>
              </w:rPr>
              <w:t>r</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57.40</w:t>
            </w:r>
            <w:r>
              <w:rPr>
                <w:rFonts w:ascii="Book Antiqua" w:hAnsi="Book Antiqua" w:eastAsia="MS Mincho" w:cs="Arial"/>
                <w:lang w:val="nl-NL"/>
              </w:rPr>
              <w:t xml:space="preserve"> ± 9.89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53.40</w:t>
            </w:r>
            <w:r>
              <w:rPr>
                <w:rFonts w:ascii="Book Antiqua" w:hAnsi="Book Antiqua" w:eastAsia="MS Mincho" w:cs="Arial"/>
                <w:lang w:val="nl-NL"/>
              </w:rPr>
              <w:t xml:space="preserve"> ± 9.12</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Gender, male/female,</w:t>
            </w:r>
            <w:r>
              <w:rPr>
                <w:rFonts w:ascii="Book Antiqua" w:hAnsi="Book Antiqua" w:eastAsia="MS Mincho" w:cs="Arial"/>
                <w:i/>
                <w:lang w:val="nl-NL"/>
              </w:rPr>
              <w:t xml:space="preserve"> n </w:t>
            </w:r>
            <w:r>
              <w:rPr>
                <w:rFonts w:ascii="Book Antiqua" w:hAnsi="Book Antiqua" w:eastAsia="MS Mincho" w:cs="Arial"/>
                <w:lang w:val="nl-N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48/29 (62.3/37.7)</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47/30 (61.0/38.9)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Body mass index, kg/m²</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25.69</w:t>
            </w:r>
            <w:r>
              <w:rPr>
                <w:rFonts w:ascii="Book Antiqua" w:hAnsi="Book Antiqua" w:eastAsia="MS Mincho" w:cs="Arial"/>
                <w:lang w:val="nl-NL"/>
              </w:rPr>
              <w:t xml:space="preserve"> ± 4.00</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25.33</w:t>
            </w:r>
            <w:r>
              <w:rPr>
                <w:rFonts w:ascii="Book Antiqua" w:hAnsi="Book Antiqua" w:eastAsia="MS Mincho" w:cs="Arial"/>
                <w:lang w:val="nl-NL"/>
              </w:rPr>
              <w:t xml:space="preserve"> ± 3.76</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Blood group,</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A</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33 (42.9)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42 (54.5)</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B</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 (6.5)</w:t>
            </w:r>
          </w:p>
        </w:tc>
        <w:tc>
          <w:tcPr>
            <w:tcW w:w="0" w:type="auto"/>
          </w:tcPr>
          <w:p>
            <w:pPr>
              <w:spacing w:line="360" w:lineRule="auto"/>
              <w:jc w:val="both"/>
              <w:rPr>
                <w:rFonts w:ascii="Book Antiqua" w:hAnsi="Book Antiqua" w:eastAsia="MS Mincho" w:cs="Arial"/>
              </w:rPr>
            </w:pPr>
            <w:r>
              <w:rPr>
                <w:rFonts w:ascii="Book Antiqua" w:hAnsi="Book Antiqua" w:eastAsia="MS Mincho" w:cs="Arial"/>
              </w:rPr>
              <w:t>4 (5.2)</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AB</w:t>
            </w:r>
          </w:p>
        </w:tc>
        <w:tc>
          <w:tcPr>
            <w:tcW w:w="0" w:type="auto"/>
          </w:tcPr>
          <w:p>
            <w:pPr>
              <w:spacing w:line="360" w:lineRule="auto"/>
              <w:jc w:val="both"/>
              <w:rPr>
                <w:rFonts w:ascii="Book Antiqua" w:hAnsi="Book Antiqua" w:eastAsia="MS Mincho" w:cs="Arial"/>
              </w:rPr>
            </w:pPr>
            <w:r>
              <w:rPr>
                <w:rFonts w:ascii="Book Antiqua" w:hAnsi="Book Antiqua" w:eastAsia="MS Mincho" w:cs="Arial"/>
              </w:rPr>
              <w:t>0 (0)</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 (3.9)</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O</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39 (50.6)</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28 (36.4)</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Pretransplant dialysis versus preemptive kidney transplant,</w:t>
            </w:r>
            <w:r>
              <w:rPr>
                <w:rFonts w:ascii="Book Antiqua" w:hAnsi="Book Antiqua" w:eastAsia="MS Mincho" w:cs="Arial"/>
                <w:i/>
                <w:lang w:val="nl-NL"/>
              </w:rPr>
              <w:t xml:space="preserve"> n </w:t>
            </w:r>
            <w:r>
              <w:rPr>
                <w:rFonts w:ascii="Book Antiqua" w:hAnsi="Book Antiqua" w:eastAsia="MS Mincho" w:cs="Arial"/>
                <w:lang w:val="nl-N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65/12 (84.4/15.6)</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55/22 (71.4/28.6)</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Residual urine diuresis before transplant, mL</w:t>
            </w:r>
          </w:p>
        </w:tc>
        <w:tc>
          <w:tcPr>
            <w:tcW w:w="0" w:type="auto"/>
          </w:tcPr>
          <w:p>
            <w:pPr>
              <w:spacing w:line="360" w:lineRule="auto"/>
              <w:jc w:val="both"/>
              <w:rPr>
                <w:rFonts w:ascii="Book Antiqua" w:hAnsi="Book Antiqua" w:eastAsia="MS Mincho" w:cs="Arial"/>
              </w:rPr>
            </w:pPr>
            <w:r>
              <w:rPr>
                <w:rFonts w:ascii="Book Antiqua" w:hAnsi="Book Antiqua" w:eastAsia="MS Mincho" w:cs="Arial"/>
              </w:rPr>
              <w:t>1057.75</w:t>
            </w:r>
            <w:r>
              <w:rPr>
                <w:rFonts w:ascii="Book Antiqua" w:hAnsi="Book Antiqua" w:eastAsia="MS Mincho" w:cs="Arial"/>
                <w:lang w:val="nl-NL"/>
              </w:rPr>
              <w:t xml:space="preserve"> ± 852.84</w:t>
            </w:r>
          </w:p>
        </w:tc>
        <w:tc>
          <w:tcPr>
            <w:tcW w:w="0" w:type="auto"/>
          </w:tcPr>
          <w:p>
            <w:pPr>
              <w:spacing w:line="360" w:lineRule="auto"/>
              <w:jc w:val="both"/>
              <w:rPr>
                <w:rFonts w:ascii="Book Antiqua" w:hAnsi="Book Antiqua" w:eastAsia="MS Mincho" w:cs="Arial"/>
              </w:rPr>
            </w:pPr>
            <w:r>
              <w:rPr>
                <w:rFonts w:ascii="Book Antiqua" w:hAnsi="Book Antiqua" w:eastAsia="MS Mincho" w:cs="Arial"/>
              </w:rPr>
              <w:t>1188.42</w:t>
            </w:r>
            <w:r>
              <w:rPr>
                <w:rFonts w:ascii="Book Antiqua" w:hAnsi="Book Antiqua" w:eastAsia="MS Mincho" w:cs="Arial"/>
                <w:lang w:val="nl-NL"/>
              </w:rPr>
              <w:t xml:space="preserve"> ± 818.65</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Rank of transplant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First transplant,</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73 (94.8)</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76 (98.7)</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Second transplant,</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 (3.9)</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1 (1.3)</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Third transplant,</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r>
              <w:rPr>
                <w:rFonts w:ascii="Book Antiqua" w:hAnsi="Book Antiqua" w:eastAsia="MS Mincho" w:cs="Arial"/>
              </w:rPr>
              <w:t>1 (1.3)</w:t>
            </w:r>
          </w:p>
        </w:tc>
        <w:tc>
          <w:tcPr>
            <w:tcW w:w="0" w:type="auto"/>
          </w:tcPr>
          <w:p>
            <w:pPr>
              <w:spacing w:line="360" w:lineRule="auto"/>
              <w:jc w:val="both"/>
              <w:rPr>
                <w:rFonts w:ascii="Book Antiqua" w:hAnsi="Book Antiqua" w:eastAsia="MS Mincho" w:cs="Arial"/>
              </w:rPr>
            </w:pPr>
            <w:r>
              <w:rPr>
                <w:rFonts w:ascii="Book Antiqua" w:hAnsi="Book Antiqua" w:eastAsia="MS Mincho" w:cs="Arial"/>
              </w:rPr>
              <w:t>0 (0)</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Time on dialysis before transplantation, d</w:t>
            </w:r>
          </w:p>
        </w:tc>
        <w:tc>
          <w:tcPr>
            <w:tcW w:w="0" w:type="auto"/>
          </w:tcPr>
          <w:p>
            <w:pPr>
              <w:spacing w:line="360" w:lineRule="auto"/>
              <w:jc w:val="both"/>
              <w:rPr>
                <w:rFonts w:ascii="Book Antiqua" w:hAnsi="Book Antiqua" w:eastAsia="MS Mincho" w:cs="Arial"/>
              </w:rPr>
            </w:pPr>
            <w:r>
              <w:rPr>
                <w:rFonts w:ascii="Book Antiqua" w:hAnsi="Book Antiqua" w:eastAsia="MS Mincho" w:cs="Arial"/>
              </w:rPr>
              <w:t>1105</w:t>
            </w:r>
            <w:r>
              <w:rPr>
                <w:rFonts w:ascii="Book Antiqua" w:hAnsi="Book Antiqua" w:eastAsia="MS Mincho" w:cs="Arial"/>
                <w:lang w:val="nl-NL"/>
              </w:rPr>
              <w:t xml:space="preserve"> ± 1198</w:t>
            </w:r>
          </w:p>
        </w:tc>
        <w:tc>
          <w:tcPr>
            <w:tcW w:w="0" w:type="auto"/>
          </w:tcPr>
          <w:p>
            <w:pPr>
              <w:spacing w:line="360" w:lineRule="auto"/>
              <w:jc w:val="both"/>
              <w:rPr>
                <w:rFonts w:ascii="Book Antiqua" w:hAnsi="Book Antiqua" w:eastAsia="MS Mincho" w:cs="Arial"/>
              </w:rPr>
            </w:pPr>
            <w:r>
              <w:rPr>
                <w:rFonts w:ascii="Book Antiqua" w:hAnsi="Book Antiqua" w:eastAsia="MS Mincho" w:cs="Arial"/>
              </w:rPr>
              <w:t>720</w:t>
            </w:r>
            <w:r>
              <w:rPr>
                <w:rFonts w:ascii="Book Antiqua" w:hAnsi="Book Antiqua" w:eastAsia="MS Mincho" w:cs="Arial"/>
                <w:lang w:val="nl-NL"/>
              </w:rPr>
              <w:t xml:space="preserve"> ± 757</w:t>
            </w:r>
          </w:p>
        </w:tc>
        <w:tc>
          <w:tcPr>
            <w:tcW w:w="0" w:type="auto"/>
          </w:tcPr>
          <w:p>
            <w:pPr>
              <w:spacing w:line="360" w:lineRule="auto"/>
              <w:jc w:val="both"/>
              <w:rPr>
                <w:rFonts w:ascii="Book Antiqua" w:hAnsi="Book Antiqua" w:eastAsia="MS Mincho" w:cs="Arial"/>
                <w:highlight w:val="yellow"/>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HLA Mismatching (MM),</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 xml:space="preserve">0 MM </w:t>
            </w:r>
          </w:p>
        </w:tc>
        <w:tc>
          <w:tcPr>
            <w:tcW w:w="0" w:type="auto"/>
          </w:tcPr>
          <w:p>
            <w:pPr>
              <w:spacing w:line="360" w:lineRule="auto"/>
              <w:jc w:val="both"/>
              <w:rPr>
                <w:rFonts w:ascii="Book Antiqua" w:hAnsi="Book Antiqua" w:eastAsia="MS Mincho" w:cs="Arial"/>
              </w:rPr>
            </w:pPr>
            <w:r>
              <w:rPr>
                <w:rFonts w:ascii="Book Antiqua" w:hAnsi="Book Antiqua" w:eastAsia="MS Mincho" w:cs="Arial"/>
              </w:rPr>
              <w:t>11 (14.3)</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6 (7.8)</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1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8 (10.4)</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7 (9.1)</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2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30 (39.0)</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16 (30.8)</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3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23 (29.9)</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30 (39)</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4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2 (2.6)</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7 (9.1)</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5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3 (3.9)</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rPr>
              <w:t>6 (7.8)</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6 MM</w:t>
            </w:r>
          </w:p>
        </w:tc>
        <w:tc>
          <w:tcPr>
            <w:tcW w:w="0" w:type="auto"/>
          </w:tcPr>
          <w:p>
            <w:pPr>
              <w:spacing w:line="360" w:lineRule="auto"/>
              <w:jc w:val="both"/>
              <w:rPr>
                <w:rFonts w:ascii="Book Antiqua" w:hAnsi="Book Antiqua" w:eastAsia="MS Mincho" w:cs="Arial"/>
              </w:rPr>
            </w:pPr>
            <w:r>
              <w:rPr>
                <w:rFonts w:ascii="Book Antiqua" w:hAnsi="Book Antiqua" w:eastAsia="MS Mincho" w:cs="Arial"/>
              </w:rPr>
              <w:t>0 (0.0)</w:t>
            </w:r>
          </w:p>
        </w:tc>
        <w:tc>
          <w:tcPr>
            <w:tcW w:w="0" w:type="auto"/>
          </w:tcPr>
          <w:p>
            <w:pPr>
              <w:spacing w:line="360" w:lineRule="auto"/>
              <w:jc w:val="both"/>
              <w:rPr>
                <w:rFonts w:ascii="Book Antiqua" w:hAnsi="Book Antiqua" w:eastAsia="MS Mincho" w:cs="Arial"/>
              </w:rPr>
            </w:pPr>
            <w:r>
              <w:rPr>
                <w:rFonts w:ascii="Book Antiqua" w:hAnsi="Book Antiqua" w:eastAsia="MS Mincho" w:cs="Arial"/>
              </w:rPr>
              <w:t>5 (6.5)</w:t>
            </w: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Hemoglobin before transplantation, g/dL</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12.47 ± 1.72</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12.69 ± 1.18</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Albumin before transplantation, g/dL</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4.32 ± 0.40</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4.24 ± 0.41</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Peritransplant plasmapheresis treatment,</w:t>
            </w:r>
            <w:r>
              <w:rPr>
                <w:rFonts w:ascii="Book Antiqua" w:hAnsi="Book Antiqua" w:eastAsia="MS Mincho" w:cs="Arial"/>
                <w:i/>
                <w:lang w:val="nl-NL"/>
              </w:rPr>
              <w:t xml:space="preserve"> n </w:t>
            </w:r>
            <w:r>
              <w:rPr>
                <w:rFonts w:ascii="Book Antiqua" w:hAnsi="Book Antiqua" w:eastAsia="MS Mincho" w:cs="Arial"/>
                <w:lang w:val="nl-NL"/>
              </w:rPr>
              <w:t>(%)</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14 (18)</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3 (4)</w:t>
            </w:r>
          </w:p>
        </w:tc>
        <w:tc>
          <w:tcPr>
            <w:tcW w:w="0" w:type="auto"/>
          </w:tcPr>
          <w:p>
            <w:pPr>
              <w:spacing w:line="360" w:lineRule="auto"/>
              <w:jc w:val="both"/>
              <w:rPr>
                <w:rFonts w:ascii="Book Antiqua" w:hAnsi="Book Antiqua" w:eastAsia="MS Mincho" w:cs="Arial"/>
                <w:vertAlign w:val="superscript"/>
                <w:lang w:val="nl-NL"/>
              </w:rPr>
            </w:pPr>
            <w:r>
              <w:rPr>
                <w:rFonts w:ascii="Book Antiqua" w:hAnsi="Book Antiqua" w:eastAsia="MS Mincho" w:cs="Arial"/>
                <w:vertAlign w:val="superscript"/>
                <w:lang w:val="nl-NL"/>
              </w:rPr>
              <w:t>a</w:t>
            </w:r>
          </w:p>
        </w:tc>
      </w:tr>
    </w:tbl>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vertAlign w:val="superscript"/>
        </w:rPr>
        <w:t>a</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xml:space="preserve">. </w:t>
      </w:r>
      <w:r>
        <w:rPr>
          <w:rFonts w:ascii="Book Antiqua" w:hAnsi="Book Antiqua" w:cs="Book Antiqua"/>
          <w:color w:val="000000"/>
          <w:lang w:eastAsia="zh-CN"/>
        </w:rPr>
        <w:t>Data are given as the mean ± SD</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ADPKD: Autosomal dominant polycystic kidney disease; CMV: </w:t>
      </w:r>
      <w:r>
        <w:rPr>
          <w:rFonts w:hint="eastAsia" w:ascii="Book Antiqua" w:hAnsi="Book Antiqua" w:cs="Book Antiqua"/>
          <w:color w:val="000000"/>
          <w:lang w:eastAsia="zh-CN"/>
        </w:rPr>
        <w:t>C</w:t>
      </w:r>
      <w:r>
        <w:rPr>
          <w:rFonts w:ascii="Book Antiqua" w:hAnsi="Book Antiqua" w:cs="Book Antiqua"/>
          <w:color w:val="000000"/>
          <w:lang w:eastAsia="zh-CN"/>
        </w:rPr>
        <w:t xml:space="preserve">ytomegalovirus; DBD: </w:t>
      </w:r>
      <w:r>
        <w:rPr>
          <w:rFonts w:hint="eastAsia" w:ascii="Book Antiqua" w:hAnsi="Book Antiqua" w:cs="Book Antiqua"/>
          <w:color w:val="000000"/>
          <w:lang w:eastAsia="zh-CN"/>
        </w:rPr>
        <w:t>D</w:t>
      </w:r>
      <w:r>
        <w:rPr>
          <w:rFonts w:ascii="Book Antiqua" w:hAnsi="Book Antiqua" w:cs="Book Antiqua"/>
          <w:color w:val="000000"/>
          <w:lang w:eastAsia="zh-CN"/>
        </w:rPr>
        <w:t xml:space="preserve">onation after brain death; DCD: </w:t>
      </w:r>
      <w:r>
        <w:rPr>
          <w:rFonts w:hint="eastAsia" w:ascii="Book Antiqua" w:hAnsi="Book Antiqua" w:cs="Book Antiqua"/>
          <w:color w:val="000000"/>
          <w:lang w:eastAsia="zh-CN"/>
        </w:rPr>
        <w:t>D</w:t>
      </w:r>
      <w:r>
        <w:rPr>
          <w:rFonts w:ascii="Book Antiqua" w:hAnsi="Book Antiqua" w:cs="Book Antiqua"/>
          <w:color w:val="000000"/>
          <w:lang w:eastAsia="zh-CN"/>
        </w:rPr>
        <w:t xml:space="preserve">onation after circulatory death; HLA: </w:t>
      </w:r>
      <w:r>
        <w:rPr>
          <w:rFonts w:hint="eastAsia" w:ascii="Book Antiqua" w:hAnsi="Book Antiqua" w:cs="Book Antiqua"/>
          <w:color w:val="000000"/>
          <w:lang w:eastAsia="zh-CN"/>
        </w:rPr>
        <w:t>H</w:t>
      </w:r>
      <w:r>
        <w:rPr>
          <w:rFonts w:ascii="Book Antiqua" w:hAnsi="Book Antiqua" w:cs="Book Antiqua"/>
          <w:color w:val="000000"/>
          <w:lang w:eastAsia="zh-CN"/>
        </w:rPr>
        <w:t xml:space="preserve">uman leukocyte antigen; KT: </w:t>
      </w:r>
      <w:r>
        <w:rPr>
          <w:rFonts w:hint="eastAsia" w:ascii="Book Antiqua" w:hAnsi="Book Antiqua" w:cs="Book Antiqua"/>
          <w:color w:val="000000"/>
          <w:lang w:eastAsia="zh-CN"/>
        </w:rPr>
        <w:t>K</w:t>
      </w:r>
      <w:r>
        <w:rPr>
          <w:rFonts w:ascii="Book Antiqua" w:hAnsi="Book Antiqua" w:cs="Book Antiqua"/>
          <w:color w:val="000000"/>
          <w:lang w:eastAsia="zh-CN"/>
        </w:rPr>
        <w:t xml:space="preserve">idney transplantation; MM: </w:t>
      </w:r>
      <w:r>
        <w:rPr>
          <w:rFonts w:hint="eastAsia" w:ascii="Book Antiqua" w:hAnsi="Book Antiqua" w:cs="Book Antiqua"/>
          <w:color w:val="000000"/>
          <w:lang w:eastAsia="zh-CN"/>
        </w:rPr>
        <w:t>M</w:t>
      </w:r>
      <w:r>
        <w:rPr>
          <w:rFonts w:ascii="Book Antiqua" w:hAnsi="Book Antiqua" w:cs="Book Antiqua"/>
          <w:color w:val="000000"/>
          <w:lang w:eastAsia="zh-CN"/>
        </w:rPr>
        <w:t>ismatching</w:t>
      </w:r>
      <w:r>
        <w:rPr>
          <w:rFonts w:hint="eastAsia" w:ascii="Book Antiqua" w:hAnsi="Book Antiqua" w:cs="Book Antiqua"/>
          <w:color w:val="000000"/>
          <w:lang w:eastAsia="zh-CN"/>
        </w:rPr>
        <w:t>; NS: No significance.</w:t>
      </w:r>
      <w:r>
        <w:rPr>
          <w:rFonts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eastAsia="Book Antiqua" w:cs="Book Antiqua"/>
          <w:b/>
          <w:color w:val="000000"/>
        </w:rPr>
        <w:t>Table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Surgical data of 154 recipients suffering from </w:t>
      </w:r>
      <w:r>
        <w:rPr>
          <w:rFonts w:hint="eastAsia" w:ascii="Book Antiqua" w:hAnsi="Book Antiqua" w:cs="Book Antiqua"/>
          <w:b/>
          <w:color w:val="000000"/>
          <w:lang w:eastAsia="zh-CN"/>
        </w:rPr>
        <w:t>a</w:t>
      </w:r>
      <w:r>
        <w:rPr>
          <w:rFonts w:ascii="Book Antiqua" w:hAnsi="Book Antiqua" w:eastAsia="Book Antiqua" w:cs="Book Antiqua"/>
          <w:b/>
          <w:color w:val="000000"/>
        </w:rPr>
        <w:t>utosomal dominant polycystic kidney disease with or without associated ipsilateral nephrectomy during isolated kidney transplantation in a single-center transplant program from January 2007 until January 2019</w:t>
      </w:r>
    </w:p>
    <w:tbl>
      <w:tblPr>
        <w:tblStyle w:val="11"/>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72"/>
        <w:gridCol w:w="1778"/>
        <w:gridCol w:w="3619"/>
        <w:gridCol w:w="90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alone group (</w:t>
            </w:r>
            <w:r>
              <w:rPr>
                <w:rFonts w:ascii="Book Antiqua" w:hAnsi="Book Antiqua" w:eastAsia="MS Mincho" w:cs="Arial"/>
                <w:b/>
                <w:i/>
              </w:rPr>
              <w:t xml:space="preserve">n = </w:t>
            </w:r>
            <w:r>
              <w:rPr>
                <w:rFonts w:ascii="Book Antiqua" w:hAnsi="Book Antiqua" w:eastAsia="MS Mincho" w:cs="Arial"/>
                <w:b/>
              </w:rPr>
              <w:t>77)</w:t>
            </w: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with associated ipsilateral nephrectomy (</w:t>
            </w:r>
            <w:r>
              <w:rPr>
                <w:rFonts w:ascii="Book Antiqua" w:hAnsi="Book Antiqua" w:eastAsia="MS Mincho" w:cs="Arial"/>
                <w:b/>
                <w:i/>
              </w:rPr>
              <w:t xml:space="preserve">n = </w:t>
            </w:r>
            <w:r>
              <w:rPr>
                <w:rFonts w:ascii="Book Antiqua" w:hAnsi="Book Antiqua" w:eastAsia="MS Mincho" w:cs="Arial"/>
                <w:b/>
              </w:rPr>
              <w:t>77)</w:t>
            </w:r>
          </w:p>
        </w:tc>
        <w:tc>
          <w:tcPr>
            <w:tcW w:w="0" w:type="auto"/>
            <w:tcBorders>
              <w:top w:val="single" w:color="auto" w:sz="4" w:space="0"/>
              <w:bottom w:val="single" w:color="auto" w:sz="4" w:space="0"/>
            </w:tcBorders>
          </w:tcPr>
          <w:p>
            <w:pPr>
              <w:spacing w:line="360" w:lineRule="auto"/>
              <w:jc w:val="both"/>
              <w:rPr>
                <w:rFonts w:ascii="Book Antiqua" w:hAnsi="Book Antiqua" w:eastAsia="MS Mincho" w:cs="Arial"/>
                <w:b/>
                <w:i/>
              </w:rPr>
            </w:pPr>
            <w:r>
              <w:rPr>
                <w:rFonts w:ascii="Book Antiqua" w:hAnsi="Book Antiqua" w:cs="Arial"/>
                <w:b/>
                <w:bCs/>
                <w:i/>
                <w:lang w:val="nl-NL" w:eastAsia="zh-CN"/>
              </w:rPr>
              <w:t xml:space="preserve">P </w:t>
            </w:r>
            <w:r>
              <w:rPr>
                <w:rFonts w:ascii="Book Antiqua" w:hAnsi="Book Antiqua" w:eastAsia="MS Mincho" w:cs="Arial"/>
                <w:b/>
                <w:bCs/>
                <w:i/>
                <w:lang w:val="nl-N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Borders>
              <w:top w:val="single" w:color="auto" w:sz="4" w:space="0"/>
            </w:tcBorders>
          </w:tcPr>
          <w:p>
            <w:pPr>
              <w:spacing w:line="360" w:lineRule="auto"/>
              <w:jc w:val="both"/>
              <w:rPr>
                <w:rFonts w:ascii="Book Antiqua" w:hAnsi="Book Antiqua" w:eastAsia="MS Mincho" w:cs="Arial"/>
              </w:rPr>
            </w:pPr>
            <w:r>
              <w:rPr>
                <w:rFonts w:ascii="Book Antiqua" w:hAnsi="Book Antiqua" w:eastAsia="MS Mincho" w:cs="Arial"/>
              </w:rPr>
              <w:t>Indications for associated nephrectomy,</w:t>
            </w:r>
            <w:r>
              <w:rPr>
                <w:rFonts w:ascii="Book Antiqua" w:hAnsi="Book Antiqua" w:eastAsia="MS Mincho" w:cs="Arial"/>
                <w:i/>
              </w:rPr>
              <w:t xml:space="preserve"> n </w:t>
            </w:r>
            <w:r>
              <w:rPr>
                <w:rFonts w:ascii="Book Antiqua" w:hAnsi="Book Antiqua" w:eastAsia="MS Mincho" w:cs="Arial"/>
              </w:rPr>
              <w:t>(%)</w:t>
            </w:r>
          </w:p>
        </w:tc>
        <w:tc>
          <w:tcPr>
            <w:tcW w:w="0" w:type="auto"/>
            <w:tcBorders>
              <w:top w:val="single" w:color="auto" w:sz="4" w:space="0"/>
            </w:tcBorders>
          </w:tcPr>
          <w:p>
            <w:pPr>
              <w:spacing w:line="360" w:lineRule="auto"/>
              <w:jc w:val="both"/>
              <w:rPr>
                <w:rFonts w:ascii="Book Antiqua" w:hAnsi="Book Antiqua" w:eastAsia="MS Mincho" w:cs="Arial"/>
              </w:rPr>
            </w:pPr>
          </w:p>
        </w:tc>
        <w:tc>
          <w:tcPr>
            <w:tcW w:w="0" w:type="auto"/>
            <w:tcBorders>
              <w:top w:val="single" w:color="auto" w:sz="4" w:space="0"/>
            </w:tcBorders>
          </w:tcPr>
          <w:p>
            <w:pPr>
              <w:spacing w:line="360" w:lineRule="auto"/>
              <w:jc w:val="both"/>
              <w:rPr>
                <w:rFonts w:ascii="Book Antiqua" w:hAnsi="Book Antiqua" w:eastAsia="MS Mincho" w:cs="Arial"/>
              </w:rPr>
            </w:pPr>
          </w:p>
        </w:tc>
        <w:tc>
          <w:tcPr>
            <w:tcW w:w="0" w:type="auto"/>
            <w:tcBorders>
              <w:top w:val="single" w:color="auto" w:sz="4" w:space="0"/>
            </w:tcBorders>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Creating space for graft positioning,</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74 (96.1)</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Pain,</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29 (37.7)</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Recurrent urinary tract infections,</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11 (14.3)</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Hematuria,</w:t>
            </w:r>
            <w:r>
              <w:rPr>
                <w:rFonts w:ascii="Book Antiqua" w:hAnsi="Book Antiqua" w:eastAsia="MS Mincho" w:cs="Arial"/>
                <w:i/>
              </w:rPr>
              <w:t xml:space="preserve"> n </w:t>
            </w:r>
            <w:r>
              <w:rPr>
                <w:rFonts w:ascii="Book Antiqua" w:hAnsi="Book Antiqua" w:eastAsia="MS Mincho" w:cs="Arial"/>
              </w:rPr>
              <w:t>(%)</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30 (39.0)</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Digestive symptoms,</w:t>
            </w:r>
            <w:r>
              <w:rPr>
                <w:rFonts w:ascii="Book Antiqua" w:hAnsi="Book Antiqua" w:eastAsia="MS Mincho" w:cs="Arial"/>
                <w:i/>
              </w:rPr>
              <w:t xml:space="preserve"> n </w:t>
            </w:r>
            <w:r>
              <w:rPr>
                <w:rFonts w:ascii="Book Antiqua" w:hAnsi="Book Antiqua" w:eastAsia="MS Mincho" w:cs="Arial"/>
              </w:rPr>
              <w:t>(%)</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3 (3.9)</w:t>
            </w:r>
          </w:p>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Lithiasis</w:t>
            </w:r>
            <w:r>
              <w:rPr>
                <w:rFonts w:ascii="Book Antiqua" w:hAnsi="Book Antiqua" w:eastAsia="MS Mincho" w:cs="Arial"/>
              </w:rPr>
              <w:t>,</w:t>
            </w:r>
            <w:r>
              <w:rPr>
                <w:rFonts w:ascii="Book Antiqua" w:hAnsi="Book Antiqua" w:eastAsia="MS Mincho" w:cs="Arial"/>
                <w:i/>
              </w:rPr>
              <w:t xml:space="preserve"> n </w:t>
            </w:r>
            <w:r>
              <w:rPr>
                <w:rFonts w:ascii="Book Antiqua" w:hAnsi="Book Antiqua" w:eastAsia="MS Mincho" w:cs="Arial"/>
              </w:rPr>
              <w:t>(%)</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9 (11.7)</w:t>
            </w:r>
          </w:p>
        </w:tc>
        <w:tc>
          <w:tcPr>
            <w:tcW w:w="0" w:type="auto"/>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Anastomosis time</w:t>
            </w:r>
            <w:r>
              <w:rPr>
                <w:rFonts w:ascii="Book Antiqua" w:hAnsi="Book Antiqua" w:eastAsia="MS Mincho" w:cs="Arial"/>
                <w:vertAlign w:val="superscript"/>
                <w:lang w:val="nl-NL"/>
              </w:rPr>
              <w:t>1</w:t>
            </w:r>
            <w:r>
              <w:rPr>
                <w:rFonts w:ascii="Book Antiqua" w:hAnsi="Book Antiqua" w:eastAsia="MS Mincho" w:cs="Arial"/>
                <w:lang w:val="nl-NL"/>
              </w:rPr>
              <w:t>, min</w:t>
            </w:r>
          </w:p>
        </w:tc>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39.61 ± 9.782</w:t>
            </w:r>
          </w:p>
        </w:tc>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36.96 ± 10.10</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Cold ischemia time, min</w:t>
            </w:r>
          </w:p>
        </w:tc>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827.56 ± 446.12</w:t>
            </w:r>
          </w:p>
        </w:tc>
        <w:tc>
          <w:tcPr>
            <w:tcW w:w="0" w:type="auto"/>
          </w:tcPr>
          <w:p>
            <w:pPr>
              <w:spacing w:line="360" w:lineRule="auto"/>
              <w:jc w:val="both"/>
              <w:rPr>
                <w:rFonts w:ascii="Book Antiqua" w:hAnsi="Book Antiqua" w:eastAsia="MS Mincho" w:cs="Arial"/>
              </w:rPr>
            </w:pPr>
            <w:r>
              <w:rPr>
                <w:rFonts w:ascii="Book Antiqua" w:hAnsi="Book Antiqua" w:eastAsia="MS Mincho" w:cs="Arial"/>
                <w:lang w:val="nl-NL"/>
              </w:rPr>
              <w:t>767.87 ± 436.81</w:t>
            </w:r>
          </w:p>
        </w:tc>
        <w:tc>
          <w:tcPr>
            <w:tcW w:w="0" w:type="auto"/>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Total surgical time, min</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169.07 ± 44.31</w:t>
            </w: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223.29 ± 71.96</w:t>
            </w:r>
          </w:p>
        </w:tc>
        <w:tc>
          <w:tcPr>
            <w:tcW w:w="0" w:type="auto"/>
          </w:tcPr>
          <w:p>
            <w:pPr>
              <w:spacing w:line="360" w:lineRule="auto"/>
              <w:jc w:val="both"/>
              <w:rPr>
                <w:rFonts w:ascii="Book Antiqua" w:hAnsi="Book Antiqua" w:eastAsia="MS Mincho" w:cs="Arial"/>
                <w:vertAlign w:val="superscript"/>
              </w:rPr>
            </w:pPr>
            <w:r>
              <w:rPr>
                <w:rFonts w:ascii="Book Antiqua" w:hAnsi="Book Antiqua" w:eastAsia="MS Mincho" w:cs="Arial"/>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0" w:type="auto"/>
          </w:tcPr>
          <w:p>
            <w:pPr>
              <w:spacing w:line="360" w:lineRule="auto"/>
              <w:jc w:val="both"/>
              <w:rPr>
                <w:rFonts w:ascii="Book Antiqua" w:hAnsi="Book Antiqua" w:eastAsia="MS Mincho" w:cs="Arial"/>
              </w:rPr>
            </w:pPr>
            <w:r>
              <w:rPr>
                <w:rFonts w:ascii="Book Antiqua" w:hAnsi="Book Antiqua" w:eastAsia="MS Mincho" w:cs="Arial"/>
              </w:rPr>
              <w:t>Weight of removed native kidney, g</w:t>
            </w:r>
          </w:p>
        </w:tc>
        <w:tc>
          <w:tcPr>
            <w:tcW w:w="0" w:type="auto"/>
          </w:tcPr>
          <w:p>
            <w:pPr>
              <w:spacing w:line="360" w:lineRule="auto"/>
              <w:jc w:val="both"/>
              <w:rPr>
                <w:rFonts w:ascii="Book Antiqua" w:hAnsi="Book Antiqua" w:eastAsia="MS Mincho" w:cs="Arial"/>
              </w:rPr>
            </w:pPr>
          </w:p>
        </w:tc>
        <w:tc>
          <w:tcPr>
            <w:tcW w:w="0" w:type="auto"/>
          </w:tcPr>
          <w:p>
            <w:pPr>
              <w:spacing w:line="360" w:lineRule="auto"/>
              <w:jc w:val="both"/>
              <w:rPr>
                <w:rFonts w:ascii="Book Antiqua" w:hAnsi="Book Antiqua" w:eastAsia="MS Mincho" w:cs="Arial"/>
                <w:lang w:val="nl-NL"/>
              </w:rPr>
            </w:pPr>
            <w:r>
              <w:rPr>
                <w:rFonts w:ascii="Book Antiqua" w:hAnsi="Book Antiqua" w:eastAsia="MS Mincho" w:cs="Arial"/>
                <w:lang w:val="nl-NL"/>
              </w:rPr>
              <w:t>2073.94 ± 1197.89</w:t>
            </w:r>
          </w:p>
        </w:tc>
        <w:tc>
          <w:tcPr>
            <w:tcW w:w="0" w:type="auto"/>
          </w:tcPr>
          <w:p>
            <w:pPr>
              <w:spacing w:line="360" w:lineRule="auto"/>
              <w:jc w:val="both"/>
              <w:rPr>
                <w:rFonts w:ascii="Book Antiqua" w:hAnsi="Book Antiqua" w:eastAsia="MS Mincho" w:cs="Arial"/>
              </w:rPr>
            </w:pP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Time from kidney out of ice water until moment of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blood reperfusion.</w:t>
      </w:r>
    </w:p>
    <w:p>
      <w:pPr>
        <w:spacing w:line="360" w:lineRule="auto"/>
        <w:jc w:val="both"/>
        <w:rPr>
          <w:rFonts w:ascii="Book Antiqua" w:hAnsi="Book Antiqua"/>
        </w:rPr>
      </w:pPr>
      <w:r>
        <w:rPr>
          <w:rFonts w:ascii="Book Antiqua" w:hAnsi="Book Antiqua" w:eastAsia="Book Antiqua" w:cs="Book Antiqua"/>
          <w:color w:val="000000"/>
          <w:vertAlign w:val="superscript"/>
        </w:rPr>
        <w:t>a</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xml:space="preserve">. </w:t>
      </w:r>
      <w:r>
        <w:rPr>
          <w:rFonts w:ascii="Book Antiqua" w:hAnsi="Book Antiqua" w:eastAsia="Book Antiqua" w:cs="Book Antiqua"/>
          <w:color w:val="000000"/>
        </w:rPr>
        <w:t>Data are given as the mean ± SD.</w:t>
      </w:r>
      <w:r>
        <w:rPr>
          <w:rFonts w:hint="eastAsia" w:ascii="Book Antiqua" w:hAnsi="Book Antiqua" w:cs="Book Antiqua"/>
          <w:color w:val="000000"/>
          <w:lang w:eastAsia="zh-CN"/>
        </w:rPr>
        <w:t xml:space="preserve"> </w:t>
      </w:r>
      <w:r>
        <w:rPr>
          <w:rFonts w:ascii="Book Antiqua" w:hAnsi="Book Antiqua" w:eastAsia="Book Antiqua" w:cs="Book Antiqua"/>
          <w:color w:val="000000"/>
        </w:rPr>
        <w:t>ADPKD</w:t>
      </w:r>
      <w:r>
        <w:rPr>
          <w:rFonts w:hint="eastAsia" w:ascii="Book Antiqua" w:hAnsi="Book Antiqua" w:cs="Book Antiqua"/>
          <w:color w:val="000000"/>
          <w:lang w:eastAsia="zh-CN"/>
        </w:rPr>
        <w:t>:</w:t>
      </w:r>
      <w:r>
        <w:rPr>
          <w:rFonts w:ascii="Book Antiqua" w:hAnsi="Book Antiqua" w:eastAsia="Book Antiqua" w:cs="Book Antiqua"/>
          <w:color w:val="000000"/>
        </w:rPr>
        <w:t xml:space="preserve"> Autosomal dominant polycystic kidney disease; 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significant; KT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K</w:t>
      </w:r>
      <w:r>
        <w:rPr>
          <w:rFonts w:ascii="Book Antiqua" w:hAnsi="Book Antiqua" w:eastAsia="Book Antiqua" w:cs="Book Antiqua"/>
          <w:color w:val="000000"/>
        </w:rPr>
        <w:t>idney transplantation</w:t>
      </w:r>
      <w:r>
        <w:rPr>
          <w:rFonts w:hint="eastAsia" w:ascii="Book Antiqua" w:hAnsi="Book Antiqua" w:cs="Book Antiqua"/>
          <w:color w:val="000000"/>
          <w:lang w:eastAsia="zh-CN"/>
        </w:rPr>
        <w:t>; NS: No significance</w:t>
      </w:r>
      <w:r>
        <w:rPr>
          <w:rFonts w:ascii="Book Antiqua" w:hAnsi="Book Antiqua" w:eastAsia="Book Antiqua" w:cs="Book Antiqua"/>
          <w:color w:val="000000"/>
        </w:rPr>
        <w:t xml:space="preserve">. </w:t>
      </w:r>
    </w:p>
    <w:p>
      <w:pPr>
        <w:spacing w:line="360" w:lineRule="auto"/>
        <w:jc w:val="both"/>
        <w:rPr>
          <w:rFonts w:ascii="Book Antiqua" w:hAnsi="Book Antiqua" w:cs="Book Antiqua"/>
          <w:b/>
          <w:color w:val="000000"/>
          <w:lang w:eastAsia="zh-CN"/>
        </w:rPr>
      </w:pPr>
      <w:r>
        <w:rPr>
          <w:rFonts w:ascii="Book Antiqua" w:hAnsi="Book Antiqua"/>
        </w:rPr>
        <w:br w:type="page"/>
      </w:r>
      <w:r>
        <w:rPr>
          <w:rFonts w:ascii="Book Antiqua" w:hAnsi="Book Antiqua" w:eastAsia="Book Antiqua" w:cs="Book Antiqua"/>
          <w:b/>
          <w:color w:val="000000"/>
        </w:rPr>
        <w:t>Table 3</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Surgical comorbidity and clinical outcomes of 154 isolated kidney transplant recipients suffering from </w:t>
      </w:r>
      <w:r>
        <w:rPr>
          <w:rFonts w:hint="eastAsia" w:ascii="Book Antiqua" w:hAnsi="Book Antiqua" w:cs="Book Antiqua"/>
          <w:b/>
          <w:color w:val="000000"/>
          <w:lang w:eastAsia="zh-CN"/>
        </w:rPr>
        <w:t>a</w:t>
      </w:r>
      <w:r>
        <w:rPr>
          <w:rFonts w:ascii="Book Antiqua" w:hAnsi="Book Antiqua" w:eastAsia="Book Antiqua" w:cs="Book Antiqua"/>
          <w:b/>
          <w:color w:val="000000"/>
        </w:rPr>
        <w:t>utosomal dominant polycystic kidney disease with or without associated ipsilateral nephrectomy during transplantation in a single center transplant program from January 2007 until January 2019</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2"/>
        <w:gridCol w:w="1829"/>
        <w:gridCol w:w="2287"/>
        <w:gridCol w:w="10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314" w:type="pct"/>
            <w:tcBorders>
              <w:top w:val="single" w:color="auto" w:sz="4" w:space="0"/>
              <w:bottom w:val="single" w:color="auto" w:sz="4" w:space="0"/>
            </w:tcBorders>
          </w:tcPr>
          <w:p>
            <w:pPr>
              <w:spacing w:line="360" w:lineRule="auto"/>
              <w:jc w:val="both"/>
              <w:rPr>
                <w:rFonts w:ascii="Book Antiqua" w:hAnsi="Book Antiqua" w:eastAsia="MS Mincho" w:cs="Arial"/>
                <w:b/>
              </w:rPr>
            </w:pPr>
          </w:p>
        </w:tc>
        <w:tc>
          <w:tcPr>
            <w:tcW w:w="955"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alone group (</w:t>
            </w:r>
            <w:r>
              <w:rPr>
                <w:rFonts w:ascii="Book Antiqua" w:hAnsi="Book Antiqua" w:eastAsia="MS Mincho" w:cs="Arial"/>
                <w:b/>
                <w:i/>
              </w:rPr>
              <w:t xml:space="preserve">n = </w:t>
            </w:r>
            <w:r>
              <w:rPr>
                <w:rFonts w:ascii="Book Antiqua" w:hAnsi="Book Antiqua" w:eastAsia="MS Mincho" w:cs="Arial"/>
                <w:b/>
              </w:rPr>
              <w:t>77)</w:t>
            </w:r>
          </w:p>
        </w:tc>
        <w:tc>
          <w:tcPr>
            <w:tcW w:w="1194"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with associated ipsilateral nephrectomy (</w:t>
            </w:r>
            <w:r>
              <w:rPr>
                <w:rFonts w:ascii="Book Antiqua" w:hAnsi="Book Antiqua" w:eastAsia="MS Mincho" w:cs="Arial"/>
                <w:b/>
                <w:i/>
              </w:rPr>
              <w:t xml:space="preserve">n = </w:t>
            </w:r>
            <w:r>
              <w:rPr>
                <w:rFonts w:ascii="Book Antiqua" w:hAnsi="Book Antiqua" w:eastAsia="MS Mincho" w:cs="Arial"/>
                <w:b/>
              </w:rPr>
              <w:t>77)</w:t>
            </w:r>
          </w:p>
        </w:tc>
        <w:tc>
          <w:tcPr>
            <w:tcW w:w="537"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hint="eastAsia" w:ascii="Book Antiqua" w:hAnsi="Book Antiqua" w:cs="Arial"/>
                <w:b/>
                <w:bCs/>
                <w:i/>
                <w:lang w:val="nl-NL" w:eastAsia="zh-CN"/>
              </w:rPr>
              <w:t>P</w:t>
            </w:r>
            <w:r>
              <w:rPr>
                <w:rFonts w:hint="eastAsia" w:ascii="Book Antiqua" w:hAnsi="Book Antiqua" w:cs="Arial"/>
                <w:b/>
                <w:bCs/>
                <w:lang w:val="nl-NL" w:eastAsia="zh-CN"/>
              </w:rPr>
              <w:t xml:space="preserve"> </w:t>
            </w:r>
            <w:r>
              <w:rPr>
                <w:rFonts w:ascii="Book Antiqua" w:hAnsi="Book Antiqua" w:eastAsia="MS Mincho" w:cs="Arial"/>
                <w:b/>
                <w:bCs/>
                <w:lang w:val="nl-N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5000" w:type="pct"/>
            <w:gridSpan w:val="4"/>
            <w:tcBorders>
              <w:top w:val="single" w:color="auto" w:sz="4" w:space="0"/>
            </w:tcBorders>
          </w:tcPr>
          <w:p>
            <w:pPr>
              <w:spacing w:line="360" w:lineRule="auto"/>
              <w:jc w:val="both"/>
              <w:rPr>
                <w:rFonts w:ascii="Book Antiqua" w:hAnsi="Book Antiqua" w:eastAsia="MS Mincho" w:cs="Arial"/>
              </w:rPr>
            </w:pPr>
            <w:r>
              <w:rPr>
                <w:rFonts w:ascii="Book Antiqua" w:hAnsi="Book Antiqua" w:eastAsia="MS Mincho" w:cs="Arial"/>
              </w:rPr>
              <w:t>Surgical comorbidity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Lymphocele,</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5 (6.5)</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7 (9.1)</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Wound infection,</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6 (7.8)</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2 (2.6)</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Incisional hernia, n%)</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 (3.9)</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Wound hematoma,</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6 (7.8)</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 (3.9)</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Pulmonary embolism,</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1 (1.3)</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Urinary infection,</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14 (18.2)</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8 (10.4)</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Need for blood transfusion,</w:t>
            </w:r>
            <w:r>
              <w:rPr>
                <w:rFonts w:ascii="Book Antiqua" w:hAnsi="Book Antiqua" w:eastAsia="MS Mincho" w:cs="Arial"/>
                <w:i/>
              </w:rPr>
              <w:t xml:space="preserve"> n </w:t>
            </w:r>
            <w:r>
              <w:rPr>
                <w:rFonts w:ascii="Book Antiqua" w:hAnsi="Book Antiqua" w:eastAsia="MS Mincho" w:cs="Aria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22 (28.6)</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34 (44.2)</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314" w:type="pct"/>
          </w:tcPr>
          <w:p>
            <w:pPr>
              <w:spacing w:line="360" w:lineRule="auto"/>
              <w:jc w:val="both"/>
              <w:rPr>
                <w:rFonts w:ascii="Book Antiqua" w:hAnsi="Book Antiqua" w:cs="Arial"/>
                <w:lang w:eastAsia="zh-CN"/>
              </w:rPr>
            </w:pPr>
            <w:r>
              <w:rPr>
                <w:rFonts w:ascii="Book Antiqua" w:hAnsi="Book Antiqua" w:eastAsia="MS Mincho" w:cs="Arial"/>
              </w:rPr>
              <w:t>Hospital stay after transplantation, d</w:t>
            </w:r>
          </w:p>
        </w:tc>
        <w:tc>
          <w:tcPr>
            <w:tcW w:w="955" w:type="pct"/>
          </w:tcPr>
          <w:p>
            <w:pPr>
              <w:spacing w:line="360" w:lineRule="auto"/>
              <w:jc w:val="both"/>
              <w:rPr>
                <w:rFonts w:ascii="Book Antiqua" w:hAnsi="Book Antiqua" w:eastAsia="MS Mincho" w:cs="Arial"/>
              </w:rPr>
            </w:pPr>
            <w:r>
              <w:rPr>
                <w:rFonts w:ascii="Book Antiqua" w:hAnsi="Book Antiqua" w:eastAsia="MS Mincho" w:cs="Arial"/>
                <w:lang w:val="nl-NL"/>
              </w:rPr>
              <w:t>15.22 ± 6.662</w:t>
            </w:r>
          </w:p>
        </w:tc>
        <w:tc>
          <w:tcPr>
            <w:tcW w:w="1194" w:type="pct"/>
          </w:tcPr>
          <w:p>
            <w:pPr>
              <w:spacing w:line="360" w:lineRule="auto"/>
              <w:jc w:val="both"/>
              <w:rPr>
                <w:rFonts w:ascii="Book Antiqua" w:hAnsi="Book Antiqua" w:eastAsia="MS Mincho" w:cs="Arial"/>
              </w:rPr>
            </w:pPr>
            <w:r>
              <w:rPr>
                <w:rFonts w:ascii="Book Antiqua" w:hAnsi="Book Antiqua" w:eastAsia="MS Mincho" w:cs="Arial"/>
                <w:lang w:val="nl-NL"/>
              </w:rPr>
              <w:t>14.81 ± 6.44</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Readmission rate during whole follow-up,</w:t>
            </w:r>
            <w:r>
              <w:rPr>
                <w:rFonts w:ascii="Book Antiqua" w:hAnsi="Book Antiqua" w:eastAsia="MS Mincho" w:cs="Arial"/>
                <w:i/>
              </w:rPr>
              <w:t xml:space="preserve"> n </w:t>
            </w:r>
            <w:r>
              <w:rPr>
                <w:rFonts w:ascii="Book Antiqua" w:hAnsi="Book Antiqua" w:eastAsia="MS Mincho" w:cs="Aria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42 (46.2)</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49 (63.6)</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Dindo Clavien classification</w:t>
            </w:r>
          </w:p>
        </w:tc>
        <w:tc>
          <w:tcPr>
            <w:tcW w:w="955" w:type="pct"/>
          </w:tcPr>
          <w:p>
            <w:pPr>
              <w:spacing w:line="360" w:lineRule="auto"/>
              <w:jc w:val="both"/>
              <w:rPr>
                <w:rFonts w:ascii="Book Antiqua" w:hAnsi="Book Antiqua" w:eastAsia="MS Mincho" w:cs="Arial"/>
                <w:lang w:val="nl-NL"/>
              </w:rPr>
            </w:pPr>
          </w:p>
        </w:tc>
        <w:tc>
          <w:tcPr>
            <w:tcW w:w="1194" w:type="pct"/>
          </w:tcPr>
          <w:p>
            <w:pPr>
              <w:spacing w:line="360" w:lineRule="auto"/>
              <w:jc w:val="both"/>
              <w:rPr>
                <w:rFonts w:ascii="Book Antiqua" w:hAnsi="Book Antiqua" w:eastAsia="MS Mincho" w:cs="Arial"/>
                <w:lang w:val="nl-NL"/>
              </w:rPr>
            </w:pP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Class I</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36 (46.8)</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33 (42.9)</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Class II</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22 (28.6)</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32 (41.6)</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Class III</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7 (9.1)</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 (3.9)</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Class IV</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12 (15.6)</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9 (11.7)</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4"/>
          </w:tcPr>
          <w:p>
            <w:pPr>
              <w:spacing w:line="360" w:lineRule="auto"/>
              <w:jc w:val="both"/>
              <w:rPr>
                <w:rFonts w:ascii="Book Antiqua" w:hAnsi="Book Antiqua" w:eastAsia="MS Mincho" w:cs="Arial"/>
              </w:rPr>
            </w:pPr>
            <w:r>
              <w:rPr>
                <w:rFonts w:ascii="Book Antiqua" w:hAnsi="Book Antiqua" w:eastAsia="MS Mincho" w:cs="Arial"/>
                <w:lang w:val="nl-NL"/>
              </w:rPr>
              <w:t>Clinical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Primary nonfunction,</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2 (2.6)</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lang w:val="nl-NL"/>
              </w:rPr>
              <w:t>Delayed graft function,</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rPr>
            </w:pPr>
            <w:r>
              <w:rPr>
                <w:rFonts w:ascii="Book Antiqua" w:hAnsi="Book Antiqua" w:eastAsia="MS Mincho" w:cs="Arial"/>
                <w:lang w:val="nl-NL"/>
              </w:rPr>
              <w:t>7 (9.1)</w:t>
            </w:r>
          </w:p>
        </w:tc>
        <w:tc>
          <w:tcPr>
            <w:tcW w:w="1194" w:type="pct"/>
          </w:tcPr>
          <w:p>
            <w:pPr>
              <w:spacing w:line="360" w:lineRule="auto"/>
              <w:jc w:val="both"/>
              <w:rPr>
                <w:rFonts w:ascii="Book Antiqua" w:hAnsi="Book Antiqua" w:eastAsia="MS Mincho" w:cs="Arial"/>
              </w:rPr>
            </w:pPr>
            <w:r>
              <w:rPr>
                <w:rFonts w:ascii="Book Antiqua" w:hAnsi="Book Antiqua" w:eastAsia="MS Mincho" w:cs="Arial"/>
                <w:lang w:val="nl-NL"/>
              </w:rPr>
              <w:t>13 (16.9)</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Renal artery thrombosis of kidney graft,</w:t>
            </w:r>
            <w:r>
              <w:rPr>
                <w:rFonts w:ascii="Book Antiqua" w:hAnsi="Book Antiqua" w:eastAsia="MS Mincho" w:cs="Arial"/>
                <w:i/>
              </w:rPr>
              <w:t xml:space="preserve"> n </w:t>
            </w:r>
            <w:r>
              <w:rPr>
                <w:rFonts w:ascii="Book Antiqua" w:hAnsi="Book Antiqua" w:eastAsia="MS Mincho" w:cs="Aria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2 (2.6)</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Renal vein thrombosis of kidney graft,</w:t>
            </w:r>
            <w:r>
              <w:rPr>
                <w:rFonts w:ascii="Book Antiqua" w:hAnsi="Book Antiqua" w:eastAsia="MS Mincho" w:cs="Arial"/>
                <w:i/>
              </w:rPr>
              <w:t xml:space="preserve"> n </w:t>
            </w:r>
            <w:r>
              <w:rPr>
                <w:rFonts w:ascii="Book Antiqua" w:hAnsi="Book Antiqua" w:eastAsia="MS Mincho" w:cs="Aria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2 (2.6)</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rPr>
              <w:t>Acute rejection episode within 1 year after transplantation,</w:t>
            </w:r>
            <w:r>
              <w:rPr>
                <w:rFonts w:ascii="Book Antiqua" w:hAnsi="Book Antiqua" w:eastAsia="MS Mincho" w:cs="Arial"/>
                <w:i/>
              </w:rPr>
              <w:t xml:space="preserve"> n </w:t>
            </w:r>
            <w:r>
              <w:rPr>
                <w:rFonts w:ascii="Book Antiqua" w:hAnsi="Book Antiqua" w:eastAsia="MS Mincho" w:cs="Aria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5 (6.5)</w:t>
            </w:r>
          </w:p>
          <w:p>
            <w:pPr>
              <w:spacing w:line="360" w:lineRule="auto"/>
              <w:jc w:val="both"/>
              <w:rPr>
                <w:rFonts w:ascii="Book Antiqua" w:hAnsi="Book Antiqua" w:eastAsia="MS Mincho" w:cs="Arial"/>
                <w:lang w:val="nl-NL"/>
              </w:rPr>
            </w:pP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5 (6.5)</w:t>
            </w:r>
          </w:p>
          <w:p>
            <w:pPr>
              <w:spacing w:line="360" w:lineRule="auto"/>
              <w:jc w:val="both"/>
              <w:rPr>
                <w:rFonts w:ascii="Book Antiqua" w:hAnsi="Book Antiqua" w:eastAsia="MS Mincho" w:cs="Arial"/>
                <w:lang w:val="nl-NL"/>
              </w:rPr>
            </w:pPr>
          </w:p>
        </w:tc>
        <w:tc>
          <w:tcPr>
            <w:tcW w:w="537" w:type="pct"/>
          </w:tcPr>
          <w:p>
            <w:pPr>
              <w:spacing w:line="360" w:lineRule="auto"/>
              <w:jc w:val="both"/>
              <w:rPr>
                <w:rFonts w:ascii="Book Antiqua" w:hAnsi="Book Antiqua" w:eastAsia="MS Mincho" w:cs="Arial"/>
              </w:rPr>
            </w:pPr>
            <w:r>
              <w:rPr>
                <w:rFonts w:ascii="Book Antiqua" w:hAnsi="Book Antiqua" w:eastAsia="MS Mincho" w:cs="Arial"/>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rPr>
            </w:pPr>
            <w:r>
              <w:rPr>
                <w:rFonts w:ascii="Book Antiqua" w:hAnsi="Book Antiqua" w:eastAsia="MS Mincho" w:cs="Arial"/>
                <w:lang w:val="nl-NL"/>
              </w:rPr>
              <w:t>Cellular,</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5 (100)</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2 (40)</w:t>
            </w:r>
          </w:p>
        </w:tc>
        <w:tc>
          <w:tcPr>
            <w:tcW w:w="537" w:type="pct"/>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14" w:type="pct"/>
          </w:tcPr>
          <w:p>
            <w:pPr>
              <w:spacing w:line="360" w:lineRule="auto"/>
              <w:jc w:val="both"/>
              <w:rPr>
                <w:rFonts w:ascii="Book Antiqua" w:hAnsi="Book Antiqua" w:eastAsia="MS Mincho" w:cs="Arial"/>
                <w:lang w:val="nl-NL"/>
              </w:rPr>
            </w:pPr>
            <w:r>
              <w:rPr>
                <w:rFonts w:ascii="Book Antiqua" w:hAnsi="Book Antiqua" w:eastAsia="MS Mincho" w:cs="Arial"/>
                <w:lang w:val="nl-NL"/>
              </w:rPr>
              <w:t>Humoral,</w:t>
            </w:r>
            <w:r>
              <w:rPr>
                <w:rFonts w:ascii="Book Antiqua" w:hAnsi="Book Antiqua" w:eastAsia="MS Mincho" w:cs="Arial"/>
                <w:i/>
                <w:lang w:val="nl-NL"/>
              </w:rPr>
              <w:t xml:space="preserve"> n </w:t>
            </w:r>
            <w:r>
              <w:rPr>
                <w:rFonts w:ascii="Book Antiqua" w:hAnsi="Book Antiqua" w:eastAsia="MS Mincho" w:cs="Arial"/>
                <w:lang w:val="nl-NL"/>
              </w:rPr>
              <w:t>(%)</w:t>
            </w:r>
          </w:p>
        </w:tc>
        <w:tc>
          <w:tcPr>
            <w:tcW w:w="955" w:type="pct"/>
          </w:tcPr>
          <w:p>
            <w:pPr>
              <w:spacing w:line="360" w:lineRule="auto"/>
              <w:jc w:val="both"/>
              <w:rPr>
                <w:rFonts w:ascii="Book Antiqua" w:hAnsi="Book Antiqua" w:eastAsia="MS Mincho" w:cs="Arial"/>
                <w:lang w:val="nl-NL"/>
              </w:rPr>
            </w:pPr>
            <w:r>
              <w:rPr>
                <w:rFonts w:ascii="Book Antiqua" w:hAnsi="Book Antiqua" w:eastAsia="MS Mincho" w:cs="Arial"/>
                <w:lang w:val="nl-NL"/>
              </w:rPr>
              <w:t>0 (0)</w:t>
            </w:r>
          </w:p>
        </w:tc>
        <w:tc>
          <w:tcPr>
            <w:tcW w:w="1194" w:type="pct"/>
          </w:tcPr>
          <w:p>
            <w:pPr>
              <w:spacing w:line="360" w:lineRule="auto"/>
              <w:jc w:val="both"/>
              <w:rPr>
                <w:rFonts w:ascii="Book Antiqua" w:hAnsi="Book Antiqua" w:eastAsia="MS Mincho" w:cs="Arial"/>
                <w:lang w:val="nl-NL"/>
              </w:rPr>
            </w:pPr>
            <w:r>
              <w:rPr>
                <w:rFonts w:ascii="Book Antiqua" w:hAnsi="Book Antiqua" w:eastAsia="MS Mincho" w:cs="Arial"/>
                <w:lang w:val="nl-NL"/>
              </w:rPr>
              <w:t>3 (60)</w:t>
            </w:r>
          </w:p>
        </w:tc>
        <w:tc>
          <w:tcPr>
            <w:tcW w:w="537" w:type="pct"/>
          </w:tcPr>
          <w:p>
            <w:pPr>
              <w:spacing w:line="360" w:lineRule="auto"/>
              <w:jc w:val="both"/>
              <w:rPr>
                <w:rFonts w:ascii="Book Antiqua" w:hAnsi="Book Antiqua" w:eastAsia="MS Mincho" w:cs="Arial"/>
              </w:rPr>
            </w:pPr>
          </w:p>
        </w:tc>
      </w:tr>
    </w:tbl>
    <w:p>
      <w:pPr>
        <w:spacing w:line="360" w:lineRule="auto"/>
        <w:jc w:val="both"/>
        <w:rPr>
          <w:rFonts w:ascii="Book Antiqua" w:hAnsi="Book Antiqua"/>
        </w:rPr>
      </w:pPr>
      <w:r>
        <w:rPr>
          <w:rFonts w:ascii="Book Antiqua" w:hAnsi="Book Antiqua" w:eastAsia="Book Antiqua" w:cs="Book Antiqua"/>
          <w:color w:val="000000"/>
        </w:rPr>
        <w:t>Data are given as the mean ± SD.</w:t>
      </w:r>
      <w:r>
        <w:rPr>
          <w:rFonts w:hint="eastAsia" w:ascii="Book Antiqua" w:hAnsi="Book Antiqua" w:cs="Book Antiqua"/>
          <w:color w:val="000000"/>
          <w:lang w:eastAsia="zh-CN"/>
        </w:rPr>
        <w:t xml:space="preserve"> </w:t>
      </w:r>
      <w:r>
        <w:rPr>
          <w:rFonts w:ascii="Book Antiqua" w:hAnsi="Book Antiqua" w:eastAsia="Book Antiqua" w:cs="Book Antiqua"/>
          <w:color w:val="000000"/>
        </w:rPr>
        <w:t>ADPKD</w:t>
      </w:r>
      <w:r>
        <w:rPr>
          <w:rFonts w:hint="eastAsia" w:ascii="Book Antiqua" w:hAnsi="Book Antiqua" w:cs="Book Antiqua"/>
          <w:color w:val="000000"/>
          <w:lang w:eastAsia="zh-CN"/>
        </w:rPr>
        <w:t>:</w:t>
      </w:r>
      <w:r>
        <w:rPr>
          <w:rFonts w:ascii="Book Antiqua" w:hAnsi="Book Antiqua" w:eastAsia="Book Antiqua" w:cs="Book Antiqua"/>
          <w:color w:val="000000"/>
        </w:rPr>
        <w:t xml:space="preserve"> Autosomal dominant polycystic kidney disease; 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significant; KT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K</w:t>
      </w:r>
      <w:r>
        <w:rPr>
          <w:rFonts w:ascii="Book Antiqua" w:hAnsi="Book Antiqua" w:eastAsia="Book Antiqua" w:cs="Book Antiqua"/>
          <w:color w:val="000000"/>
        </w:rPr>
        <w:t>idney transplantation</w:t>
      </w:r>
      <w:r>
        <w:rPr>
          <w:rFonts w:hint="eastAsia" w:ascii="Book Antiqua" w:hAnsi="Book Antiqua" w:cs="Book Antiqua"/>
          <w:color w:val="000000"/>
          <w:lang w:eastAsia="zh-CN"/>
        </w:rPr>
        <w:t>; NS: No significance</w:t>
      </w:r>
      <w:r>
        <w:rPr>
          <w:rFonts w:ascii="Book Antiqua" w:hAnsi="Book Antiqua" w:eastAsia="Book Antiqua" w:cs="Book Antiqua"/>
          <w:color w:val="000000"/>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eastAsia="Book Antiqua" w:cs="Book Antiqua"/>
          <w:b/>
          <w:color w:val="000000"/>
        </w:rPr>
        <w:t>Table 4</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Overview of studies investigating the surgical comorbidity of a simultaneous native unilateral or bilateral nephrectomy during isolated kidney transplantation for autosomal dominant polycystic kidney disease </w:t>
      </w:r>
    </w:p>
    <w:tbl>
      <w:tblPr>
        <w:tblStyle w:val="13"/>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4"/>
        <w:gridCol w:w="870"/>
        <w:gridCol w:w="1482"/>
        <w:gridCol w:w="1101"/>
        <w:gridCol w:w="1280"/>
        <w:gridCol w:w="816"/>
        <w:gridCol w:w="29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88" w:type="pct"/>
            <w:tcBorders>
              <w:top w:val="single" w:color="auto" w:sz="4" w:space="0"/>
              <w:bottom w:val="single" w:color="auto" w:sz="4" w:space="0"/>
            </w:tcBorders>
          </w:tcPr>
          <w:p>
            <w:pPr>
              <w:spacing w:line="360" w:lineRule="auto"/>
              <w:jc w:val="both"/>
              <w:rPr>
                <w:rFonts w:ascii="Book Antiqua" w:hAnsi="Book Antiqua" w:cs="Arial"/>
                <w:b/>
                <w:lang w:eastAsia="zh-CN"/>
              </w:rPr>
            </w:pPr>
            <w:r>
              <w:rPr>
                <w:rFonts w:hint="eastAsia" w:ascii="Book Antiqua" w:hAnsi="Book Antiqua" w:cs="Arial"/>
                <w:b/>
                <w:lang w:eastAsia="zh-CN"/>
              </w:rPr>
              <w:t>Ref.</w:t>
            </w:r>
          </w:p>
        </w:tc>
        <w:tc>
          <w:tcPr>
            <w:tcW w:w="346"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Study group (n)</w:t>
            </w:r>
          </w:p>
        </w:tc>
        <w:tc>
          <w:tcPr>
            <w:tcW w:w="1054"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Type of donor</w:t>
            </w:r>
          </w:p>
        </w:tc>
        <w:tc>
          <w:tcPr>
            <w:tcW w:w="850" w:type="pct"/>
            <w:gridSpan w:val="2"/>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Isolated KT with simultaneous native bilateral or unilateral nephrectomy</w:t>
            </w:r>
          </w:p>
        </w:tc>
        <w:tc>
          <w:tcPr>
            <w:tcW w:w="300"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KT alone</w:t>
            </w:r>
          </w:p>
        </w:tc>
        <w:tc>
          <w:tcPr>
            <w:tcW w:w="1762" w:type="pct"/>
            <w:tcBorders>
              <w:top w:val="single" w:color="auto" w:sz="4" w:space="0"/>
              <w:bottom w:val="single" w:color="auto" w:sz="4" w:space="0"/>
            </w:tcBorders>
          </w:tcPr>
          <w:p>
            <w:pPr>
              <w:spacing w:line="360" w:lineRule="auto"/>
              <w:jc w:val="both"/>
              <w:rPr>
                <w:rFonts w:ascii="Book Antiqua" w:hAnsi="Book Antiqua" w:eastAsia="MS Mincho" w:cs="Arial"/>
                <w:b/>
              </w:rPr>
            </w:pPr>
            <w:r>
              <w:rPr>
                <w:rFonts w:ascii="Book Antiqua" w:hAnsi="Book Antiqua" w:eastAsia="MS Mincho" w:cs="Arial"/>
                <w:b/>
              </w:rPr>
              <w:t>Study conclusions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tcBorders>
              <w:top w:val="single" w:color="auto" w:sz="4" w:space="0"/>
            </w:tcBorders>
          </w:tcPr>
          <w:p>
            <w:pPr>
              <w:spacing w:line="360" w:lineRule="auto"/>
              <w:jc w:val="both"/>
              <w:rPr>
                <w:rFonts w:ascii="Book Antiqua" w:hAnsi="Book Antiqua" w:eastAsia="MS Mincho" w:cs="Arial"/>
              </w:rPr>
            </w:pPr>
          </w:p>
        </w:tc>
        <w:tc>
          <w:tcPr>
            <w:tcW w:w="346" w:type="pct"/>
            <w:tcBorders>
              <w:top w:val="single" w:color="auto" w:sz="4" w:space="0"/>
            </w:tcBorders>
          </w:tcPr>
          <w:p>
            <w:pPr>
              <w:spacing w:line="360" w:lineRule="auto"/>
              <w:jc w:val="both"/>
              <w:rPr>
                <w:rFonts w:ascii="Book Antiqua" w:hAnsi="Book Antiqua" w:eastAsia="MS Mincho" w:cs="Arial"/>
              </w:rPr>
            </w:pPr>
          </w:p>
        </w:tc>
        <w:tc>
          <w:tcPr>
            <w:tcW w:w="1054" w:type="pct"/>
            <w:tcBorders>
              <w:top w:val="single" w:color="auto" w:sz="4" w:space="0"/>
            </w:tcBorders>
          </w:tcPr>
          <w:p>
            <w:pPr>
              <w:spacing w:line="360" w:lineRule="auto"/>
              <w:jc w:val="both"/>
              <w:rPr>
                <w:rFonts w:ascii="Book Antiqua" w:hAnsi="Book Antiqua" w:eastAsia="MS Mincho" w:cs="Arial"/>
              </w:rPr>
            </w:pPr>
          </w:p>
        </w:tc>
        <w:tc>
          <w:tcPr>
            <w:tcW w:w="400" w:type="pct"/>
            <w:tcBorders>
              <w:top w:val="single" w:color="auto" w:sz="4" w:space="0"/>
            </w:tcBorders>
          </w:tcPr>
          <w:p>
            <w:pPr>
              <w:spacing w:line="360" w:lineRule="auto"/>
              <w:jc w:val="both"/>
              <w:rPr>
                <w:rFonts w:ascii="Book Antiqua" w:hAnsi="Book Antiqua" w:eastAsia="MS Mincho" w:cs="Arial"/>
              </w:rPr>
            </w:pPr>
            <w:r>
              <w:rPr>
                <w:rFonts w:ascii="Book Antiqua" w:hAnsi="Book Antiqua" w:eastAsia="MS Mincho" w:cs="Arial"/>
              </w:rPr>
              <w:t>Bilateral</w:t>
            </w:r>
          </w:p>
        </w:tc>
        <w:tc>
          <w:tcPr>
            <w:tcW w:w="450" w:type="pct"/>
            <w:tcBorders>
              <w:top w:val="single" w:color="auto" w:sz="4" w:space="0"/>
            </w:tcBorders>
          </w:tcPr>
          <w:p>
            <w:pPr>
              <w:spacing w:line="360" w:lineRule="auto"/>
              <w:jc w:val="both"/>
              <w:rPr>
                <w:rFonts w:ascii="Book Antiqua" w:hAnsi="Book Antiqua" w:eastAsia="MS Mincho" w:cs="Arial"/>
              </w:rPr>
            </w:pPr>
            <w:r>
              <w:rPr>
                <w:rFonts w:ascii="Book Antiqua" w:hAnsi="Book Antiqua" w:eastAsia="MS Mincho" w:cs="Arial"/>
              </w:rPr>
              <w:t>Unilateral</w:t>
            </w:r>
          </w:p>
        </w:tc>
        <w:tc>
          <w:tcPr>
            <w:tcW w:w="300" w:type="pct"/>
            <w:tcBorders>
              <w:top w:val="single" w:color="auto" w:sz="4" w:space="0"/>
            </w:tcBorders>
          </w:tcPr>
          <w:p>
            <w:pPr>
              <w:spacing w:line="360" w:lineRule="auto"/>
              <w:jc w:val="both"/>
              <w:rPr>
                <w:rFonts w:ascii="Book Antiqua" w:hAnsi="Book Antiqua" w:eastAsia="MS Mincho" w:cs="Arial"/>
              </w:rPr>
            </w:pPr>
          </w:p>
        </w:tc>
        <w:tc>
          <w:tcPr>
            <w:tcW w:w="1762" w:type="pct"/>
            <w:tcBorders>
              <w:top w:val="single" w:color="auto" w:sz="4" w:space="0"/>
            </w:tcBorders>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restart"/>
          </w:tcPr>
          <w:p>
            <w:pPr>
              <w:spacing w:line="360" w:lineRule="auto"/>
              <w:jc w:val="both"/>
              <w:rPr>
                <w:rFonts w:ascii="Book Antiqua" w:hAnsi="Book Antiqua" w:cs="Arial"/>
                <w:lang w:eastAsia="zh-CN"/>
              </w:rPr>
            </w:pPr>
            <w:r>
              <w:rPr>
                <w:rFonts w:ascii="Book Antiqua" w:hAnsi="Book Antiqua" w:eastAsia="MS Mincho" w:cs="Arial"/>
              </w:rPr>
              <w:t>Nunes P</w:t>
            </w:r>
            <w:r>
              <w:rPr>
                <w:rFonts w:ascii="Book Antiqua" w:hAnsi="Book Antiqua" w:eastAsia="MS Mincho" w:cs="Arial"/>
                <w:i/>
              </w:rPr>
              <w:t xml:space="preserve"> et al</w:t>
            </w:r>
            <w:r>
              <w:rPr>
                <w:rFonts w:ascii="Book Antiqua" w:hAnsi="Book Antiqua" w:cs="Arial"/>
                <w:vertAlign w:val="superscript"/>
                <w:lang w:eastAsia="zh-CN"/>
              </w:rPr>
              <w:t>[13]</w:t>
            </w:r>
            <w:r>
              <w:rPr>
                <w:rFonts w:ascii="Book Antiqua" w:hAnsi="Book Antiqua" w:eastAsia="MS Mincho" w:cs="Arial"/>
              </w:rPr>
              <w:t>, 2007</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(143)</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(6%) + DD (94%)</w:t>
            </w: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r>
              <w:rPr>
                <w:rFonts w:ascii="Book Antiqua" w:hAnsi="Book Antiqua" w:eastAsia="MS Mincho" w:cs="Arial"/>
              </w:rPr>
              <w:t>+</w:t>
            </w:r>
          </w:p>
        </w:tc>
        <w:tc>
          <w:tcPr>
            <w:tcW w:w="300" w:type="pct"/>
          </w:tcPr>
          <w:p>
            <w:pPr>
              <w:spacing w:line="360" w:lineRule="auto"/>
              <w:jc w:val="both"/>
              <w:rPr>
                <w:rFonts w:ascii="Book Antiqua" w:hAnsi="Book Antiqua" w:eastAsia="MS Mincho" w:cs="Arial"/>
              </w:rPr>
            </w:pPr>
          </w:p>
        </w:tc>
        <w:tc>
          <w:tcPr>
            <w:tcW w:w="1762" w:type="pct"/>
            <w:vMerge w:val="restart"/>
          </w:tcPr>
          <w:p>
            <w:pPr>
              <w:spacing w:line="360" w:lineRule="auto"/>
              <w:jc w:val="both"/>
              <w:rPr>
                <w:rFonts w:ascii="Book Antiqua" w:hAnsi="Book Antiqua" w:cs="Arial"/>
                <w:lang w:eastAsia="zh-CN"/>
              </w:rPr>
            </w:pPr>
            <w:r>
              <w:rPr>
                <w:rFonts w:ascii="Book Antiqua" w:hAnsi="Book Antiqua" w:eastAsia="MS Mincho" w:cs="Arial"/>
              </w:rPr>
              <w:t>Comparable overall complication rate and graft survival after 5 years if unilateral nephrectomy is performed for creation of space for a renal allograft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continue"/>
          </w:tcPr>
          <w:p>
            <w:pPr>
              <w:spacing w:line="360" w:lineRule="auto"/>
              <w:jc w:val="both"/>
              <w:rPr>
                <w:rFonts w:ascii="Book Antiqua" w:hAnsi="Book Antiqua" w:eastAsia="MS Mincho" w:cs="Arial"/>
              </w:rPr>
            </w:pPr>
          </w:p>
        </w:tc>
        <w:tc>
          <w:tcPr>
            <w:tcW w:w="346" w:type="pct"/>
          </w:tcPr>
          <w:p>
            <w:pPr>
              <w:spacing w:line="360" w:lineRule="auto"/>
              <w:jc w:val="both"/>
              <w:rPr>
                <w:rFonts w:ascii="Book Antiqua" w:hAnsi="Book Antiqua" w:eastAsia="MS Mincho" w:cs="Arial"/>
              </w:rPr>
            </w:pPr>
            <w:r>
              <w:rPr>
                <w:rFonts w:ascii="Book Antiqua" w:hAnsi="Book Antiqua" w:eastAsia="MS Mincho" w:cs="Arial"/>
              </w:rPr>
              <w:t>2 (16)</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(2%) + DD (98%)</w:t>
            </w: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r>
              <w:rPr>
                <w:rFonts w:ascii="Book Antiqua" w:hAnsi="Book Antiqua" w:eastAsia="MS Mincho" w:cs="Arial"/>
              </w:rPr>
              <w:t>+</w:t>
            </w:r>
          </w:p>
        </w:tc>
        <w:tc>
          <w:tcPr>
            <w:tcW w:w="1762" w:type="pct"/>
            <w:vMerge w:val="continue"/>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tcPr>
          <w:p>
            <w:pPr>
              <w:spacing w:line="360" w:lineRule="auto"/>
              <w:jc w:val="both"/>
              <w:rPr>
                <w:rFonts w:ascii="Book Antiqua" w:hAnsi="Book Antiqua" w:eastAsia="MS Mincho" w:cs="Arial"/>
              </w:rPr>
            </w:pPr>
            <w:r>
              <w:rPr>
                <w:rFonts w:ascii="Book Antiqua" w:hAnsi="Book Antiqua" w:eastAsia="MS Mincho" w:cs="Arial"/>
              </w:rPr>
              <w:t>Kramer A</w:t>
            </w:r>
            <w:r>
              <w:rPr>
                <w:rFonts w:ascii="Book Antiqua" w:hAnsi="Book Antiqua" w:eastAsia="MS Mincho" w:cs="Arial"/>
                <w:i/>
              </w:rPr>
              <w:t xml:space="preserve"> et al</w:t>
            </w:r>
            <w:r>
              <w:rPr>
                <w:rFonts w:ascii="Book Antiqua" w:hAnsi="Book Antiqua" w:cs="Arial"/>
                <w:vertAlign w:val="superscript"/>
                <w:lang w:eastAsia="zh-CN"/>
              </w:rPr>
              <w:t>[14]</w:t>
            </w:r>
            <w:r>
              <w:rPr>
                <w:rFonts w:ascii="Book Antiqua" w:hAnsi="Book Antiqua" w:eastAsia="MS Mincho" w:cs="Arial"/>
              </w:rPr>
              <w:t>, 2009</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(20)</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(100%)</w:t>
            </w:r>
          </w:p>
        </w:tc>
        <w:tc>
          <w:tcPr>
            <w:tcW w:w="400" w:type="pct"/>
          </w:tcPr>
          <w:p>
            <w:pPr>
              <w:spacing w:line="360" w:lineRule="auto"/>
              <w:jc w:val="both"/>
              <w:rPr>
                <w:rFonts w:ascii="Book Antiqua" w:hAnsi="Book Antiqua" w:eastAsia="MS Mincho" w:cs="Arial"/>
              </w:rPr>
            </w:pPr>
            <w:r>
              <w:rPr>
                <w:rFonts w:ascii="Book Antiqua" w:hAnsi="Book Antiqua" w:eastAsia="MS Mincho" w:cs="Arial"/>
              </w:rPr>
              <w:t>+</w:t>
            </w: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p>
        </w:tc>
        <w:tc>
          <w:tcPr>
            <w:tcW w:w="1762" w:type="pct"/>
          </w:tcPr>
          <w:p>
            <w:pPr>
              <w:spacing w:line="360" w:lineRule="auto"/>
              <w:jc w:val="both"/>
              <w:rPr>
                <w:rFonts w:ascii="Book Antiqua" w:hAnsi="Book Antiqua" w:cs="Arial"/>
                <w:lang w:eastAsia="zh-CN"/>
              </w:rPr>
            </w:pPr>
            <w:r>
              <w:rPr>
                <w:rFonts w:ascii="Book Antiqua" w:hAnsi="Book Antiqua" w:eastAsia="MS Mincho" w:cs="Arial"/>
              </w:rPr>
              <w:t>Minimal morbidity of an associated bilateral nephrectomy during transplantation and graft and patient survival of 100% during 5-year follow-up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tcPr>
          <w:p>
            <w:pPr>
              <w:spacing w:line="360" w:lineRule="auto"/>
              <w:jc w:val="both"/>
              <w:rPr>
                <w:rFonts w:ascii="Book Antiqua" w:hAnsi="Book Antiqua" w:eastAsia="MS Mincho" w:cs="Arial"/>
              </w:rPr>
            </w:pPr>
            <w:r>
              <w:rPr>
                <w:rFonts w:ascii="Book Antiqua" w:hAnsi="Book Antiqua" w:eastAsia="MS Mincho" w:cs="Arial"/>
              </w:rPr>
              <w:t>Skauby MH</w:t>
            </w:r>
            <w:r>
              <w:rPr>
                <w:rFonts w:ascii="Book Antiqua" w:hAnsi="Book Antiqua" w:eastAsia="MS Mincho" w:cs="Arial"/>
                <w:i/>
              </w:rPr>
              <w:t xml:space="preserve"> et al</w:t>
            </w:r>
            <w:r>
              <w:rPr>
                <w:rFonts w:ascii="Book Antiqua" w:hAnsi="Book Antiqua" w:cs="Arial"/>
                <w:vertAlign w:val="superscript"/>
                <w:lang w:eastAsia="zh-CN"/>
              </w:rPr>
              <w:t>[15]</w:t>
            </w:r>
            <w:r>
              <w:rPr>
                <w:rFonts w:ascii="Book Antiqua" w:hAnsi="Book Antiqua" w:eastAsia="MS Mincho" w:cs="Arial"/>
              </w:rPr>
              <w:t>, 2012</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(79)</w:t>
            </w:r>
            <w:r>
              <w:rPr>
                <w:rFonts w:hint="eastAsia" w:ascii="Book Antiqua" w:hAnsi="Book Antiqua" w:cs="Arial"/>
                <w:lang w:eastAsia="zh-CN"/>
              </w:rPr>
              <w:t xml:space="preserve">; </w:t>
            </w:r>
            <w:r>
              <w:rPr>
                <w:rFonts w:ascii="Book Antiqua" w:hAnsi="Book Antiqua" w:eastAsia="MS Mincho" w:cs="Arial"/>
              </w:rPr>
              <w:t>2 (78)</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(100%)</w:t>
            </w:r>
          </w:p>
          <w:p>
            <w:pPr>
              <w:spacing w:line="360" w:lineRule="auto"/>
              <w:jc w:val="both"/>
              <w:rPr>
                <w:rFonts w:ascii="Book Antiqua" w:hAnsi="Book Antiqua" w:eastAsia="MS Mincho" w:cs="Arial"/>
              </w:rPr>
            </w:pPr>
          </w:p>
        </w:tc>
        <w:tc>
          <w:tcPr>
            <w:tcW w:w="400" w:type="pct"/>
          </w:tcPr>
          <w:p>
            <w:pPr>
              <w:spacing w:line="360" w:lineRule="auto"/>
              <w:jc w:val="both"/>
              <w:rPr>
                <w:rFonts w:ascii="Book Antiqua" w:hAnsi="Book Antiqua" w:eastAsia="MS Mincho" w:cs="Arial"/>
              </w:rPr>
            </w:pPr>
            <w:r>
              <w:rPr>
                <w:rFonts w:ascii="Book Antiqua" w:hAnsi="Book Antiqua" w:eastAsia="MS Mincho" w:cs="Arial"/>
              </w:rPr>
              <w:t>+</w:t>
            </w: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r>
              <w:rPr>
                <w:rFonts w:ascii="Book Antiqua" w:hAnsi="Book Antiqua" w:eastAsia="MS Mincho" w:cs="Arial"/>
              </w:rPr>
              <w:t>+</w:t>
            </w:r>
          </w:p>
        </w:tc>
        <w:tc>
          <w:tcPr>
            <w:tcW w:w="1762" w:type="pct"/>
          </w:tcPr>
          <w:p>
            <w:pPr>
              <w:spacing w:line="360" w:lineRule="auto"/>
              <w:jc w:val="both"/>
              <w:rPr>
                <w:rFonts w:ascii="Book Antiqua" w:hAnsi="Book Antiqua" w:cs="Arial"/>
                <w:lang w:eastAsia="zh-CN"/>
              </w:rPr>
            </w:pPr>
            <w:r>
              <w:rPr>
                <w:rFonts w:ascii="Book Antiqua" w:hAnsi="Book Antiqua" w:eastAsia="MS Mincho" w:cs="Arial"/>
              </w:rPr>
              <w:t>Associated bilateral nephrectomy results in a longer hospital stay and more postoperative complications. No difference in 1- and 5-year patient and graft survival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tcPr>
          <w:p>
            <w:pPr>
              <w:spacing w:line="360" w:lineRule="auto"/>
              <w:jc w:val="both"/>
              <w:rPr>
                <w:rFonts w:ascii="Book Antiqua" w:hAnsi="Book Antiqua" w:eastAsia="MS Mincho" w:cs="Arial"/>
              </w:rPr>
            </w:pPr>
            <w:r>
              <w:rPr>
                <w:rFonts w:ascii="Book Antiqua" w:hAnsi="Book Antiqua" w:eastAsia="MS Mincho" w:cs="Arial"/>
              </w:rPr>
              <w:t>Neeff HP</w:t>
            </w:r>
            <w:r>
              <w:rPr>
                <w:rFonts w:ascii="Book Antiqua" w:hAnsi="Book Antiqua" w:eastAsia="MS Mincho" w:cs="Arial"/>
                <w:i/>
              </w:rPr>
              <w:t xml:space="preserve"> et al</w:t>
            </w:r>
            <w:r>
              <w:rPr>
                <w:rFonts w:ascii="Book Antiqua" w:hAnsi="Book Antiqua" w:cs="Arial"/>
                <w:vertAlign w:val="superscript"/>
                <w:lang w:eastAsia="zh-CN"/>
              </w:rPr>
              <w:t>[16]</w:t>
            </w:r>
            <w:r>
              <w:rPr>
                <w:rFonts w:ascii="Book Antiqua" w:hAnsi="Book Antiqua" w:eastAsia="MS Mincho" w:cs="Arial"/>
              </w:rPr>
              <w:t>, 2013</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(100)</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(38%) + DD (62%)</w:t>
            </w: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r>
              <w:rPr>
                <w:rFonts w:ascii="Book Antiqua" w:hAnsi="Book Antiqua" w:eastAsia="MS Mincho" w:cs="Arial"/>
              </w:rPr>
              <w:t>+</w:t>
            </w:r>
          </w:p>
        </w:tc>
        <w:tc>
          <w:tcPr>
            <w:tcW w:w="300" w:type="pct"/>
          </w:tcPr>
          <w:p>
            <w:pPr>
              <w:spacing w:line="360" w:lineRule="auto"/>
              <w:jc w:val="both"/>
              <w:rPr>
                <w:rFonts w:ascii="Book Antiqua" w:hAnsi="Book Antiqua" w:eastAsia="MS Mincho" w:cs="Arial"/>
              </w:rPr>
            </w:pPr>
          </w:p>
        </w:tc>
        <w:tc>
          <w:tcPr>
            <w:tcW w:w="1762" w:type="pct"/>
          </w:tcPr>
          <w:p>
            <w:pPr>
              <w:spacing w:line="360" w:lineRule="auto"/>
              <w:jc w:val="both"/>
              <w:rPr>
                <w:rFonts w:ascii="Book Antiqua" w:hAnsi="Book Antiqua" w:cs="Arial"/>
                <w:lang w:eastAsia="zh-CN"/>
              </w:rPr>
            </w:pPr>
            <w:r>
              <w:rPr>
                <w:rFonts w:ascii="Book Antiqua" w:hAnsi="Book Antiqua" w:eastAsia="MS Mincho" w:cs="Arial"/>
              </w:rPr>
              <w:t>Routine ipsilateral nephrectomy, independent of volume of polycystic kidney, during transplantation is a safe procedure without endangering patient or graft survival. The death of 3 patients in the first year post-transplant is a concern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restart"/>
          </w:tcPr>
          <w:p>
            <w:pPr>
              <w:spacing w:line="360" w:lineRule="auto"/>
              <w:jc w:val="both"/>
              <w:rPr>
                <w:rFonts w:ascii="Book Antiqua" w:hAnsi="Book Antiqua" w:eastAsia="MS Mincho" w:cs="Arial"/>
              </w:rPr>
            </w:pPr>
            <w:r>
              <w:rPr>
                <w:rFonts w:ascii="Book Antiqua" w:hAnsi="Book Antiqua" w:eastAsia="MS Mincho" w:cs="Arial"/>
              </w:rPr>
              <w:t>Ahmad SB</w:t>
            </w:r>
            <w:r>
              <w:rPr>
                <w:rFonts w:ascii="Book Antiqua" w:hAnsi="Book Antiqua" w:eastAsia="MS Mincho" w:cs="Arial"/>
                <w:i/>
              </w:rPr>
              <w:t xml:space="preserve"> et al</w:t>
            </w:r>
            <w:r>
              <w:rPr>
                <w:rFonts w:ascii="Book Antiqua" w:hAnsi="Book Antiqua" w:cs="Arial"/>
                <w:vertAlign w:val="superscript"/>
                <w:lang w:eastAsia="zh-CN"/>
              </w:rPr>
              <w:t>[17]</w:t>
            </w:r>
            <w:r>
              <w:rPr>
                <w:rFonts w:ascii="Book Antiqua" w:hAnsi="Book Antiqua" w:eastAsia="MS Mincho" w:cs="Arial"/>
              </w:rPr>
              <w:t>, 2016</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(66)</w:t>
            </w:r>
          </w:p>
        </w:tc>
        <w:tc>
          <w:tcPr>
            <w:tcW w:w="1054" w:type="pct"/>
            <w:vMerge w:val="restart"/>
          </w:tcPr>
          <w:p>
            <w:pPr>
              <w:spacing w:line="360" w:lineRule="auto"/>
              <w:jc w:val="both"/>
              <w:rPr>
                <w:rFonts w:ascii="Book Antiqua" w:hAnsi="Book Antiqua" w:eastAsia="MS Mincho" w:cs="Arial"/>
              </w:rPr>
            </w:pPr>
            <w:r>
              <w:rPr>
                <w:rFonts w:ascii="Book Antiqua" w:hAnsi="Book Antiqua" w:eastAsia="MS Mincho" w:cs="Arial"/>
              </w:rPr>
              <w:t>LD (100%)</w:t>
            </w:r>
          </w:p>
        </w:tc>
        <w:tc>
          <w:tcPr>
            <w:tcW w:w="400" w:type="pct"/>
          </w:tcPr>
          <w:p>
            <w:pPr>
              <w:spacing w:line="360" w:lineRule="auto"/>
              <w:jc w:val="both"/>
              <w:rPr>
                <w:rFonts w:ascii="Book Antiqua" w:hAnsi="Book Antiqua" w:eastAsia="MS Mincho" w:cs="Arial"/>
              </w:rPr>
            </w:pPr>
            <w:r>
              <w:rPr>
                <w:rFonts w:ascii="Book Antiqua" w:hAnsi="Book Antiqua" w:eastAsia="MS Mincho" w:cs="Arial"/>
              </w:rPr>
              <w:t>+</w:t>
            </w: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p>
        </w:tc>
        <w:tc>
          <w:tcPr>
            <w:tcW w:w="1762" w:type="pct"/>
            <w:vMerge w:val="restart"/>
          </w:tcPr>
          <w:p>
            <w:pPr>
              <w:spacing w:line="360" w:lineRule="auto"/>
              <w:jc w:val="both"/>
              <w:rPr>
                <w:rFonts w:ascii="Book Antiqua" w:hAnsi="Book Antiqua" w:eastAsia="MS Mincho" w:cs="Arial"/>
              </w:rPr>
            </w:pPr>
            <w:r>
              <w:rPr>
                <w:rFonts w:ascii="Book Antiqua" w:hAnsi="Book Antiqua" w:eastAsia="MS Mincho" w:cs="Arial"/>
              </w:rPr>
              <w:t>In symptomatic patients with ADPKD, the combined procedure is advantageous, especially in terms of patient satisfaction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continue"/>
          </w:tcPr>
          <w:p>
            <w:pPr>
              <w:spacing w:line="360" w:lineRule="auto"/>
              <w:jc w:val="both"/>
              <w:rPr>
                <w:rFonts w:ascii="Book Antiqua" w:hAnsi="Book Antiqua" w:eastAsia="MS Mincho" w:cs="Arial"/>
              </w:rPr>
            </w:pPr>
          </w:p>
        </w:tc>
        <w:tc>
          <w:tcPr>
            <w:tcW w:w="346" w:type="pct"/>
          </w:tcPr>
          <w:p>
            <w:pPr>
              <w:spacing w:line="360" w:lineRule="auto"/>
              <w:jc w:val="both"/>
              <w:rPr>
                <w:rFonts w:ascii="Book Antiqua" w:hAnsi="Book Antiqua" w:eastAsia="MS Mincho" w:cs="Arial"/>
              </w:rPr>
            </w:pPr>
            <w:r>
              <w:rPr>
                <w:rFonts w:ascii="Book Antiqua" w:hAnsi="Book Antiqua" w:eastAsia="MS Mincho" w:cs="Arial"/>
              </w:rPr>
              <w:t>2 (52)</w:t>
            </w:r>
          </w:p>
        </w:tc>
        <w:tc>
          <w:tcPr>
            <w:tcW w:w="1054" w:type="pct"/>
            <w:vMerge w:val="continue"/>
          </w:tcPr>
          <w:p>
            <w:pPr>
              <w:spacing w:line="360" w:lineRule="auto"/>
              <w:jc w:val="both"/>
              <w:rPr>
                <w:rFonts w:ascii="Book Antiqua" w:hAnsi="Book Antiqua" w:eastAsia="MS Mincho" w:cs="Arial"/>
              </w:rPr>
            </w:pP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r>
              <w:rPr>
                <w:rFonts w:ascii="Book Antiqua" w:hAnsi="Book Antiqua" w:eastAsia="MS Mincho" w:cs="Arial"/>
              </w:rPr>
              <w:t>+</w:t>
            </w:r>
          </w:p>
        </w:tc>
        <w:tc>
          <w:tcPr>
            <w:tcW w:w="1762" w:type="pct"/>
            <w:vMerge w:val="continue"/>
          </w:tcPr>
          <w:p>
            <w:pPr>
              <w:spacing w:line="360" w:lineRule="auto"/>
              <w:jc w:val="both"/>
              <w:rPr>
                <w:rFonts w:ascii="Book Antiqua" w:hAnsi="Book Antiqua" w:eastAsia="MS Mincho"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restart"/>
          </w:tcPr>
          <w:p>
            <w:pPr>
              <w:spacing w:line="360" w:lineRule="auto"/>
              <w:jc w:val="both"/>
              <w:rPr>
                <w:rFonts w:ascii="Book Antiqua" w:hAnsi="Book Antiqua" w:eastAsia="MS Mincho" w:cs="Arial"/>
              </w:rPr>
            </w:pPr>
            <w:r>
              <w:rPr>
                <w:rFonts w:ascii="Book Antiqua" w:hAnsi="Book Antiqua" w:eastAsia="MS Mincho" w:cs="Arial"/>
              </w:rPr>
              <w:t>Current study</w:t>
            </w:r>
          </w:p>
        </w:tc>
        <w:tc>
          <w:tcPr>
            <w:tcW w:w="346" w:type="pct"/>
          </w:tcPr>
          <w:p>
            <w:pPr>
              <w:spacing w:line="360" w:lineRule="auto"/>
              <w:jc w:val="both"/>
              <w:rPr>
                <w:rFonts w:ascii="Book Antiqua" w:hAnsi="Book Antiqua" w:eastAsia="MS Mincho" w:cs="Arial"/>
              </w:rPr>
            </w:pPr>
            <w:r>
              <w:rPr>
                <w:rFonts w:ascii="Book Antiqua" w:hAnsi="Book Antiqua" w:eastAsia="MS Mincho" w:cs="Arial"/>
              </w:rPr>
              <w:t>1 (77)</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(7.8%) + DD (92.2%)</w:t>
            </w: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r>
              <w:rPr>
                <w:rFonts w:ascii="Book Antiqua" w:hAnsi="Book Antiqua" w:eastAsia="MS Mincho" w:cs="Arial"/>
              </w:rPr>
              <w:t>+</w:t>
            </w:r>
          </w:p>
        </w:tc>
        <w:tc>
          <w:tcPr>
            <w:tcW w:w="300" w:type="pct"/>
          </w:tcPr>
          <w:p>
            <w:pPr>
              <w:spacing w:line="360" w:lineRule="auto"/>
              <w:jc w:val="both"/>
              <w:rPr>
                <w:rFonts w:ascii="Book Antiqua" w:hAnsi="Book Antiqua" w:eastAsia="MS Mincho" w:cs="Arial"/>
              </w:rPr>
            </w:pPr>
          </w:p>
        </w:tc>
        <w:tc>
          <w:tcPr>
            <w:tcW w:w="1762" w:type="pct"/>
            <w:vMerge w:val="restart"/>
          </w:tcPr>
          <w:p>
            <w:pPr>
              <w:spacing w:line="360" w:lineRule="auto"/>
              <w:jc w:val="both"/>
              <w:rPr>
                <w:rFonts w:ascii="Book Antiqua" w:hAnsi="Book Antiqua" w:eastAsia="MS Mincho" w:cs="Arial"/>
              </w:rPr>
            </w:pPr>
            <w:r>
              <w:rPr>
                <w:rFonts w:ascii="Book Antiqua" w:hAnsi="Book Antiqua" w:eastAsia="MS Mincho" w:cs="Arial"/>
              </w:rPr>
              <w:t>Comparable surgical comorbidity and 1- and 5-year patient and graft survival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88" w:type="pct"/>
            <w:vMerge w:val="continue"/>
          </w:tcPr>
          <w:p>
            <w:pPr>
              <w:spacing w:line="360" w:lineRule="auto"/>
              <w:jc w:val="both"/>
              <w:rPr>
                <w:rFonts w:ascii="Book Antiqua" w:hAnsi="Book Antiqua" w:eastAsia="MS Mincho" w:cs="Arial"/>
              </w:rPr>
            </w:pPr>
          </w:p>
        </w:tc>
        <w:tc>
          <w:tcPr>
            <w:tcW w:w="346" w:type="pct"/>
          </w:tcPr>
          <w:p>
            <w:pPr>
              <w:spacing w:line="360" w:lineRule="auto"/>
              <w:jc w:val="both"/>
              <w:rPr>
                <w:rFonts w:ascii="Book Antiqua" w:hAnsi="Book Antiqua" w:eastAsia="MS Mincho" w:cs="Arial"/>
              </w:rPr>
            </w:pPr>
            <w:r>
              <w:rPr>
                <w:rFonts w:ascii="Book Antiqua" w:hAnsi="Book Antiqua" w:eastAsia="MS Mincho" w:cs="Arial"/>
              </w:rPr>
              <w:t>2 (77)</w:t>
            </w:r>
          </w:p>
        </w:tc>
        <w:tc>
          <w:tcPr>
            <w:tcW w:w="1054" w:type="pct"/>
          </w:tcPr>
          <w:p>
            <w:pPr>
              <w:spacing w:line="360" w:lineRule="auto"/>
              <w:jc w:val="both"/>
              <w:rPr>
                <w:rFonts w:ascii="Book Antiqua" w:hAnsi="Book Antiqua" w:eastAsia="MS Mincho" w:cs="Arial"/>
              </w:rPr>
            </w:pPr>
            <w:r>
              <w:rPr>
                <w:rFonts w:ascii="Book Antiqua" w:hAnsi="Book Antiqua" w:eastAsia="MS Mincho" w:cs="Arial"/>
              </w:rPr>
              <w:t>LD (27.3%) + DD (72.7%)</w:t>
            </w:r>
          </w:p>
        </w:tc>
        <w:tc>
          <w:tcPr>
            <w:tcW w:w="400" w:type="pct"/>
          </w:tcPr>
          <w:p>
            <w:pPr>
              <w:spacing w:line="360" w:lineRule="auto"/>
              <w:jc w:val="both"/>
              <w:rPr>
                <w:rFonts w:ascii="Book Antiqua" w:hAnsi="Book Antiqua" w:eastAsia="MS Mincho" w:cs="Arial"/>
              </w:rPr>
            </w:pPr>
          </w:p>
        </w:tc>
        <w:tc>
          <w:tcPr>
            <w:tcW w:w="450" w:type="pct"/>
          </w:tcPr>
          <w:p>
            <w:pPr>
              <w:spacing w:line="360" w:lineRule="auto"/>
              <w:jc w:val="both"/>
              <w:rPr>
                <w:rFonts w:ascii="Book Antiqua" w:hAnsi="Book Antiqua" w:eastAsia="MS Mincho" w:cs="Arial"/>
              </w:rPr>
            </w:pPr>
          </w:p>
        </w:tc>
        <w:tc>
          <w:tcPr>
            <w:tcW w:w="300" w:type="pct"/>
          </w:tcPr>
          <w:p>
            <w:pPr>
              <w:spacing w:line="360" w:lineRule="auto"/>
              <w:jc w:val="both"/>
              <w:rPr>
                <w:rFonts w:ascii="Book Antiqua" w:hAnsi="Book Antiqua" w:eastAsia="MS Mincho" w:cs="Arial"/>
              </w:rPr>
            </w:pPr>
            <w:r>
              <w:rPr>
                <w:rFonts w:ascii="Book Antiqua" w:hAnsi="Book Antiqua" w:eastAsia="MS Mincho" w:cs="Arial"/>
              </w:rPr>
              <w:t>+</w:t>
            </w:r>
          </w:p>
        </w:tc>
        <w:tc>
          <w:tcPr>
            <w:tcW w:w="1762" w:type="pct"/>
            <w:vMerge w:val="continue"/>
          </w:tcPr>
          <w:p>
            <w:pPr>
              <w:spacing w:line="360" w:lineRule="auto"/>
              <w:jc w:val="both"/>
              <w:rPr>
                <w:rFonts w:ascii="Book Antiqua" w:hAnsi="Book Antiqua" w:eastAsia="MS Mincho" w:cs="Arial"/>
              </w:rPr>
            </w:pPr>
          </w:p>
        </w:tc>
      </w:tr>
    </w:tbl>
    <w:p>
      <w:pPr>
        <w:spacing w:line="360" w:lineRule="auto"/>
        <w:jc w:val="both"/>
        <w:rPr>
          <w:rFonts w:ascii="Book Antiqua" w:hAnsi="Book Antiqua"/>
        </w:rPr>
      </w:pPr>
      <w:r>
        <w:rPr>
          <w:rFonts w:ascii="Book Antiqua" w:hAnsi="Book Antiqua" w:eastAsia="Book Antiqua" w:cs="Book Antiqua"/>
          <w:color w:val="000000"/>
        </w:rPr>
        <w:t xml:space="preserve">ADPKD: Autosomal dominant polycystic kidney disease; DD: </w:t>
      </w:r>
      <w:r>
        <w:rPr>
          <w:rFonts w:hint="eastAsia" w:ascii="Book Antiqua" w:hAnsi="Book Antiqua" w:cs="Book Antiqua"/>
          <w:color w:val="000000"/>
          <w:lang w:eastAsia="zh-CN"/>
        </w:rPr>
        <w:t>D</w:t>
      </w:r>
      <w:r>
        <w:rPr>
          <w:rFonts w:ascii="Book Antiqua" w:hAnsi="Book Antiqua" w:eastAsia="Book Antiqua" w:cs="Book Antiqua"/>
          <w:color w:val="000000"/>
        </w:rPr>
        <w:t xml:space="preserve">eceased donor; LD: </w:t>
      </w:r>
      <w:r>
        <w:rPr>
          <w:rFonts w:hint="eastAsia" w:ascii="Book Antiqua" w:hAnsi="Book Antiqua" w:cs="Book Antiqua"/>
          <w:color w:val="000000"/>
          <w:lang w:eastAsia="zh-CN"/>
        </w:rPr>
        <w:t>L</w:t>
      </w:r>
      <w:r>
        <w:rPr>
          <w:rFonts w:ascii="Book Antiqua" w:hAnsi="Book Antiqua" w:eastAsia="Book Antiqua" w:cs="Book Antiqua"/>
          <w:color w:val="000000"/>
        </w:rPr>
        <w:t xml:space="preserve">iving donor; KT: </w:t>
      </w:r>
      <w:r>
        <w:rPr>
          <w:rFonts w:hint="eastAsia" w:ascii="Book Antiqua" w:hAnsi="Book Antiqua" w:cs="Book Antiqua"/>
          <w:color w:val="000000"/>
          <w:lang w:eastAsia="zh-CN"/>
        </w:rPr>
        <w:t>K</w:t>
      </w:r>
      <w:r>
        <w:rPr>
          <w:rFonts w:ascii="Book Antiqua" w:hAnsi="Book Antiqua" w:eastAsia="Book Antiqua" w:cs="Book Antiqua"/>
          <w:color w:val="000000"/>
        </w:rPr>
        <w:t xml:space="preserve">idney transplantation.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roman"/>
    <w:pitch w:val="default"/>
    <w:sig w:usb0="00000000" w:usb1="00000000" w:usb2="00000010" w:usb3="00000000" w:csb0="00020000" w:csb1="00000000"/>
  </w:font>
  <w:font w:name="Samurai">
    <w:panose1 w:val="02000609000000000000"/>
    <w:charset w:val="80"/>
    <w:family w:val="auto"/>
    <w:pitch w:val="default"/>
    <w:sig w:usb0="A00002BF" w:usb1="68C7FCFB" w:usb2="00000010"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32</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44529F"/>
    <w:rsid w:val="0001225B"/>
    <w:rsid w:val="00016641"/>
    <w:rsid w:val="00017D4E"/>
    <w:rsid w:val="0003046F"/>
    <w:rsid w:val="00042A11"/>
    <w:rsid w:val="00044529"/>
    <w:rsid w:val="00044986"/>
    <w:rsid w:val="00051CDC"/>
    <w:rsid w:val="00057F1B"/>
    <w:rsid w:val="00060DFE"/>
    <w:rsid w:val="00065462"/>
    <w:rsid w:val="000702A0"/>
    <w:rsid w:val="000764A9"/>
    <w:rsid w:val="00087C40"/>
    <w:rsid w:val="00087F2E"/>
    <w:rsid w:val="000975C1"/>
    <w:rsid w:val="000A4172"/>
    <w:rsid w:val="000C77D0"/>
    <w:rsid w:val="000D241D"/>
    <w:rsid w:val="000F1FD0"/>
    <w:rsid w:val="00100010"/>
    <w:rsid w:val="00110F80"/>
    <w:rsid w:val="0013300A"/>
    <w:rsid w:val="0014339E"/>
    <w:rsid w:val="00147B90"/>
    <w:rsid w:val="001509EC"/>
    <w:rsid w:val="00177206"/>
    <w:rsid w:val="001A1B9D"/>
    <w:rsid w:val="001A642C"/>
    <w:rsid w:val="001A711E"/>
    <w:rsid w:val="001B6C31"/>
    <w:rsid w:val="001C2920"/>
    <w:rsid w:val="001D1F62"/>
    <w:rsid w:val="001F04C0"/>
    <w:rsid w:val="00201CAD"/>
    <w:rsid w:val="00220A8B"/>
    <w:rsid w:val="00224B98"/>
    <w:rsid w:val="00227701"/>
    <w:rsid w:val="00243830"/>
    <w:rsid w:val="00262C49"/>
    <w:rsid w:val="002642F7"/>
    <w:rsid w:val="0027008D"/>
    <w:rsid w:val="002726EC"/>
    <w:rsid w:val="00282F13"/>
    <w:rsid w:val="002839D2"/>
    <w:rsid w:val="002C6202"/>
    <w:rsid w:val="002D2666"/>
    <w:rsid w:val="002F22EE"/>
    <w:rsid w:val="00300185"/>
    <w:rsid w:val="00305BA1"/>
    <w:rsid w:val="00307495"/>
    <w:rsid w:val="0033415D"/>
    <w:rsid w:val="00360858"/>
    <w:rsid w:val="003647D4"/>
    <w:rsid w:val="003650AD"/>
    <w:rsid w:val="00383AA1"/>
    <w:rsid w:val="00386C02"/>
    <w:rsid w:val="003B239F"/>
    <w:rsid w:val="003B7F03"/>
    <w:rsid w:val="003C1FD4"/>
    <w:rsid w:val="003C54A5"/>
    <w:rsid w:val="003E0861"/>
    <w:rsid w:val="003F20B4"/>
    <w:rsid w:val="00421446"/>
    <w:rsid w:val="0044529F"/>
    <w:rsid w:val="00467E61"/>
    <w:rsid w:val="00475C72"/>
    <w:rsid w:val="00477EF3"/>
    <w:rsid w:val="0048440C"/>
    <w:rsid w:val="00486447"/>
    <w:rsid w:val="004B7264"/>
    <w:rsid w:val="004D0097"/>
    <w:rsid w:val="004D23B5"/>
    <w:rsid w:val="004D658A"/>
    <w:rsid w:val="004E022C"/>
    <w:rsid w:val="004E1690"/>
    <w:rsid w:val="004F0EBF"/>
    <w:rsid w:val="004F519A"/>
    <w:rsid w:val="00503E44"/>
    <w:rsid w:val="00521982"/>
    <w:rsid w:val="00531348"/>
    <w:rsid w:val="00532B80"/>
    <w:rsid w:val="005363E1"/>
    <w:rsid w:val="00540227"/>
    <w:rsid w:val="005502C9"/>
    <w:rsid w:val="00574CA7"/>
    <w:rsid w:val="00575148"/>
    <w:rsid w:val="00576D4B"/>
    <w:rsid w:val="0058535F"/>
    <w:rsid w:val="005939C1"/>
    <w:rsid w:val="005B0BDD"/>
    <w:rsid w:val="005B10E8"/>
    <w:rsid w:val="005D2659"/>
    <w:rsid w:val="005D5455"/>
    <w:rsid w:val="005E0919"/>
    <w:rsid w:val="005E50F2"/>
    <w:rsid w:val="005E7594"/>
    <w:rsid w:val="005F0D4F"/>
    <w:rsid w:val="0060138C"/>
    <w:rsid w:val="00623BC8"/>
    <w:rsid w:val="00623E2A"/>
    <w:rsid w:val="0062523D"/>
    <w:rsid w:val="00643068"/>
    <w:rsid w:val="006519F8"/>
    <w:rsid w:val="00655E48"/>
    <w:rsid w:val="0065677A"/>
    <w:rsid w:val="00663428"/>
    <w:rsid w:val="006669B7"/>
    <w:rsid w:val="006756EE"/>
    <w:rsid w:val="00675F7A"/>
    <w:rsid w:val="00686011"/>
    <w:rsid w:val="006A7A5E"/>
    <w:rsid w:val="00725F88"/>
    <w:rsid w:val="00736B90"/>
    <w:rsid w:val="007434DE"/>
    <w:rsid w:val="00747C67"/>
    <w:rsid w:val="00747DB3"/>
    <w:rsid w:val="00755345"/>
    <w:rsid w:val="00761F28"/>
    <w:rsid w:val="007858B4"/>
    <w:rsid w:val="00786606"/>
    <w:rsid w:val="007B2202"/>
    <w:rsid w:val="007F10B9"/>
    <w:rsid w:val="008168C0"/>
    <w:rsid w:val="00827A73"/>
    <w:rsid w:val="0083305D"/>
    <w:rsid w:val="00833EA3"/>
    <w:rsid w:val="00837A0C"/>
    <w:rsid w:val="008438FC"/>
    <w:rsid w:val="00855BAE"/>
    <w:rsid w:val="00857032"/>
    <w:rsid w:val="00860C0B"/>
    <w:rsid w:val="00865CF5"/>
    <w:rsid w:val="008720BD"/>
    <w:rsid w:val="0088246C"/>
    <w:rsid w:val="00891C59"/>
    <w:rsid w:val="008A45D6"/>
    <w:rsid w:val="008B2C5E"/>
    <w:rsid w:val="008D1BD4"/>
    <w:rsid w:val="00917913"/>
    <w:rsid w:val="00921615"/>
    <w:rsid w:val="00962A3D"/>
    <w:rsid w:val="0097570D"/>
    <w:rsid w:val="009A1AAC"/>
    <w:rsid w:val="009A3374"/>
    <w:rsid w:val="009B6304"/>
    <w:rsid w:val="009C6A90"/>
    <w:rsid w:val="009E1044"/>
    <w:rsid w:val="009F4268"/>
    <w:rsid w:val="009F673C"/>
    <w:rsid w:val="00A4085D"/>
    <w:rsid w:val="00A52392"/>
    <w:rsid w:val="00A839FB"/>
    <w:rsid w:val="00AA6A1B"/>
    <w:rsid w:val="00AB3676"/>
    <w:rsid w:val="00AB6DC9"/>
    <w:rsid w:val="00AB7EA5"/>
    <w:rsid w:val="00AC4AFA"/>
    <w:rsid w:val="00AD35D1"/>
    <w:rsid w:val="00AD662B"/>
    <w:rsid w:val="00AE0063"/>
    <w:rsid w:val="00AE57DD"/>
    <w:rsid w:val="00AF1072"/>
    <w:rsid w:val="00B01A85"/>
    <w:rsid w:val="00B02DFD"/>
    <w:rsid w:val="00B2252A"/>
    <w:rsid w:val="00B65CAA"/>
    <w:rsid w:val="00B6789F"/>
    <w:rsid w:val="00B75F84"/>
    <w:rsid w:val="00B766DF"/>
    <w:rsid w:val="00B92748"/>
    <w:rsid w:val="00B97681"/>
    <w:rsid w:val="00BA62EB"/>
    <w:rsid w:val="00BB77AB"/>
    <w:rsid w:val="00BE2352"/>
    <w:rsid w:val="00BE2C31"/>
    <w:rsid w:val="00BF1429"/>
    <w:rsid w:val="00C0771C"/>
    <w:rsid w:val="00C123D8"/>
    <w:rsid w:val="00C20D63"/>
    <w:rsid w:val="00C67BB7"/>
    <w:rsid w:val="00C73444"/>
    <w:rsid w:val="00C73DA1"/>
    <w:rsid w:val="00C7473D"/>
    <w:rsid w:val="00C779A7"/>
    <w:rsid w:val="00C83D1F"/>
    <w:rsid w:val="00C8792C"/>
    <w:rsid w:val="00C90863"/>
    <w:rsid w:val="00CA1893"/>
    <w:rsid w:val="00CA6B2E"/>
    <w:rsid w:val="00CA73D8"/>
    <w:rsid w:val="00CC17DF"/>
    <w:rsid w:val="00CC6CBB"/>
    <w:rsid w:val="00CD575F"/>
    <w:rsid w:val="00CE62C5"/>
    <w:rsid w:val="00CE65CD"/>
    <w:rsid w:val="00D00927"/>
    <w:rsid w:val="00D07F36"/>
    <w:rsid w:val="00D20386"/>
    <w:rsid w:val="00D21483"/>
    <w:rsid w:val="00D230D1"/>
    <w:rsid w:val="00D23848"/>
    <w:rsid w:val="00D26E01"/>
    <w:rsid w:val="00D403B4"/>
    <w:rsid w:val="00D45760"/>
    <w:rsid w:val="00D56697"/>
    <w:rsid w:val="00D61983"/>
    <w:rsid w:val="00D75FA5"/>
    <w:rsid w:val="00D94658"/>
    <w:rsid w:val="00DA2A8F"/>
    <w:rsid w:val="00DB0E1B"/>
    <w:rsid w:val="00DB1A32"/>
    <w:rsid w:val="00DB4124"/>
    <w:rsid w:val="00DB5354"/>
    <w:rsid w:val="00DC3CAE"/>
    <w:rsid w:val="00DD0BB6"/>
    <w:rsid w:val="00DD1663"/>
    <w:rsid w:val="00DF2AA1"/>
    <w:rsid w:val="00DF67D0"/>
    <w:rsid w:val="00E03BC5"/>
    <w:rsid w:val="00E11380"/>
    <w:rsid w:val="00E17F21"/>
    <w:rsid w:val="00E2349F"/>
    <w:rsid w:val="00E42E86"/>
    <w:rsid w:val="00EA0007"/>
    <w:rsid w:val="00EC7CA9"/>
    <w:rsid w:val="00ED1DD7"/>
    <w:rsid w:val="00ED4503"/>
    <w:rsid w:val="00EE2A97"/>
    <w:rsid w:val="00EE370A"/>
    <w:rsid w:val="00F22BAB"/>
    <w:rsid w:val="00F22CE7"/>
    <w:rsid w:val="00F31E49"/>
    <w:rsid w:val="00F32775"/>
    <w:rsid w:val="00F338F1"/>
    <w:rsid w:val="00F33D65"/>
    <w:rsid w:val="00F3650B"/>
    <w:rsid w:val="00F36856"/>
    <w:rsid w:val="00F44662"/>
    <w:rsid w:val="00F52133"/>
    <w:rsid w:val="00F5753C"/>
    <w:rsid w:val="00F7798A"/>
    <w:rsid w:val="00FA524F"/>
    <w:rsid w:val="00FC49F0"/>
    <w:rsid w:val="00FF6D73"/>
    <w:rsid w:val="0561383E"/>
    <w:rsid w:val="07341622"/>
    <w:rsid w:val="44C04087"/>
    <w:rsid w:val="484D05AF"/>
    <w:rsid w:val="4B1239E1"/>
    <w:rsid w:val="528B1390"/>
    <w:rsid w:val="7287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table" w:styleId="8">
    <w:name w:val="Table Grid"/>
    <w:basedOn w:val="7"/>
    <w:qFormat/>
    <w:uiPriority w:val="59"/>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table" w:customStyle="1" w:styleId="11">
    <w:name w:val="网格型1"/>
    <w:basedOn w:val="7"/>
    <w:qFormat/>
    <w:uiPriority w:val="59"/>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网格型2"/>
    <w:basedOn w:val="7"/>
    <w:qFormat/>
    <w:uiPriority w:val="59"/>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3"/>
    <w:basedOn w:val="7"/>
    <w:qFormat/>
    <w:uiPriority w:val="59"/>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批注框文本 字符"/>
    <w:basedOn w:val="9"/>
    <w:link w:val="3"/>
    <w:qFormat/>
    <w:uiPriority w:val="0"/>
    <w:rPr>
      <w:rFonts w:ascii="Times New Roman" w:hAnsi="Times New Roman" w:cs="Times New Roman" w:eastAsiaTheme="minorEastAsia"/>
      <w:sz w:val="18"/>
      <w:szCs w:val="18"/>
      <w:lang w:val="en-US"/>
    </w:rPr>
  </w:style>
  <w:style w:type="character" w:customStyle="1" w:styleId="15">
    <w:name w:val="页眉 字符"/>
    <w:basedOn w:val="9"/>
    <w:link w:val="5"/>
    <w:qFormat/>
    <w:uiPriority w:val="0"/>
    <w:rPr>
      <w:rFonts w:ascii="Times New Roman" w:hAnsi="Times New Roman" w:cs="Times New Roman" w:eastAsiaTheme="minorEastAsia"/>
      <w:sz w:val="18"/>
      <w:szCs w:val="18"/>
      <w:lang w:val="en-US"/>
    </w:rPr>
  </w:style>
  <w:style w:type="character" w:customStyle="1" w:styleId="16">
    <w:name w:val="页脚 字符"/>
    <w:basedOn w:val="9"/>
    <w:link w:val="4"/>
    <w:qFormat/>
    <w:uiPriority w:val="0"/>
    <w:rPr>
      <w:rFonts w:ascii="Times New Roman" w:hAnsi="Times New Roman" w:cs="Times New Roman" w:eastAsiaTheme="minorEastAsia"/>
      <w:sz w:val="18"/>
      <w:szCs w:val="18"/>
      <w:lang w:val="en-US"/>
    </w:rPr>
  </w:style>
  <w:style w:type="character" w:customStyle="1" w:styleId="17">
    <w:name w:val="批注文字 字符"/>
    <w:basedOn w:val="9"/>
    <w:link w:val="2"/>
    <w:qFormat/>
    <w:uiPriority w:val="0"/>
    <w:rPr>
      <w:rFonts w:ascii="Times New Roman" w:hAnsi="Times New Roman" w:cs="Times New Roman" w:eastAsiaTheme="minorEastAsia"/>
      <w:lang w:val="en-US"/>
    </w:rPr>
  </w:style>
  <w:style w:type="character" w:customStyle="1" w:styleId="18">
    <w:name w:val="批注主题 字符"/>
    <w:basedOn w:val="17"/>
    <w:link w:val="6"/>
    <w:qFormat/>
    <w:uiPriority w:val="0"/>
    <w:rPr>
      <w:rFonts w:ascii="Times New Roman" w:hAnsi="Times New Roman" w:cs="Times New Roman" w:eastAsiaTheme="minorEastAsia"/>
      <w:b/>
      <w:bCs/>
      <w:lang w:val="en-US"/>
    </w:rPr>
  </w:style>
  <w:style w:type="character" w:customStyle="1" w:styleId="19">
    <w:name w:val="jlqj4b"/>
    <w:basedOn w:val="9"/>
    <w:qFormat/>
    <w:uiPriority w:val="0"/>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 w:type="paragraph" w:styleId="21">
    <w:name w:val="List Paragraph"/>
    <w:basedOn w:val="1"/>
    <w:qFormat/>
    <w:uiPriority w:val="34"/>
    <w:pPr>
      <w:spacing w:after="200" w:line="276" w:lineRule="auto"/>
      <w:ind w:firstLine="420" w:firstLineChars="200"/>
    </w:pPr>
    <w:rPr>
      <w:rFonts w:ascii="Calibri" w:hAnsi="Calibri" w:eastAsia="宋体"/>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33</Pages>
  <Words>5805</Words>
  <Characters>34637</Characters>
  <Lines>284</Lines>
  <Paragraphs>80</Paragraphs>
  <TotalTime>0</TotalTime>
  <ScaleCrop>false</ScaleCrop>
  <LinksUpToDate>false</LinksUpToDate>
  <CharactersWithSpaces>40042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2022-04-08T22:01:00Z</dcterms:created>
  <dc:creator>Tom Darius</dc:creator>
  <cp:lastModifiedBy>超级喜欢粉红色</cp:lastModifiedBy>
  <dcterms:modified xsi:type="dcterms:W3CDTF">2022-05-09T03:51:08Z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2888174F37F947B7BE8F1E39A29B7979</vt:lpwstr>
  </property>
</Properties>
</file>