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B7F2" w14:textId="77777777" w:rsidR="00A77B3E" w:rsidRPr="00190A3E" w:rsidRDefault="00150E8B">
      <w:pPr>
        <w:spacing w:line="360" w:lineRule="auto"/>
        <w:jc w:val="both"/>
        <w:rPr>
          <w:rFonts w:ascii="Book Antiqua" w:hAnsi="Book Antiqua"/>
          <w:color w:val="000000" w:themeColor="text1"/>
        </w:rPr>
      </w:pPr>
      <w:bookmarkStart w:id="0" w:name="_Hlk80794432"/>
      <w:r w:rsidRPr="00190A3E">
        <w:rPr>
          <w:rFonts w:ascii="Book Antiqua" w:eastAsia="Book Antiqua" w:hAnsi="Book Antiqua" w:cs="Book Antiqua"/>
          <w:b/>
          <w:color w:val="000000" w:themeColor="text1"/>
        </w:rPr>
        <w:t xml:space="preserve">Name of Journal: </w:t>
      </w:r>
      <w:r w:rsidRPr="00190A3E">
        <w:rPr>
          <w:rFonts w:ascii="Book Antiqua" w:eastAsia="Book Antiqua" w:hAnsi="Book Antiqua" w:cs="Book Antiqua"/>
          <w:i/>
          <w:color w:val="000000" w:themeColor="text1"/>
        </w:rPr>
        <w:t>World Journal of Clinical Oncology</w:t>
      </w:r>
    </w:p>
    <w:p w14:paraId="32D6780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NO: </w:t>
      </w:r>
      <w:r w:rsidRPr="00190A3E">
        <w:rPr>
          <w:rFonts w:ascii="Book Antiqua" w:eastAsia="Book Antiqua" w:hAnsi="Book Antiqua" w:cs="Book Antiqua"/>
          <w:color w:val="000000" w:themeColor="text1"/>
        </w:rPr>
        <w:t>66621</w:t>
      </w:r>
    </w:p>
    <w:p w14:paraId="68C6CE4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Type: </w:t>
      </w:r>
      <w:r w:rsidRPr="00190A3E">
        <w:rPr>
          <w:rFonts w:ascii="Book Antiqua" w:eastAsia="Book Antiqua" w:hAnsi="Book Antiqua" w:cs="Book Antiqua"/>
          <w:color w:val="000000" w:themeColor="text1"/>
        </w:rPr>
        <w:t>MINIREVIEWS</w:t>
      </w:r>
    </w:p>
    <w:p w14:paraId="2DE53731" w14:textId="77777777" w:rsidR="00A77B3E" w:rsidRPr="00190A3E" w:rsidRDefault="00A77B3E">
      <w:pPr>
        <w:spacing w:line="360" w:lineRule="auto"/>
        <w:jc w:val="both"/>
        <w:rPr>
          <w:rFonts w:ascii="Book Antiqua" w:hAnsi="Book Antiqua"/>
          <w:color w:val="000000" w:themeColor="text1"/>
        </w:rPr>
      </w:pPr>
    </w:p>
    <w:p w14:paraId="4D8316C3" w14:textId="47B1C7C3"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Current </w:t>
      </w:r>
      <w:r w:rsidR="00A1754A" w:rsidRPr="00190A3E">
        <w:rPr>
          <w:rFonts w:ascii="Book Antiqua" w:eastAsia="Book Antiqua" w:hAnsi="Book Antiqua" w:cs="Book Antiqua"/>
          <w:b/>
          <w:bCs/>
          <w:color w:val="000000" w:themeColor="text1"/>
        </w:rPr>
        <w:t>u</w:t>
      </w:r>
      <w:r w:rsidRPr="00190A3E">
        <w:rPr>
          <w:rFonts w:ascii="Book Antiqua" w:eastAsia="Book Antiqua" w:hAnsi="Book Antiqua" w:cs="Book Antiqua"/>
          <w:b/>
          <w:bCs/>
          <w:color w:val="000000" w:themeColor="text1"/>
        </w:rPr>
        <w:t xml:space="preserve">pdate on </w:t>
      </w:r>
      <w:r w:rsidR="00A1754A" w:rsidRPr="00190A3E">
        <w:rPr>
          <w:rFonts w:ascii="Book Antiqua" w:eastAsia="Book Antiqua" w:hAnsi="Book Antiqua" w:cs="Book Antiqua"/>
          <w:b/>
          <w:bCs/>
          <w:color w:val="000000" w:themeColor="text1"/>
        </w:rPr>
        <w:t>i</w:t>
      </w:r>
      <w:r w:rsidRPr="00190A3E">
        <w:rPr>
          <w:rFonts w:ascii="Book Antiqua" w:eastAsia="Book Antiqua" w:hAnsi="Book Antiqua" w:cs="Book Antiqua"/>
          <w:b/>
          <w:bCs/>
          <w:color w:val="000000" w:themeColor="text1"/>
        </w:rPr>
        <w:t xml:space="preserve">maging for </w:t>
      </w:r>
      <w:r w:rsidR="00A1754A" w:rsidRPr="00190A3E">
        <w:rPr>
          <w:rFonts w:ascii="Book Antiqua" w:eastAsia="Book Antiqua" w:hAnsi="Book Antiqua" w:cs="Book Antiqua"/>
          <w:b/>
          <w:bCs/>
          <w:color w:val="000000" w:themeColor="text1"/>
        </w:rPr>
        <w:t>p</w:t>
      </w:r>
      <w:r w:rsidRPr="00190A3E">
        <w:rPr>
          <w:rFonts w:ascii="Book Antiqua" w:eastAsia="Book Antiqua" w:hAnsi="Book Antiqua" w:cs="Book Antiqua"/>
          <w:b/>
          <w:bCs/>
          <w:color w:val="000000" w:themeColor="text1"/>
        </w:rPr>
        <w:t xml:space="preserve">ancreatic </w:t>
      </w:r>
      <w:r w:rsidR="00A1754A" w:rsidRPr="00190A3E">
        <w:rPr>
          <w:rFonts w:ascii="Book Antiqua" w:eastAsia="Book Antiqua" w:hAnsi="Book Antiqua" w:cs="Book Antiqua"/>
          <w:b/>
          <w:bCs/>
          <w:color w:val="000000" w:themeColor="text1"/>
        </w:rPr>
        <w:t>n</w:t>
      </w:r>
      <w:r w:rsidRPr="00190A3E">
        <w:rPr>
          <w:rFonts w:ascii="Book Antiqua" w:eastAsia="Book Antiqua" w:hAnsi="Book Antiqua" w:cs="Book Antiqua"/>
          <w:b/>
          <w:bCs/>
          <w:color w:val="000000" w:themeColor="text1"/>
        </w:rPr>
        <w:t xml:space="preserve">euroendocrine </w:t>
      </w:r>
      <w:r w:rsidR="00A1754A" w:rsidRPr="00190A3E">
        <w:rPr>
          <w:rFonts w:ascii="Book Antiqua" w:eastAsia="Book Antiqua" w:hAnsi="Book Antiqua" w:cs="Book Antiqua"/>
          <w:b/>
          <w:bCs/>
          <w:color w:val="000000" w:themeColor="text1"/>
        </w:rPr>
        <w:t>n</w:t>
      </w:r>
      <w:r w:rsidRPr="00190A3E">
        <w:rPr>
          <w:rFonts w:ascii="Book Antiqua" w:eastAsia="Book Antiqua" w:hAnsi="Book Antiqua" w:cs="Book Antiqua"/>
          <w:b/>
          <w:bCs/>
          <w:color w:val="000000" w:themeColor="text1"/>
        </w:rPr>
        <w:t>eoplasms</w:t>
      </w:r>
    </w:p>
    <w:p w14:paraId="390D0704" w14:textId="77777777" w:rsidR="00A77B3E" w:rsidRPr="00190A3E" w:rsidRDefault="00A77B3E">
      <w:pPr>
        <w:spacing w:line="360" w:lineRule="auto"/>
        <w:jc w:val="both"/>
        <w:rPr>
          <w:rFonts w:ascii="Book Antiqua" w:hAnsi="Book Antiqua"/>
          <w:color w:val="000000" w:themeColor="text1"/>
        </w:rPr>
      </w:pPr>
    </w:p>
    <w:p w14:paraId="43D2E591" w14:textId="542F3BD7" w:rsidR="00A77B3E" w:rsidRPr="00190A3E" w:rsidRDefault="00A1754A">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Segaran N </w:t>
      </w:r>
      <w:r w:rsidRPr="00190A3E">
        <w:rPr>
          <w:rFonts w:ascii="Book Antiqua" w:eastAsia="Book Antiqua" w:hAnsi="Book Antiqua" w:cs="Book Antiqua"/>
          <w:i/>
          <w:iCs/>
          <w:color w:val="000000" w:themeColor="text1"/>
        </w:rPr>
        <w:t>et al</w:t>
      </w:r>
      <w:r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color w:val="000000" w:themeColor="text1"/>
        </w:rPr>
        <w:t xml:space="preserve">Current </w:t>
      </w:r>
      <w:r w:rsidRPr="00190A3E">
        <w:rPr>
          <w:rFonts w:ascii="Book Antiqua" w:eastAsia="Book Antiqua" w:hAnsi="Book Antiqua" w:cs="Book Antiqua"/>
          <w:color w:val="000000" w:themeColor="text1"/>
        </w:rPr>
        <w:t>i</w:t>
      </w:r>
      <w:r w:rsidR="00150E8B" w:rsidRPr="00190A3E">
        <w:rPr>
          <w:rFonts w:ascii="Book Antiqua" w:eastAsia="Book Antiqua" w:hAnsi="Book Antiqua" w:cs="Book Antiqua"/>
          <w:color w:val="000000" w:themeColor="text1"/>
        </w:rPr>
        <w:t xml:space="preserve">maging for </w:t>
      </w:r>
      <w:r w:rsidR="00645D2A" w:rsidRPr="00190A3E">
        <w:rPr>
          <w:rFonts w:ascii="Book Antiqua" w:eastAsia="Book Antiqua" w:hAnsi="Book Antiqua" w:cs="Book Antiqua"/>
          <w:color w:val="000000" w:themeColor="text1"/>
        </w:rPr>
        <w:t>panNEN</w:t>
      </w:r>
    </w:p>
    <w:p w14:paraId="0CBDBF99" w14:textId="77777777" w:rsidR="00A77B3E" w:rsidRPr="00190A3E" w:rsidRDefault="00A77B3E">
      <w:pPr>
        <w:spacing w:line="360" w:lineRule="auto"/>
        <w:jc w:val="both"/>
        <w:rPr>
          <w:rFonts w:ascii="Book Antiqua" w:hAnsi="Book Antiqua"/>
          <w:color w:val="000000" w:themeColor="text1"/>
        </w:rPr>
      </w:pPr>
    </w:p>
    <w:p w14:paraId="666C14D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Nicole Segaran, Catherine Devine, Mindy Wang, Dhakshinamoorthy Ganeshan</w:t>
      </w:r>
    </w:p>
    <w:p w14:paraId="5B686827" w14:textId="77777777" w:rsidR="00A77B3E" w:rsidRPr="00190A3E" w:rsidRDefault="00A77B3E">
      <w:pPr>
        <w:spacing w:line="360" w:lineRule="auto"/>
        <w:jc w:val="both"/>
        <w:rPr>
          <w:rFonts w:ascii="Book Antiqua" w:hAnsi="Book Antiqua"/>
          <w:color w:val="000000" w:themeColor="text1"/>
        </w:rPr>
      </w:pPr>
    </w:p>
    <w:p w14:paraId="4F707729" w14:textId="6FDD1B1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Nicole Segaran, </w:t>
      </w:r>
      <w:r w:rsidRPr="00190A3E">
        <w:rPr>
          <w:rFonts w:ascii="Book Antiqua" w:eastAsia="Book Antiqua" w:hAnsi="Book Antiqua" w:cs="Book Antiqua"/>
          <w:color w:val="000000" w:themeColor="text1"/>
        </w:rPr>
        <w:t>Department of Radiology, Mayo Clinic Arizona, Phoenix, A</w:t>
      </w:r>
      <w:r w:rsidR="00B2167A" w:rsidRPr="00190A3E">
        <w:rPr>
          <w:rFonts w:ascii="Book Antiqua" w:eastAsia="Book Antiqua" w:hAnsi="Book Antiqua" w:cs="Book Antiqua"/>
          <w:color w:val="000000" w:themeColor="text1"/>
        </w:rPr>
        <w:t xml:space="preserve">Z </w:t>
      </w:r>
      <w:r w:rsidRPr="00190A3E">
        <w:rPr>
          <w:rFonts w:ascii="Book Antiqua" w:eastAsia="Book Antiqua" w:hAnsi="Book Antiqua" w:cs="Book Antiqua"/>
          <w:color w:val="000000" w:themeColor="text1"/>
        </w:rPr>
        <w:t>85259, United States</w:t>
      </w:r>
    </w:p>
    <w:p w14:paraId="28983551" w14:textId="77777777" w:rsidR="00A77B3E" w:rsidRPr="00190A3E" w:rsidRDefault="00A77B3E">
      <w:pPr>
        <w:spacing w:line="360" w:lineRule="auto"/>
        <w:jc w:val="both"/>
        <w:rPr>
          <w:rFonts w:ascii="Book Antiqua" w:hAnsi="Book Antiqua"/>
          <w:color w:val="000000" w:themeColor="text1"/>
        </w:rPr>
      </w:pPr>
    </w:p>
    <w:p w14:paraId="72421A99" w14:textId="100C2118"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Catherine Devine, Mindy Wang, </w:t>
      </w:r>
      <w:r w:rsidRPr="00190A3E">
        <w:rPr>
          <w:rFonts w:ascii="Book Antiqua" w:eastAsia="Book Antiqua" w:hAnsi="Book Antiqua" w:cs="Book Antiqua"/>
          <w:color w:val="000000" w:themeColor="text1"/>
        </w:rPr>
        <w:t>Department of Diagnostic Radiology, The University of Texas MD Anderson Cancer Center, H</w:t>
      </w:r>
      <w:r w:rsidR="00B2167A" w:rsidRPr="00190A3E">
        <w:rPr>
          <w:rFonts w:ascii="Book Antiqua" w:eastAsia="Book Antiqua" w:hAnsi="Book Antiqua" w:cs="Book Antiqua"/>
          <w:color w:val="000000" w:themeColor="text1"/>
        </w:rPr>
        <w:t>ouston</w:t>
      </w:r>
      <w:r w:rsidRPr="00190A3E">
        <w:rPr>
          <w:rFonts w:ascii="Book Antiqua" w:eastAsia="Book Antiqua" w:hAnsi="Book Antiqua" w:cs="Book Antiqua"/>
          <w:color w:val="000000" w:themeColor="text1"/>
        </w:rPr>
        <w:t>, T</w:t>
      </w:r>
      <w:r w:rsidR="00B2167A" w:rsidRPr="00190A3E">
        <w:rPr>
          <w:rFonts w:ascii="Book Antiqua" w:eastAsia="Book Antiqua" w:hAnsi="Book Antiqua" w:cs="Book Antiqua"/>
          <w:color w:val="000000" w:themeColor="text1"/>
        </w:rPr>
        <w:t>X</w:t>
      </w:r>
      <w:r w:rsidRPr="00190A3E">
        <w:rPr>
          <w:rFonts w:ascii="Book Antiqua" w:eastAsia="Book Antiqua" w:hAnsi="Book Antiqua" w:cs="Book Antiqua"/>
          <w:color w:val="000000" w:themeColor="text1"/>
        </w:rPr>
        <w:t xml:space="preserve"> 77030, United States</w:t>
      </w:r>
    </w:p>
    <w:p w14:paraId="6D0345EF" w14:textId="77777777" w:rsidR="00A77B3E" w:rsidRPr="00190A3E" w:rsidRDefault="00A77B3E">
      <w:pPr>
        <w:spacing w:line="360" w:lineRule="auto"/>
        <w:jc w:val="both"/>
        <w:rPr>
          <w:rFonts w:ascii="Book Antiqua" w:hAnsi="Book Antiqua"/>
          <w:color w:val="000000" w:themeColor="text1"/>
        </w:rPr>
      </w:pPr>
    </w:p>
    <w:p w14:paraId="319EC076" w14:textId="5360AAA6"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Dhakshinamoorthy Ganeshan, </w:t>
      </w:r>
      <w:r w:rsidR="001C07DC" w:rsidRPr="00190A3E">
        <w:rPr>
          <w:rFonts w:ascii="Book Antiqua" w:hAnsi="Book Antiqua"/>
          <w:color w:val="000000" w:themeColor="text1"/>
        </w:rPr>
        <w:t>Department of Diagnostic Radiology, Abdominal Imaging, The University of Texas MD Anderson Cancer Center, Houston, TX 77030, United States</w:t>
      </w:r>
    </w:p>
    <w:p w14:paraId="324A323B" w14:textId="77777777" w:rsidR="00A77B3E" w:rsidRPr="00190A3E" w:rsidRDefault="00A77B3E">
      <w:pPr>
        <w:spacing w:line="360" w:lineRule="auto"/>
        <w:jc w:val="both"/>
        <w:rPr>
          <w:rFonts w:ascii="Book Antiqua" w:hAnsi="Book Antiqua"/>
          <w:color w:val="000000" w:themeColor="text1"/>
        </w:rPr>
      </w:pPr>
    </w:p>
    <w:p w14:paraId="6375C039" w14:textId="5E854FE4"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Author contributions: </w:t>
      </w:r>
      <w:r w:rsidRPr="00190A3E">
        <w:rPr>
          <w:rFonts w:ascii="Book Antiqua" w:eastAsia="Book Antiqua" w:hAnsi="Book Antiqua" w:cs="Book Antiqua"/>
          <w:color w:val="000000" w:themeColor="text1"/>
        </w:rPr>
        <w:t>Segaran N drafted the review article and contributed to the design of the manuscript; Devine C contributed to the design of the manuscript and edited the draft; Wang M contributed to manuscript design and edited the manuscript; Ganeshan D designed the structure of the overall manuscript and made critical revisions related to important intellectual content of the manuscript</w:t>
      </w:r>
      <w:r w:rsidR="00645D2A">
        <w:rPr>
          <w:rFonts w:ascii="Book Antiqua" w:eastAsia="Book Antiqua" w:hAnsi="Book Antiqua" w:cs="Book Antiqua"/>
          <w:color w:val="000000" w:themeColor="text1"/>
        </w:rPr>
        <w:t xml:space="preserve">; </w:t>
      </w:r>
      <w:r w:rsidR="00645D2A" w:rsidRPr="00190A3E">
        <w:rPr>
          <w:rFonts w:ascii="Book Antiqua" w:eastAsia="Book Antiqua" w:hAnsi="Book Antiqua" w:cs="Book Antiqua"/>
          <w:color w:val="000000" w:themeColor="text1"/>
          <w:shd w:val="clear" w:color="auto" w:fill="FFFFFF"/>
        </w:rPr>
        <w:t xml:space="preserve">all </w:t>
      </w:r>
      <w:r w:rsidRPr="00190A3E">
        <w:rPr>
          <w:rFonts w:ascii="Book Antiqua" w:eastAsia="Book Antiqua" w:hAnsi="Book Antiqua" w:cs="Book Antiqua"/>
          <w:color w:val="000000" w:themeColor="text1"/>
          <w:shd w:val="clear" w:color="auto" w:fill="FFFFFF"/>
        </w:rPr>
        <w:t>authors approved the final version of the manuscript.</w:t>
      </w:r>
    </w:p>
    <w:p w14:paraId="375C2CCA" w14:textId="77777777" w:rsidR="00A77B3E" w:rsidRPr="00190A3E" w:rsidRDefault="00A77B3E">
      <w:pPr>
        <w:spacing w:line="360" w:lineRule="auto"/>
        <w:jc w:val="both"/>
        <w:rPr>
          <w:rFonts w:ascii="Book Antiqua" w:hAnsi="Book Antiqua"/>
          <w:color w:val="000000" w:themeColor="text1"/>
        </w:rPr>
      </w:pPr>
    </w:p>
    <w:p w14:paraId="662F124E" w14:textId="2FD800A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Corresponding author: Dhakshinamoorthy Ganeshan, MD, Associate Professor, </w:t>
      </w:r>
      <w:r w:rsidR="001C07DC" w:rsidRPr="00190A3E">
        <w:rPr>
          <w:rFonts w:ascii="Book Antiqua" w:hAnsi="Book Antiqua"/>
          <w:color w:val="000000" w:themeColor="text1"/>
        </w:rPr>
        <w:t xml:space="preserve">Department of Diagnostic Radiology, Abdominal Imaging, The University of Texas MD </w:t>
      </w:r>
      <w:r w:rsidR="001C07DC" w:rsidRPr="00190A3E">
        <w:rPr>
          <w:rFonts w:ascii="Book Antiqua" w:hAnsi="Book Antiqua"/>
          <w:color w:val="000000" w:themeColor="text1"/>
        </w:rPr>
        <w:lastRenderedPageBreak/>
        <w:t>Anderson Cancer Center, 1400 Pressler Street, Unit 1473, Houston, TX 77030, United States. dganeshan@mdanderson.org</w:t>
      </w:r>
    </w:p>
    <w:p w14:paraId="36DE1AC5" w14:textId="77777777" w:rsidR="00A77B3E" w:rsidRPr="00190A3E" w:rsidRDefault="00A77B3E">
      <w:pPr>
        <w:spacing w:line="360" w:lineRule="auto"/>
        <w:jc w:val="both"/>
        <w:rPr>
          <w:rFonts w:ascii="Book Antiqua" w:hAnsi="Book Antiqua"/>
          <w:color w:val="000000" w:themeColor="text1"/>
        </w:rPr>
      </w:pPr>
    </w:p>
    <w:p w14:paraId="01B5C8A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Received: </w:t>
      </w:r>
      <w:r w:rsidRPr="00190A3E">
        <w:rPr>
          <w:rFonts w:ascii="Book Antiqua" w:eastAsia="Book Antiqua" w:hAnsi="Book Antiqua" w:cs="Book Antiqua"/>
          <w:color w:val="000000" w:themeColor="text1"/>
        </w:rPr>
        <w:t>March 31, 2021</w:t>
      </w:r>
    </w:p>
    <w:p w14:paraId="35DF0396" w14:textId="51651B4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Revised: </w:t>
      </w:r>
      <w:r w:rsidR="001C07DC" w:rsidRPr="00190A3E">
        <w:rPr>
          <w:rFonts w:ascii="Book Antiqua" w:eastAsia="Book Antiqua" w:hAnsi="Book Antiqua" w:cs="Book Antiqua"/>
          <w:color w:val="000000" w:themeColor="text1"/>
        </w:rPr>
        <w:t>June 21, 2021</w:t>
      </w:r>
    </w:p>
    <w:p w14:paraId="47995A53" w14:textId="1CCD40CB"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Accepted: </w:t>
      </w:r>
      <w:r w:rsidR="00190A3E" w:rsidRPr="00190A3E">
        <w:rPr>
          <w:rFonts w:ascii="Book Antiqua" w:eastAsia="Book Antiqua" w:hAnsi="Book Antiqua" w:cs="Book Antiqua"/>
          <w:color w:val="000000" w:themeColor="text1"/>
        </w:rPr>
        <w:t>August 27, 2021</w:t>
      </w:r>
    </w:p>
    <w:p w14:paraId="612B01E9"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Published online: </w:t>
      </w:r>
    </w:p>
    <w:p w14:paraId="7FAAF2E2" w14:textId="77777777" w:rsidR="00D50888" w:rsidRPr="00190A3E" w:rsidRDefault="00D50888">
      <w:pPr>
        <w:spacing w:line="360" w:lineRule="auto"/>
        <w:jc w:val="both"/>
        <w:rPr>
          <w:rFonts w:ascii="Book Antiqua" w:eastAsia="Book Antiqua" w:hAnsi="Book Antiqua" w:cs="Book Antiqua"/>
          <w:b/>
          <w:color w:val="000000" w:themeColor="text1"/>
        </w:rPr>
      </w:pPr>
    </w:p>
    <w:p w14:paraId="7028E7C1" w14:textId="77777777" w:rsidR="00D50888" w:rsidRPr="00190A3E" w:rsidRDefault="00D50888">
      <w:pPr>
        <w:spacing w:line="360" w:lineRule="auto"/>
        <w:jc w:val="both"/>
        <w:rPr>
          <w:rFonts w:ascii="Book Antiqua" w:eastAsia="Book Antiqua" w:hAnsi="Book Antiqua" w:cs="Book Antiqua"/>
          <w:b/>
          <w:color w:val="000000" w:themeColor="text1"/>
        </w:rPr>
      </w:pPr>
    </w:p>
    <w:p w14:paraId="5CDB9AAA" w14:textId="5C34C9A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Abstract</w:t>
      </w:r>
    </w:p>
    <w:p w14:paraId="6FC95794" w14:textId="7669CC1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Pancreatic neuroendocrine neoplasms (panNEN) are a heterogeneous group of tumors with differing pathological, genetic, and clinical features. Based on clinical findings, they may be categorized into functioning and nonfunctioning tumors. Adoption of the 2017 World Health Organization classification system, particularly its differentiation between grade 3, well-differentiated pancreatic neuroendocrine tumors (panNET) and grade 3, poorly-differentiated pancreatic neuroendocrine carcinomas (panNEC) has emphasized the role imaging plays in characterizing these lesions. Endoscopic ultrasound can help obtain biopsy specimen and assess tumor margins and local spread. Enhancement patterns on </w:t>
      </w:r>
      <w:r w:rsidR="00223A02" w:rsidRPr="00190A3E">
        <w:rPr>
          <w:rFonts w:ascii="Book Antiqua" w:eastAsia="Book Antiqua" w:hAnsi="Book Antiqua" w:cs="Book Antiqua"/>
          <w:color w:val="000000" w:themeColor="text1"/>
        </w:rPr>
        <w:t>computed tomography (</w:t>
      </w:r>
      <w:r w:rsidRPr="00190A3E">
        <w:rPr>
          <w:rFonts w:ascii="Book Antiqua" w:eastAsia="Book Antiqua" w:hAnsi="Book Antiqua" w:cs="Book Antiqua"/>
          <w:color w:val="000000" w:themeColor="text1"/>
        </w:rPr>
        <w:t>CT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and magnetic</w:t>
      </w:r>
      <w:r w:rsidR="00223A02"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resonance imaging (MRI) may be used to classify panNEN. Contrast enhanced MRI and diffusion-weighted imaging have been reported to be useful for characterization of panNEN and quantifying metastatic burden. Current and emerging radiotracers have broadened the utility of functional imaging in evaluating panNEN.</w:t>
      </w:r>
      <w:r w:rsidRPr="00190A3E">
        <w:rPr>
          <w:rFonts w:ascii="Book Antiqua" w:eastAsia="Book Antiqua" w:hAnsi="Book Antiqua" w:cs="Book Antiqua"/>
          <w:color w:val="000000" w:themeColor="text1"/>
          <w:vertAlign w:val="superscript"/>
        </w:rPr>
        <w:t xml:space="preserve"> </w:t>
      </w:r>
      <w:r w:rsidR="00D63721" w:rsidRPr="00190A3E">
        <w:rPr>
          <w:rFonts w:ascii="Book Antiqua" w:hAnsi="Book Antiqua"/>
          <w:color w:val="000000" w:themeColor="text1"/>
        </w:rPr>
        <w:t>Fluorine-18 fluorodeoxyglucose</w:t>
      </w:r>
      <w:r w:rsidRPr="00190A3E">
        <w:rPr>
          <w:rFonts w:ascii="Book Antiqua" w:eastAsia="Book Antiqua" w:hAnsi="Book Antiqua" w:cs="Book Antiqua"/>
          <w:color w:val="000000" w:themeColor="text1"/>
        </w:rPr>
        <w:t xml:space="preserve"> </w:t>
      </w:r>
      <w:r w:rsidR="00223A02" w:rsidRPr="00190A3E">
        <w:rPr>
          <w:rFonts w:ascii="Book Antiqua" w:eastAsia="Book Antiqua" w:hAnsi="Book Antiqua" w:cs="Book Antiqua"/>
          <w:color w:val="000000" w:themeColor="text1"/>
        </w:rPr>
        <w:t>positron emission tomography (</w:t>
      </w:r>
      <w:r w:rsidRPr="00190A3E">
        <w:rPr>
          <w:rFonts w:ascii="Book Antiqua" w:eastAsia="Book Antiqua" w:hAnsi="Book Antiqua" w:cs="Book Antiqua"/>
          <w:color w:val="000000" w:themeColor="text1"/>
        </w:rPr>
        <w:t>PET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/CT and somatostatin receptor imaging such as </w:t>
      </w:r>
      <w:r w:rsidR="00D63721" w:rsidRPr="00190A3E">
        <w:rPr>
          <w:rFonts w:ascii="Book Antiqua" w:hAnsi="Book Antiqua"/>
          <w:color w:val="000000" w:themeColor="text1"/>
        </w:rPr>
        <w:t>Gallium-68 1,4,7,10-tetraazacyclododecane-1,4,7,10-tetraacetic acid–octreotate</w:t>
      </w:r>
      <w:r w:rsidRPr="00190A3E">
        <w:rPr>
          <w:rFonts w:ascii="Book Antiqua" w:eastAsia="Book Antiqua" w:hAnsi="Book Antiqua" w:cs="Book Antiqua"/>
          <w:color w:val="000000" w:themeColor="text1"/>
        </w:rPr>
        <w:t xml:space="preserve"> PET/CT may be useful for improved identification of panNEN in comparison to anatomic modalities. These new techniques can also play a direct role in optimizing the selection of treatment for individuals and predicting tumor response based on somatostatin receptor expression. In addition, emerging methods of radiomics such as texture analysis may be a potential tool for staging and outcome prediction in panNEN, however further investigation is required before clinical implementation.</w:t>
      </w:r>
    </w:p>
    <w:p w14:paraId="1A31B138" w14:textId="77777777" w:rsidR="00A77B3E" w:rsidRPr="00190A3E" w:rsidRDefault="00A77B3E">
      <w:pPr>
        <w:spacing w:line="360" w:lineRule="auto"/>
        <w:jc w:val="both"/>
        <w:rPr>
          <w:rFonts w:ascii="Book Antiqua" w:hAnsi="Book Antiqua"/>
          <w:color w:val="000000" w:themeColor="text1"/>
        </w:rPr>
      </w:pPr>
    </w:p>
    <w:p w14:paraId="7F686CE8" w14:textId="7A15814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Key Words: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 xml:space="preserve">ancreatic neuroendocrine neoplasms; </w:t>
      </w:r>
      <w:r w:rsidR="00223A02" w:rsidRPr="00190A3E">
        <w:rPr>
          <w:rFonts w:ascii="Book Antiqua" w:eastAsia="Book Antiqua" w:hAnsi="Book Antiqua" w:cs="Book Antiqua"/>
          <w:color w:val="000000" w:themeColor="text1"/>
        </w:rPr>
        <w:t>C</w:t>
      </w:r>
      <w:r w:rsidRPr="00190A3E">
        <w:rPr>
          <w:rFonts w:ascii="Book Antiqua" w:eastAsia="Book Antiqua" w:hAnsi="Book Antiqua" w:cs="Book Antiqua"/>
          <w:color w:val="000000" w:themeColor="text1"/>
        </w:rPr>
        <w:t xml:space="preserve">omputed tomography; </w:t>
      </w:r>
      <w:r w:rsidR="00223A02" w:rsidRPr="00190A3E">
        <w:rPr>
          <w:rFonts w:ascii="Book Antiqua" w:eastAsia="Book Antiqua" w:hAnsi="Book Antiqua" w:cs="Book Antiqua"/>
          <w:color w:val="000000" w:themeColor="text1"/>
        </w:rPr>
        <w:t>U</w:t>
      </w:r>
      <w:r w:rsidRPr="00190A3E">
        <w:rPr>
          <w:rFonts w:ascii="Book Antiqua" w:eastAsia="Book Antiqua" w:hAnsi="Book Antiqua" w:cs="Book Antiqua"/>
          <w:color w:val="000000" w:themeColor="text1"/>
        </w:rPr>
        <w:t xml:space="preserve">ltrasound;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 xml:space="preserve">ositron emission tomography; </w:t>
      </w:r>
      <w:r w:rsidR="00223A02" w:rsidRPr="00190A3E">
        <w:rPr>
          <w:rFonts w:ascii="Book Antiqua" w:eastAsia="Book Antiqua" w:hAnsi="Book Antiqua" w:cs="Book Antiqua"/>
          <w:color w:val="000000" w:themeColor="text1"/>
        </w:rPr>
        <w:t>M</w:t>
      </w:r>
      <w:r w:rsidRPr="00190A3E">
        <w:rPr>
          <w:rFonts w:ascii="Book Antiqua" w:eastAsia="Book Antiqua" w:hAnsi="Book Antiqua" w:cs="Book Antiqua"/>
          <w:color w:val="000000" w:themeColor="text1"/>
        </w:rPr>
        <w:t xml:space="preserve">agnetic resonance imaging; </w:t>
      </w:r>
      <w:r w:rsidR="00223A02" w:rsidRPr="00190A3E">
        <w:rPr>
          <w:rFonts w:ascii="Book Antiqua" w:eastAsia="Book Antiqua" w:hAnsi="Book Antiqua" w:cs="Book Antiqua"/>
          <w:color w:val="000000" w:themeColor="text1"/>
        </w:rPr>
        <w:t>P</w:t>
      </w:r>
      <w:r w:rsidRPr="00190A3E">
        <w:rPr>
          <w:rFonts w:ascii="Book Antiqua" w:eastAsia="Book Antiqua" w:hAnsi="Book Antiqua" w:cs="Book Antiqua"/>
          <w:color w:val="000000" w:themeColor="text1"/>
        </w:rPr>
        <w:t>eptide receptor radionuclide therapy</w:t>
      </w:r>
    </w:p>
    <w:p w14:paraId="64270FFE" w14:textId="77777777" w:rsidR="00A77B3E" w:rsidRPr="00190A3E" w:rsidRDefault="00A77B3E">
      <w:pPr>
        <w:spacing w:line="360" w:lineRule="auto"/>
        <w:jc w:val="both"/>
        <w:rPr>
          <w:rFonts w:ascii="Book Antiqua" w:hAnsi="Book Antiqua"/>
          <w:color w:val="000000" w:themeColor="text1"/>
        </w:rPr>
      </w:pPr>
    </w:p>
    <w:p w14:paraId="499D6C19" w14:textId="7F629D7B"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Segaran N, Devine C, Wang M, Ganeshan D.</w:t>
      </w:r>
      <w:r w:rsidR="00223A02" w:rsidRPr="00190A3E">
        <w:rPr>
          <w:rFonts w:ascii="Book Antiqua" w:eastAsia="Book Antiqua" w:hAnsi="Book Antiqua" w:cs="Book Antiqua"/>
          <w:color w:val="000000" w:themeColor="text1"/>
        </w:rPr>
        <w:t xml:space="preserve"> Current update on imaging for pancreatic neuroendocrine neoplasms</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World J Clin Oncol</w:t>
      </w:r>
      <w:r w:rsidRPr="00190A3E">
        <w:rPr>
          <w:rFonts w:ascii="Book Antiqua" w:eastAsia="Book Antiqua" w:hAnsi="Book Antiqua" w:cs="Book Antiqua"/>
          <w:color w:val="000000" w:themeColor="text1"/>
        </w:rPr>
        <w:t xml:space="preserve"> 2021; In press</w:t>
      </w:r>
    </w:p>
    <w:p w14:paraId="3748D958" w14:textId="77777777" w:rsidR="00A77B3E" w:rsidRPr="00190A3E" w:rsidRDefault="00A77B3E">
      <w:pPr>
        <w:spacing w:line="360" w:lineRule="auto"/>
        <w:jc w:val="both"/>
        <w:rPr>
          <w:rFonts w:ascii="Book Antiqua" w:hAnsi="Book Antiqua"/>
          <w:color w:val="000000" w:themeColor="text1"/>
        </w:rPr>
      </w:pPr>
    </w:p>
    <w:p w14:paraId="00C6CBC8" w14:textId="084E0F06"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Core Tip: </w:t>
      </w:r>
      <w:r w:rsidRPr="00190A3E">
        <w:rPr>
          <w:rFonts w:ascii="Book Antiqua" w:eastAsia="Book Antiqua" w:hAnsi="Book Antiqua" w:cs="Book Antiqua"/>
          <w:color w:val="000000" w:themeColor="text1"/>
        </w:rPr>
        <w:t xml:space="preserve">Imaging plays a critical role in the diagnosis and management of </w:t>
      </w:r>
      <w:r w:rsidR="00EE6226" w:rsidRPr="00190A3E">
        <w:rPr>
          <w:rFonts w:ascii="Book Antiqua" w:eastAsia="Book Antiqua" w:hAnsi="Book Antiqua" w:cs="Book Antiqua"/>
          <w:color w:val="000000" w:themeColor="text1"/>
        </w:rPr>
        <w:t>pancreatic neuroendocrine neoplasms</w:t>
      </w:r>
      <w:r w:rsidRPr="00190A3E">
        <w:rPr>
          <w:rFonts w:ascii="Book Antiqua" w:eastAsia="Book Antiqua" w:hAnsi="Book Antiqua" w:cs="Book Antiqua"/>
          <w:color w:val="000000" w:themeColor="text1"/>
        </w:rPr>
        <w:t>.</w:t>
      </w:r>
      <w:r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 xml:space="preserve">Enhancement patterns and diffusion-weighted imaging aid the detection and classification of these lesions. Contrast-enhanced </w:t>
      </w:r>
      <w:r w:rsidR="00223A02" w:rsidRPr="00190A3E">
        <w:rPr>
          <w:rFonts w:ascii="Book Antiqua" w:eastAsia="Book Antiqua" w:hAnsi="Book Antiqua" w:cs="Book Antiqua"/>
          <w:color w:val="000000" w:themeColor="text1"/>
        </w:rPr>
        <w:t>magnetic resonance imaging</w:t>
      </w:r>
      <w:r w:rsidRPr="00190A3E">
        <w:rPr>
          <w:rFonts w:ascii="Book Antiqua" w:eastAsia="Book Antiqua" w:hAnsi="Book Antiqua" w:cs="Book Antiqua"/>
          <w:color w:val="000000" w:themeColor="text1"/>
        </w:rPr>
        <w:t xml:space="preserve"> is useful for the evaluation of hepatic metastases. Dual-tracer </w:t>
      </w:r>
      <w:r w:rsidR="00223A02" w:rsidRPr="00190A3E">
        <w:rPr>
          <w:rFonts w:ascii="Book Antiqua" w:eastAsia="Book Antiqua" w:hAnsi="Book Antiqua" w:cs="Book Antiqua"/>
          <w:color w:val="000000" w:themeColor="text1"/>
        </w:rPr>
        <w:t>positron emission tomography</w:t>
      </w:r>
      <w:r w:rsidRPr="00190A3E">
        <w:rPr>
          <w:rFonts w:ascii="Book Antiqua" w:eastAsia="Book Antiqua" w:hAnsi="Book Antiqua" w:cs="Book Antiqua"/>
          <w:color w:val="000000" w:themeColor="text1"/>
        </w:rPr>
        <w:t>/</w:t>
      </w:r>
      <w:r w:rsidR="00223A02" w:rsidRPr="00190A3E">
        <w:rPr>
          <w:rFonts w:ascii="Book Antiqua" w:eastAsia="Book Antiqua" w:hAnsi="Book Antiqua" w:cs="Book Antiqua"/>
          <w:color w:val="000000" w:themeColor="text1"/>
        </w:rPr>
        <w:t>computed tomography</w:t>
      </w:r>
      <w:r w:rsidRPr="00190A3E">
        <w:rPr>
          <w:rFonts w:ascii="Book Antiqua" w:eastAsia="Book Antiqua" w:hAnsi="Book Antiqua" w:cs="Book Antiqua"/>
          <w:color w:val="000000" w:themeColor="text1"/>
        </w:rPr>
        <w:t xml:space="preserve"> with </w:t>
      </w:r>
      <w:r w:rsidR="00D63721" w:rsidRPr="00190A3E">
        <w:rPr>
          <w:rFonts w:ascii="Book Antiqua" w:hAnsi="Book Antiqua"/>
          <w:color w:val="000000" w:themeColor="text1"/>
        </w:rPr>
        <w:t>Gallium-68 1,4,7,10-tetraazacyclododecane-1,4,7,10-tetraacetic acid–octreotate</w:t>
      </w:r>
      <w:r w:rsidRPr="00190A3E">
        <w:rPr>
          <w:rFonts w:ascii="Book Antiqua" w:eastAsia="Book Antiqua" w:hAnsi="Book Antiqua" w:cs="Book Antiqua"/>
          <w:color w:val="000000" w:themeColor="text1"/>
        </w:rPr>
        <w:t xml:space="preserve"> and </w:t>
      </w:r>
      <w:r w:rsidR="00D63721" w:rsidRPr="00190A3E">
        <w:rPr>
          <w:rFonts w:ascii="Book Antiqua" w:hAnsi="Book Antiqua"/>
          <w:color w:val="000000" w:themeColor="text1"/>
        </w:rPr>
        <w:t>Fluorine-18 fluorodeoxyglucose</w:t>
      </w:r>
      <w:r w:rsidRPr="00190A3E">
        <w:rPr>
          <w:rFonts w:ascii="Book Antiqua" w:eastAsia="Book Antiqua" w:hAnsi="Book Antiqua" w:cs="Book Antiqua"/>
          <w:color w:val="000000" w:themeColor="text1"/>
        </w:rPr>
        <w:t xml:space="preserve"> may be particularly useful for distinguishing grade 3 </w:t>
      </w:r>
      <w:r w:rsidR="00EE6226" w:rsidRPr="00190A3E">
        <w:rPr>
          <w:rFonts w:ascii="Book Antiqua" w:eastAsia="Book Antiqua" w:hAnsi="Book Antiqua" w:cs="Book Antiqua"/>
          <w:color w:val="000000" w:themeColor="text1"/>
        </w:rPr>
        <w:t xml:space="preserve">pancreatic neuroendocrine tumor </w:t>
      </w:r>
      <w:r w:rsidRPr="00190A3E">
        <w:rPr>
          <w:rFonts w:ascii="Book Antiqua" w:eastAsia="Book Antiqua" w:hAnsi="Book Antiqua" w:cs="Book Antiqua"/>
          <w:color w:val="000000" w:themeColor="text1"/>
        </w:rPr>
        <w:t xml:space="preserve">from </w:t>
      </w:r>
      <w:r w:rsidR="00EE6226" w:rsidRPr="00190A3E">
        <w:rPr>
          <w:rFonts w:ascii="Book Antiqua" w:eastAsia="Book Antiqua" w:hAnsi="Book Antiqua" w:cs="Book Antiqua"/>
          <w:color w:val="000000" w:themeColor="text1"/>
        </w:rPr>
        <w:t>pancreatic neuroendocrine carcinoma</w:t>
      </w:r>
      <w:r w:rsidRPr="00190A3E">
        <w:rPr>
          <w:rFonts w:ascii="Book Antiqua" w:eastAsia="Book Antiqua" w:hAnsi="Book Antiqua" w:cs="Book Antiqua"/>
          <w:color w:val="000000" w:themeColor="text1"/>
        </w:rPr>
        <w:t>. Furthermore, these advanced imaging techniques can help in the staging and detection of distant metastases. Evaluation of somatostatin receptor expression and metabolic activity with functional imaging can help select optimal treatment.</w:t>
      </w:r>
    </w:p>
    <w:p w14:paraId="65845DB8" w14:textId="77777777" w:rsidR="00A77B3E" w:rsidRPr="00190A3E" w:rsidRDefault="00A77B3E">
      <w:pPr>
        <w:spacing w:line="360" w:lineRule="auto"/>
        <w:jc w:val="both"/>
        <w:rPr>
          <w:rFonts w:ascii="Book Antiqua" w:hAnsi="Book Antiqua"/>
          <w:color w:val="000000" w:themeColor="text1"/>
        </w:rPr>
      </w:pPr>
    </w:p>
    <w:p w14:paraId="220C402D"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aps/>
          <w:color w:val="000000" w:themeColor="text1"/>
          <w:u w:val="single"/>
        </w:rPr>
        <w:t>INTRODUCTION</w:t>
      </w:r>
    </w:p>
    <w:p w14:paraId="4B06C59B" w14:textId="63A7D17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Pancreatic neuroendocrine neoplasms (panNEN) represent a rare, diverse group of neoplasms</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These tumors account for less than 2% of pancreatic cancers and only 7% of all neuroendocrine tumors. These entities can manifest at any age but are most often diagnosed in individuals between 40 and 65 years old. The majority of panNEN are sporadic</w:t>
      </w:r>
      <w:r w:rsidRPr="00190A3E">
        <w:rPr>
          <w:rFonts w:ascii="Book Antiqua" w:eastAsia="Book Antiqua" w:hAnsi="Book Antiqua" w:cs="Book Antiqua"/>
          <w:color w:val="000000" w:themeColor="text1"/>
          <w:vertAlign w:val="superscript"/>
        </w:rPr>
        <w:t>[2]</w:t>
      </w:r>
      <w:r w:rsidRPr="00190A3E">
        <w:rPr>
          <w:rFonts w:ascii="Book Antiqua" w:eastAsia="Book Antiqua" w:hAnsi="Book Antiqua" w:cs="Book Antiqua"/>
          <w:color w:val="000000" w:themeColor="text1"/>
        </w:rPr>
        <w:t xml:space="preserve">. Up to 10% are associated with hereditary disorders including </w:t>
      </w:r>
      <w:r w:rsidR="00F57E8E" w:rsidRPr="00190A3E">
        <w:rPr>
          <w:rFonts w:ascii="Book Antiqua" w:eastAsia="Book Antiqua" w:hAnsi="Book Antiqua" w:cs="Book Antiqua"/>
          <w:color w:val="000000" w:themeColor="text1"/>
        </w:rPr>
        <w:t>V</w:t>
      </w:r>
      <w:r w:rsidRPr="00190A3E">
        <w:rPr>
          <w:rFonts w:ascii="Book Antiqua" w:eastAsia="Book Antiqua" w:hAnsi="Book Antiqua" w:cs="Book Antiqua"/>
          <w:color w:val="000000" w:themeColor="text1"/>
        </w:rPr>
        <w:t>on Hippel-Lindau disease, neurofibromatosis type 1, tuberous sclerosis complex, and multiple endocrine neoplasia type 1 (MEN1) syndrome, which increase a patient’s predilection for neoplasms. PanNEN can be categorized into functioning and nonfunctioning neoplasms based on clinical findings. Recent discoveries on the mechanisms behind panNEN pathogenesis and molecular cytogenetics have resulted in significant changes regarding their classification, diagnosis, and treatment. In particular, new distinctions in classification between well-differentiated pancreatic neuroendocrine tumors (panNET) and poorly-differentiated pancreatic neuroendocrine carcinomas (panNEC) has emphasized the need for more advanced imaging techniques to guide diagnosis and follow-up</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In this review, we will discuss the most current classifications of panNEN based on pathology, genetic, and clinical features. In addition, we will review the use of anatomic imaging modalities like ultrasound</w:t>
      </w:r>
      <w:r w:rsidR="001C07DC"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 xml:space="preserve">(US), </w:t>
      </w:r>
      <w:r w:rsidR="00223A02" w:rsidRPr="00190A3E">
        <w:rPr>
          <w:rFonts w:ascii="Book Antiqua" w:eastAsia="Book Antiqua" w:hAnsi="Book Antiqua" w:cs="Book Antiqua"/>
          <w:color w:val="000000" w:themeColor="text1"/>
        </w:rPr>
        <w:t>computed tomography (</w:t>
      </w:r>
      <w:r w:rsidRPr="00190A3E">
        <w:rPr>
          <w:rFonts w:ascii="Book Antiqua" w:eastAsia="Book Antiqua" w:hAnsi="Book Antiqua" w:cs="Book Antiqua"/>
          <w:color w:val="000000" w:themeColor="text1"/>
        </w:rPr>
        <w:t>CT</w:t>
      </w:r>
      <w:r w:rsidR="00223A02"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and magnetic resonance imaging (MRI) for initial detection and management, along with molecular imaging techniques that have proven useful for identifying occult tumors and further characterization. The potential use of CT, MRI, and positron emission tomography</w:t>
      </w:r>
      <w:r w:rsidR="00223A02" w:rsidRPr="00190A3E">
        <w:rPr>
          <w:rFonts w:ascii="Book Antiqua" w:eastAsia="Book Antiqua" w:hAnsi="Book Antiqua" w:cs="Book Antiqua"/>
          <w:color w:val="000000" w:themeColor="text1"/>
        </w:rPr>
        <w:t xml:space="preserve"> (PET)</w:t>
      </w:r>
      <w:r w:rsidRPr="00190A3E">
        <w:rPr>
          <w:rFonts w:ascii="Book Antiqua" w:eastAsia="Book Antiqua" w:hAnsi="Book Antiqua" w:cs="Book Antiqua"/>
          <w:color w:val="000000" w:themeColor="text1"/>
        </w:rPr>
        <w:t>/CT texture analysis to grade tumors and predict clinical outcome will also be briefly highlighted.</w:t>
      </w:r>
    </w:p>
    <w:p w14:paraId="5DD79B2E" w14:textId="77777777" w:rsidR="00A77B3E" w:rsidRPr="00190A3E" w:rsidRDefault="00A77B3E">
      <w:pPr>
        <w:spacing w:line="360" w:lineRule="auto"/>
        <w:jc w:val="both"/>
        <w:rPr>
          <w:rFonts w:ascii="Book Antiqua" w:hAnsi="Book Antiqua"/>
          <w:color w:val="000000" w:themeColor="text1"/>
        </w:rPr>
      </w:pPr>
    </w:p>
    <w:p w14:paraId="336925A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PATHOLOGY</w:t>
      </w:r>
    </w:p>
    <w:p w14:paraId="54157A60" w14:textId="48DA68E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PanNEN demonstrate two histopathological classifications: panNET and panNEC. PanNET account for more than 90% of panNEN and are characterized as well-differentiated neoplasms that manifest with little to moderate atypia. On gross examination, they appear well-circumscribed by a thin capsule. Cystic changes and hemorrhage may be identified. PanNEC can manifest as a small cell or large cell variant. The large cell variation comprises 60% of panNEC and exhibits expansile growth. Small cell panNEC exhibit more infiltrative growth. Necrosis and vascular invasion are commonly observed</w:t>
      </w:r>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w:t>
      </w:r>
    </w:p>
    <w:p w14:paraId="570488A5" w14:textId="17FADBCF" w:rsidR="00A77B3E" w:rsidRPr="00190A3E" w:rsidRDefault="00150E8B" w:rsidP="00F57E8E">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The 2010 World Health Organization (WHO) classification system for panNEN based categorization on a neoplasm’s Ki-67 proliferation index and mitotic index. In this system, when both indices are greater than 20, the tumor is classified as panNEC. Subsequently, many large studies showed the existence of well-differentiated panNET presenting high mitotic and Ki-67 indices. Thus, the 2017 WHO classification system (Table 1) accounts for both the level of proliferation and differentiation of neoplasms, distinguishing a well-differentiated grade 3 panNET from a poorly-differentiated grade 3 panNEC</w:t>
      </w:r>
      <w:r w:rsidRPr="00190A3E">
        <w:rPr>
          <w:rFonts w:ascii="Book Antiqua" w:eastAsia="Book Antiqua" w:hAnsi="Book Antiqua" w:cs="Book Antiqua"/>
          <w:color w:val="000000" w:themeColor="text1"/>
          <w:vertAlign w:val="superscript"/>
        </w:rPr>
        <w:t>[1,4]</w:t>
      </w:r>
      <w:r w:rsidRPr="00190A3E">
        <w:rPr>
          <w:rFonts w:ascii="Book Antiqua" w:eastAsia="Book Antiqua" w:hAnsi="Book Antiqua" w:cs="Book Antiqua"/>
          <w:color w:val="000000" w:themeColor="text1"/>
        </w:rPr>
        <w:t>. Additional changes include the renaming of mixed adenoneuroendocrine carcinomas to mixed neuroendocrine-nonneuroendocrine neoplasms (MiNEN), in order to reflect their capacity to manifest not only as high-grade, malignant neoplasms, but also as low-grade, benign tumors. MiNEN are composed of both neuroendocrine and non-</w:t>
      </w:r>
      <w:r w:rsidR="00B72A05" w:rsidRPr="00190A3E">
        <w:rPr>
          <w:rFonts w:ascii="Book Antiqua" w:eastAsia="Book Antiqua" w:hAnsi="Book Antiqua" w:cs="Book Antiqua"/>
          <w:color w:val="000000" w:themeColor="text1"/>
        </w:rPr>
        <w:t>neuro</w:t>
      </w:r>
      <w:r w:rsidRPr="00190A3E">
        <w:rPr>
          <w:rFonts w:ascii="Book Antiqua" w:eastAsia="Book Antiqua" w:hAnsi="Book Antiqua" w:cs="Book Antiqua"/>
          <w:color w:val="000000" w:themeColor="text1"/>
        </w:rPr>
        <w:t>endocrine components and have relatively non-specific features, tending to mimic panNEC</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2F07346A" w14:textId="4E0D0240" w:rsidR="00A77B3E" w:rsidRPr="00190A3E" w:rsidRDefault="00150E8B" w:rsidP="00F57E8E">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Although WHO classification relies on pathological features to distinguish grading, single location biopsy may not be an accurate representation of all tumor burden due to the variance within and between lesions. In addition, grade transformation can occur following biopsy. Thus, imaging evaluation and follow-up often play an important role in dictating ongoing and future management, regardless of initial grading.</w:t>
      </w:r>
    </w:p>
    <w:p w14:paraId="42729CC0" w14:textId="77777777" w:rsidR="00A77B3E" w:rsidRPr="00190A3E" w:rsidRDefault="00A77B3E">
      <w:pPr>
        <w:spacing w:line="360" w:lineRule="auto"/>
        <w:jc w:val="both"/>
        <w:rPr>
          <w:rFonts w:ascii="Book Antiqua" w:hAnsi="Book Antiqua"/>
          <w:color w:val="000000" w:themeColor="text1"/>
        </w:rPr>
      </w:pPr>
    </w:p>
    <w:p w14:paraId="41F44E3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MOLECULAR CYTOGENETICS</w:t>
      </w:r>
    </w:p>
    <w:p w14:paraId="66BBDB9B" w14:textId="59295CC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Research focusing on the study of panNEN pathogenesis has significantly broadened the knowledge behind genetic mutations which may influence these lesions and their prognosis. The most common genetic alterations seen in panNET include mutations of the tumor suppressor gene </w:t>
      </w:r>
      <w:r w:rsidRPr="00190A3E">
        <w:rPr>
          <w:rFonts w:ascii="Book Antiqua" w:eastAsia="Book Antiqua" w:hAnsi="Book Antiqua" w:cs="Book Antiqua"/>
          <w:i/>
          <w:iCs/>
          <w:color w:val="000000" w:themeColor="text1"/>
        </w:rPr>
        <w:t>MEN1</w:t>
      </w:r>
      <w:r w:rsidRPr="00190A3E">
        <w:rPr>
          <w:rFonts w:ascii="Book Antiqua" w:eastAsia="Book Antiqua" w:hAnsi="Book Antiqua" w:cs="Book Antiqua"/>
          <w:color w:val="000000" w:themeColor="text1"/>
        </w:rPr>
        <w:t xml:space="preserve">, and chromatin-remodeling genes </w:t>
      </w:r>
      <w:r w:rsidRPr="00190A3E">
        <w:rPr>
          <w:rFonts w:ascii="Book Antiqua" w:eastAsia="Book Antiqua" w:hAnsi="Book Antiqua" w:cs="Book Antiqua"/>
          <w:i/>
          <w:iCs/>
          <w:color w:val="000000" w:themeColor="text1"/>
        </w:rPr>
        <w:t xml:space="preserve">ATRX </w:t>
      </w:r>
      <w:r w:rsidRPr="00190A3E">
        <w:rPr>
          <w:rFonts w:ascii="Book Antiqua" w:eastAsia="Book Antiqua" w:hAnsi="Book Antiqua" w:cs="Book Antiqua"/>
          <w:color w:val="000000" w:themeColor="text1"/>
        </w:rPr>
        <w:t xml:space="preserve">and </w:t>
      </w:r>
      <w:r w:rsidRPr="00190A3E">
        <w:rPr>
          <w:rFonts w:ascii="Book Antiqua" w:eastAsia="Book Antiqua" w:hAnsi="Book Antiqua" w:cs="Book Antiqua"/>
          <w:i/>
          <w:iCs/>
          <w:color w:val="000000" w:themeColor="text1"/>
        </w:rPr>
        <w:t>DAXX</w:t>
      </w:r>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w:t>
      </w:r>
      <w:r w:rsidRPr="00190A3E">
        <w:rPr>
          <w:rFonts w:ascii="Book Antiqua" w:eastAsia="Book Antiqua" w:hAnsi="Book Antiqua" w:cs="Book Antiqua"/>
          <w:i/>
          <w:iCs/>
          <w:color w:val="000000" w:themeColor="text1"/>
        </w:rPr>
        <w:t xml:space="preserve"> MEN1</w:t>
      </w:r>
      <w:r w:rsidRPr="00190A3E">
        <w:rPr>
          <w:rFonts w:ascii="Book Antiqua" w:eastAsia="Book Antiqua" w:hAnsi="Book Antiqua" w:cs="Book Antiqua"/>
          <w:color w:val="000000" w:themeColor="text1"/>
        </w:rPr>
        <w:t xml:space="preserve"> encodes the protein menin, which is involved in histone methylation and cell cycle inhibition.</w:t>
      </w:r>
      <w:r w:rsidRPr="00190A3E">
        <w:rPr>
          <w:rFonts w:ascii="Book Antiqua" w:eastAsia="Book Antiqua" w:hAnsi="Book Antiqua" w:cs="Book Antiqua"/>
          <w:i/>
          <w:iCs/>
          <w:color w:val="000000" w:themeColor="text1"/>
        </w:rPr>
        <w:t xml:space="preserve"> MEN1</w:t>
      </w:r>
      <w:r w:rsidRPr="00190A3E">
        <w:rPr>
          <w:rFonts w:ascii="Book Antiqua" w:eastAsia="Book Antiqua" w:hAnsi="Book Antiqua" w:cs="Book Antiqua"/>
          <w:color w:val="000000" w:themeColor="text1"/>
        </w:rPr>
        <w:t xml:space="preserve"> mutations are seen in 31</w:t>
      </w:r>
      <w:r w:rsidR="00F57E8E"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to 44</w:t>
      </w:r>
      <w:r w:rsidR="00F57E8E"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of grade 3 panNET, resulting in the disruption of tumor suppression</w:t>
      </w:r>
      <w:r w:rsidRPr="00190A3E">
        <w:rPr>
          <w:rFonts w:ascii="Book Antiqua" w:eastAsia="Book Antiqua" w:hAnsi="Book Antiqua" w:cs="Book Antiqua"/>
          <w:color w:val="000000" w:themeColor="text1"/>
          <w:vertAlign w:val="superscript"/>
        </w:rPr>
        <w:t>[5]</w:t>
      </w:r>
      <w:r w:rsidRPr="00190A3E">
        <w:rPr>
          <w:rFonts w:ascii="Book Antiqua" w:eastAsia="Book Antiqua" w:hAnsi="Book Antiqua" w:cs="Book Antiqua"/>
          <w:color w:val="000000" w:themeColor="text1"/>
        </w:rPr>
        <w:t xml:space="preserve">. The majority of these mutations are sporadic, but some may be inherited and seen in association with MEN1 syndrome, Von Hippel Lindau syndrome, neurofibromatosis type 1 and tuberous sclerosis. </w:t>
      </w:r>
      <w:r w:rsidRPr="00190A3E">
        <w:rPr>
          <w:rFonts w:ascii="Book Antiqua" w:eastAsia="Book Antiqua" w:hAnsi="Book Antiqua" w:cs="Book Antiqua"/>
          <w:i/>
          <w:iCs/>
          <w:color w:val="000000" w:themeColor="text1"/>
        </w:rPr>
        <w:t xml:space="preserve">ATRX </w:t>
      </w:r>
      <w:r w:rsidRPr="00190A3E">
        <w:rPr>
          <w:rFonts w:ascii="Book Antiqua" w:eastAsia="Book Antiqua" w:hAnsi="Book Antiqua" w:cs="Book Antiqua"/>
          <w:color w:val="000000" w:themeColor="text1"/>
        </w:rPr>
        <w:t xml:space="preserve">and </w:t>
      </w:r>
      <w:r w:rsidRPr="00190A3E">
        <w:rPr>
          <w:rFonts w:ascii="Book Antiqua" w:eastAsia="Book Antiqua" w:hAnsi="Book Antiqua" w:cs="Book Antiqua"/>
          <w:i/>
          <w:iCs/>
          <w:color w:val="000000" w:themeColor="text1"/>
        </w:rPr>
        <w:t xml:space="preserve">DAXX </w:t>
      </w:r>
      <w:r w:rsidRPr="00190A3E">
        <w:rPr>
          <w:rFonts w:ascii="Book Antiqua" w:eastAsia="Book Antiqua" w:hAnsi="Book Antiqua" w:cs="Book Antiqua"/>
          <w:color w:val="000000" w:themeColor="text1"/>
        </w:rPr>
        <w:t xml:space="preserve">mutations are strongly associated with high grade tumors and poor outcomes. A mutation in one of the two genes is observed in more than 45% of well-differentiated neoplasms, and result in an alternative lengthening of telomeres phenotype which correlates with aggressive behavior. </w:t>
      </w:r>
      <w:r w:rsidRPr="00190A3E">
        <w:rPr>
          <w:rFonts w:ascii="Book Antiqua" w:eastAsia="Book Antiqua" w:hAnsi="Book Antiqua" w:cs="Book Antiqua"/>
          <w:i/>
          <w:iCs/>
          <w:color w:val="000000" w:themeColor="text1"/>
        </w:rPr>
        <w:t>DAXX</w:t>
      </w:r>
      <w:r w:rsidRPr="00190A3E">
        <w:rPr>
          <w:rFonts w:ascii="Book Antiqua" w:eastAsia="Book Antiqua" w:hAnsi="Book Antiqua" w:cs="Book Antiqua"/>
          <w:color w:val="000000" w:themeColor="text1"/>
        </w:rPr>
        <w:t xml:space="preserve"> abnormalities are also associated </w:t>
      </w:r>
      <w:r w:rsidR="002E1D95" w:rsidRPr="00190A3E">
        <w:rPr>
          <w:rFonts w:ascii="Book Antiqua" w:eastAsia="Book Antiqua" w:hAnsi="Book Antiqua" w:cs="Book Antiqua"/>
          <w:color w:val="000000" w:themeColor="text1"/>
        </w:rPr>
        <w:t>with</w:t>
      </w:r>
      <w:r w:rsidRPr="00190A3E">
        <w:rPr>
          <w:rFonts w:ascii="Book Antiqua" w:eastAsia="Book Antiqua" w:hAnsi="Book Antiqua" w:cs="Book Antiqua"/>
          <w:color w:val="000000" w:themeColor="text1"/>
        </w:rPr>
        <w:t xml:space="preserve"> low expression of </w:t>
      </w:r>
      <w:r w:rsidRPr="00190A3E">
        <w:rPr>
          <w:rFonts w:ascii="Book Antiqua" w:eastAsia="Book Antiqua" w:hAnsi="Book Antiqua" w:cs="Book Antiqua"/>
          <w:i/>
          <w:iCs/>
          <w:color w:val="000000" w:themeColor="text1"/>
        </w:rPr>
        <w:t>TP53</w:t>
      </w:r>
      <w:r w:rsidRPr="00190A3E">
        <w:rPr>
          <w:rFonts w:ascii="Book Antiqua" w:eastAsia="Book Antiqua" w:hAnsi="Book Antiqua" w:cs="Book Antiqua"/>
          <w:color w:val="000000" w:themeColor="text1"/>
        </w:rPr>
        <w:t xml:space="preserve">, a tumor suppressor gene that is involved in apoptosis, cell proliferation, and DNA repair. Other molecular abnormalities that may be observed in panNET are mutations in </w:t>
      </w:r>
      <w:r w:rsidRPr="00190A3E">
        <w:rPr>
          <w:rFonts w:ascii="Book Antiqua" w:eastAsia="Book Antiqua" w:hAnsi="Book Antiqua" w:cs="Book Antiqua"/>
          <w:i/>
          <w:iCs/>
          <w:color w:val="000000" w:themeColor="text1"/>
        </w:rPr>
        <w:t>TSC1</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TSC2</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PTEN</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PIK3CA</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DEPDC5</w:t>
      </w:r>
      <w:r w:rsidRPr="00190A3E">
        <w:rPr>
          <w:rFonts w:ascii="Book Antiqua" w:eastAsia="Book Antiqua" w:hAnsi="Book Antiqua" w:cs="Book Antiqua"/>
          <w:color w:val="000000" w:themeColor="text1"/>
        </w:rPr>
        <w:t>, which all play a role in the mammalian target rapamycin (mTOR) pathway. These mutations occur in approximately 15% of tumors</w:t>
      </w:r>
      <w:r w:rsidRPr="00190A3E">
        <w:rPr>
          <w:rFonts w:ascii="Book Antiqua" w:eastAsia="Book Antiqua" w:hAnsi="Book Antiqua" w:cs="Book Antiqua"/>
          <w:color w:val="000000" w:themeColor="text1"/>
          <w:vertAlign w:val="superscript"/>
        </w:rPr>
        <w:t>[1,3]</w:t>
      </w:r>
      <w:r w:rsidRPr="00190A3E">
        <w:rPr>
          <w:rFonts w:ascii="Book Antiqua" w:eastAsia="Book Antiqua" w:hAnsi="Book Antiqua" w:cs="Book Antiqua"/>
          <w:color w:val="000000" w:themeColor="text1"/>
        </w:rPr>
        <w:t>.</w:t>
      </w:r>
    </w:p>
    <w:p w14:paraId="4FE4A4A5" w14:textId="26781702"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molecular abnormalities driving panNET do not usually occur in panNEC. Instead, these neoplasms commonly feature mutations in </w:t>
      </w:r>
      <w:r w:rsidRPr="00190A3E">
        <w:rPr>
          <w:rFonts w:ascii="Book Antiqua" w:eastAsia="Book Antiqua" w:hAnsi="Book Antiqua" w:cs="Book Antiqua"/>
          <w:i/>
          <w:iCs/>
          <w:color w:val="000000" w:themeColor="text1"/>
        </w:rPr>
        <w:t xml:space="preserve">TP53 </w:t>
      </w:r>
      <w:r w:rsidRPr="00190A3E">
        <w:rPr>
          <w:rFonts w:ascii="Book Antiqua" w:eastAsia="Book Antiqua" w:hAnsi="Book Antiqua" w:cs="Book Antiqua"/>
          <w:color w:val="000000" w:themeColor="text1"/>
        </w:rPr>
        <w:t xml:space="preserve">and </w:t>
      </w:r>
      <w:r w:rsidRPr="00190A3E">
        <w:rPr>
          <w:rFonts w:ascii="Book Antiqua" w:eastAsia="Book Antiqua" w:hAnsi="Book Antiqua" w:cs="Book Antiqua"/>
          <w:i/>
          <w:iCs/>
          <w:color w:val="000000" w:themeColor="text1"/>
        </w:rPr>
        <w:t>Rb1</w:t>
      </w:r>
      <w:r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i/>
          <w:iCs/>
          <w:color w:val="000000" w:themeColor="text1"/>
        </w:rPr>
        <w:t>KRAS</w:t>
      </w:r>
      <w:r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i/>
          <w:iCs/>
          <w:color w:val="000000" w:themeColor="text1"/>
        </w:rPr>
        <w:t>SMAD4</w:t>
      </w:r>
      <w:r w:rsidRPr="00190A3E">
        <w:rPr>
          <w:rFonts w:ascii="Book Antiqua" w:eastAsia="Book Antiqua" w:hAnsi="Book Antiqua" w:cs="Book Antiqua"/>
          <w:color w:val="000000" w:themeColor="text1"/>
        </w:rPr>
        <w:t xml:space="preserve"> mutations </w:t>
      </w:r>
      <w:r w:rsidR="00302F9F" w:rsidRPr="00190A3E">
        <w:rPr>
          <w:rFonts w:ascii="Book Antiqua" w:eastAsia="Book Antiqua" w:hAnsi="Book Antiqua" w:cs="Book Antiqua"/>
          <w:color w:val="000000" w:themeColor="text1"/>
        </w:rPr>
        <w:t>can also occur, but these are less frequent</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118D37E5" w14:textId="77777777" w:rsidR="00A77B3E" w:rsidRPr="00190A3E" w:rsidRDefault="00A77B3E">
      <w:pPr>
        <w:spacing w:line="360" w:lineRule="auto"/>
        <w:jc w:val="both"/>
        <w:rPr>
          <w:rFonts w:ascii="Book Antiqua" w:hAnsi="Book Antiqua"/>
          <w:color w:val="000000" w:themeColor="text1"/>
        </w:rPr>
      </w:pPr>
    </w:p>
    <w:p w14:paraId="71A5F98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CLINICAL FEATURES</w:t>
      </w:r>
    </w:p>
    <w:p w14:paraId="63F29E19" w14:textId="6817740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PanNEN have a wide range of clinical findings, depending on the subtype. The clinical presentation of functioning panNET is influenced by their characteristic hypersecretion of various hormones. Insulinomas account for 60% of functioning panNET and are composed of insulin-producing β cells</w:t>
      </w:r>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They typically manifest with Whipple’s Triad (</w:t>
      </w:r>
      <w:r w:rsidRPr="00190A3E">
        <w:rPr>
          <w:rFonts w:ascii="Book Antiqua" w:eastAsia="Book Antiqua" w:hAnsi="Book Antiqua" w:cs="Book Antiqua"/>
          <w:i/>
          <w:iCs/>
          <w:color w:val="000000" w:themeColor="text1"/>
        </w:rPr>
        <w:t>i.e.</w:t>
      </w:r>
      <w:r w:rsidRPr="00190A3E">
        <w:rPr>
          <w:rFonts w:ascii="Book Antiqua" w:eastAsia="Book Antiqua" w:hAnsi="Book Antiqua" w:cs="Book Antiqua"/>
          <w:color w:val="000000" w:themeColor="text1"/>
        </w:rPr>
        <w:t xml:space="preserve"> fasting hypoglycemia, symptoms of hypoglycemia, and relief of symptoms following administration of IV glucose)</w:t>
      </w:r>
      <w:r w:rsidRPr="00190A3E">
        <w:rPr>
          <w:rFonts w:ascii="Book Antiqua" w:eastAsia="Book Antiqua" w:hAnsi="Book Antiqua" w:cs="Book Antiqua"/>
          <w:color w:val="000000" w:themeColor="text1"/>
          <w:vertAlign w:val="superscript"/>
        </w:rPr>
        <w:t>[2]</w:t>
      </w:r>
      <w:r w:rsidRPr="00190A3E">
        <w:rPr>
          <w:rFonts w:ascii="Book Antiqua" w:eastAsia="Book Antiqua" w:hAnsi="Book Antiqua" w:cs="Book Antiqua"/>
          <w:color w:val="000000" w:themeColor="text1"/>
        </w:rPr>
        <w:t>. About 10% of cases will present multiple insulinomas, usually in association with MEN1 syndrome. Gastrinoma</w:t>
      </w:r>
      <w:r w:rsidR="002E1D95" w:rsidRPr="00190A3E">
        <w:rPr>
          <w:rFonts w:ascii="Book Antiqua" w:eastAsia="Book Antiqua" w:hAnsi="Book Antiqua" w:cs="Book Antiqua"/>
          <w:color w:val="000000" w:themeColor="text1"/>
        </w:rPr>
        <w:t>s</w:t>
      </w:r>
      <w:r w:rsidRPr="00190A3E">
        <w:rPr>
          <w:rFonts w:ascii="Book Antiqua" w:eastAsia="Book Antiqua" w:hAnsi="Book Antiqua" w:cs="Book Antiqua"/>
          <w:color w:val="000000" w:themeColor="text1"/>
        </w:rPr>
        <w:t xml:space="preserve"> represent the second most common functioning panNET. They usually arise in the gastrinoma triangle, a region enclosed by the pancreatic head and neck, the second and third part of the duodenum, and the cystic and common bile duct</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Overproduction of gastrin leads to the onset of Zollinger-Ellison syndrome, resulting in peptic ulcer disease, secretory diarrhea, or gastroesophageal reflux disease</w:t>
      </w:r>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Glucagonoma is characterized by its hypersecretion of glucagon. Common manifestations include necrolytic migratory erythema, diabetes mellitus, deep vein thrombosis, and depression</w:t>
      </w:r>
      <w:r w:rsidRPr="00190A3E">
        <w:rPr>
          <w:rFonts w:ascii="Book Antiqua" w:eastAsia="Book Antiqua" w:hAnsi="Book Antiqua" w:cs="Book Antiqua"/>
          <w:color w:val="000000" w:themeColor="text1"/>
          <w:vertAlign w:val="superscript"/>
        </w:rPr>
        <w:t>[3,6,7]</w:t>
      </w:r>
      <w:r w:rsidRPr="00190A3E">
        <w:rPr>
          <w:rFonts w:ascii="Book Antiqua" w:eastAsia="Book Antiqua" w:hAnsi="Book Antiqua" w:cs="Book Antiqua"/>
          <w:color w:val="000000" w:themeColor="text1"/>
        </w:rPr>
        <w:t>. Other functioning panNET are somatostatinomas, vasoactive intestinal peptide-secreting tumors, and adrenocorticotropic hormone-secreting tumors, which comprise less than 20% of cases</w:t>
      </w:r>
      <w:r w:rsidRPr="00190A3E">
        <w:rPr>
          <w:rFonts w:ascii="Book Antiqua" w:eastAsia="Book Antiqua" w:hAnsi="Book Antiqua" w:cs="Book Antiqua"/>
          <w:color w:val="000000" w:themeColor="text1"/>
          <w:vertAlign w:val="superscript"/>
        </w:rPr>
        <w:t>[8]</w:t>
      </w:r>
      <w:r w:rsidRPr="00190A3E">
        <w:rPr>
          <w:rFonts w:ascii="Book Antiqua" w:eastAsia="Book Antiqua" w:hAnsi="Book Antiqua" w:cs="Book Antiqua"/>
          <w:color w:val="000000" w:themeColor="text1"/>
        </w:rPr>
        <w:t>.</w:t>
      </w:r>
    </w:p>
    <w:p w14:paraId="6DA82150" w14:textId="782B6B2C"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Nonfunctioning panNET are usually asymptomatic until advanced stages, resulting in later presentation and diagnosis. These tumors can secrete polypeptides; however, such secretions do not lead to any associated clinical findings. When symptoms do appear, they are often a result of tumor burden and its mass effect. Up to 50% of nonfunctioning panNET present distant metastases, particularly in the liver, although other locations include the lungs, bone, peritoneum, adrenal glands, brain, and spleen</w:t>
      </w:r>
      <w:r w:rsidRPr="00190A3E">
        <w:rPr>
          <w:rFonts w:ascii="Book Antiqua" w:eastAsia="Book Antiqua" w:hAnsi="Book Antiqua" w:cs="Book Antiqua"/>
          <w:color w:val="000000" w:themeColor="text1"/>
          <w:vertAlign w:val="superscript"/>
        </w:rPr>
        <w:t>[3]</w:t>
      </w:r>
      <w:r w:rsidRPr="00190A3E">
        <w:rPr>
          <w:rFonts w:ascii="Book Antiqua" w:eastAsia="Book Antiqua" w:hAnsi="Book Antiqua" w:cs="Book Antiqua"/>
          <w:color w:val="000000" w:themeColor="text1"/>
        </w:rPr>
        <w:t>. Similarly, metastatic disease is a common clinical feature of panNEC. A retrospective study reported 88% of panNEC in their cohort demonstrated metastases upon diagnosis</w:t>
      </w:r>
      <w:r w:rsidRPr="00190A3E">
        <w:rPr>
          <w:rFonts w:ascii="Book Antiqua" w:eastAsia="Book Antiqua" w:hAnsi="Book Antiqua" w:cs="Book Antiqua"/>
          <w:color w:val="000000" w:themeColor="text1"/>
          <w:vertAlign w:val="superscript"/>
        </w:rPr>
        <w:t>[9]</w:t>
      </w:r>
      <w:r w:rsidRPr="00190A3E">
        <w:rPr>
          <w:rFonts w:ascii="Book Antiqua" w:eastAsia="Book Antiqua" w:hAnsi="Book Antiqua" w:cs="Book Antiqua"/>
          <w:color w:val="000000" w:themeColor="text1"/>
        </w:rPr>
        <w:t>.</w:t>
      </w:r>
    </w:p>
    <w:p w14:paraId="6612DA0B" w14:textId="77777777" w:rsidR="00A77B3E" w:rsidRPr="00190A3E" w:rsidRDefault="00A77B3E">
      <w:pPr>
        <w:spacing w:line="360" w:lineRule="auto"/>
        <w:jc w:val="both"/>
        <w:rPr>
          <w:rFonts w:ascii="Book Antiqua" w:hAnsi="Book Antiqua"/>
          <w:color w:val="000000" w:themeColor="text1"/>
        </w:rPr>
      </w:pPr>
    </w:p>
    <w:p w14:paraId="7C43CC0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IMAGING FEATURES</w:t>
      </w:r>
    </w:p>
    <w:p w14:paraId="4FF84326" w14:textId="34BB7889"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Imaging plays a critical role in diagnosing and evaluating panNEN. Conventional modalities like US, CT, and MRI are often used in the initial detection of panNEN. Techniques using PET/CT and novel radiotracers have proven to be extremely useful in the identification and classification of these tumors.</w:t>
      </w:r>
    </w:p>
    <w:p w14:paraId="0234F1A2" w14:textId="77777777" w:rsidR="00A77B3E" w:rsidRPr="00190A3E" w:rsidRDefault="00A77B3E">
      <w:pPr>
        <w:spacing w:line="360" w:lineRule="auto"/>
        <w:jc w:val="both"/>
        <w:rPr>
          <w:rFonts w:ascii="Book Antiqua" w:hAnsi="Book Antiqua"/>
          <w:color w:val="000000" w:themeColor="text1"/>
        </w:rPr>
      </w:pPr>
    </w:p>
    <w:p w14:paraId="44268BC0" w14:textId="2C70ED5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U</w:t>
      </w:r>
      <w:r w:rsidR="001C07DC" w:rsidRPr="00190A3E">
        <w:rPr>
          <w:rFonts w:ascii="Book Antiqua" w:eastAsia="Book Antiqua" w:hAnsi="Book Antiqua" w:cs="Book Antiqua"/>
          <w:b/>
          <w:bCs/>
          <w:i/>
          <w:iCs/>
          <w:color w:val="000000" w:themeColor="text1"/>
        </w:rPr>
        <w:t>S</w:t>
      </w:r>
    </w:p>
    <w:p w14:paraId="15CC0B90" w14:textId="170BFBD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On sonography, panNEN usually appear as a well-defined, solid, heterogeneous hypoechoic mass (Figure 1). Some lesions may present with cystic regions</w:t>
      </w:r>
      <w:r w:rsidRPr="00190A3E">
        <w:rPr>
          <w:rFonts w:ascii="Book Antiqua" w:eastAsia="Book Antiqua" w:hAnsi="Book Antiqua" w:cs="Book Antiqua"/>
          <w:color w:val="000000" w:themeColor="text1"/>
          <w:vertAlign w:val="superscript"/>
        </w:rPr>
        <w:t>[8,10]</w:t>
      </w:r>
      <w:r w:rsidRPr="00190A3E">
        <w:rPr>
          <w:rFonts w:ascii="Book Antiqua" w:eastAsia="Book Antiqua" w:hAnsi="Book Antiqua" w:cs="Book Antiqua"/>
          <w:color w:val="000000" w:themeColor="text1"/>
        </w:rPr>
        <w:t>. Hepatic metastases from panNEN are often hyperechoic in comparison to surrounding liver parenchyma, however they can also manifest as hypoechoic and targetoid lesions. Doppler US reveals increased vascularity. Endoscopic US (EUS) is the preferred modality for detecting small, occult panNEN that are difficult to see with noninvasive techniques</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EUS has been reported to have 80</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to 90% sensitivity towards panNET, including those that remain undetected on CT and transabdominal US</w:t>
      </w:r>
      <w:r w:rsidRPr="00190A3E">
        <w:rPr>
          <w:rFonts w:ascii="Book Antiqua" w:eastAsia="Book Antiqua" w:hAnsi="Book Antiqua" w:cs="Book Antiqua"/>
          <w:color w:val="000000" w:themeColor="text1"/>
          <w:vertAlign w:val="superscript"/>
        </w:rPr>
        <w:t>[11-14]</w:t>
      </w:r>
      <w:r w:rsidRPr="00190A3E">
        <w:rPr>
          <w:rFonts w:ascii="Book Antiqua" w:eastAsia="Book Antiqua" w:hAnsi="Book Antiqua" w:cs="Book Antiqua"/>
          <w:color w:val="000000" w:themeColor="text1"/>
        </w:rPr>
        <w:t xml:space="preserve">. EUS sensitivity towards small insulinomas and duodenal gastrinomas is particularly useful, as these lesions can often be overlooked by other modalities. Following microbubble contrast, panNET show early, intense enhancement on EUS, differentiating these tumors from panNEC or </w:t>
      </w:r>
      <w:r w:rsidR="00C64E14" w:rsidRPr="00190A3E">
        <w:rPr>
          <w:rFonts w:ascii="Book Antiqua" w:eastAsia="Book Antiqua" w:hAnsi="Book Antiqua" w:cs="Book Antiqua"/>
          <w:color w:val="000000" w:themeColor="text1"/>
        </w:rPr>
        <w:t>pancreatic ductal adenocarcinoma</w:t>
      </w:r>
      <w:r w:rsidRPr="00190A3E">
        <w:rPr>
          <w:rFonts w:ascii="Book Antiqua" w:eastAsia="Book Antiqua" w:hAnsi="Book Antiqua" w:cs="Book Antiqua"/>
          <w:color w:val="000000" w:themeColor="text1"/>
        </w:rPr>
        <w:t xml:space="preserve"> (PDAC) which are generally hypovascular. Homogeneous enhancement typically indicates a lower Ki-67 index</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Other benefits of EUS include its capacity for tissue acquisition using fine needle aspiration or core biopsy; EUS-guided biopsies agree with surgical Ki-67 evaluation in up to 84% of cases</w:t>
      </w:r>
      <w:r w:rsidRPr="00190A3E">
        <w:rPr>
          <w:rFonts w:ascii="Book Antiqua" w:eastAsia="Book Antiqua" w:hAnsi="Book Antiqua" w:cs="Book Antiqua"/>
          <w:color w:val="000000" w:themeColor="text1"/>
          <w:vertAlign w:val="superscript"/>
        </w:rPr>
        <w:t>[15-18]</w:t>
      </w:r>
      <w:r w:rsidRPr="00190A3E">
        <w:rPr>
          <w:rFonts w:ascii="Book Antiqua" w:eastAsia="Book Antiqua" w:hAnsi="Book Antiqua" w:cs="Book Antiqua"/>
          <w:color w:val="000000" w:themeColor="text1"/>
        </w:rPr>
        <w:t>. Intraoperative US also plays a useful role in some cases by allowing for accurate localization of neoplasms in relation to adjacent structure, thus reducing the risk of postoperative fistulas</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4FE45061" w14:textId="77777777" w:rsidR="00A77B3E" w:rsidRPr="00190A3E" w:rsidRDefault="00A77B3E">
      <w:pPr>
        <w:spacing w:line="360" w:lineRule="auto"/>
        <w:jc w:val="both"/>
        <w:rPr>
          <w:rFonts w:ascii="Book Antiqua" w:hAnsi="Book Antiqua"/>
          <w:color w:val="000000" w:themeColor="text1"/>
        </w:rPr>
      </w:pPr>
    </w:p>
    <w:p w14:paraId="04EC7481" w14:textId="5EE68FB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CT </w:t>
      </w:r>
    </w:p>
    <w:p w14:paraId="33968780" w14:textId="78BF823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CT is commonly used for initial assessment of suspected panNET. Given its high spatial resolution, CT provides excellent diagnostic information with regards to the detection and characterization of the primary tumor and allows assessment of local vascular spread and distant metastatic spread. Typical CT protocol involves multiphasic imaging with pre-contrast acquisition and arterial, pancreatic, and venous phase acquisition following contrast</w:t>
      </w:r>
      <w:r w:rsidRPr="00190A3E">
        <w:rPr>
          <w:rFonts w:ascii="Book Antiqua" w:eastAsia="Book Antiqua" w:hAnsi="Book Antiqua" w:cs="Book Antiqua"/>
          <w:color w:val="000000" w:themeColor="text1"/>
          <w:vertAlign w:val="superscript"/>
        </w:rPr>
        <w:t>[19]</w:t>
      </w:r>
      <w:r w:rsidRPr="00190A3E">
        <w:rPr>
          <w:rFonts w:ascii="Book Antiqua" w:eastAsia="Book Antiqua" w:hAnsi="Book Antiqua" w:cs="Book Antiqua"/>
          <w:color w:val="000000" w:themeColor="text1"/>
        </w:rPr>
        <w:t xml:space="preserve">. Pre-contrast images may be useful in cases where there is hemorrhage. Following contrast administration panNEN are generally hyperenhancing (Figure 2) in comparison to surrounding pancreatic tissue on arterial phase and remain mildly hyperattenuating on venous and delayed phases. However, more subtle discrimination of enhancement patterns may allow further classification. Intense, homogeneous enhancement is typical of lower grade panNEN. Grade 1 and 2 neoplasms often appear as small, well-circumscribed lesions, best depicted on arterial phase. These tumors may contain cystic regions in up </w:t>
      </w:r>
      <w:r w:rsidR="00ED445A" w:rsidRPr="00190A3E">
        <w:rPr>
          <w:rFonts w:ascii="Book Antiqua" w:eastAsia="Book Antiqua" w:hAnsi="Book Antiqua" w:cs="Book Antiqua"/>
          <w:color w:val="000000" w:themeColor="text1"/>
        </w:rPr>
        <w:t xml:space="preserve">to </w:t>
      </w:r>
      <w:r w:rsidRPr="00190A3E">
        <w:rPr>
          <w:rFonts w:ascii="Book Antiqua" w:eastAsia="Book Antiqua" w:hAnsi="Book Antiqua" w:cs="Book Antiqua"/>
          <w:color w:val="000000" w:themeColor="text1"/>
        </w:rPr>
        <w:t>15</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-20% of cases</w:t>
      </w:r>
      <w:r w:rsidRPr="00190A3E">
        <w:rPr>
          <w:rFonts w:ascii="Book Antiqua" w:eastAsia="Book Antiqua" w:hAnsi="Book Antiqua" w:cs="Book Antiqua"/>
          <w:color w:val="000000" w:themeColor="text1"/>
          <w:vertAlign w:val="superscript"/>
        </w:rPr>
        <w:t>[20,21]</w:t>
      </w:r>
      <w:r w:rsidRPr="00190A3E">
        <w:rPr>
          <w:rFonts w:ascii="Book Antiqua" w:eastAsia="Book Antiqua" w:hAnsi="Book Antiqua" w:cs="Book Antiqua"/>
          <w:color w:val="000000" w:themeColor="text1"/>
        </w:rPr>
        <w:t>, and are more common in cases associated with MEN1. Pancreatic ductal dilation is more commonly seen in high-grade neoplasms and mixed tumors than well-differentiated panNEN; however, ductal dilation in low-grade tumors may be seen with secretion of serotonin. Grade 3 tumors are characterized as large, ill-defined masses that manifest with mild to low enhancement on arterial phase. They are typically hypointense on portal venous phase imaging. Heterogeneous attenuation due to necrosis and cystic change and the presence of lymphadenopathy or metastatic disease is common.</w:t>
      </w:r>
    </w:p>
    <w:p w14:paraId="121B4A0A" w14:textId="23F40E7D"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CT radiomics may be useful for distinguishing the grade of panNEN based on tumor heterogeneity and spatial variation when imaging findings are ambiguous. Texture analysis interprets the distribution of pixel values and position within an image to provide objective, quantitative evaluation of tissue heterogeneity. Guo </w:t>
      </w:r>
      <w:r w:rsidRPr="00190A3E">
        <w:rPr>
          <w:rFonts w:ascii="Book Antiqua" w:eastAsia="Book Antiqua" w:hAnsi="Book Antiqua" w:cs="Book Antiqua"/>
          <w:i/>
          <w:iCs/>
          <w:color w:val="000000" w:themeColor="text1"/>
        </w:rPr>
        <w:t>et al</w:t>
      </w:r>
      <w:r w:rsidR="00C64E14" w:rsidRPr="00190A3E">
        <w:rPr>
          <w:rFonts w:ascii="Book Antiqua" w:eastAsia="Book Antiqua" w:hAnsi="Book Antiqua" w:cs="Book Antiqua"/>
          <w:color w:val="000000" w:themeColor="text1"/>
          <w:vertAlign w:val="superscript"/>
        </w:rPr>
        <w:t>[22]</w:t>
      </w:r>
      <w:r w:rsidRPr="00190A3E">
        <w:rPr>
          <w:rFonts w:ascii="Book Antiqua" w:eastAsia="Book Antiqua" w:hAnsi="Book Antiqua" w:cs="Book Antiqua"/>
          <w:color w:val="000000" w:themeColor="text1"/>
        </w:rPr>
        <w:t xml:space="preserve"> found texture parameters such as mean grey-level intensity, entropy, and uniformity demonstrated adequate sensitivity (73</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-91%) and specificity (85</w:t>
      </w:r>
      <w:r w:rsidR="00C64E14"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-100%) when differentiating grade 1 and 2 panNET from grade 3 panNEC, suggesting texture analysis may be useful for staging panNEN. Mean grey-level intensity showed up to a 100% sensitivity and 91% specificity for distinguishing grade 1 and grade 2 panNET. Canellas and colleagues reported significant differences between low-grade (grade 1) and high-grade (grade 2 and 3) panNEN in texture parameters including skewness, mean of positive pixels, and entropy. However, the only parameter that was an independent predictor of tumor grade was entropy. In addition, further investigation and standardization of postprocessing techniques is required before texture analysis can be applied in a clinical setting</w:t>
      </w:r>
      <w:r w:rsidRPr="00190A3E">
        <w:rPr>
          <w:rFonts w:ascii="Book Antiqua" w:eastAsia="Book Antiqua" w:hAnsi="Book Antiqua" w:cs="Book Antiqua"/>
          <w:color w:val="000000" w:themeColor="text1"/>
          <w:vertAlign w:val="superscript"/>
        </w:rPr>
        <w:t>[23]</w:t>
      </w:r>
      <w:r w:rsidRPr="00190A3E">
        <w:rPr>
          <w:rFonts w:ascii="Book Antiqua" w:eastAsia="Book Antiqua" w:hAnsi="Book Antiqua" w:cs="Book Antiqua"/>
          <w:color w:val="000000" w:themeColor="text1"/>
        </w:rPr>
        <w:t>.</w:t>
      </w:r>
    </w:p>
    <w:p w14:paraId="2058C823" w14:textId="65F26319"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In conjunction with clinical findings, CT can also aid distinguishing functioning from nonfunctioning panNET. Functioning panNET tend to be smaller and more homogenous lesions. Gastrinoma</w:t>
      </w:r>
      <w:r w:rsidR="00ED445A" w:rsidRPr="00190A3E">
        <w:rPr>
          <w:rFonts w:ascii="Book Antiqua" w:eastAsia="Book Antiqua" w:hAnsi="Book Antiqua" w:cs="Book Antiqua"/>
          <w:color w:val="000000" w:themeColor="text1"/>
        </w:rPr>
        <w:t>s</w:t>
      </w:r>
      <w:r w:rsidRPr="00190A3E">
        <w:rPr>
          <w:rFonts w:ascii="Book Antiqua" w:eastAsia="Book Antiqua" w:hAnsi="Book Antiqua" w:cs="Book Antiqua"/>
          <w:color w:val="000000" w:themeColor="text1"/>
        </w:rPr>
        <w:t xml:space="preserve"> may present ring-like enhancement. Nonfunctioning panNET are usually larger, heterogeneously enhancing masses, and are more likely to exhibit local or vascular spread. Necrosis, cystic changes, and calcifications may be observed</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Larger nonfunctioning panNET are more likely to exhibit aggressive behavior and often present with metastatic disease.</w:t>
      </w:r>
    </w:p>
    <w:p w14:paraId="09029F97" w14:textId="12F061BC"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Hepatic metastases demonstrate intense enhancement on arterial phase imaging and only mildly enhance during the portal venous phase. Similar to gastrinoma, ring-like enhancement may also be seen and can be useful for differentiating panNEN-related metastatic disease from other hepatic lesions</w:t>
      </w:r>
      <w:r w:rsidRPr="00190A3E">
        <w:rPr>
          <w:rFonts w:ascii="Book Antiqua" w:eastAsia="Book Antiqua" w:hAnsi="Book Antiqua" w:cs="Book Antiqua"/>
          <w:color w:val="000000" w:themeColor="text1"/>
          <w:vertAlign w:val="superscript"/>
        </w:rPr>
        <w:t>[1,11]</w:t>
      </w:r>
      <w:r w:rsidRPr="00190A3E">
        <w:rPr>
          <w:rFonts w:ascii="Book Antiqua" w:eastAsia="Book Antiqua" w:hAnsi="Book Antiqua" w:cs="Book Antiqua"/>
          <w:color w:val="000000" w:themeColor="text1"/>
        </w:rPr>
        <w:t>.</w:t>
      </w:r>
    </w:p>
    <w:p w14:paraId="44B11229" w14:textId="77777777" w:rsidR="00A77B3E" w:rsidRPr="00190A3E" w:rsidRDefault="00A77B3E">
      <w:pPr>
        <w:spacing w:line="360" w:lineRule="auto"/>
        <w:jc w:val="both"/>
        <w:rPr>
          <w:rFonts w:ascii="Book Antiqua" w:hAnsi="Book Antiqua"/>
          <w:color w:val="000000" w:themeColor="text1"/>
        </w:rPr>
      </w:pPr>
    </w:p>
    <w:p w14:paraId="58129279" w14:textId="21CBA4C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MRI</w:t>
      </w:r>
    </w:p>
    <w:p w14:paraId="5B5A7A45" w14:textId="342A62E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MRI provides improved detection of panNEN and hepatic metastases over abdominal sonography and CT given its superior contrast resolution (Figure 3). MRI enhancement patterns on arterial, venous, and delayed sequences are similar to those seen on CT. Fat-suppressed and diffusion-weighted imaging are particularly useful for identifying small, occult lesions and recognizing associated edema</w:t>
      </w:r>
      <w:r w:rsidRPr="00190A3E">
        <w:rPr>
          <w:rFonts w:ascii="Book Antiqua" w:eastAsia="Book Antiqua" w:hAnsi="Book Antiqua" w:cs="Book Antiqua"/>
          <w:color w:val="000000" w:themeColor="text1"/>
          <w:vertAlign w:val="superscript"/>
        </w:rPr>
        <w:t>[11]</w:t>
      </w:r>
      <w:r w:rsidRPr="00190A3E">
        <w:rPr>
          <w:rFonts w:ascii="Book Antiqua" w:eastAsia="Book Antiqua" w:hAnsi="Book Antiqua" w:cs="Book Antiqua"/>
          <w:color w:val="000000" w:themeColor="text1"/>
        </w:rPr>
        <w:t>. On MRI, panNEN typically manifest as hypointense on T1-weighted imaging and isointense on portal venous and delayed phases. Low-grade panNEN tend to exhibit high T2 signal while high-grade neoplasms typically exhibit low to intermediate hyperintensity on T2-weighted imaging</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6FA6F226" w14:textId="592057F0"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Differentiating between panNEC and grade 3 panNET is challenging on imaging alone (Table 2). PanNEC usually share similar enhancement patterns to grade 3 panNET. Imaging features such as hypoenhancement or rim-like enhancement on arterial phase, persistent enhancement on portal venous phase, and hyperenhancement on delayed phase imaging may favor a diagnosis of panNEC over panNET. On diffusion-weighted imaging, panNEC also demonstrate high signal intensity and low apparent diffusion coefficient (ADC) in comparison to grade 3 panNET</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however exact ADC cutoffs vary between studies and are not typically used in clinical practice to differentiate between panNEC and panNET</w:t>
      </w:r>
      <w:r w:rsidRPr="00190A3E">
        <w:rPr>
          <w:rFonts w:ascii="Book Antiqua" w:eastAsia="Book Antiqua" w:hAnsi="Book Antiqua" w:cs="Book Antiqua"/>
          <w:color w:val="000000" w:themeColor="text1"/>
          <w:vertAlign w:val="superscript"/>
        </w:rPr>
        <w:t>[24-26]</w:t>
      </w:r>
      <w:r w:rsidRPr="00190A3E">
        <w:rPr>
          <w:rFonts w:ascii="Book Antiqua" w:eastAsia="Book Antiqua" w:hAnsi="Book Antiqua" w:cs="Book Antiqua"/>
          <w:color w:val="000000" w:themeColor="text1"/>
        </w:rPr>
        <w:t>. The presence of ductal dilation and metastatic disease may indicate panNEC rather than panNET</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72A494E3" w14:textId="141A31F2" w:rsidR="00A77B3E" w:rsidRPr="00190A3E" w:rsidRDefault="00150E8B" w:rsidP="00C64E14">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MRI is very helpful towards assessing the spread of panNEN to the liver</w:t>
      </w:r>
      <w:r w:rsidRPr="00190A3E">
        <w:rPr>
          <w:rFonts w:ascii="Book Antiqua" w:eastAsia="Book Antiqua" w:hAnsi="Book Antiqua" w:cs="Book Antiqua"/>
          <w:color w:val="000000" w:themeColor="text1"/>
          <w:vertAlign w:val="superscript"/>
        </w:rPr>
        <w:t>[27]</w:t>
      </w:r>
      <w:r w:rsidRPr="00190A3E">
        <w:rPr>
          <w:rFonts w:ascii="Book Antiqua" w:eastAsia="Book Antiqua" w:hAnsi="Book Antiqua" w:cs="Book Antiqua"/>
          <w:color w:val="000000" w:themeColor="text1"/>
        </w:rPr>
        <w:t xml:space="preserve">. Hepatic metastases are usually heterogeneously hyperintense on T2-weighted imaging, though atypical presentations include low to moderate T2 intensity. PanNEN hepatic metastases are typically hyperintense on the arterial phase of </w:t>
      </w:r>
      <w:r w:rsidR="00ED445A" w:rsidRPr="00190A3E">
        <w:rPr>
          <w:rFonts w:ascii="Book Antiqua" w:eastAsia="Book Antiqua" w:hAnsi="Book Antiqua" w:cs="Book Antiqua"/>
          <w:color w:val="000000" w:themeColor="text1"/>
        </w:rPr>
        <w:t>MRI.</w:t>
      </w:r>
      <w:r w:rsidRPr="00190A3E">
        <w:rPr>
          <w:rFonts w:ascii="Book Antiqua" w:eastAsia="Book Antiqua" w:hAnsi="Book Antiqua" w:cs="Book Antiqua"/>
          <w:color w:val="000000" w:themeColor="text1"/>
        </w:rPr>
        <w:t xml:space="preserve"> A peripheral ring of enhancement with gradual internal enhancement may also occur</w:t>
      </w:r>
      <w:r w:rsidRPr="00190A3E">
        <w:rPr>
          <w:rFonts w:ascii="Book Antiqua" w:eastAsia="Book Antiqua" w:hAnsi="Book Antiqua" w:cs="Book Antiqua"/>
          <w:color w:val="000000" w:themeColor="text1"/>
          <w:vertAlign w:val="superscript"/>
        </w:rPr>
        <w:t>[1,11,28]</w:t>
      </w:r>
      <w:r w:rsidRPr="00190A3E">
        <w:rPr>
          <w:rFonts w:ascii="Book Antiqua" w:eastAsia="Book Antiqua" w:hAnsi="Book Antiqua" w:cs="Book Antiqua"/>
          <w:color w:val="000000" w:themeColor="text1"/>
        </w:rPr>
        <w:t>. The apparent size of metastases can also vary depending on the dynamic contrast phase on which the dimension is measured. For estimation of tumor load, measurements on the hepatobiliary phase of gadoxetate MRI may be more accurate</w:t>
      </w:r>
      <w:r w:rsidRPr="00190A3E">
        <w:rPr>
          <w:rFonts w:ascii="Book Antiqua" w:eastAsia="Book Antiqua" w:hAnsi="Book Antiqua" w:cs="Book Antiqua"/>
          <w:color w:val="000000" w:themeColor="text1"/>
          <w:vertAlign w:val="superscript"/>
        </w:rPr>
        <w:t>[29,30]</w:t>
      </w:r>
      <w:r w:rsidRPr="00190A3E">
        <w:rPr>
          <w:rFonts w:ascii="Book Antiqua" w:eastAsia="Book Antiqua" w:hAnsi="Book Antiqua" w:cs="Book Antiqua"/>
          <w:color w:val="000000" w:themeColor="text1"/>
        </w:rPr>
        <w:t>. Histogram analysis of ADC maps could be useful for further indicating the aggressiveness and spread of panNEN. ADC entropy and kurotsis were reported to increase with tumor grade and vascular invasion. These parameters may also be useful for distinguishing panNEN with lymph node or distant metastasis, as both increase with the presence of metastases</w:t>
      </w:r>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w:t>
      </w:r>
    </w:p>
    <w:p w14:paraId="2EF0B6B0" w14:textId="77777777" w:rsidR="00A77B3E" w:rsidRPr="00190A3E" w:rsidRDefault="00A77B3E">
      <w:pPr>
        <w:spacing w:line="360" w:lineRule="auto"/>
        <w:jc w:val="both"/>
        <w:rPr>
          <w:rFonts w:ascii="Book Antiqua" w:hAnsi="Book Antiqua"/>
          <w:color w:val="000000" w:themeColor="text1"/>
        </w:rPr>
      </w:pPr>
    </w:p>
    <w:p w14:paraId="639D38E7" w14:textId="1E3C4629"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Functional </w:t>
      </w:r>
      <w:r w:rsidR="009B7CD5" w:rsidRPr="00190A3E">
        <w:rPr>
          <w:rFonts w:ascii="Book Antiqua" w:eastAsia="Book Antiqua" w:hAnsi="Book Antiqua" w:cs="Book Antiqua"/>
          <w:b/>
          <w:bCs/>
          <w:i/>
          <w:iCs/>
          <w:color w:val="000000" w:themeColor="text1"/>
        </w:rPr>
        <w:t>imaging</w:t>
      </w:r>
    </w:p>
    <w:p w14:paraId="130756F3" w14:textId="26748F6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The majority of panNEN express somatostatin receptors, allowing for excellent detection and characterization of these lesions using somatostatin analogs (SSA)</w:t>
      </w:r>
      <w:r w:rsidR="00AA365C" w:rsidRPr="00190A3E">
        <w:rPr>
          <w:rFonts w:ascii="Book Antiqua" w:hAnsi="Book Antiqua" w:hint="eastAsia"/>
          <w:color w:val="000000" w:themeColor="text1"/>
          <w:lang w:eastAsia="zh-CN"/>
        </w:rPr>
        <w:t xml:space="preserve"> </w:t>
      </w:r>
      <w:r w:rsidRPr="00190A3E">
        <w:rPr>
          <w:rFonts w:ascii="Book Antiqua" w:eastAsia="Book Antiqua" w:hAnsi="Book Antiqua" w:cs="Book Antiqua"/>
          <w:color w:val="000000" w:themeColor="text1"/>
        </w:rPr>
        <w:t>coupled with radionuclide tracers. These techniques represent the forefront of panNEN imaging and can help to select patients for peptide receptor radionuclide therapy (PRRT)</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4E2AAEC8" w14:textId="381C7942" w:rsidR="00A77B3E" w:rsidRPr="00190A3E" w:rsidRDefault="00150E8B" w:rsidP="00306E95">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Somatostatin receptor scintigraphy (SRS) with Indium 111 (</w:t>
      </w:r>
      <w:r w:rsidRPr="00190A3E">
        <w:rPr>
          <w:rFonts w:ascii="Book Antiqua" w:eastAsia="Book Antiqua" w:hAnsi="Book Antiqua" w:cs="Book Antiqua"/>
          <w:color w:val="000000" w:themeColor="text1"/>
          <w:vertAlign w:val="superscript"/>
        </w:rPr>
        <w:t>111</w:t>
      </w:r>
      <w:r w:rsidRPr="00190A3E">
        <w:rPr>
          <w:rFonts w:ascii="Book Antiqua" w:eastAsia="Book Antiqua" w:hAnsi="Book Antiqua" w:cs="Book Antiqua"/>
          <w:color w:val="000000" w:themeColor="text1"/>
        </w:rPr>
        <w:t>In)-pentetreotide can identify primary or metastatic disease throughout the body with 77% sensitivity and provide</w:t>
      </w:r>
      <w:r w:rsidR="00ED445A" w:rsidRPr="00190A3E">
        <w:rPr>
          <w:rFonts w:ascii="Book Antiqua" w:eastAsia="Book Antiqua" w:hAnsi="Book Antiqua" w:cs="Book Antiqua"/>
          <w:color w:val="000000" w:themeColor="text1"/>
        </w:rPr>
        <w:t>s</w:t>
      </w:r>
      <w:r w:rsidRPr="00190A3E">
        <w:rPr>
          <w:rFonts w:ascii="Book Antiqua" w:eastAsia="Book Antiqua" w:hAnsi="Book Antiqua" w:cs="Book Antiqua"/>
          <w:color w:val="000000" w:themeColor="text1"/>
        </w:rPr>
        <w:t xml:space="preserve"> functional information on tumor somatostatin receptor expression</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However, SRS is limited due to its nonspecific uptake in other organs and inflammatory tissues. In addition, its poor spatial resolution and comparatively low affinity for somatostatin receptors has led to the adoption of substantially superior PET/CT techniques</w:t>
      </w:r>
      <w:r w:rsidRPr="00190A3E">
        <w:rPr>
          <w:rFonts w:ascii="Book Antiqua" w:eastAsia="Book Antiqua" w:hAnsi="Book Antiqua" w:cs="Book Antiqua"/>
          <w:color w:val="000000" w:themeColor="text1"/>
          <w:vertAlign w:val="superscript"/>
        </w:rPr>
        <w:t>[32]</w:t>
      </w:r>
      <w:r w:rsidRPr="00190A3E">
        <w:rPr>
          <w:rFonts w:ascii="Book Antiqua" w:eastAsia="Book Antiqua" w:hAnsi="Book Antiqua" w:cs="Book Antiqua"/>
          <w:color w:val="000000" w:themeColor="text1"/>
        </w:rPr>
        <w:t>.</w:t>
      </w:r>
    </w:p>
    <w:p w14:paraId="09347D6A" w14:textId="40818B6B" w:rsidR="00A77B3E" w:rsidRPr="00190A3E" w:rsidRDefault="00150E8B" w:rsidP="006E51ED">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Gallium-68</w:t>
      </w:r>
      <w:r w:rsidR="00D63721" w:rsidRPr="00190A3E">
        <w:rPr>
          <w:rFonts w:ascii="Book Antiqua" w:eastAsia="Book Antiqua" w:hAnsi="Book Antiqua" w:cs="Book Antiqua"/>
          <w:color w:val="000000" w:themeColor="text1"/>
        </w:rPr>
        <w:t xml:space="preserve"> (</w:t>
      </w:r>
      <w:r w:rsidR="00D63721" w:rsidRPr="00190A3E">
        <w:rPr>
          <w:rFonts w:ascii="Book Antiqua" w:eastAsia="Book Antiqua" w:hAnsi="Book Antiqua" w:cs="Book Antiqua"/>
          <w:color w:val="000000" w:themeColor="text1"/>
          <w:vertAlign w:val="superscript"/>
        </w:rPr>
        <w:t>68</w:t>
      </w:r>
      <w:r w:rsidR="00D63721" w:rsidRPr="00190A3E">
        <w:rPr>
          <w:rFonts w:ascii="Book Antiqua" w:eastAsia="Book Antiqua" w:hAnsi="Book Antiqua" w:cs="Book Antiqua"/>
          <w:color w:val="000000" w:themeColor="text1"/>
        </w:rPr>
        <w:t>Ga)</w:t>
      </w:r>
      <w:r w:rsidRPr="00190A3E">
        <w:rPr>
          <w:rFonts w:ascii="Book Antiqua" w:eastAsia="Book Antiqua" w:hAnsi="Book Antiqua" w:cs="Book Antiqua"/>
          <w:color w:val="000000" w:themeColor="text1"/>
        </w:rPr>
        <w:t xml:space="preserve"> 1,4,7,10-tetraazacyclododecane-1,4,7,10-tetraacetic acid</w:t>
      </w:r>
      <w:r w:rsidR="00D63721" w:rsidRPr="00190A3E">
        <w:rPr>
          <w:rFonts w:ascii="Book Antiqua" w:eastAsia="Book Antiqua" w:hAnsi="Book Antiqua" w:cs="Book Antiqua"/>
          <w:color w:val="000000" w:themeColor="text1"/>
        </w:rPr>
        <w:t xml:space="preserve"> (DOTA)</w:t>
      </w:r>
      <w:r w:rsidRPr="00190A3E">
        <w:rPr>
          <w:rFonts w:ascii="Book Antiqua" w:eastAsia="Book Antiqua" w:hAnsi="Book Antiqua" w:cs="Book Antiqua"/>
          <w:color w:val="000000" w:themeColor="text1"/>
        </w:rPr>
        <w:t xml:space="preserve">–octreotate, more commonly called </w:t>
      </w:r>
      <w:r w:rsidR="00634848" w:rsidRPr="00190A3E">
        <w:rPr>
          <w:rFonts w:ascii="Book Antiqua" w:eastAsia="Book Antiqua" w:hAnsi="Book Antiqua" w:cs="Book Antiqua"/>
          <w:color w:val="000000" w:themeColor="text1"/>
          <w:vertAlign w:val="superscript"/>
        </w:rPr>
        <w:t>68</w:t>
      </w:r>
      <w:r w:rsidR="00634848" w:rsidRPr="00190A3E">
        <w:rPr>
          <w:rFonts w:ascii="Book Antiqua" w:eastAsia="Book Antiqua" w:hAnsi="Book Antiqua" w:cs="Book Antiqua"/>
          <w:color w:val="000000" w:themeColor="text1"/>
        </w:rPr>
        <w:t>Ga-</w:t>
      </w:r>
      <w:r w:rsidRPr="00190A3E">
        <w:rPr>
          <w:rFonts w:ascii="Book Antiqua" w:eastAsia="Book Antiqua" w:hAnsi="Book Antiqua" w:cs="Book Antiqua"/>
          <w:color w:val="000000" w:themeColor="text1"/>
        </w:rPr>
        <w:t>DOTATATE, has demonstrated consistently high specificity (81</w:t>
      </w:r>
      <w:r w:rsidR="006E51E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-100%) and sensitivity (90</w:t>
      </w:r>
      <w:r w:rsidR="006E51E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-100%) as a PET agent for panNET</w:t>
      </w:r>
      <w:r w:rsidRPr="00190A3E">
        <w:rPr>
          <w:rFonts w:ascii="Book Antiqua" w:eastAsia="Book Antiqua" w:hAnsi="Book Antiqua" w:cs="Book Antiqua"/>
          <w:color w:val="000000" w:themeColor="text1"/>
          <w:vertAlign w:val="superscript"/>
        </w:rPr>
        <w:t>[33,34]</w:t>
      </w:r>
      <w:r w:rsidRPr="00190A3E">
        <w:rPr>
          <w:rFonts w:ascii="Book Antiqua" w:eastAsia="Book Antiqua" w:hAnsi="Book Antiqua" w:cs="Book Antiqua"/>
          <w:color w:val="000000" w:themeColor="text1"/>
        </w:rPr>
        <w:t xml:space="preserve"> (Figure 4).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PET/CT is particularly useful for distinguishing low-grade, well-differentiated panNEN, which show greater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uptake than high-grade panNEN. Grade 3 panNET exhibit moderate uptake, while panNEC exhibit relatively poor uptake</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Physiological uptake in the pancreatic uncinate process is observed in up to one-third of individuals. The European Association of Nuclear Medicine (EANM) recommends disregarding uptake in the pancreatic uncinate process unless corresponding imaging findings are seen</w:t>
      </w:r>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 xml:space="preserve">. Other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Ga-DOTA-peptides include DOTATOC and DOTANOC, which are reported to have similar diagnostic yields as to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w:t>
      </w:r>
    </w:p>
    <w:p w14:paraId="722044F9" w14:textId="1D210B88" w:rsidR="00A77B3E" w:rsidRPr="00190A3E" w:rsidRDefault="00150E8B" w:rsidP="006E51ED">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decrease of somatostatin receptors seen in higher grade, less differentiated neoplasms is accompanied by an increase in metabolic activity, making </w:t>
      </w:r>
      <w:r w:rsidR="00D63721" w:rsidRPr="00190A3E">
        <w:rPr>
          <w:rFonts w:ascii="Book Antiqua" w:hAnsi="Book Antiqua"/>
          <w:color w:val="000000" w:themeColor="text1"/>
        </w:rPr>
        <w:t>Fluorine-18 fluorodeoxyglucose</w:t>
      </w:r>
      <w:r w:rsidR="00D63721" w:rsidRPr="00190A3E">
        <w:rPr>
          <w:rFonts w:ascii="Book Antiqua" w:eastAsia="Book Antiqua" w:hAnsi="Book Antiqua" w:cs="Book Antiqua"/>
          <w:color w:val="000000" w:themeColor="text1"/>
          <w:vertAlign w:val="superscript"/>
        </w:rPr>
        <w:t xml:space="preserve"> </w:t>
      </w:r>
      <w:r w:rsidR="00D63721"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F-FDG</w:t>
      </w:r>
      <w:r w:rsidR="00D63721"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PET an ideal technique for identifying these lesions. Grade 3 tumors have a reported median maximum standardized uptake value of 11.7 for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w:t>
      </w:r>
      <w:r w:rsidRPr="00190A3E">
        <w:rPr>
          <w:rFonts w:ascii="Book Antiqua" w:eastAsia="Book Antiqua" w:hAnsi="Book Antiqua" w:cs="Book Antiqua"/>
          <w:i/>
          <w:iCs/>
          <w:color w:val="000000" w:themeColor="text1"/>
        </w:rPr>
        <w:t>vs</w:t>
      </w:r>
      <w:r w:rsidRPr="00190A3E">
        <w:rPr>
          <w:rFonts w:ascii="Book Antiqua" w:eastAsia="Book Antiqua" w:hAnsi="Book Antiqua" w:cs="Book Antiqua"/>
          <w:color w:val="000000" w:themeColor="text1"/>
        </w:rPr>
        <w:t xml:space="preserve"> 4.4 for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xml:space="preserve">. Conversely, tumors with a Ki-67 index lower than 10% showed minimal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uptake, but high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uptake</w:t>
      </w:r>
      <w:r w:rsidRPr="00190A3E">
        <w:rPr>
          <w:rFonts w:ascii="Book Antiqua" w:eastAsia="Book Antiqua" w:hAnsi="Book Antiqua" w:cs="Book Antiqua"/>
          <w:color w:val="000000" w:themeColor="text1"/>
          <w:vertAlign w:val="superscript"/>
        </w:rPr>
        <w:t>[36]</w:t>
      </w:r>
      <w:r w:rsidRPr="00190A3E">
        <w:rPr>
          <w:rFonts w:ascii="Book Antiqua" w:eastAsia="Book Antiqua" w:hAnsi="Book Antiqua" w:cs="Book Antiqua"/>
          <w:color w:val="000000" w:themeColor="text1"/>
        </w:rPr>
        <w:t xml:space="preserve">. Dual-tracer PET/CT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may be useful for distinguishing grade 3 panNET from panNEC, as higher uptake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indicates grade 3 panNET, while higher uptake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F-FDG indicates panNEC</w:t>
      </w:r>
      <w:r w:rsidRPr="00190A3E">
        <w:rPr>
          <w:rFonts w:ascii="Book Antiqua" w:eastAsia="Book Antiqua" w:hAnsi="Book Antiqua" w:cs="Book Antiqua"/>
          <w:color w:val="000000" w:themeColor="text1"/>
          <w:vertAlign w:val="superscript"/>
        </w:rPr>
        <w:t>[1,35]</w:t>
      </w:r>
      <w:r w:rsidRPr="00190A3E">
        <w:rPr>
          <w:rFonts w:ascii="Book Antiqua" w:eastAsia="Book Antiqua" w:hAnsi="Book Antiqua" w:cs="Book Antiqua"/>
          <w:color w:val="000000" w:themeColor="text1"/>
        </w:rPr>
        <w:t>. The use of SSA-PET/CT combined with texture analysis may also be a useful indicator of prognosis. A multi-center retrospective study demonstrated higher entropy could predict greater overall survival</w:t>
      </w:r>
      <w:r w:rsidRPr="00190A3E">
        <w:rPr>
          <w:rFonts w:ascii="Book Antiqua" w:eastAsia="Book Antiqua" w:hAnsi="Book Antiqua" w:cs="Book Antiqua"/>
          <w:color w:val="000000" w:themeColor="text1"/>
          <w:vertAlign w:val="superscript"/>
        </w:rPr>
        <w:t>[37]</w:t>
      </w:r>
      <w:r w:rsidRPr="00190A3E">
        <w:rPr>
          <w:rFonts w:ascii="Book Antiqua" w:eastAsia="Book Antiqua" w:hAnsi="Book Antiqua" w:cs="Book Antiqua"/>
          <w:color w:val="000000" w:themeColor="text1"/>
        </w:rPr>
        <w:t>.</w:t>
      </w:r>
    </w:p>
    <w:p w14:paraId="1B07F97A" w14:textId="10FFDA2F"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A minority of insulinomas (&lt; 10%) are negative on all conventional modalities due to their small size</w:t>
      </w:r>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 In such instances, SSA-PET/CT is a poor alternative, with a reported 25% sensitivity and specificity</w:t>
      </w:r>
      <w:r w:rsidRPr="00190A3E">
        <w:rPr>
          <w:rFonts w:ascii="Book Antiqua" w:eastAsia="Book Antiqua" w:hAnsi="Book Antiqua" w:cs="Book Antiqua"/>
          <w:color w:val="000000" w:themeColor="text1"/>
          <w:vertAlign w:val="superscript"/>
        </w:rPr>
        <w:t>[38-43]</w:t>
      </w:r>
      <w:r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vertAlign w:val="superscript"/>
        </w:rPr>
        <w:t xml:space="preserve"> 18</w:t>
      </w:r>
      <w:r w:rsidRPr="00190A3E">
        <w:rPr>
          <w:rFonts w:ascii="Book Antiqua" w:eastAsia="Book Antiqua" w:hAnsi="Book Antiqua" w:cs="Book Antiqua"/>
          <w:color w:val="000000" w:themeColor="text1"/>
        </w:rPr>
        <w:t>F-dihydroxyphenylalanine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F-DOPA) PET/CT may aid localization of insulinomas, offering high sensitivity in cases of hyperinsulinemic hypoglycemia. However, this technique frequently results in positive findings for non-neuroendocrine pancreatic lesions and is only indicated for detecting non-pancreatic NENs by 2017 EANM guidelines</w:t>
      </w:r>
      <w:r w:rsidRPr="00190A3E">
        <w:rPr>
          <w:rFonts w:ascii="Book Antiqua" w:eastAsia="Book Antiqua" w:hAnsi="Book Antiqua" w:cs="Book Antiqua"/>
          <w:color w:val="000000" w:themeColor="text1"/>
          <w:vertAlign w:val="superscript"/>
        </w:rPr>
        <w:t>[44]</w:t>
      </w:r>
      <w:r w:rsidRPr="00190A3E">
        <w:rPr>
          <w:rFonts w:ascii="Book Antiqua" w:eastAsia="Book Antiqua" w:hAnsi="Book Antiqua" w:cs="Book Antiqua"/>
          <w:color w:val="000000" w:themeColor="text1"/>
        </w:rPr>
        <w:t xml:space="preserve">. Carbidopa premedication may increase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specificity towards insulinomas by inhibiting physiologic uptake. Multiple retrospective studies with small cohorts using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F-DOPA and carbidopa premedication have demonstrated insulinoma detection rates of 70-85%</w:t>
      </w:r>
      <w:r w:rsidRPr="00190A3E">
        <w:rPr>
          <w:rFonts w:ascii="Book Antiqua" w:eastAsia="Book Antiqua" w:hAnsi="Book Antiqua" w:cs="Book Antiqua"/>
          <w:color w:val="000000" w:themeColor="text1"/>
          <w:vertAlign w:val="superscript"/>
        </w:rPr>
        <w:t>[45-47]</w:t>
      </w:r>
      <w:r w:rsidRPr="00190A3E">
        <w:rPr>
          <w:rFonts w:ascii="Book Antiqua" w:eastAsia="Book Antiqua" w:hAnsi="Book Antiqua" w:cs="Book Antiqua"/>
          <w:color w:val="000000" w:themeColor="text1"/>
        </w:rPr>
        <w:t xml:space="preserve">. However, further investigation into the role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PET/CT in panNEN is required. </w:t>
      </w:r>
    </w:p>
    <w:p w14:paraId="1BFA71C6" w14:textId="49F5ADF6"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Glucagon-like peptide receptor (GLP-1R) PET/CT may also prove useful for detecting insulinomas. The majority of benign insulinoma express GLP-1R, resulting in a sensitivity on GLP-1R -based PET/CT of more than 95%</w:t>
      </w:r>
      <w:r w:rsidRPr="00190A3E">
        <w:rPr>
          <w:rFonts w:ascii="Book Antiqua" w:eastAsia="Book Antiqua" w:hAnsi="Book Antiqua" w:cs="Book Antiqua"/>
          <w:color w:val="000000" w:themeColor="text1"/>
          <w:vertAlign w:val="superscript"/>
        </w:rPr>
        <w:t>[47,48]</w:t>
      </w:r>
      <w:r w:rsidRPr="00190A3E">
        <w:rPr>
          <w:rFonts w:ascii="Book Antiqua" w:eastAsia="Book Antiqua" w:hAnsi="Book Antiqua" w:cs="Book Antiqua"/>
          <w:color w:val="000000" w:themeColor="text1"/>
        </w:rPr>
        <w:t>. However, uptake in the pancreatic tail can be mistaken for physiological renal accumulation of radionuclides; uptake by duodenal Brunner gland may be mistaken for an insulinoma in the pancreatico-duodenal groove. In addition, malignant insulinomas express GLP-1R considerably less than their benign counterparts</w:t>
      </w:r>
      <w:r w:rsidR="009D16F7">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vertAlign w:val="superscript"/>
        </w:rPr>
        <w:t>[35,49]</w:t>
      </w:r>
      <w:r w:rsidRPr="00190A3E">
        <w:rPr>
          <w:rFonts w:ascii="Book Antiqua" w:eastAsia="Book Antiqua" w:hAnsi="Book Antiqua" w:cs="Book Antiqua"/>
          <w:color w:val="000000" w:themeColor="text1"/>
        </w:rPr>
        <w:t>.</w:t>
      </w:r>
    </w:p>
    <w:p w14:paraId="71EB7219" w14:textId="77777777" w:rsidR="00A77B3E" w:rsidRPr="00190A3E" w:rsidRDefault="00A77B3E">
      <w:pPr>
        <w:spacing w:line="360" w:lineRule="auto"/>
        <w:jc w:val="both"/>
        <w:rPr>
          <w:rFonts w:ascii="Book Antiqua" w:hAnsi="Book Antiqua"/>
          <w:color w:val="000000" w:themeColor="text1"/>
        </w:rPr>
      </w:pPr>
    </w:p>
    <w:p w14:paraId="7085199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DIFFERENTIAL DIAGNOSIS</w:t>
      </w:r>
    </w:p>
    <w:p w14:paraId="30DD28DC" w14:textId="3ABB588F"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The differential diagnosis for panNEN includes other hypervascular pancreatic lesions. Pancreatic metastases from renal cell carcinoma, melanoma, and sarcoma may often appear as hypervascular masses resembling panNEN. In particular, renal cell carcinoma may present with late onset metastasis in pancreas, even 5 to 10 years following treatment of the primary tumor, causing diagnostic dilemma. A history of previous primary malignancies should alert to the possibility of pancreatic metastases over panNEN. Serous cystadenomas represent another possible mimic of panNEN, particularly the rare subset of cases which may appear solid on CT. T2-weighted usually reveals presence of multiple septated cysts in serous cystadenomas which may occasionally not be apparent on CT. Lack of uptake on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PET/CT is also useful for separating serous cystadenomas from panNEN. Intrapancreatic accessory splenules in the pancreatic tail may be another potential pitfall causing diagnostic confusion, especially if only a single-phase CT is available. However, on MRI this diagnosis is generally straightforward. Splenules will have the same appearance as normal spleen on all MR sequences including T1-weighted, T2-weighted, diffusion-weighted and postcontrast sequences. In cases of diagnostic difficulty, uptake on technetium 99m (</w:t>
      </w:r>
      <w:r w:rsidRPr="00190A3E">
        <w:rPr>
          <w:rFonts w:ascii="Book Antiqua" w:eastAsia="Book Antiqua" w:hAnsi="Book Antiqua" w:cs="Book Antiqua"/>
          <w:color w:val="000000" w:themeColor="text1"/>
          <w:vertAlign w:val="superscript"/>
        </w:rPr>
        <w:t>99m</w:t>
      </w:r>
      <w:r w:rsidRPr="00190A3E">
        <w:rPr>
          <w:rFonts w:ascii="Book Antiqua" w:eastAsia="Book Antiqua" w:hAnsi="Book Antiqua" w:cs="Book Antiqua"/>
          <w:color w:val="000000" w:themeColor="text1"/>
        </w:rPr>
        <w:t xml:space="preserve">Tc)-labeled heat-damaged red blood cell–tagged or </w:t>
      </w:r>
      <w:r w:rsidRPr="00190A3E">
        <w:rPr>
          <w:rFonts w:ascii="Book Antiqua" w:eastAsia="Book Antiqua" w:hAnsi="Book Antiqua" w:cs="Book Antiqua"/>
          <w:color w:val="000000" w:themeColor="text1"/>
          <w:vertAlign w:val="superscript"/>
        </w:rPr>
        <w:t>99m</w:t>
      </w:r>
      <w:r w:rsidRPr="00190A3E">
        <w:rPr>
          <w:rFonts w:ascii="Book Antiqua" w:eastAsia="Book Antiqua" w:hAnsi="Book Antiqua" w:cs="Book Antiqua"/>
          <w:color w:val="000000" w:themeColor="text1"/>
        </w:rPr>
        <w:t>Tc-labeled sulfur colloid scans may help. Cystic panNEN may be mistaken for other cystic pancreatic entities such as mucinous cystic neoplasms, in which case EUS-guided fine needle aspiration might be necessary to confirm diagnosis</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w:t>
      </w:r>
    </w:p>
    <w:p w14:paraId="2F754B4D" w14:textId="551196C2" w:rsidR="00A77B3E" w:rsidRPr="00190A3E" w:rsidRDefault="00150E8B" w:rsidP="00A567F6">
      <w:pPr>
        <w:spacing w:line="360" w:lineRule="auto"/>
        <w:ind w:firstLineChars="100" w:firstLine="240"/>
        <w:jc w:val="both"/>
        <w:rPr>
          <w:rFonts w:ascii="Book Antiqua" w:hAnsi="Book Antiqua"/>
          <w:color w:val="000000" w:themeColor="text1"/>
        </w:rPr>
      </w:pPr>
      <w:r w:rsidRPr="00190A3E">
        <w:rPr>
          <w:rFonts w:ascii="Book Antiqua" w:eastAsia="Book Antiqua" w:hAnsi="Book Antiqua" w:cs="Book Antiqua"/>
          <w:color w:val="000000" w:themeColor="text1"/>
        </w:rPr>
        <w:t>Distinguishing the typical well-differentiated panNET from PDAC is usually straightforward, as panNET typically are hypervascular, well-defined and do not typically cause ductal obstruction. Nevertheless, the imaging appearance of panNEC often overlap with PDAC given their shared hypovascularity and ill-defined borders. These similar radiologic findings may result in misdiagnosis of up to 57% of panNEC as PDAC</w:t>
      </w:r>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 Decreased portal phase enhancement and a lower enhancement ratio between arterial and portal phase may raise suspicion for PDAC over nonhypervascular panNEN</w:t>
      </w:r>
      <w:r w:rsidRPr="00190A3E">
        <w:rPr>
          <w:rFonts w:ascii="Book Antiqua" w:eastAsia="Book Antiqua" w:hAnsi="Book Antiqua" w:cs="Book Antiqua"/>
          <w:color w:val="000000" w:themeColor="text1"/>
          <w:vertAlign w:val="superscript"/>
        </w:rPr>
        <w:t>[50-52]</w:t>
      </w:r>
      <w:r w:rsidRPr="00190A3E">
        <w:rPr>
          <w:rFonts w:ascii="Book Antiqua" w:eastAsia="Book Antiqua" w:hAnsi="Book Antiqua" w:cs="Book Antiqua"/>
          <w:color w:val="000000" w:themeColor="text1"/>
        </w:rPr>
        <w:t>. Features that are more common in panNEC include tumoral calcification and vascular invasion</w:t>
      </w:r>
      <w:r w:rsidRPr="00190A3E">
        <w:rPr>
          <w:rFonts w:ascii="Book Antiqua" w:eastAsia="Book Antiqua" w:hAnsi="Book Antiqua" w:cs="Book Antiqua"/>
          <w:color w:val="000000" w:themeColor="text1"/>
          <w:vertAlign w:val="superscript"/>
        </w:rPr>
        <w:t>[1,31]</w:t>
      </w:r>
      <w:r w:rsidRPr="00190A3E">
        <w:rPr>
          <w:rFonts w:ascii="Book Antiqua" w:eastAsia="Book Antiqua" w:hAnsi="Book Antiqua" w:cs="Book Antiqua"/>
          <w:color w:val="000000" w:themeColor="text1"/>
        </w:rPr>
        <w:t>. CT texture analysis may be useful as panNEC typically demonstrate more intratumoral homogeneity than PDAC. Consequently, panNEC demonstrate higher uniformity and lower entropy than PDAC at portal phase imaging</w:t>
      </w:r>
      <w:r w:rsidRPr="00190A3E">
        <w:rPr>
          <w:rFonts w:ascii="Book Antiqua" w:eastAsia="Book Antiqua" w:hAnsi="Book Antiqua" w:cs="Book Antiqua"/>
          <w:color w:val="000000" w:themeColor="text1"/>
          <w:vertAlign w:val="superscript"/>
        </w:rPr>
        <w:t>[50]</w:t>
      </w:r>
      <w:r w:rsidRPr="00190A3E">
        <w:rPr>
          <w:rFonts w:ascii="Book Antiqua" w:eastAsia="Book Antiqua" w:hAnsi="Book Antiqua" w:cs="Book Antiqua"/>
          <w:color w:val="000000" w:themeColor="text1"/>
        </w:rPr>
        <w:t>. Texture analysis based on ADC values may also improve diagnostic capabilities; ADC histogram analysis of diffusion-weighted imaging revealed PDAC demonstrate higher kurtosis and skewness on ADC</w:t>
      </w:r>
      <w:r w:rsidRPr="00190A3E">
        <w:rPr>
          <w:rFonts w:ascii="Book Antiqua" w:eastAsia="Book Antiqua" w:hAnsi="Book Antiqua" w:cs="Book Antiqua"/>
          <w:color w:val="000000" w:themeColor="text1"/>
          <w:vertAlign w:val="subscript"/>
        </w:rPr>
        <w:t>400</w:t>
      </w:r>
      <w:r w:rsidRPr="00190A3E">
        <w:rPr>
          <w:rFonts w:ascii="Book Antiqua" w:eastAsia="Book Antiqua" w:hAnsi="Book Antiqua" w:cs="Book Antiqua"/>
          <w:color w:val="000000" w:themeColor="text1"/>
        </w:rPr>
        <w:t xml:space="preserve"> and ADC</w:t>
      </w:r>
      <w:r w:rsidRPr="00190A3E">
        <w:rPr>
          <w:rFonts w:ascii="Book Antiqua" w:eastAsia="Book Antiqua" w:hAnsi="Book Antiqua" w:cs="Book Antiqua"/>
          <w:color w:val="000000" w:themeColor="text1"/>
          <w:vertAlign w:val="subscript"/>
        </w:rPr>
        <w:t>800</w:t>
      </w:r>
      <w:r w:rsidRPr="00190A3E">
        <w:rPr>
          <w:rFonts w:ascii="Book Antiqua" w:eastAsia="Book Antiqua" w:hAnsi="Book Antiqua" w:cs="Book Antiqua"/>
          <w:color w:val="000000" w:themeColor="text1"/>
        </w:rPr>
        <w:t xml:space="preserve"> than panNEN, overall. PanNEN exhibited significantly lower entropy regardless of </w:t>
      </w:r>
      <w:r w:rsidRPr="00190A3E">
        <w:rPr>
          <w:rFonts w:ascii="Book Antiqua" w:eastAsia="Book Antiqua" w:hAnsi="Book Antiqua" w:cs="Book Antiqua"/>
          <w:i/>
          <w:iCs/>
          <w:color w:val="000000" w:themeColor="text1"/>
        </w:rPr>
        <w:t xml:space="preserve">b </w:t>
      </w:r>
      <w:r w:rsidRPr="00190A3E">
        <w:rPr>
          <w:rFonts w:ascii="Book Antiqua" w:eastAsia="Book Antiqua" w:hAnsi="Book Antiqua" w:cs="Book Antiqua"/>
          <w:color w:val="000000" w:themeColor="text1"/>
        </w:rPr>
        <w:t>value</w:t>
      </w:r>
      <w:r w:rsidRPr="00190A3E">
        <w:rPr>
          <w:rFonts w:ascii="Book Antiqua" w:eastAsia="Book Antiqua" w:hAnsi="Book Antiqua" w:cs="Book Antiqua"/>
          <w:color w:val="000000" w:themeColor="text1"/>
          <w:vertAlign w:val="superscript"/>
        </w:rPr>
        <w:t>[31]</w:t>
      </w:r>
      <w:r w:rsidRPr="00190A3E">
        <w:rPr>
          <w:rFonts w:ascii="Book Antiqua" w:eastAsia="Book Antiqua" w:hAnsi="Book Antiqua" w:cs="Book Antiqua"/>
          <w:color w:val="000000" w:themeColor="text1"/>
        </w:rPr>
        <w:t>. However, definitive discrimination between panNEC and PDAC using imaging alone is difficult, and histological diagnosis is usually warranted.</w:t>
      </w:r>
    </w:p>
    <w:p w14:paraId="41D69879" w14:textId="77777777" w:rsidR="00A77B3E" w:rsidRPr="00190A3E" w:rsidRDefault="00A77B3E">
      <w:pPr>
        <w:spacing w:line="360" w:lineRule="auto"/>
        <w:jc w:val="both"/>
        <w:rPr>
          <w:rFonts w:ascii="Book Antiqua" w:hAnsi="Book Antiqua"/>
          <w:color w:val="000000" w:themeColor="text1"/>
        </w:rPr>
      </w:pPr>
    </w:p>
    <w:p w14:paraId="60A4291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aps/>
          <w:color w:val="000000" w:themeColor="text1"/>
          <w:u w:val="single"/>
        </w:rPr>
        <w:t>MANAGEMENT</w:t>
      </w:r>
    </w:p>
    <w:p w14:paraId="14C8DD47" w14:textId="35D204DE"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The management of panNEN varies with their classification and the degree of local and metastatic spread. Localized, asymptomatic panNET less than 2 cm in size are usually treated conservatively with active surveillance</w:t>
      </w:r>
      <w:r w:rsidRPr="00190A3E">
        <w:rPr>
          <w:rFonts w:ascii="Book Antiqua" w:eastAsia="Book Antiqua" w:hAnsi="Book Antiqua" w:cs="Book Antiqua"/>
          <w:color w:val="000000" w:themeColor="text1"/>
          <w:vertAlign w:val="superscript"/>
        </w:rPr>
        <w:t>[53]</w:t>
      </w:r>
      <w:r w:rsidRPr="00190A3E">
        <w:rPr>
          <w:rFonts w:ascii="Book Antiqua" w:eastAsia="Book Antiqua" w:hAnsi="Book Antiqua" w:cs="Book Antiqua"/>
          <w:color w:val="000000" w:themeColor="text1"/>
        </w:rPr>
        <w:t>. However, larger or symptomatic panNEN require more comprehensive treatment such as symptom-directed therapy, SSA therapy, molecularly-targeted and conventional chemotherapy, or peptide receptor radionuclide therapy. Liver-specific therapy may be used to treat hepatic metastases</w:t>
      </w:r>
      <w:r w:rsidRPr="00190A3E">
        <w:rPr>
          <w:rFonts w:ascii="Book Antiqua" w:eastAsia="Book Antiqua" w:hAnsi="Book Antiqua" w:cs="Book Antiqua"/>
          <w:color w:val="000000" w:themeColor="text1"/>
          <w:vertAlign w:val="superscript"/>
        </w:rPr>
        <w:t>[54,55]</w:t>
      </w:r>
      <w:r w:rsidRPr="00190A3E">
        <w:rPr>
          <w:rFonts w:ascii="Book Antiqua" w:eastAsia="Book Antiqua" w:hAnsi="Book Antiqua" w:cs="Book Antiqua"/>
          <w:color w:val="000000" w:themeColor="text1"/>
        </w:rPr>
        <w:t>.</w:t>
      </w:r>
    </w:p>
    <w:p w14:paraId="78DDADAD" w14:textId="77777777" w:rsidR="00A77B3E" w:rsidRPr="00190A3E" w:rsidRDefault="00A77B3E">
      <w:pPr>
        <w:spacing w:line="360" w:lineRule="auto"/>
        <w:jc w:val="both"/>
        <w:rPr>
          <w:rFonts w:ascii="Book Antiqua" w:hAnsi="Book Antiqua"/>
          <w:color w:val="000000" w:themeColor="text1"/>
        </w:rPr>
      </w:pPr>
    </w:p>
    <w:p w14:paraId="6B5CD196" w14:textId="6C0D9C5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Surgical </w:t>
      </w:r>
      <w:r w:rsidR="009B7CD5" w:rsidRPr="00190A3E">
        <w:rPr>
          <w:rFonts w:ascii="Book Antiqua" w:eastAsia="Book Antiqua" w:hAnsi="Book Antiqua" w:cs="Book Antiqua"/>
          <w:b/>
          <w:bCs/>
          <w:i/>
          <w:iCs/>
          <w:color w:val="000000" w:themeColor="text1"/>
        </w:rPr>
        <w:t xml:space="preserve">resection </w:t>
      </w:r>
      <w:r w:rsidRPr="00190A3E">
        <w:rPr>
          <w:rFonts w:ascii="Book Antiqua" w:eastAsia="Book Antiqua" w:hAnsi="Book Antiqua" w:cs="Book Antiqua"/>
          <w:b/>
          <w:bCs/>
          <w:i/>
          <w:iCs/>
          <w:color w:val="000000" w:themeColor="text1"/>
        </w:rPr>
        <w:t xml:space="preserve">and </w:t>
      </w:r>
      <w:r w:rsidR="009B7CD5" w:rsidRPr="00190A3E">
        <w:rPr>
          <w:rFonts w:ascii="Book Antiqua" w:eastAsia="Book Antiqua" w:hAnsi="Book Antiqua" w:cs="Book Antiqua"/>
          <w:b/>
          <w:bCs/>
          <w:i/>
          <w:iCs/>
          <w:color w:val="000000" w:themeColor="text1"/>
        </w:rPr>
        <w:t>debulking</w:t>
      </w:r>
    </w:p>
    <w:p w14:paraId="62E15E8D" w14:textId="383073AA"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Surgical resection is currently used for nonfunctioning tumors larger than 2 cm, and functioning panNET of any size. Accurate tumor localization is critical for operative success.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PET/CT is the preferred imaging study for evaluating the spread of noninsulinoma panNET</w:t>
      </w:r>
      <w:r w:rsidRPr="00190A3E">
        <w:rPr>
          <w:rFonts w:ascii="Book Antiqua" w:eastAsia="Book Antiqua" w:hAnsi="Book Antiqua" w:cs="Book Antiqua"/>
          <w:color w:val="000000" w:themeColor="text1"/>
          <w:vertAlign w:val="superscript"/>
        </w:rPr>
        <w:t>[54]</w:t>
      </w:r>
      <w:r w:rsidRPr="00190A3E">
        <w:rPr>
          <w:rFonts w:ascii="Book Antiqua" w:eastAsia="Book Antiqua" w:hAnsi="Book Antiqua" w:cs="Book Antiqua"/>
          <w:color w:val="000000" w:themeColor="text1"/>
        </w:rPr>
        <w:t>. Selective arterial calcium stimulation with hepatic venous sampling is occasionally used to localize insulinomas that are difficult to assess on anatomic imaging. The emergence of GLP-1R PET/CT represents a superior alternative to this technique</w:t>
      </w:r>
      <w:r w:rsidRPr="00190A3E">
        <w:rPr>
          <w:rFonts w:ascii="Book Antiqua" w:eastAsia="Book Antiqua" w:hAnsi="Book Antiqua" w:cs="Book Antiqua"/>
          <w:color w:val="000000" w:themeColor="text1"/>
          <w:vertAlign w:val="superscript"/>
        </w:rPr>
        <w:t>[54,56,57]</w:t>
      </w:r>
      <w:r w:rsidRPr="00190A3E">
        <w:rPr>
          <w:rFonts w:ascii="Book Antiqua" w:eastAsia="Book Antiqua" w:hAnsi="Book Antiqua" w:cs="Book Antiqua"/>
          <w:color w:val="000000" w:themeColor="text1"/>
        </w:rPr>
        <w:t>. Simple enucleation may be sufficient for smaller, low-grade tumors that are at least 2-3 mm away from the main pancreatic duct. M</w:t>
      </w:r>
      <w:r w:rsidR="00AA365C" w:rsidRPr="00190A3E">
        <w:rPr>
          <w:rFonts w:ascii="Book Antiqua" w:eastAsia="Book Antiqua" w:hAnsi="Book Antiqua" w:cs="Book Antiqua"/>
          <w:color w:val="000000" w:themeColor="text1"/>
        </w:rPr>
        <w:t>R</w:t>
      </w:r>
      <w:r w:rsidRPr="00190A3E">
        <w:rPr>
          <w:rFonts w:ascii="Book Antiqua" w:eastAsia="Book Antiqua" w:hAnsi="Book Antiqua" w:cs="Book Antiqua"/>
          <w:color w:val="000000" w:themeColor="text1"/>
        </w:rPr>
        <w:t xml:space="preserve"> cholangiopancreatography</w:t>
      </w:r>
      <w:r w:rsidR="00A567F6" w:rsidRPr="00190A3E">
        <w:rPr>
          <w:rFonts w:ascii="Book Antiqua" w:eastAsia="Book Antiqua" w:hAnsi="Book Antiqua" w:cs="Book Antiqua"/>
          <w:color w:val="000000" w:themeColor="text1"/>
        </w:rPr>
        <w:t xml:space="preserve"> </w:t>
      </w:r>
      <w:r w:rsidRPr="00190A3E">
        <w:rPr>
          <w:rFonts w:ascii="Book Antiqua" w:eastAsia="Book Antiqua" w:hAnsi="Book Antiqua" w:cs="Book Antiqua"/>
          <w:color w:val="000000" w:themeColor="text1"/>
        </w:rPr>
        <w:t>and EUS are useful for estimating this distance</w:t>
      </w:r>
      <w:r w:rsidRPr="00190A3E">
        <w:rPr>
          <w:rFonts w:ascii="Book Antiqua" w:eastAsia="Book Antiqua" w:hAnsi="Book Antiqua" w:cs="Book Antiqua"/>
          <w:color w:val="000000" w:themeColor="text1"/>
          <w:vertAlign w:val="superscript"/>
        </w:rPr>
        <w:t>[54]</w:t>
      </w:r>
      <w:r w:rsidRPr="00190A3E">
        <w:rPr>
          <w:rFonts w:ascii="Book Antiqua" w:eastAsia="Book Antiqua" w:hAnsi="Book Antiqua" w:cs="Book Antiqua"/>
          <w:color w:val="000000" w:themeColor="text1"/>
        </w:rPr>
        <w:t>. The majority of functioning panNET require more extensive resection and lymphadenectomy</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A total pancreatectomy may be considered for multifocal disease. Noncurative surgical debulking may be pursued in cases of unresectable, metastatic panNEN to palliate symptoms and extend survival</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However, advanced disease is typically managed with non-surgical treatment strategies (Figure 5).</w:t>
      </w:r>
    </w:p>
    <w:p w14:paraId="7AF5392F" w14:textId="77777777" w:rsidR="00A77B3E" w:rsidRPr="00190A3E" w:rsidRDefault="00A77B3E">
      <w:pPr>
        <w:spacing w:line="360" w:lineRule="auto"/>
        <w:jc w:val="both"/>
        <w:rPr>
          <w:rFonts w:ascii="Book Antiqua" w:hAnsi="Book Antiqua"/>
          <w:color w:val="000000" w:themeColor="text1"/>
        </w:rPr>
      </w:pPr>
    </w:p>
    <w:p w14:paraId="2C9FCAD8" w14:textId="210327B2" w:rsidR="00A77B3E" w:rsidRPr="00190A3E" w:rsidRDefault="00FB658C">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SAA</w:t>
      </w:r>
      <w:r w:rsidR="00150E8B" w:rsidRPr="00190A3E">
        <w:rPr>
          <w:rFonts w:ascii="Book Antiqua" w:eastAsia="Book Antiqua" w:hAnsi="Book Antiqua" w:cs="Book Antiqua"/>
          <w:b/>
          <w:bCs/>
          <w:i/>
          <w:iCs/>
          <w:color w:val="000000" w:themeColor="text1"/>
        </w:rPr>
        <w:t xml:space="preserve"> </w:t>
      </w:r>
      <w:r w:rsidR="009B7CD5" w:rsidRPr="00190A3E">
        <w:rPr>
          <w:rFonts w:ascii="Book Antiqua" w:eastAsia="Book Antiqua" w:hAnsi="Book Antiqua" w:cs="Book Antiqua"/>
          <w:b/>
          <w:bCs/>
          <w:i/>
          <w:iCs/>
          <w:color w:val="000000" w:themeColor="text1"/>
        </w:rPr>
        <w:t>therapy</w:t>
      </w:r>
      <w:r w:rsidR="009B7CD5" w:rsidRPr="00190A3E">
        <w:rPr>
          <w:rFonts w:ascii="Book Antiqua" w:eastAsia="Book Antiqua" w:hAnsi="Book Antiqua" w:cs="Book Antiqua"/>
          <w:color w:val="000000" w:themeColor="text1"/>
        </w:rPr>
        <w:t xml:space="preserve"> </w:t>
      </w:r>
    </w:p>
    <w:p w14:paraId="0935833C" w14:textId="3583186E"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SSA such as octreotide or lanreotide </w:t>
      </w:r>
      <w:r w:rsidR="005B0DD0" w:rsidRPr="00190A3E">
        <w:rPr>
          <w:rFonts w:ascii="Book Antiqua" w:eastAsia="Book Antiqua" w:hAnsi="Book Antiqua" w:cs="Book Antiqua"/>
          <w:color w:val="000000" w:themeColor="text1"/>
        </w:rPr>
        <w:t xml:space="preserve">is </w:t>
      </w:r>
      <w:r w:rsidRPr="00190A3E">
        <w:rPr>
          <w:rFonts w:ascii="Book Antiqua" w:eastAsia="Book Antiqua" w:hAnsi="Book Antiqua" w:cs="Book Antiqua"/>
          <w:color w:val="000000" w:themeColor="text1"/>
        </w:rPr>
        <w:t xml:space="preserve">often used </w:t>
      </w:r>
      <w:r w:rsidR="00302F9F" w:rsidRPr="00190A3E">
        <w:rPr>
          <w:rFonts w:ascii="Book Antiqua" w:eastAsia="Book Antiqua" w:hAnsi="Book Antiqua" w:cs="Book Antiqua"/>
          <w:color w:val="000000" w:themeColor="text1"/>
        </w:rPr>
        <w:t xml:space="preserve">in the management of </w:t>
      </w:r>
      <w:r w:rsidRPr="00190A3E">
        <w:rPr>
          <w:rFonts w:ascii="Book Antiqua" w:eastAsia="Book Antiqua" w:hAnsi="Book Antiqua" w:cs="Book Antiqua"/>
          <w:color w:val="000000" w:themeColor="text1"/>
        </w:rPr>
        <w:t>advanced, progressive tumors. In addition to their antisecretory benefits these drugs have cytostatic effects on the tumor, as proven by the multicenter, phase III CLARINET and PROMID trials which demonstrated an increase in estimated progression-free survival</w:t>
      </w:r>
      <w:r w:rsidRPr="00190A3E">
        <w:rPr>
          <w:rFonts w:ascii="Book Antiqua" w:eastAsia="Book Antiqua" w:hAnsi="Book Antiqua" w:cs="Book Antiqua"/>
          <w:color w:val="000000" w:themeColor="text1"/>
          <w:vertAlign w:val="superscript"/>
        </w:rPr>
        <w:t>[58,59]</w:t>
      </w:r>
      <w:r w:rsidRPr="00190A3E">
        <w:rPr>
          <w:rFonts w:ascii="Book Antiqua" w:eastAsia="Book Antiqua" w:hAnsi="Book Antiqua" w:cs="Book Antiqua"/>
          <w:color w:val="000000" w:themeColor="text1"/>
        </w:rPr>
        <w:t xml:space="preserve">. However, this effect appears to be diminished in tumors that do not show adequate uptake on somatostatin imaging techniques. Koch </w:t>
      </w:r>
      <w:r w:rsidRPr="00190A3E">
        <w:rPr>
          <w:rFonts w:ascii="Book Antiqua" w:eastAsia="Book Antiqua" w:hAnsi="Book Antiqua" w:cs="Book Antiqua"/>
          <w:i/>
          <w:iCs/>
          <w:color w:val="000000" w:themeColor="text1"/>
        </w:rPr>
        <w:t>et al</w:t>
      </w:r>
      <w:r w:rsidR="00FB658C" w:rsidRPr="00190A3E">
        <w:rPr>
          <w:rFonts w:ascii="Book Antiqua" w:eastAsia="Book Antiqua" w:hAnsi="Book Antiqua" w:cs="Book Antiqua"/>
          <w:color w:val="000000" w:themeColor="text1"/>
          <w:vertAlign w:val="superscript"/>
        </w:rPr>
        <w:t>[60]</w:t>
      </w:r>
      <w:r w:rsidRPr="00190A3E">
        <w:rPr>
          <w:rFonts w:ascii="Book Antiqua" w:eastAsia="Book Antiqua" w:hAnsi="Book Antiqua" w:cs="Book Antiqua"/>
          <w:color w:val="000000" w:themeColor="text1"/>
        </w:rPr>
        <w:t xml:space="preserve"> reported a 2.9-fold increased probability of achieving stable disease following SSA therapy in neuroendocrine tumors with high uptake on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PET, in comparison to tumors with low uptake. Thus, a multidisciplinary panel of experts convened by the Society for Medicine and Molecular Imaging (SNMMI) suggested the potential utility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PET/CT in selecting patients with nonfunctioning panNET for somatostatin analog therapy. However, the SNMMI expert panel agreed that in the case of symptomatic manifestations, SSA therapy is indicated regardless of imaging findings</w:t>
      </w:r>
      <w:r w:rsidRPr="00190A3E">
        <w:rPr>
          <w:rFonts w:ascii="Book Antiqua" w:eastAsia="Book Antiqua" w:hAnsi="Book Antiqua" w:cs="Book Antiqua"/>
          <w:color w:val="000000" w:themeColor="text1"/>
          <w:vertAlign w:val="superscript"/>
        </w:rPr>
        <w:t>[61]</w:t>
      </w:r>
      <w:r w:rsidRPr="00190A3E">
        <w:rPr>
          <w:rFonts w:ascii="Book Antiqua" w:eastAsia="Book Antiqua" w:hAnsi="Book Antiqua" w:cs="Book Antiqua"/>
          <w:color w:val="000000" w:themeColor="text1"/>
        </w:rPr>
        <w:t>.</w:t>
      </w:r>
    </w:p>
    <w:p w14:paraId="64F84234" w14:textId="77777777" w:rsidR="00A77B3E" w:rsidRPr="00190A3E" w:rsidRDefault="00A77B3E">
      <w:pPr>
        <w:spacing w:line="360" w:lineRule="auto"/>
        <w:jc w:val="both"/>
        <w:rPr>
          <w:rFonts w:ascii="Book Antiqua" w:hAnsi="Book Antiqua"/>
          <w:color w:val="000000" w:themeColor="text1"/>
        </w:rPr>
      </w:pPr>
    </w:p>
    <w:p w14:paraId="2310A194" w14:textId="4E8E4442"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Molecularly </w:t>
      </w:r>
      <w:r w:rsidR="009B7CD5" w:rsidRPr="00190A3E">
        <w:rPr>
          <w:rFonts w:ascii="Book Antiqua" w:eastAsia="Book Antiqua" w:hAnsi="Book Antiqua" w:cs="Book Antiqua"/>
          <w:b/>
          <w:bCs/>
          <w:i/>
          <w:iCs/>
          <w:color w:val="000000" w:themeColor="text1"/>
        </w:rPr>
        <w:t>targeted chemotherapy</w:t>
      </w:r>
    </w:p>
    <w:p w14:paraId="501378B1" w14:textId="46316224"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Molecularly targeted chemotherapy using agents such as everolimus, an mTOR inhibitor, and sunitinib, a tyrosine kinase inhibitor, have been reported to improve progression-free survival of individuals with grade 3 panNET and metastatic disease</w:t>
      </w:r>
      <w:r w:rsidRPr="00190A3E">
        <w:rPr>
          <w:rFonts w:ascii="Book Antiqua" w:eastAsia="Book Antiqua" w:hAnsi="Book Antiqua" w:cs="Book Antiqua"/>
          <w:color w:val="000000" w:themeColor="text1"/>
          <w:vertAlign w:val="superscript"/>
        </w:rPr>
        <w:t>[1]</w:t>
      </w:r>
      <w:r w:rsidRPr="00190A3E">
        <w:rPr>
          <w:rFonts w:ascii="Book Antiqua" w:eastAsia="Book Antiqua" w:hAnsi="Book Antiqua" w:cs="Book Antiqua"/>
          <w:color w:val="000000" w:themeColor="text1"/>
        </w:rPr>
        <w:t>. Early studies on emerging agents including multi-targeted kinase inhibitors and a combination of temsirolimus and bevacizumab, also show positive results</w:t>
      </w:r>
      <w:r w:rsidRPr="00190A3E">
        <w:rPr>
          <w:rFonts w:ascii="Book Antiqua" w:eastAsia="Book Antiqua" w:hAnsi="Book Antiqua" w:cs="Book Antiqua"/>
          <w:color w:val="000000" w:themeColor="text1"/>
          <w:vertAlign w:val="superscript"/>
        </w:rPr>
        <w:t>[55,62]</w:t>
      </w:r>
      <w:r w:rsidRPr="00190A3E">
        <w:rPr>
          <w:rFonts w:ascii="Book Antiqua" w:eastAsia="Book Antiqua" w:hAnsi="Book Antiqua" w:cs="Book Antiqua"/>
          <w:color w:val="000000" w:themeColor="text1"/>
        </w:rPr>
        <w:t>.</w:t>
      </w:r>
    </w:p>
    <w:p w14:paraId="1609F48C" w14:textId="77777777" w:rsidR="00A77B3E" w:rsidRPr="00190A3E" w:rsidRDefault="00A77B3E">
      <w:pPr>
        <w:spacing w:line="360" w:lineRule="auto"/>
        <w:jc w:val="both"/>
        <w:rPr>
          <w:rFonts w:ascii="Book Antiqua" w:hAnsi="Book Antiqua"/>
          <w:color w:val="000000" w:themeColor="text1"/>
        </w:rPr>
      </w:pPr>
    </w:p>
    <w:p w14:paraId="16F754F6" w14:textId="41DE1C4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Conventional </w:t>
      </w:r>
      <w:r w:rsidR="009B7CD5" w:rsidRPr="00190A3E">
        <w:rPr>
          <w:rFonts w:ascii="Book Antiqua" w:eastAsia="Book Antiqua" w:hAnsi="Book Antiqua" w:cs="Book Antiqua"/>
          <w:b/>
          <w:bCs/>
          <w:i/>
          <w:iCs/>
          <w:color w:val="000000" w:themeColor="text1"/>
        </w:rPr>
        <w:t xml:space="preserve">chemotherapy </w:t>
      </w:r>
    </w:p>
    <w:p w14:paraId="29831A64" w14:textId="7ECA5451"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Although SSA and molecular therapies have shown significant benefits in patients with panNEN, conventional chemotherapy or PRRT is preferred for highly symptomatic patients and those with rapidly growing metastases. A streptozocin-based regimen or a combination of temozolomide and capecitabine is the optimal approach for panNET</w:t>
      </w:r>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 Platinum-based chemotherapies such as cisplatin with etoposide or irinotecan are the regimen of choice for panNEC, with reported response rates of 60%</w:t>
      </w:r>
      <w:r w:rsidRPr="00190A3E">
        <w:rPr>
          <w:rFonts w:ascii="Book Antiqua" w:eastAsia="Book Antiqua" w:hAnsi="Book Antiqua" w:cs="Book Antiqua"/>
          <w:color w:val="000000" w:themeColor="text1"/>
          <w:vertAlign w:val="superscript"/>
        </w:rPr>
        <w:t>[1,63]</w:t>
      </w:r>
      <w:r w:rsidRPr="00190A3E">
        <w:rPr>
          <w:rFonts w:ascii="Book Antiqua" w:eastAsia="Book Antiqua" w:hAnsi="Book Antiqua" w:cs="Book Antiqua"/>
          <w:color w:val="000000" w:themeColor="text1"/>
        </w:rPr>
        <w:t xml:space="preserve">. </w:t>
      </w:r>
    </w:p>
    <w:p w14:paraId="25982A93" w14:textId="77777777" w:rsidR="00A77B3E" w:rsidRPr="00190A3E" w:rsidRDefault="00A77B3E">
      <w:pPr>
        <w:spacing w:line="360" w:lineRule="auto"/>
        <w:jc w:val="both"/>
        <w:rPr>
          <w:rFonts w:ascii="Book Antiqua" w:hAnsi="Book Antiqua"/>
          <w:color w:val="000000" w:themeColor="text1"/>
        </w:rPr>
      </w:pPr>
    </w:p>
    <w:p w14:paraId="59A5FE60" w14:textId="6CECC4CF"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 xml:space="preserve">Peptide receptor </w:t>
      </w:r>
      <w:r w:rsidR="009B7CD5" w:rsidRPr="00190A3E">
        <w:rPr>
          <w:rFonts w:ascii="Book Antiqua" w:eastAsia="Book Antiqua" w:hAnsi="Book Antiqua" w:cs="Book Antiqua"/>
          <w:b/>
          <w:bCs/>
          <w:i/>
          <w:iCs/>
          <w:color w:val="000000" w:themeColor="text1"/>
        </w:rPr>
        <w:t>radionuclide therapy</w:t>
      </w:r>
    </w:p>
    <w:p w14:paraId="501C92D3" w14:textId="6C2FAF0F" w:rsidR="00A77B3E" w:rsidRPr="00190A3E" w:rsidRDefault="00FB658C">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Peptide receptor </w:t>
      </w:r>
      <w:r w:rsidR="005B0DD0" w:rsidRPr="00190A3E">
        <w:rPr>
          <w:rFonts w:ascii="Book Antiqua" w:eastAsia="Book Antiqua" w:hAnsi="Book Antiqua" w:cs="Book Antiqua"/>
          <w:color w:val="000000" w:themeColor="text1"/>
        </w:rPr>
        <w:t>r</w:t>
      </w:r>
      <w:r w:rsidRPr="00190A3E">
        <w:rPr>
          <w:rFonts w:ascii="Book Antiqua" w:eastAsia="Book Antiqua" w:hAnsi="Book Antiqua" w:cs="Book Antiqua"/>
          <w:color w:val="000000" w:themeColor="text1"/>
        </w:rPr>
        <w:t xml:space="preserve">adionuclide </w:t>
      </w:r>
      <w:r w:rsidR="005B0DD0" w:rsidRPr="00190A3E">
        <w:rPr>
          <w:rFonts w:ascii="Book Antiqua" w:eastAsia="Book Antiqua" w:hAnsi="Book Antiqua" w:cs="Book Antiqua"/>
          <w:color w:val="000000" w:themeColor="text1"/>
        </w:rPr>
        <w:t>t</w:t>
      </w:r>
      <w:r w:rsidRPr="00190A3E">
        <w:rPr>
          <w:rFonts w:ascii="Book Antiqua" w:eastAsia="Book Antiqua" w:hAnsi="Book Antiqua" w:cs="Book Antiqua"/>
          <w:color w:val="000000" w:themeColor="text1"/>
        </w:rPr>
        <w:t>herapy (</w:t>
      </w:r>
      <w:r w:rsidR="00150E8B" w:rsidRPr="00190A3E">
        <w:rPr>
          <w:rFonts w:ascii="Book Antiqua" w:eastAsia="Book Antiqua" w:hAnsi="Book Antiqua" w:cs="Book Antiqua"/>
          <w:color w:val="000000" w:themeColor="text1"/>
        </w:rPr>
        <w:t>PRRT</w:t>
      </w:r>
      <w:r w:rsidRPr="00190A3E">
        <w:rPr>
          <w:rFonts w:ascii="Book Antiqua" w:eastAsia="Book Antiqua" w:hAnsi="Book Antiqua" w:cs="Book Antiqua"/>
          <w:color w:val="000000" w:themeColor="text1"/>
        </w:rPr>
        <w:t>)</w:t>
      </w:r>
      <w:r w:rsidR="00150E8B" w:rsidRPr="00190A3E">
        <w:rPr>
          <w:rFonts w:ascii="Book Antiqua" w:eastAsia="Book Antiqua" w:hAnsi="Book Antiqua" w:cs="Book Antiqua"/>
          <w:color w:val="000000" w:themeColor="text1"/>
        </w:rPr>
        <w:t xml:space="preserve"> uses </w:t>
      </w:r>
      <w:r w:rsidR="00AA365C" w:rsidRPr="00190A3E">
        <w:rPr>
          <w:rFonts w:ascii="Book Antiqua" w:eastAsia="Book Antiqua" w:hAnsi="Book Antiqua" w:cs="Book Antiqua"/>
          <w:color w:val="000000" w:themeColor="text1"/>
        </w:rPr>
        <w:t>SSA</w:t>
      </w:r>
      <w:r w:rsidR="00150E8B" w:rsidRPr="00190A3E">
        <w:rPr>
          <w:rFonts w:ascii="Book Antiqua" w:eastAsia="Book Antiqua" w:hAnsi="Book Antiqua" w:cs="Book Antiqua"/>
          <w:color w:val="000000" w:themeColor="text1"/>
        </w:rPr>
        <w:t xml:space="preserve"> to deliver radionuclides such as yttrium-90 (</w:t>
      </w:r>
      <w:r w:rsidR="00150E8B" w:rsidRPr="00190A3E">
        <w:rPr>
          <w:rFonts w:ascii="Book Antiqua" w:eastAsia="Book Antiqua" w:hAnsi="Book Antiqua" w:cs="Book Antiqua"/>
          <w:color w:val="000000" w:themeColor="text1"/>
          <w:vertAlign w:val="superscript"/>
        </w:rPr>
        <w:t>90</w:t>
      </w:r>
      <w:r w:rsidR="00150E8B" w:rsidRPr="00190A3E">
        <w:rPr>
          <w:rFonts w:ascii="Book Antiqua" w:eastAsia="Book Antiqua" w:hAnsi="Book Antiqua" w:cs="Book Antiqua"/>
          <w:color w:val="000000" w:themeColor="text1"/>
        </w:rPr>
        <w:t>Y) and lutetium-177 (</w:t>
      </w:r>
      <w:r w:rsidR="00150E8B" w:rsidRPr="00190A3E">
        <w:rPr>
          <w:rFonts w:ascii="Book Antiqua" w:eastAsia="Book Antiqua" w:hAnsi="Book Antiqua" w:cs="Book Antiqua"/>
          <w:color w:val="000000" w:themeColor="text1"/>
          <w:vertAlign w:val="superscript"/>
        </w:rPr>
        <w:t>177</w:t>
      </w:r>
      <w:r w:rsidR="00150E8B" w:rsidRPr="00190A3E">
        <w:rPr>
          <w:rFonts w:ascii="Book Antiqua" w:eastAsia="Book Antiqua" w:hAnsi="Book Antiqua" w:cs="Book Antiqua"/>
          <w:color w:val="000000" w:themeColor="text1"/>
        </w:rPr>
        <w:t>Lu). These agents deliver beta radiation or high energy electrons, causing localized cellular necrosis at the site of accumulation, and have been associated with promising outcomes in grade 1 and 2 panNET. One phase II, single-center clinical trial demonstrated an increase in median survival by 26 mo in neuroendocrine tumor patients treated with PRRT</w:t>
      </w:r>
      <w:r w:rsidR="00150E8B" w:rsidRPr="00190A3E">
        <w:rPr>
          <w:rFonts w:ascii="Book Antiqua" w:eastAsia="Book Antiqua" w:hAnsi="Book Antiqua" w:cs="Book Antiqua"/>
          <w:color w:val="000000" w:themeColor="text1"/>
          <w:vertAlign w:val="superscript"/>
        </w:rPr>
        <w:t>[64-68]</w:t>
      </w:r>
      <w:r w:rsidR="00150E8B" w:rsidRPr="00190A3E">
        <w:rPr>
          <w:rFonts w:ascii="Book Antiqua" w:eastAsia="Book Antiqua" w:hAnsi="Book Antiqua" w:cs="Book Antiqua"/>
          <w:color w:val="000000" w:themeColor="text1"/>
        </w:rPr>
        <w:t>. However, PRRT may be less useful in panNEC due to their lower somatostatin receptor expression</w:t>
      </w:r>
      <w:r w:rsidR="00150E8B" w:rsidRPr="00190A3E">
        <w:rPr>
          <w:rFonts w:ascii="Book Antiqua" w:eastAsia="Book Antiqua" w:hAnsi="Book Antiqua" w:cs="Book Antiqua"/>
          <w:color w:val="000000" w:themeColor="text1"/>
          <w:vertAlign w:val="superscript"/>
        </w:rPr>
        <w:t>[1]</w:t>
      </w:r>
      <w:r w:rsidR="00150E8B" w:rsidRPr="00190A3E">
        <w:rPr>
          <w:rFonts w:ascii="Book Antiqua" w:eastAsia="Book Antiqua" w:hAnsi="Book Antiqua" w:cs="Book Antiqua"/>
          <w:color w:val="000000" w:themeColor="text1"/>
        </w:rPr>
        <w:t>. In addition, panNET with lower expression of somatostatin receptors may be susceptible to a similar decrease in response rate. Multiple studies propose the use of the “NETPET” scoring system developed by Chan and colleagues, and similar PET/CT-dependent classification, to select patients for PRRT</w:t>
      </w:r>
      <w:r w:rsidR="00150E8B" w:rsidRPr="00190A3E">
        <w:rPr>
          <w:rFonts w:ascii="Book Antiqua" w:eastAsia="Book Antiqua" w:hAnsi="Book Antiqua" w:cs="Book Antiqua"/>
          <w:color w:val="000000" w:themeColor="text1"/>
          <w:vertAlign w:val="superscript"/>
        </w:rPr>
        <w:t>[69-72]</w:t>
      </w:r>
      <w:r w:rsidR="00150E8B" w:rsidRPr="00190A3E">
        <w:rPr>
          <w:rFonts w:ascii="Book Antiqua" w:eastAsia="Book Antiqua" w:hAnsi="Book Antiqua" w:cs="Book Antiqua"/>
          <w:color w:val="000000" w:themeColor="text1"/>
        </w:rPr>
        <w:t xml:space="preserve">. In the NETPET system, tumors are graded from P1 to P5 based on their avidity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and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with a score of 1 indicating positive results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but not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and a score of 5 indicating positive results on </w:t>
      </w:r>
      <w:r w:rsidR="00150E8B" w:rsidRPr="00190A3E">
        <w:rPr>
          <w:rFonts w:ascii="Book Antiqua" w:eastAsia="Book Antiqua" w:hAnsi="Book Antiqua" w:cs="Book Antiqua"/>
          <w:color w:val="000000" w:themeColor="text1"/>
          <w:vertAlign w:val="superscript"/>
        </w:rPr>
        <w:t>18</w:t>
      </w:r>
      <w:r w:rsidR="00150E8B" w:rsidRPr="00190A3E">
        <w:rPr>
          <w:rFonts w:ascii="Book Antiqua" w:eastAsia="Book Antiqua" w:hAnsi="Book Antiqua" w:cs="Book Antiqua"/>
          <w:color w:val="000000" w:themeColor="text1"/>
        </w:rPr>
        <w:t xml:space="preserve">F-FDG PET but not on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Ga-DOTATATE PET. However, further investigation into the correlation between PRRT outcome and NETPET score</w:t>
      </w:r>
      <w:r w:rsidR="005B0DD0" w:rsidRPr="00190A3E">
        <w:rPr>
          <w:rFonts w:ascii="Book Antiqua" w:eastAsia="Book Antiqua" w:hAnsi="Book Antiqua" w:cs="Book Antiqua"/>
          <w:color w:val="000000" w:themeColor="text1"/>
        </w:rPr>
        <w:t>s</w:t>
      </w:r>
      <w:r w:rsidR="00150E8B" w:rsidRPr="00190A3E">
        <w:rPr>
          <w:rFonts w:ascii="Book Antiqua" w:eastAsia="Book Antiqua" w:hAnsi="Book Antiqua" w:cs="Book Antiqua"/>
          <w:color w:val="000000" w:themeColor="text1"/>
        </w:rPr>
        <w:t xml:space="preserve"> must be done to establish if such imaging-based classification systems have a role in clinical settings. Other methods for predicting PRRT response include the measurement of skewness and kurtosis based off </w:t>
      </w:r>
      <w:r w:rsidR="00150E8B" w:rsidRPr="00190A3E">
        <w:rPr>
          <w:rFonts w:ascii="Book Antiqua" w:eastAsia="Book Antiqua" w:hAnsi="Book Antiqua" w:cs="Book Antiqua"/>
          <w:color w:val="000000" w:themeColor="text1"/>
          <w:vertAlign w:val="superscript"/>
        </w:rPr>
        <w:t>68</w:t>
      </w:r>
      <w:r w:rsidR="00150E8B" w:rsidRPr="00190A3E">
        <w:rPr>
          <w:rFonts w:ascii="Book Antiqua" w:eastAsia="Book Antiqua" w:hAnsi="Book Antiqua" w:cs="Book Antiqua"/>
          <w:color w:val="000000" w:themeColor="text1"/>
        </w:rPr>
        <w:t xml:space="preserve">Ga-DOTATATE imaging; </w:t>
      </w:r>
      <w:hyperlink r:id="rId7" w:history="1">
        <w:r w:rsidR="00150E8B" w:rsidRPr="00190A3E">
          <w:rPr>
            <w:rFonts w:ascii="Book Antiqua" w:eastAsia="Book Antiqua" w:hAnsi="Book Antiqua" w:cs="Book Antiqua"/>
            <w:color w:val="000000" w:themeColor="text1"/>
            <w:u w:val="single" w:color="0563C1"/>
          </w:rPr>
          <w:t>Önner</w:t>
        </w:r>
      </w:hyperlink>
      <w:r w:rsidR="00150E8B"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i/>
          <w:iCs/>
          <w:color w:val="000000" w:themeColor="text1"/>
        </w:rPr>
        <w:t>et al</w:t>
      </w:r>
      <w:r w:rsidRPr="00190A3E">
        <w:rPr>
          <w:rFonts w:ascii="Book Antiqua" w:eastAsia="Book Antiqua" w:hAnsi="Book Antiqua" w:cs="Book Antiqua"/>
          <w:color w:val="000000" w:themeColor="text1"/>
          <w:vertAlign w:val="superscript"/>
        </w:rPr>
        <w:t>[73]</w:t>
      </w:r>
      <w:r w:rsidRPr="00190A3E">
        <w:rPr>
          <w:rFonts w:ascii="Book Antiqua" w:eastAsia="Book Antiqua" w:hAnsi="Book Antiqua" w:cs="Book Antiqua"/>
          <w:color w:val="000000" w:themeColor="text1"/>
        </w:rPr>
        <w:t xml:space="preserve"> </w:t>
      </w:r>
      <w:r w:rsidR="00150E8B" w:rsidRPr="00190A3E">
        <w:rPr>
          <w:rFonts w:ascii="Book Antiqua" w:eastAsia="Book Antiqua" w:hAnsi="Book Antiqua" w:cs="Book Antiqua"/>
          <w:color w:val="000000" w:themeColor="text1"/>
        </w:rPr>
        <w:t>reported significantly higher skewness and kurtosis in tumors which did not response to treatment that those that did. Nevertheless, the diagnostic ability of the two metrics to indicate poor PRRT response remained moderate to low.</w:t>
      </w:r>
    </w:p>
    <w:p w14:paraId="73397C58" w14:textId="77777777" w:rsidR="00A77B3E" w:rsidRPr="00190A3E" w:rsidRDefault="00A77B3E">
      <w:pPr>
        <w:spacing w:line="360" w:lineRule="auto"/>
        <w:jc w:val="both"/>
        <w:rPr>
          <w:rFonts w:ascii="Book Antiqua" w:hAnsi="Book Antiqua"/>
          <w:color w:val="000000" w:themeColor="text1"/>
        </w:rPr>
      </w:pPr>
    </w:p>
    <w:p w14:paraId="7F64380C" w14:textId="769F012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Liver-</w:t>
      </w:r>
      <w:r w:rsidR="009B7CD5" w:rsidRPr="00190A3E">
        <w:rPr>
          <w:rFonts w:ascii="Book Antiqua" w:eastAsia="Book Antiqua" w:hAnsi="Book Antiqua" w:cs="Book Antiqua"/>
          <w:b/>
          <w:bCs/>
          <w:i/>
          <w:iCs/>
          <w:color w:val="000000" w:themeColor="text1"/>
        </w:rPr>
        <w:t>specific therapy</w:t>
      </w:r>
    </w:p>
    <w:p w14:paraId="42C71CC5" w14:textId="5FC25108"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In the presence of hepatic metastases, liver-directed therapies including partial hepatectomy, ablation, or arterial chemo- and radioembolization may be useful. Resection is usually contraindicated </w:t>
      </w:r>
      <w:r w:rsidR="000A1543" w:rsidRPr="00190A3E">
        <w:rPr>
          <w:rFonts w:ascii="Book Antiqua" w:eastAsia="Book Antiqua" w:hAnsi="Book Antiqua" w:cs="Book Antiqua"/>
          <w:color w:val="000000" w:themeColor="text1"/>
        </w:rPr>
        <w:t xml:space="preserve">in the presence of </w:t>
      </w:r>
      <w:r w:rsidR="00C0381D" w:rsidRPr="00190A3E">
        <w:rPr>
          <w:rFonts w:ascii="Book Antiqua" w:eastAsia="Book Antiqua" w:hAnsi="Book Antiqua" w:cs="Book Antiqua"/>
          <w:color w:val="000000" w:themeColor="text1"/>
        </w:rPr>
        <w:t xml:space="preserve">multifocal </w:t>
      </w:r>
      <w:r w:rsidRPr="00190A3E">
        <w:rPr>
          <w:rFonts w:ascii="Book Antiqua" w:eastAsia="Book Antiqua" w:hAnsi="Book Antiqua" w:cs="Book Antiqua"/>
          <w:color w:val="000000" w:themeColor="text1"/>
        </w:rPr>
        <w:t>extrahepatic metastases, high-grade and poorly-differentiated carcinoma, liver disfunction, or diffuse bilobar involvement</w:t>
      </w:r>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 Previously, resection was only recommended if more than 90% of disease could be removed but more recent literature supports lowering this threshold to 70%</w:t>
      </w:r>
      <w:r w:rsidRPr="00190A3E">
        <w:rPr>
          <w:rFonts w:ascii="Book Antiqua" w:eastAsia="Book Antiqua" w:hAnsi="Book Antiqua" w:cs="Book Antiqua"/>
          <w:color w:val="000000" w:themeColor="text1"/>
          <w:vertAlign w:val="superscript"/>
        </w:rPr>
        <w:t>[74-76]</w:t>
      </w:r>
      <w:r w:rsidRPr="00190A3E">
        <w:rPr>
          <w:rFonts w:ascii="Book Antiqua" w:eastAsia="Book Antiqua" w:hAnsi="Book Antiqua" w:cs="Book Antiqua"/>
          <w:color w:val="000000" w:themeColor="text1"/>
        </w:rPr>
        <w:t>. Ablation is often reserved for the treatment of small metastases that do not qualify for surgical resection or may be done in addition to resection in the presence of multifocal disease. Arterial embolization, radioembolization, and chemoembolization can be used to diminish the secretory effects of functioning panNET. Liver transplantation is only considered in patients with significant hepatic tumor burden, without the presence of extrahepatic metastases, and is not routinely undertaken in metastatic panNET</w:t>
      </w:r>
      <w:r w:rsidRPr="00190A3E">
        <w:rPr>
          <w:rFonts w:ascii="Book Antiqua" w:eastAsia="Book Antiqua" w:hAnsi="Book Antiqua" w:cs="Book Antiqua"/>
          <w:color w:val="000000" w:themeColor="text1"/>
          <w:vertAlign w:val="superscript"/>
        </w:rPr>
        <w:t>[1,55]</w:t>
      </w:r>
      <w:r w:rsidRPr="00190A3E">
        <w:rPr>
          <w:rFonts w:ascii="Book Antiqua" w:eastAsia="Book Antiqua" w:hAnsi="Book Antiqua" w:cs="Book Antiqua"/>
          <w:color w:val="000000" w:themeColor="text1"/>
        </w:rPr>
        <w:t xml:space="preserve">. </w:t>
      </w:r>
      <w:r w:rsidR="005B0DD0" w:rsidRPr="00190A3E">
        <w:rPr>
          <w:rFonts w:ascii="Book Antiqua" w:eastAsia="Book Antiqua" w:hAnsi="Book Antiqua" w:cs="Book Antiqua"/>
          <w:color w:val="000000" w:themeColor="text1"/>
          <w:vertAlign w:val="superscript"/>
        </w:rPr>
        <w:t>68</w:t>
      </w:r>
      <w:r w:rsidR="005B0DD0" w:rsidRPr="00190A3E">
        <w:rPr>
          <w:rFonts w:ascii="Book Antiqua" w:eastAsia="Book Antiqua" w:hAnsi="Book Antiqua" w:cs="Book Antiqua"/>
          <w:color w:val="000000" w:themeColor="text1"/>
        </w:rPr>
        <w:t xml:space="preserve">Ga-DOTATATE PET/CT </w:t>
      </w:r>
      <w:r w:rsidRPr="00190A3E">
        <w:rPr>
          <w:rFonts w:ascii="Book Antiqua" w:eastAsia="Book Antiqua" w:hAnsi="Book Antiqua" w:cs="Book Antiqua"/>
          <w:color w:val="000000" w:themeColor="text1"/>
        </w:rPr>
        <w:t>may be useful for determining suitability of patients for transplantation, as this technique allows for a whole-body acquisition in order to assess potential extrahepatic metastatic disease</w:t>
      </w:r>
      <w:r w:rsidRPr="00190A3E">
        <w:rPr>
          <w:rFonts w:ascii="Book Antiqua" w:eastAsia="Book Antiqua" w:hAnsi="Book Antiqua" w:cs="Book Antiqua"/>
          <w:color w:val="000000" w:themeColor="text1"/>
          <w:vertAlign w:val="superscript"/>
        </w:rPr>
        <w:t>[35]</w:t>
      </w:r>
      <w:r w:rsidRPr="00190A3E">
        <w:rPr>
          <w:rFonts w:ascii="Book Antiqua" w:eastAsia="Book Antiqua" w:hAnsi="Book Antiqua" w:cs="Book Antiqua"/>
          <w:color w:val="000000" w:themeColor="text1"/>
        </w:rPr>
        <w:t>.</w:t>
      </w:r>
    </w:p>
    <w:p w14:paraId="6BA78782" w14:textId="77777777" w:rsidR="00A77B3E" w:rsidRPr="00190A3E" w:rsidRDefault="00A77B3E">
      <w:pPr>
        <w:spacing w:line="360" w:lineRule="auto"/>
        <w:jc w:val="both"/>
        <w:rPr>
          <w:rFonts w:ascii="Book Antiqua" w:hAnsi="Book Antiqua"/>
          <w:color w:val="000000" w:themeColor="text1"/>
        </w:rPr>
      </w:pPr>
    </w:p>
    <w:p w14:paraId="15066D2E" w14:textId="74F71F55"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i/>
          <w:iCs/>
          <w:color w:val="000000" w:themeColor="text1"/>
        </w:rPr>
        <w:t>Symptom-</w:t>
      </w:r>
      <w:r w:rsidR="000B684B" w:rsidRPr="00190A3E">
        <w:rPr>
          <w:rFonts w:ascii="Book Antiqua" w:eastAsia="Book Antiqua" w:hAnsi="Book Antiqua" w:cs="Book Antiqua"/>
          <w:b/>
          <w:bCs/>
          <w:i/>
          <w:iCs/>
          <w:color w:val="000000" w:themeColor="text1"/>
        </w:rPr>
        <w:t>directed therapy</w:t>
      </w:r>
    </w:p>
    <w:p w14:paraId="3297475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Symptom-directed therapy plays an important role in the management of functioning panNETs. Treatment varies with each functioning panNET; common interventions include the use of diazoxide to suppress insulin secretion in insulinomas, and proton pump inhibitors to suppress hypersecretion by gastrinomas. Long-acting SSA may also be useful for controlling the secretory effects of these tumors, particularly vasoactive intestinal peptide-secreting tumors and glucagonomas</w:t>
      </w:r>
      <w:r w:rsidRPr="00190A3E">
        <w:rPr>
          <w:rFonts w:ascii="Book Antiqua" w:eastAsia="Book Antiqua" w:hAnsi="Book Antiqua" w:cs="Book Antiqua"/>
          <w:color w:val="000000" w:themeColor="text1"/>
          <w:vertAlign w:val="superscript"/>
        </w:rPr>
        <w:t>[55]</w:t>
      </w:r>
      <w:r w:rsidRPr="00190A3E">
        <w:rPr>
          <w:rFonts w:ascii="Book Antiqua" w:eastAsia="Book Antiqua" w:hAnsi="Book Antiqua" w:cs="Book Antiqua"/>
          <w:color w:val="000000" w:themeColor="text1"/>
        </w:rPr>
        <w:t>.</w:t>
      </w:r>
    </w:p>
    <w:p w14:paraId="7099A9D4" w14:textId="77777777" w:rsidR="00A77B3E" w:rsidRPr="00190A3E" w:rsidRDefault="00A77B3E">
      <w:pPr>
        <w:spacing w:line="360" w:lineRule="auto"/>
        <w:jc w:val="both"/>
        <w:rPr>
          <w:rFonts w:ascii="Book Antiqua" w:hAnsi="Book Antiqua"/>
          <w:color w:val="000000" w:themeColor="text1"/>
        </w:rPr>
      </w:pPr>
    </w:p>
    <w:p w14:paraId="52150B3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aps/>
          <w:color w:val="000000" w:themeColor="text1"/>
          <w:u w:val="single"/>
        </w:rPr>
        <w:t>CONCLUSION</w:t>
      </w:r>
    </w:p>
    <w:p w14:paraId="0C5B6DA3" w14:textId="32755D9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Better understanding of the genetic and biological features of panNEN has led to significant changes in the diagnosis and management of these tumors. Imaging is crucial for diagnosing and staging of panNEN. CT and MR play a vital role in differentiating these tumors from other benign and malignant lesions of the pancreas. Recent studies indicate enhancement pattern of panNEN on cross sectional imaging and texture analysis may also be helpful in classifying these tumors or indicating prognosis. Diagnosis of panNEN is typically confirmed with </w:t>
      </w:r>
      <w:r w:rsidR="001C07DC" w:rsidRPr="00190A3E">
        <w:rPr>
          <w:rFonts w:ascii="Book Antiqua" w:eastAsia="Book Antiqua" w:hAnsi="Book Antiqua" w:cs="Book Antiqua"/>
          <w:color w:val="000000" w:themeColor="text1"/>
        </w:rPr>
        <w:t>EUS</w:t>
      </w:r>
      <w:r w:rsidRPr="00190A3E">
        <w:rPr>
          <w:rFonts w:ascii="Book Antiqua" w:eastAsia="Book Antiqua" w:hAnsi="Book Antiqua" w:cs="Book Antiqua"/>
          <w:color w:val="000000" w:themeColor="text1"/>
        </w:rPr>
        <w:t xml:space="preserve"> guided biopsy. Functional imaging techniques including </w:t>
      </w:r>
      <w:r w:rsidR="006E51ED" w:rsidRPr="00190A3E">
        <w:rPr>
          <w:rFonts w:ascii="Book Antiqua" w:eastAsia="Book Antiqua" w:hAnsi="Book Antiqua" w:cs="Book Antiqua"/>
          <w:color w:val="000000" w:themeColor="text1"/>
        </w:rPr>
        <w:t>SRS</w:t>
      </w:r>
      <w:r w:rsidRPr="00190A3E">
        <w:rPr>
          <w:rFonts w:ascii="Book Antiqua" w:eastAsia="Book Antiqua" w:hAnsi="Book Antiqua" w:cs="Book Antiqua"/>
          <w:color w:val="000000" w:themeColor="text1"/>
        </w:rPr>
        <w:t xml:space="preserve"> and PET</w:t>
      </w:r>
      <w:r w:rsidR="005B0DD0"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CT are very helpful in the management of panNEN.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Ga-DOTATATE and GLP-1R-based PET/CT may improve detection of occult lesions and their characterization. These techniques also have the potential to guide management, as information on somatostatin receptor expression and metabolic activity are useful for determining optimal treatment.</w:t>
      </w:r>
      <w:bookmarkEnd w:id="0"/>
    </w:p>
    <w:p w14:paraId="2A89ABFB" w14:textId="77777777" w:rsidR="00A77B3E" w:rsidRPr="00190A3E" w:rsidRDefault="00A77B3E">
      <w:pPr>
        <w:spacing w:line="360" w:lineRule="auto"/>
        <w:jc w:val="both"/>
        <w:rPr>
          <w:rFonts w:ascii="Book Antiqua" w:hAnsi="Book Antiqua"/>
          <w:color w:val="000000" w:themeColor="text1"/>
        </w:rPr>
      </w:pPr>
    </w:p>
    <w:p w14:paraId="7E9784A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REFERENCES</w:t>
      </w:r>
    </w:p>
    <w:p w14:paraId="15C853D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 </w:t>
      </w:r>
      <w:r w:rsidRPr="00190A3E">
        <w:rPr>
          <w:rFonts w:ascii="Book Antiqua" w:eastAsia="Book Antiqua" w:hAnsi="Book Antiqua" w:cs="Book Antiqua"/>
          <w:b/>
          <w:bCs/>
          <w:color w:val="000000" w:themeColor="text1"/>
        </w:rPr>
        <w:t>Khanna L</w:t>
      </w:r>
      <w:r w:rsidRPr="00190A3E">
        <w:rPr>
          <w:rFonts w:ascii="Book Antiqua" w:eastAsia="Book Antiqua" w:hAnsi="Book Antiqua" w:cs="Book Antiqua"/>
          <w:color w:val="000000" w:themeColor="text1"/>
        </w:rPr>
        <w:t xml:space="preserve">, Prasad SR, Sunnapwar A, Kondapaneni S, Dasyam A, Tammisetti VS, Salman U, Nazarullah A, Katabathina VS. Pancreatic Neuroendocrine Neoplasms: 2020 Update on Pathologic and Imaging Findings and Classification. </w:t>
      </w:r>
      <w:r w:rsidRPr="00190A3E">
        <w:rPr>
          <w:rFonts w:ascii="Book Antiqua" w:eastAsia="Book Antiqua" w:hAnsi="Book Antiqua" w:cs="Book Antiqua"/>
          <w:i/>
          <w:iCs/>
          <w:color w:val="000000" w:themeColor="text1"/>
        </w:rPr>
        <w:t>Radiographics</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1240-1262 [PMID: 32795239 DOI: 10.1148/rg.2020200025]</w:t>
      </w:r>
    </w:p>
    <w:p w14:paraId="4145CF1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 </w:t>
      </w:r>
      <w:r w:rsidRPr="00190A3E">
        <w:rPr>
          <w:rFonts w:ascii="Book Antiqua" w:eastAsia="Book Antiqua" w:hAnsi="Book Antiqua" w:cs="Book Antiqua"/>
          <w:b/>
          <w:bCs/>
          <w:color w:val="000000" w:themeColor="text1"/>
        </w:rPr>
        <w:t>Perri G</w:t>
      </w:r>
      <w:r w:rsidRPr="00190A3E">
        <w:rPr>
          <w:rFonts w:ascii="Book Antiqua" w:eastAsia="Book Antiqua" w:hAnsi="Book Antiqua" w:cs="Book Antiqua"/>
          <w:color w:val="000000" w:themeColor="text1"/>
        </w:rPr>
        <w:t xml:space="preserve">, Prakash LR, Katz MHG. Pancreatic neuroendocrine tumors. </w:t>
      </w:r>
      <w:r w:rsidRPr="00190A3E">
        <w:rPr>
          <w:rFonts w:ascii="Book Antiqua" w:eastAsia="Book Antiqua" w:hAnsi="Book Antiqua" w:cs="Book Antiqua"/>
          <w:i/>
          <w:iCs/>
          <w:color w:val="000000" w:themeColor="text1"/>
        </w:rPr>
        <w:t>Curr Opin Gastroenterol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35</w:t>
      </w:r>
      <w:r w:rsidRPr="00190A3E">
        <w:rPr>
          <w:rFonts w:ascii="Book Antiqua" w:eastAsia="Book Antiqua" w:hAnsi="Book Antiqua" w:cs="Book Antiqua"/>
          <w:color w:val="000000" w:themeColor="text1"/>
        </w:rPr>
        <w:t>: 468-477 [PMID: 31306159 DOI: 10.1097/MOG.0000000000000571]</w:t>
      </w:r>
    </w:p>
    <w:p w14:paraId="2E26EA6B"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 </w:t>
      </w:r>
      <w:r w:rsidRPr="00190A3E">
        <w:rPr>
          <w:rFonts w:ascii="Book Antiqua" w:eastAsia="Book Antiqua" w:hAnsi="Book Antiqua" w:cs="Book Antiqua"/>
          <w:b/>
          <w:bCs/>
          <w:color w:val="000000" w:themeColor="text1"/>
        </w:rPr>
        <w:t>Guilmette JM</w:t>
      </w:r>
      <w:r w:rsidRPr="00190A3E">
        <w:rPr>
          <w:rFonts w:ascii="Book Antiqua" w:eastAsia="Book Antiqua" w:hAnsi="Book Antiqua" w:cs="Book Antiqua"/>
          <w:color w:val="000000" w:themeColor="text1"/>
        </w:rPr>
        <w:t xml:space="preserve">, Nosé V. Neoplasms of the Neuroendocrine Pancreas: An Update in the Classification, Definition, and Molecular Genetic Advances. </w:t>
      </w:r>
      <w:r w:rsidRPr="00190A3E">
        <w:rPr>
          <w:rFonts w:ascii="Book Antiqua" w:eastAsia="Book Antiqua" w:hAnsi="Book Antiqua" w:cs="Book Antiqua"/>
          <w:i/>
          <w:iCs/>
          <w:color w:val="000000" w:themeColor="text1"/>
        </w:rPr>
        <w:t>Adv Anat Pathol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13-30 [PMID: 29912000 DOI: 10.1097/PAP.0000000000000201]</w:t>
      </w:r>
    </w:p>
    <w:p w14:paraId="25FBD9C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 </w:t>
      </w:r>
      <w:r w:rsidRPr="00190A3E">
        <w:rPr>
          <w:rFonts w:ascii="Book Antiqua" w:eastAsia="Book Antiqua" w:hAnsi="Book Antiqua" w:cs="Book Antiqua"/>
          <w:b/>
          <w:bCs/>
          <w:color w:val="000000" w:themeColor="text1"/>
        </w:rPr>
        <w:t>Inzani F</w:t>
      </w:r>
      <w:r w:rsidRPr="00190A3E">
        <w:rPr>
          <w:rFonts w:ascii="Book Antiqua" w:eastAsia="Book Antiqua" w:hAnsi="Book Antiqua" w:cs="Book Antiqua"/>
          <w:color w:val="000000" w:themeColor="text1"/>
        </w:rPr>
        <w:t xml:space="preserve">, Petrone G, Rindi G. The New World Health Organization Classification for Pancreatic Neuroendocrine Neoplasia. </w:t>
      </w:r>
      <w:r w:rsidRPr="00190A3E">
        <w:rPr>
          <w:rFonts w:ascii="Book Antiqua" w:eastAsia="Book Antiqua" w:hAnsi="Book Antiqua" w:cs="Book Antiqua"/>
          <w:i/>
          <w:iCs/>
          <w:color w:val="000000" w:themeColor="text1"/>
        </w:rPr>
        <w:t>Endocrinol Metab Clin North Am</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47</w:t>
      </w:r>
      <w:r w:rsidRPr="00190A3E">
        <w:rPr>
          <w:rFonts w:ascii="Book Antiqua" w:eastAsia="Book Antiqua" w:hAnsi="Book Antiqua" w:cs="Book Antiqua"/>
          <w:color w:val="000000" w:themeColor="text1"/>
        </w:rPr>
        <w:t>: 463-470 [PMID: 30098710 DOI: 10.1016/j.ecl.2018.04.008]</w:t>
      </w:r>
    </w:p>
    <w:p w14:paraId="49DE3EA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 </w:t>
      </w:r>
      <w:r w:rsidRPr="00190A3E">
        <w:rPr>
          <w:rFonts w:ascii="Book Antiqua" w:eastAsia="Book Antiqua" w:hAnsi="Book Antiqua" w:cs="Book Antiqua"/>
          <w:b/>
          <w:bCs/>
          <w:color w:val="000000" w:themeColor="text1"/>
        </w:rPr>
        <w:t>Mafficini A</w:t>
      </w:r>
      <w:r w:rsidRPr="00190A3E">
        <w:rPr>
          <w:rFonts w:ascii="Book Antiqua" w:eastAsia="Book Antiqua" w:hAnsi="Book Antiqua" w:cs="Book Antiqua"/>
          <w:color w:val="000000" w:themeColor="text1"/>
        </w:rPr>
        <w:t xml:space="preserve">, Scarpa A. Genetics and Epigenetics of Gastroenteropancreatic Neuroendocrine Neoplasms. </w:t>
      </w:r>
      <w:r w:rsidRPr="00190A3E">
        <w:rPr>
          <w:rFonts w:ascii="Book Antiqua" w:eastAsia="Book Antiqua" w:hAnsi="Book Antiqua" w:cs="Book Antiqua"/>
          <w:i/>
          <w:iCs/>
          <w:color w:val="000000" w:themeColor="text1"/>
        </w:rPr>
        <w:t>Endocr Rev</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506-536 [PMID: 30657883 DOI: 10.1210/er.2018-00160]</w:t>
      </w:r>
    </w:p>
    <w:p w14:paraId="6E1719B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 </w:t>
      </w:r>
      <w:r w:rsidRPr="00190A3E">
        <w:rPr>
          <w:rFonts w:ascii="Book Antiqua" w:eastAsia="Book Antiqua" w:hAnsi="Book Antiqua" w:cs="Book Antiqua"/>
          <w:b/>
          <w:bCs/>
          <w:color w:val="000000" w:themeColor="text1"/>
        </w:rPr>
        <w:t>Lewis RB</w:t>
      </w:r>
      <w:r w:rsidRPr="00190A3E">
        <w:rPr>
          <w:rFonts w:ascii="Book Antiqua" w:eastAsia="Book Antiqua" w:hAnsi="Book Antiqua" w:cs="Book Antiqua"/>
          <w:color w:val="000000" w:themeColor="text1"/>
        </w:rPr>
        <w:t xml:space="preserve">, Lattin GE Jr, Paal E. Pancreatic endocrine tumors: radiologic-clinicopathologic correlation. </w:t>
      </w:r>
      <w:r w:rsidRPr="00190A3E">
        <w:rPr>
          <w:rFonts w:ascii="Book Antiqua" w:eastAsia="Book Antiqua" w:hAnsi="Book Antiqua" w:cs="Book Antiqua"/>
          <w:i/>
          <w:iCs/>
          <w:color w:val="000000" w:themeColor="text1"/>
        </w:rPr>
        <w:t>Radiographics</w:t>
      </w:r>
      <w:r w:rsidRPr="00190A3E">
        <w:rPr>
          <w:rFonts w:ascii="Book Antiqua" w:eastAsia="Book Antiqua" w:hAnsi="Book Antiqua" w:cs="Book Antiqua"/>
          <w:color w:val="000000" w:themeColor="text1"/>
        </w:rPr>
        <w:t xml:space="preserve"> 2010; </w:t>
      </w:r>
      <w:r w:rsidRPr="00190A3E">
        <w:rPr>
          <w:rFonts w:ascii="Book Antiqua" w:eastAsia="Book Antiqua" w:hAnsi="Book Antiqua" w:cs="Book Antiqua"/>
          <w:b/>
          <w:bCs/>
          <w:color w:val="000000" w:themeColor="text1"/>
        </w:rPr>
        <w:t>30</w:t>
      </w:r>
      <w:r w:rsidRPr="00190A3E">
        <w:rPr>
          <w:rFonts w:ascii="Book Antiqua" w:eastAsia="Book Antiqua" w:hAnsi="Book Antiqua" w:cs="Book Antiqua"/>
          <w:color w:val="000000" w:themeColor="text1"/>
        </w:rPr>
        <w:t>: 1445-1464 [PMID: 21071369 DOI: 10.1148/rg.306105523]</w:t>
      </w:r>
    </w:p>
    <w:p w14:paraId="0743258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 </w:t>
      </w:r>
      <w:r w:rsidRPr="00190A3E">
        <w:rPr>
          <w:rFonts w:ascii="Book Antiqua" w:eastAsia="Book Antiqua" w:hAnsi="Book Antiqua" w:cs="Book Antiqua"/>
          <w:b/>
          <w:bCs/>
          <w:color w:val="000000" w:themeColor="text1"/>
        </w:rPr>
        <w:t>Sandru F</w:t>
      </w:r>
      <w:r w:rsidRPr="00190A3E">
        <w:rPr>
          <w:rFonts w:ascii="Book Antiqua" w:eastAsia="Book Antiqua" w:hAnsi="Book Antiqua" w:cs="Book Antiqua"/>
          <w:color w:val="000000" w:themeColor="text1"/>
        </w:rPr>
        <w:t xml:space="preserve">, Carsote M, Albu SE, Valea A, Petca A, Dumitrascu MC. Glucagonoma: From skin lesions to the neuroendocrine component (Review). </w:t>
      </w:r>
      <w:r w:rsidRPr="00190A3E">
        <w:rPr>
          <w:rFonts w:ascii="Book Antiqua" w:eastAsia="Book Antiqua" w:hAnsi="Book Antiqua" w:cs="Book Antiqua"/>
          <w:i/>
          <w:iCs/>
          <w:color w:val="000000" w:themeColor="text1"/>
        </w:rPr>
        <w:t>Exp Ther Med</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20</w:t>
      </w:r>
      <w:r w:rsidRPr="00190A3E">
        <w:rPr>
          <w:rFonts w:ascii="Book Antiqua" w:eastAsia="Book Antiqua" w:hAnsi="Book Antiqua" w:cs="Book Antiqua"/>
          <w:color w:val="000000" w:themeColor="text1"/>
        </w:rPr>
        <w:t>: 3389-3393 [PMID: 32905095 DOI: 10.3892/etm.2020.8966]</w:t>
      </w:r>
    </w:p>
    <w:p w14:paraId="36046D9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8 </w:t>
      </w:r>
      <w:r w:rsidRPr="00190A3E">
        <w:rPr>
          <w:rFonts w:ascii="Book Antiqua" w:eastAsia="Book Antiqua" w:hAnsi="Book Antiqua" w:cs="Book Antiqua"/>
          <w:b/>
          <w:bCs/>
          <w:color w:val="000000" w:themeColor="text1"/>
        </w:rPr>
        <w:t>Ciaravino V</w:t>
      </w:r>
      <w:r w:rsidRPr="00190A3E">
        <w:rPr>
          <w:rFonts w:ascii="Book Antiqua" w:eastAsia="Book Antiqua" w:hAnsi="Book Antiqua" w:cs="Book Antiqua"/>
          <w:color w:val="000000" w:themeColor="text1"/>
        </w:rPr>
        <w:t xml:space="preserve">, De Robertis R, Tinazzi Martini P, Cardobi N, Cingarlini S, Amodio A, Landoni L, Capelli P, D'Onofrio M. Imaging presentation of pancreatic neuroendocrine neoplasms. </w:t>
      </w:r>
      <w:r w:rsidRPr="00190A3E">
        <w:rPr>
          <w:rFonts w:ascii="Book Antiqua" w:eastAsia="Book Antiqua" w:hAnsi="Book Antiqua" w:cs="Book Antiqua"/>
          <w:i/>
          <w:iCs/>
          <w:color w:val="000000" w:themeColor="text1"/>
        </w:rPr>
        <w:t>Insights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9</w:t>
      </w:r>
      <w:r w:rsidRPr="00190A3E">
        <w:rPr>
          <w:rFonts w:ascii="Book Antiqua" w:eastAsia="Book Antiqua" w:hAnsi="Book Antiqua" w:cs="Book Antiqua"/>
          <w:color w:val="000000" w:themeColor="text1"/>
        </w:rPr>
        <w:t>: 943-953 [PMID: 30302635 DOI: 10.1007/s13244-018-0658-6]</w:t>
      </w:r>
    </w:p>
    <w:p w14:paraId="62EBF0E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9 </w:t>
      </w:r>
      <w:r w:rsidRPr="00190A3E">
        <w:rPr>
          <w:rFonts w:ascii="Book Antiqua" w:eastAsia="Book Antiqua" w:hAnsi="Book Antiqua" w:cs="Book Antiqua"/>
          <w:b/>
          <w:bCs/>
          <w:color w:val="000000" w:themeColor="text1"/>
        </w:rPr>
        <w:t>Basturk O</w:t>
      </w:r>
      <w:r w:rsidRPr="00190A3E">
        <w:rPr>
          <w:rFonts w:ascii="Book Antiqua" w:eastAsia="Book Antiqua" w:hAnsi="Book Antiqua" w:cs="Book Antiqua"/>
          <w:color w:val="000000" w:themeColor="text1"/>
        </w:rPr>
        <w:t xml:space="preserve">, Tang L, Hruban RH, Adsay V, Yang Z, Krasinskas AM, Vakiani E, La Rosa S, Jang KT, Frankel WL, Liu X, Zhang L, Giordano TJ, Bellizzi AM, Chen JH, Shi C, Allen P, Reidy DL, Wolfgang CL, Saka B, Rezaee N, Deshpande V, Klimstra DS. Poorly differentiated neuroendocrine carcinomas of the pancreas: a clinicopathologic analysis of 44 cases. </w:t>
      </w:r>
      <w:r w:rsidRPr="00190A3E">
        <w:rPr>
          <w:rFonts w:ascii="Book Antiqua" w:eastAsia="Book Antiqua" w:hAnsi="Book Antiqua" w:cs="Book Antiqua"/>
          <w:i/>
          <w:iCs/>
          <w:color w:val="000000" w:themeColor="text1"/>
        </w:rPr>
        <w:t>Am J Surg Pathol</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437-447 [PMID: 24503751 DOI: 10.1097/PAS.0000000000000169]</w:t>
      </w:r>
    </w:p>
    <w:p w14:paraId="10857B4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10 </w:t>
      </w:r>
      <w:r w:rsidRPr="00190A3E">
        <w:rPr>
          <w:rFonts w:ascii="Book Antiqua" w:eastAsia="Book Antiqua" w:hAnsi="Book Antiqua" w:cs="Book Antiqua"/>
          <w:b/>
          <w:bCs/>
          <w:color w:val="000000" w:themeColor="text1"/>
        </w:rPr>
        <w:t>Lee DW</w:t>
      </w:r>
      <w:r w:rsidRPr="00190A3E">
        <w:rPr>
          <w:rFonts w:ascii="Book Antiqua" w:eastAsia="Book Antiqua" w:hAnsi="Book Antiqua" w:cs="Book Antiqua"/>
          <w:color w:val="000000" w:themeColor="text1"/>
        </w:rPr>
        <w:t xml:space="preserve">, Kim MK, Kim HG. Diagnosis of Pancreatic Neuroendocrine Tumors. </w:t>
      </w:r>
      <w:r w:rsidRPr="00190A3E">
        <w:rPr>
          <w:rFonts w:ascii="Book Antiqua" w:eastAsia="Book Antiqua" w:hAnsi="Book Antiqua" w:cs="Book Antiqua"/>
          <w:i/>
          <w:iCs/>
          <w:color w:val="000000" w:themeColor="text1"/>
        </w:rPr>
        <w:t>Clin Endosc</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50</w:t>
      </w:r>
      <w:r w:rsidRPr="00190A3E">
        <w:rPr>
          <w:rFonts w:ascii="Book Antiqua" w:eastAsia="Book Antiqua" w:hAnsi="Book Antiqua" w:cs="Book Antiqua"/>
          <w:color w:val="000000" w:themeColor="text1"/>
        </w:rPr>
        <w:t>: 537-545 [PMID: 29207856 DOI: 10.5946/ce.2017.131]</w:t>
      </w:r>
    </w:p>
    <w:p w14:paraId="6BD61BF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11 </w:t>
      </w:r>
      <w:r w:rsidRPr="00190A3E">
        <w:rPr>
          <w:rFonts w:ascii="Book Antiqua" w:eastAsia="Book Antiqua" w:hAnsi="Book Antiqua" w:cs="Book Antiqua"/>
          <w:b/>
          <w:bCs/>
          <w:color w:val="000000" w:themeColor="text1"/>
        </w:rPr>
        <w:t>Lo GC</w:t>
      </w:r>
      <w:r w:rsidRPr="00190A3E">
        <w:rPr>
          <w:rFonts w:ascii="Book Antiqua" w:eastAsia="Book Antiqua" w:hAnsi="Book Antiqua" w:cs="Book Antiqua"/>
          <w:color w:val="000000" w:themeColor="text1"/>
        </w:rPr>
        <w:t xml:space="preserve">, Kambadakone A. MR Imaging of Pancreatic Neuroendocrine Tumors. </w:t>
      </w:r>
      <w:r w:rsidRPr="00190A3E">
        <w:rPr>
          <w:rFonts w:ascii="Book Antiqua" w:eastAsia="Book Antiqua" w:hAnsi="Book Antiqua" w:cs="Book Antiqua"/>
          <w:i/>
          <w:iCs/>
          <w:color w:val="000000" w:themeColor="text1"/>
        </w:rPr>
        <w:t>Magn Reson Imaging Clin N Am</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391-403 [PMID: 30376977 DOI: 10.1016/j.mric.2018.03.010]</w:t>
      </w:r>
    </w:p>
    <w:p w14:paraId="0FFBCB2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12 </w:t>
      </w:r>
      <w:r w:rsidRPr="00190A3E">
        <w:rPr>
          <w:rFonts w:ascii="Book Antiqua" w:eastAsia="Book Antiqua" w:hAnsi="Book Antiqua" w:cs="Book Antiqua"/>
          <w:b/>
          <w:bCs/>
          <w:color w:val="000000" w:themeColor="text1"/>
        </w:rPr>
        <w:t>Rösch T</w:t>
      </w:r>
      <w:r w:rsidRPr="00190A3E">
        <w:rPr>
          <w:rFonts w:ascii="Book Antiqua" w:eastAsia="Book Antiqua" w:hAnsi="Book Antiqua" w:cs="Book Antiqua"/>
          <w:color w:val="000000" w:themeColor="text1"/>
        </w:rPr>
        <w:t xml:space="preserve">, Lightdale CJ, Botet JF, Boyce GA, Sivak MV Jr, Yasuda K, Heyder N, Palazzo L, Dancygier H, Schusdziarra V. Localization of pancreatic endocrine tumors by endoscopic ultrasonography. </w:t>
      </w:r>
      <w:r w:rsidRPr="00190A3E">
        <w:rPr>
          <w:rFonts w:ascii="Book Antiqua" w:eastAsia="Book Antiqua" w:hAnsi="Book Antiqua" w:cs="Book Antiqua"/>
          <w:i/>
          <w:iCs/>
          <w:color w:val="000000" w:themeColor="text1"/>
        </w:rPr>
        <w:t>N Engl J Med</w:t>
      </w:r>
      <w:r w:rsidRPr="00190A3E">
        <w:rPr>
          <w:rFonts w:ascii="Book Antiqua" w:eastAsia="Book Antiqua" w:hAnsi="Book Antiqua" w:cs="Book Antiqua"/>
          <w:color w:val="000000" w:themeColor="text1"/>
        </w:rPr>
        <w:t xml:space="preserve"> 1992; </w:t>
      </w:r>
      <w:r w:rsidRPr="00190A3E">
        <w:rPr>
          <w:rFonts w:ascii="Book Antiqua" w:eastAsia="Book Antiqua" w:hAnsi="Book Antiqua" w:cs="Book Antiqua"/>
          <w:b/>
          <w:bCs/>
          <w:color w:val="000000" w:themeColor="text1"/>
        </w:rPr>
        <w:t>326</w:t>
      </w:r>
      <w:r w:rsidRPr="00190A3E">
        <w:rPr>
          <w:rFonts w:ascii="Book Antiqua" w:eastAsia="Book Antiqua" w:hAnsi="Book Antiqua" w:cs="Book Antiqua"/>
          <w:color w:val="000000" w:themeColor="text1"/>
        </w:rPr>
        <w:t>: 1721-1726 [PMID: 1317506 DOI: 10.1056/NEJM199206253262601]</w:t>
      </w:r>
    </w:p>
    <w:p w14:paraId="49ACFA0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13 </w:t>
      </w:r>
      <w:r w:rsidRPr="00190A3E">
        <w:rPr>
          <w:rFonts w:ascii="Book Antiqua" w:eastAsia="Book Antiqua" w:hAnsi="Book Antiqua" w:cs="Book Antiqua"/>
          <w:b/>
          <w:bCs/>
          <w:color w:val="000000" w:themeColor="text1"/>
        </w:rPr>
        <w:t>Sotoudehmanesh R</w:t>
      </w:r>
      <w:r w:rsidRPr="00190A3E">
        <w:rPr>
          <w:rFonts w:ascii="Book Antiqua" w:eastAsia="Book Antiqua" w:hAnsi="Book Antiqua" w:cs="Book Antiqua"/>
          <w:color w:val="000000" w:themeColor="text1"/>
        </w:rPr>
        <w:t xml:space="preserve">, Hedayat A, Shirazian N, Shahraeeni S, Ainechi S, Zeinali F, Kolahdoozan S. Endoscopic ultrasonography (EUS) in the localization of insulinoma. </w:t>
      </w:r>
      <w:r w:rsidRPr="00190A3E">
        <w:rPr>
          <w:rFonts w:ascii="Book Antiqua" w:eastAsia="Book Antiqua" w:hAnsi="Book Antiqua" w:cs="Book Antiqua"/>
          <w:i/>
          <w:iCs/>
          <w:color w:val="000000" w:themeColor="text1"/>
        </w:rPr>
        <w:t>Endocrine</w:t>
      </w:r>
      <w:r w:rsidRPr="00190A3E">
        <w:rPr>
          <w:rFonts w:ascii="Book Antiqua" w:eastAsia="Book Antiqua" w:hAnsi="Book Antiqua" w:cs="Book Antiqua"/>
          <w:color w:val="000000" w:themeColor="text1"/>
        </w:rPr>
        <w:t xml:space="preserve"> 2007; </w:t>
      </w:r>
      <w:r w:rsidRPr="00190A3E">
        <w:rPr>
          <w:rFonts w:ascii="Book Antiqua" w:eastAsia="Book Antiqua" w:hAnsi="Book Antiqua" w:cs="Book Antiqua"/>
          <w:b/>
          <w:bCs/>
          <w:color w:val="000000" w:themeColor="text1"/>
        </w:rPr>
        <w:t>31</w:t>
      </w:r>
      <w:r w:rsidRPr="00190A3E">
        <w:rPr>
          <w:rFonts w:ascii="Book Antiqua" w:eastAsia="Book Antiqua" w:hAnsi="Book Antiqua" w:cs="Book Antiqua"/>
          <w:color w:val="000000" w:themeColor="text1"/>
        </w:rPr>
        <w:t>: 238-241 [PMID: 17906369 DOI: 10.1007/s12020-007-0045-4]</w:t>
      </w:r>
    </w:p>
    <w:p w14:paraId="0C0078C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14 </w:t>
      </w:r>
      <w:r w:rsidRPr="00190A3E">
        <w:rPr>
          <w:rFonts w:ascii="Book Antiqua" w:eastAsia="Book Antiqua" w:hAnsi="Book Antiqua" w:cs="Book Antiqua"/>
          <w:b/>
          <w:bCs/>
          <w:color w:val="000000" w:themeColor="text1"/>
        </w:rPr>
        <w:t>Pitre J</w:t>
      </w:r>
      <w:r w:rsidRPr="00190A3E">
        <w:rPr>
          <w:rFonts w:ascii="Book Antiqua" w:eastAsia="Book Antiqua" w:hAnsi="Book Antiqua" w:cs="Book Antiqua"/>
          <w:color w:val="000000" w:themeColor="text1"/>
        </w:rPr>
        <w:t xml:space="preserve">, Soubrane O, Palazzo L, Chapuis Y. Endoscopic ultrasonography for the preoperative localization of insulinomas.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1996; </w:t>
      </w:r>
      <w:r w:rsidRPr="00190A3E">
        <w:rPr>
          <w:rFonts w:ascii="Book Antiqua" w:eastAsia="Book Antiqua" w:hAnsi="Book Antiqua" w:cs="Book Antiqua"/>
          <w:b/>
          <w:bCs/>
          <w:color w:val="000000" w:themeColor="text1"/>
        </w:rPr>
        <w:t>13</w:t>
      </w:r>
      <w:r w:rsidRPr="00190A3E">
        <w:rPr>
          <w:rFonts w:ascii="Book Antiqua" w:eastAsia="Book Antiqua" w:hAnsi="Book Antiqua" w:cs="Book Antiqua"/>
          <w:color w:val="000000" w:themeColor="text1"/>
        </w:rPr>
        <w:t>: 55-60 [PMID: 8783334 DOI: 10.1097/00006676-199607000-00007]</w:t>
      </w:r>
    </w:p>
    <w:p w14:paraId="0925E71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15 </w:t>
      </w:r>
      <w:r w:rsidRPr="00190A3E">
        <w:rPr>
          <w:rFonts w:ascii="Book Antiqua" w:eastAsia="Book Antiqua" w:hAnsi="Book Antiqua" w:cs="Book Antiqua"/>
          <w:b/>
          <w:bCs/>
          <w:color w:val="000000" w:themeColor="text1"/>
        </w:rPr>
        <w:t>Di Leo M</w:t>
      </w:r>
      <w:r w:rsidRPr="00190A3E">
        <w:rPr>
          <w:rFonts w:ascii="Book Antiqua" w:eastAsia="Book Antiqua" w:hAnsi="Book Antiqua" w:cs="Book Antiqua"/>
          <w:color w:val="000000" w:themeColor="text1"/>
        </w:rPr>
        <w:t xml:space="preserve">, Poliani L, Rahal D, Auriemma F, Anderloni A, Ridolfi C, Spaggiari P, Capretti G, Di Tommaso L, Preatoni P, Zerbi A, Carnaghi C, Lania A, Malesci A, Repici A, Carrara S. Pancreatic Neuroendocrine Tumours: The Role of Endoscopic Ultrasound Biopsy in Diagnosis and Grading Based on the WHO 2017 Classification. </w:t>
      </w:r>
      <w:r w:rsidRPr="00190A3E">
        <w:rPr>
          <w:rFonts w:ascii="Book Antiqua" w:eastAsia="Book Antiqua" w:hAnsi="Book Antiqua" w:cs="Book Antiqua"/>
          <w:i/>
          <w:iCs/>
          <w:color w:val="000000" w:themeColor="text1"/>
        </w:rPr>
        <w:t>Dig Dis</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37</w:t>
      </w:r>
      <w:r w:rsidRPr="00190A3E">
        <w:rPr>
          <w:rFonts w:ascii="Book Antiqua" w:eastAsia="Book Antiqua" w:hAnsi="Book Antiqua" w:cs="Book Antiqua"/>
          <w:color w:val="000000" w:themeColor="text1"/>
        </w:rPr>
        <w:t>: 325-333 [PMID: 30897588 DOI: 10.1159/000499172]</w:t>
      </w:r>
    </w:p>
    <w:p w14:paraId="0E1E7EA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16 </w:t>
      </w:r>
      <w:r w:rsidRPr="00190A3E">
        <w:rPr>
          <w:rFonts w:ascii="Book Antiqua" w:eastAsia="Book Antiqua" w:hAnsi="Book Antiqua" w:cs="Book Antiqua"/>
          <w:b/>
          <w:bCs/>
          <w:color w:val="000000" w:themeColor="text1"/>
        </w:rPr>
        <w:t>Cui Y</w:t>
      </w:r>
      <w:r w:rsidRPr="00190A3E">
        <w:rPr>
          <w:rFonts w:ascii="Book Antiqua" w:eastAsia="Book Antiqua" w:hAnsi="Book Antiqua" w:cs="Book Antiqua"/>
          <w:color w:val="000000" w:themeColor="text1"/>
        </w:rPr>
        <w:t xml:space="preserve">, Khanna LG, Saqi A, Crapanzano JP, Mitchell JM, Sethi A, Gonda TA, Kluger MD, Schrope BA, Allendorf J, Chabot JA, Poneros JM. The Role of Endoscopic Ultrasound-Guided Ki67 in the Management of Non-Functioning Pancreatic Neuroendocrine Tumors. </w:t>
      </w:r>
      <w:r w:rsidRPr="00190A3E">
        <w:rPr>
          <w:rFonts w:ascii="Book Antiqua" w:eastAsia="Book Antiqua" w:hAnsi="Book Antiqua" w:cs="Book Antiqua"/>
          <w:i/>
          <w:iCs/>
          <w:color w:val="000000" w:themeColor="text1"/>
        </w:rPr>
        <w:t>Clin Endosc</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53</w:t>
      </w:r>
      <w:r w:rsidRPr="00190A3E">
        <w:rPr>
          <w:rFonts w:ascii="Book Antiqua" w:eastAsia="Book Antiqua" w:hAnsi="Book Antiqua" w:cs="Book Antiqua"/>
          <w:color w:val="000000" w:themeColor="text1"/>
        </w:rPr>
        <w:t>: 213-220 [PMID: 31302988 DOI: 10.5946/ce.2019.068]</w:t>
      </w:r>
    </w:p>
    <w:p w14:paraId="42ED695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17 </w:t>
      </w:r>
      <w:r w:rsidRPr="00190A3E">
        <w:rPr>
          <w:rFonts w:ascii="Book Antiqua" w:eastAsia="Book Antiqua" w:hAnsi="Book Antiqua" w:cs="Book Antiqua"/>
          <w:b/>
          <w:bCs/>
          <w:color w:val="000000" w:themeColor="text1"/>
        </w:rPr>
        <w:t>Laskiewicz L</w:t>
      </w:r>
      <w:r w:rsidRPr="00190A3E">
        <w:rPr>
          <w:rFonts w:ascii="Book Antiqua" w:eastAsia="Book Antiqua" w:hAnsi="Book Antiqua" w:cs="Book Antiqua"/>
          <w:color w:val="000000" w:themeColor="text1"/>
        </w:rPr>
        <w:t xml:space="preserve">, Jamshed S, Gong Y, Ainechi S, LaFemina J, Wang X. The diagnostic value of FNA biopsy in grading pancreatic neuroendocrine tumors. </w:t>
      </w:r>
      <w:r w:rsidRPr="00190A3E">
        <w:rPr>
          <w:rFonts w:ascii="Book Antiqua" w:eastAsia="Book Antiqua" w:hAnsi="Book Antiqua" w:cs="Book Antiqua"/>
          <w:i/>
          <w:iCs/>
          <w:color w:val="000000" w:themeColor="text1"/>
        </w:rPr>
        <w:t>Cancer Cytopathol</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126</w:t>
      </w:r>
      <w:r w:rsidRPr="00190A3E">
        <w:rPr>
          <w:rFonts w:ascii="Book Antiqua" w:eastAsia="Book Antiqua" w:hAnsi="Book Antiqua" w:cs="Book Antiqua"/>
          <w:color w:val="000000" w:themeColor="text1"/>
        </w:rPr>
        <w:t>: 170-178 [PMID: 29266776 DOI: 10.1002/cncy.21956]</w:t>
      </w:r>
    </w:p>
    <w:p w14:paraId="28F0046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18 </w:t>
      </w:r>
      <w:r w:rsidRPr="00190A3E">
        <w:rPr>
          <w:rFonts w:ascii="Book Antiqua" w:eastAsia="Book Antiqua" w:hAnsi="Book Antiqua" w:cs="Book Antiqua"/>
          <w:b/>
          <w:bCs/>
          <w:color w:val="000000" w:themeColor="text1"/>
        </w:rPr>
        <w:t>Larghi A</w:t>
      </w:r>
      <w:r w:rsidRPr="00190A3E">
        <w:rPr>
          <w:rFonts w:ascii="Book Antiqua" w:eastAsia="Book Antiqua" w:hAnsi="Book Antiqua" w:cs="Book Antiqua"/>
          <w:color w:val="000000" w:themeColor="text1"/>
        </w:rPr>
        <w:t xml:space="preserve">, Capurso G, Carnuccio A, Ricci R, Alfieri S, Galasso D, Lugli F, Bianchi A, Panzuto F, De Marinis L, Falconi M, Delle Fave G, Doglietto GB, Costamagna G, Rindi G. Ki-67 grading of nonfunctioning pancreatic neuroendocrine tumors on histologic samples obtained by EUS-guided fine-needle tissue acquisition: a prospective study. </w:t>
      </w:r>
      <w:r w:rsidRPr="00190A3E">
        <w:rPr>
          <w:rFonts w:ascii="Book Antiqua" w:eastAsia="Book Antiqua" w:hAnsi="Book Antiqua" w:cs="Book Antiqua"/>
          <w:i/>
          <w:iCs/>
          <w:color w:val="000000" w:themeColor="text1"/>
        </w:rPr>
        <w:t>Gastrointest Endosc</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76</w:t>
      </w:r>
      <w:r w:rsidRPr="00190A3E">
        <w:rPr>
          <w:rFonts w:ascii="Book Antiqua" w:eastAsia="Book Antiqua" w:hAnsi="Book Antiqua" w:cs="Book Antiqua"/>
          <w:color w:val="000000" w:themeColor="text1"/>
        </w:rPr>
        <w:t>: 570-577 [PMID: 22898415 DOI: 10.1016/j.gie.2012.04.477]</w:t>
      </w:r>
    </w:p>
    <w:p w14:paraId="1AE6BC2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19 </w:t>
      </w:r>
      <w:r w:rsidRPr="00190A3E">
        <w:rPr>
          <w:rFonts w:ascii="Book Antiqua" w:eastAsia="Book Antiqua" w:hAnsi="Book Antiqua" w:cs="Book Antiqua"/>
          <w:b/>
          <w:bCs/>
          <w:color w:val="000000" w:themeColor="text1"/>
        </w:rPr>
        <w:t>Lee L</w:t>
      </w:r>
      <w:r w:rsidRPr="00190A3E">
        <w:rPr>
          <w:rFonts w:ascii="Book Antiqua" w:eastAsia="Book Antiqua" w:hAnsi="Book Antiqua" w:cs="Book Antiqua"/>
          <w:color w:val="000000" w:themeColor="text1"/>
        </w:rPr>
        <w:t xml:space="preserve">, Ito T, Jensen RT. Imaging of pancreatic neuroendocrine tumors: recent advances, current status, and controversies. </w:t>
      </w:r>
      <w:r w:rsidRPr="00190A3E">
        <w:rPr>
          <w:rFonts w:ascii="Book Antiqua" w:eastAsia="Book Antiqua" w:hAnsi="Book Antiqua" w:cs="Book Antiqua"/>
          <w:i/>
          <w:iCs/>
          <w:color w:val="000000" w:themeColor="text1"/>
        </w:rPr>
        <w:t>Expert Rev Anticancer Ther</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18</w:t>
      </w:r>
      <w:r w:rsidRPr="00190A3E">
        <w:rPr>
          <w:rFonts w:ascii="Book Antiqua" w:eastAsia="Book Antiqua" w:hAnsi="Book Antiqua" w:cs="Book Antiqua"/>
          <w:color w:val="000000" w:themeColor="text1"/>
        </w:rPr>
        <w:t>: 837-860 [PMID: 29973077 DOI: 10.1080/14737140.2018.1496822]</w:t>
      </w:r>
    </w:p>
    <w:p w14:paraId="20CD66A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20 </w:t>
      </w:r>
      <w:r w:rsidRPr="00190A3E">
        <w:rPr>
          <w:rFonts w:ascii="Book Antiqua" w:eastAsia="Book Antiqua" w:hAnsi="Book Antiqua" w:cs="Book Antiqua"/>
          <w:b/>
          <w:bCs/>
          <w:color w:val="000000" w:themeColor="text1"/>
        </w:rPr>
        <w:t>Baker MS</w:t>
      </w:r>
      <w:r w:rsidRPr="00190A3E">
        <w:rPr>
          <w:rFonts w:ascii="Book Antiqua" w:eastAsia="Book Antiqua" w:hAnsi="Book Antiqua" w:cs="Book Antiqua"/>
          <w:color w:val="000000" w:themeColor="text1"/>
        </w:rPr>
        <w:t xml:space="preserve">, Knuth JL, DeWitt J, LeBlanc J, Cramer H, Howard TJ, Schmidt CM, Lillemoe KD, Pitt HA. Pancreatic cystic neuroendocrine tumors: preoperative diagnosis with endoscopic ultrasound and fine-needle immunocytology. </w:t>
      </w:r>
      <w:r w:rsidRPr="00190A3E">
        <w:rPr>
          <w:rFonts w:ascii="Book Antiqua" w:eastAsia="Book Antiqua" w:hAnsi="Book Antiqua" w:cs="Book Antiqua"/>
          <w:i/>
          <w:iCs/>
          <w:color w:val="000000" w:themeColor="text1"/>
        </w:rPr>
        <w:t>J Gastrointest Surg</w:t>
      </w:r>
      <w:r w:rsidRPr="00190A3E">
        <w:rPr>
          <w:rFonts w:ascii="Book Antiqua" w:eastAsia="Book Antiqua" w:hAnsi="Book Antiqua" w:cs="Book Antiqua"/>
          <w:color w:val="000000" w:themeColor="text1"/>
        </w:rPr>
        <w:t xml:space="preserve"> 2008; </w:t>
      </w:r>
      <w:r w:rsidRPr="00190A3E">
        <w:rPr>
          <w:rFonts w:ascii="Book Antiqua" w:eastAsia="Book Antiqua" w:hAnsi="Book Antiqua" w:cs="Book Antiqua"/>
          <w:b/>
          <w:bCs/>
          <w:color w:val="000000" w:themeColor="text1"/>
        </w:rPr>
        <w:t>12</w:t>
      </w:r>
      <w:r w:rsidRPr="00190A3E">
        <w:rPr>
          <w:rFonts w:ascii="Book Antiqua" w:eastAsia="Book Antiqua" w:hAnsi="Book Antiqua" w:cs="Book Antiqua"/>
          <w:color w:val="000000" w:themeColor="text1"/>
        </w:rPr>
        <w:t>: 450-456 [PMID: 18157720 DOI: 10.1007/s11605-007-0219-7]</w:t>
      </w:r>
    </w:p>
    <w:p w14:paraId="02E90FB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21 </w:t>
      </w:r>
      <w:r w:rsidRPr="00190A3E">
        <w:rPr>
          <w:rFonts w:ascii="Book Antiqua" w:eastAsia="Book Antiqua" w:hAnsi="Book Antiqua" w:cs="Book Antiqua"/>
          <w:b/>
          <w:bCs/>
          <w:color w:val="000000" w:themeColor="text1"/>
        </w:rPr>
        <w:t>Kawamoto S</w:t>
      </w:r>
      <w:r w:rsidRPr="00190A3E">
        <w:rPr>
          <w:rFonts w:ascii="Book Antiqua" w:eastAsia="Book Antiqua" w:hAnsi="Book Antiqua" w:cs="Book Antiqua"/>
          <w:color w:val="000000" w:themeColor="text1"/>
        </w:rPr>
        <w:t xml:space="preserve">, Johnson PT, Shi C, Singhi AD, Hruban RH, Wolfgang CL, Edil BH, Fishman EK. Pancreatic neuroendocrine tumor with cystlike changes: evaluation with MDCT. </w:t>
      </w:r>
      <w:r w:rsidRPr="00190A3E">
        <w:rPr>
          <w:rFonts w:ascii="Book Antiqua" w:eastAsia="Book Antiqua" w:hAnsi="Book Antiqua" w:cs="Book Antiqua"/>
          <w:i/>
          <w:iCs/>
          <w:color w:val="000000" w:themeColor="text1"/>
        </w:rPr>
        <w:t>AJR Am J Roentgenol</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200</w:t>
      </w:r>
      <w:r w:rsidRPr="00190A3E">
        <w:rPr>
          <w:rFonts w:ascii="Book Antiqua" w:eastAsia="Book Antiqua" w:hAnsi="Book Antiqua" w:cs="Book Antiqua"/>
          <w:color w:val="000000" w:themeColor="text1"/>
        </w:rPr>
        <w:t>: W283-W290 [PMID: 23436873 DOI: 10.2214/AJR.12.8941]</w:t>
      </w:r>
    </w:p>
    <w:p w14:paraId="420D4FB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22 </w:t>
      </w:r>
      <w:r w:rsidRPr="00190A3E">
        <w:rPr>
          <w:rFonts w:ascii="Book Antiqua" w:eastAsia="Book Antiqua" w:hAnsi="Book Antiqua" w:cs="Book Antiqua"/>
          <w:b/>
          <w:bCs/>
          <w:color w:val="000000" w:themeColor="text1"/>
        </w:rPr>
        <w:t>Guo C</w:t>
      </w:r>
      <w:r w:rsidRPr="00190A3E">
        <w:rPr>
          <w:rFonts w:ascii="Book Antiqua" w:eastAsia="Book Antiqua" w:hAnsi="Book Antiqua" w:cs="Book Antiqua"/>
          <w:color w:val="000000" w:themeColor="text1"/>
        </w:rPr>
        <w:t xml:space="preserve">, Zhuge X, Wang Z, Wang Q, Sun K, Feng Z, Chen X. Textural analysis on contrast-enhanced CT in pancreatic neuroendocrine neoplasms: association with WHO grade. </w:t>
      </w:r>
      <w:r w:rsidRPr="00190A3E">
        <w:rPr>
          <w:rFonts w:ascii="Book Antiqua" w:eastAsia="Book Antiqua" w:hAnsi="Book Antiqua" w:cs="Book Antiqua"/>
          <w:i/>
          <w:iCs/>
          <w:color w:val="000000" w:themeColor="text1"/>
        </w:rPr>
        <w:t>Abdom Radiol (NY)</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44</w:t>
      </w:r>
      <w:r w:rsidRPr="00190A3E">
        <w:rPr>
          <w:rFonts w:ascii="Book Antiqua" w:eastAsia="Book Antiqua" w:hAnsi="Book Antiqua" w:cs="Book Antiqua"/>
          <w:color w:val="000000" w:themeColor="text1"/>
        </w:rPr>
        <w:t>: 576-585 [PMID: 30182253 DOI: 10.1007/s00261-018-1763-1]</w:t>
      </w:r>
    </w:p>
    <w:p w14:paraId="13B76CE9"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23 </w:t>
      </w:r>
      <w:r w:rsidRPr="00190A3E">
        <w:rPr>
          <w:rFonts w:ascii="Book Antiqua" w:eastAsia="Book Antiqua" w:hAnsi="Book Antiqua" w:cs="Book Antiqua"/>
          <w:b/>
          <w:bCs/>
          <w:color w:val="000000" w:themeColor="text1"/>
        </w:rPr>
        <w:t>Canellas R</w:t>
      </w:r>
      <w:r w:rsidRPr="00190A3E">
        <w:rPr>
          <w:rFonts w:ascii="Book Antiqua" w:eastAsia="Book Antiqua" w:hAnsi="Book Antiqua" w:cs="Book Antiqua"/>
          <w:color w:val="000000" w:themeColor="text1"/>
        </w:rPr>
        <w:t xml:space="preserve">, Burk KS, Parakh A, Sahani DV. Prediction of Pancreatic Neuroendocrine Tumor Grade Based on CT Features and Texture Analysis. </w:t>
      </w:r>
      <w:r w:rsidRPr="00190A3E">
        <w:rPr>
          <w:rFonts w:ascii="Book Antiqua" w:eastAsia="Book Antiqua" w:hAnsi="Book Antiqua" w:cs="Book Antiqua"/>
          <w:i/>
          <w:iCs/>
          <w:color w:val="000000" w:themeColor="text1"/>
        </w:rPr>
        <w:t>AJR Am J Roentgenol</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210</w:t>
      </w:r>
      <w:r w:rsidRPr="00190A3E">
        <w:rPr>
          <w:rFonts w:ascii="Book Antiqua" w:eastAsia="Book Antiqua" w:hAnsi="Book Antiqua" w:cs="Book Antiqua"/>
          <w:color w:val="000000" w:themeColor="text1"/>
        </w:rPr>
        <w:t>: 341-346 [PMID: 29140113 DOI: 10.2214/AJR.17.18417]</w:t>
      </w:r>
    </w:p>
    <w:p w14:paraId="7ED9D9D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24 </w:t>
      </w:r>
      <w:r w:rsidRPr="00190A3E">
        <w:rPr>
          <w:rFonts w:ascii="Book Antiqua" w:eastAsia="Book Antiqua" w:hAnsi="Book Antiqua" w:cs="Book Antiqua"/>
          <w:b/>
          <w:bCs/>
          <w:color w:val="000000" w:themeColor="text1"/>
        </w:rPr>
        <w:t>De Robertis R</w:t>
      </w:r>
      <w:r w:rsidRPr="00190A3E">
        <w:rPr>
          <w:rFonts w:ascii="Book Antiqua" w:eastAsia="Book Antiqua" w:hAnsi="Book Antiqua" w:cs="Book Antiqua"/>
          <w:color w:val="000000" w:themeColor="text1"/>
        </w:rPr>
        <w:t xml:space="preserve">, Cingarlini S, Tinazzi Martini P, Ortolani S, Butturini G, Landoni L, Regi P, Girelli R, Capelli P, Gobbo S, Tortora G, Scarpa A, Pederzoli P, D'Onofrio M. Pancreatic neuroendocrine neoplasms: Magnetic resonance imaging features according to grade and stage. </w:t>
      </w:r>
      <w:r w:rsidRPr="00190A3E">
        <w:rPr>
          <w:rFonts w:ascii="Book Antiqua" w:eastAsia="Book Antiqua" w:hAnsi="Book Antiqua" w:cs="Book Antiqua"/>
          <w:i/>
          <w:iCs/>
          <w:color w:val="000000" w:themeColor="text1"/>
        </w:rPr>
        <w:t>World J Gastroenterol</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23</w:t>
      </w:r>
      <w:r w:rsidRPr="00190A3E">
        <w:rPr>
          <w:rFonts w:ascii="Book Antiqua" w:eastAsia="Book Antiqua" w:hAnsi="Book Antiqua" w:cs="Book Antiqua"/>
          <w:color w:val="000000" w:themeColor="text1"/>
        </w:rPr>
        <w:t>: 275-285 [PMID: 28127201 DOI: 10.3748/wjg.v23.i2.275]</w:t>
      </w:r>
    </w:p>
    <w:p w14:paraId="0686297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25 </w:t>
      </w:r>
      <w:r w:rsidRPr="00190A3E">
        <w:rPr>
          <w:rFonts w:ascii="Book Antiqua" w:eastAsia="Book Antiqua" w:hAnsi="Book Antiqua" w:cs="Book Antiqua"/>
          <w:b/>
          <w:bCs/>
          <w:color w:val="000000" w:themeColor="text1"/>
        </w:rPr>
        <w:t>Zaboriene I</w:t>
      </w:r>
      <w:r w:rsidRPr="00190A3E">
        <w:rPr>
          <w:rFonts w:ascii="Book Antiqua" w:eastAsia="Book Antiqua" w:hAnsi="Book Antiqua" w:cs="Book Antiqua"/>
          <w:color w:val="000000" w:themeColor="text1"/>
        </w:rPr>
        <w:t xml:space="preserve">, Zviniene K, Lukosevicius S, Ignatavicius P, Barauskas G. Dynamic Perfusion Computed Tomography and Apparent Diffusion Coefficient as Potential Markers for Poorly Differentiated Pancreatic Adenocarcinoma. </w:t>
      </w:r>
      <w:r w:rsidRPr="00190A3E">
        <w:rPr>
          <w:rFonts w:ascii="Book Antiqua" w:eastAsia="Book Antiqua" w:hAnsi="Book Antiqua" w:cs="Book Antiqua"/>
          <w:i/>
          <w:iCs/>
          <w:color w:val="000000" w:themeColor="text1"/>
        </w:rPr>
        <w:t>Dig Surg</w:t>
      </w:r>
      <w:r w:rsidRPr="00190A3E">
        <w:rPr>
          <w:rFonts w:ascii="Book Antiqua" w:eastAsia="Book Antiqua" w:hAnsi="Book Antiqua" w:cs="Book Antiqua"/>
          <w:color w:val="000000" w:themeColor="text1"/>
        </w:rPr>
        <w:t xml:space="preserve"> 2021;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128-135 [PMID: 33503636 DOI: 10.1159/000511973]</w:t>
      </w:r>
    </w:p>
    <w:p w14:paraId="63F10ACD"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26 </w:t>
      </w:r>
      <w:r w:rsidRPr="00190A3E">
        <w:rPr>
          <w:rFonts w:ascii="Book Antiqua" w:eastAsia="Book Antiqua" w:hAnsi="Book Antiqua" w:cs="Book Antiqua"/>
          <w:b/>
          <w:bCs/>
          <w:color w:val="000000" w:themeColor="text1"/>
        </w:rPr>
        <w:t>Garces-Descovich A</w:t>
      </w:r>
      <w:r w:rsidRPr="00190A3E">
        <w:rPr>
          <w:rFonts w:ascii="Book Antiqua" w:eastAsia="Book Antiqua" w:hAnsi="Book Antiqua" w:cs="Book Antiqua"/>
          <w:color w:val="000000" w:themeColor="text1"/>
        </w:rPr>
        <w:t xml:space="preserve">, Morrison TC, Beker K, Jaramillo-Cardoso A, Moser AJ, Mortele KJ. DWI of Pancreatic Ductal Adenocarcinoma: A Pilot Study to Estimate the Correlation With Metastatic Disease Potential and Overall Survival. </w:t>
      </w:r>
      <w:r w:rsidRPr="00190A3E">
        <w:rPr>
          <w:rFonts w:ascii="Book Antiqua" w:eastAsia="Book Antiqua" w:hAnsi="Book Antiqua" w:cs="Book Antiqua"/>
          <w:i/>
          <w:iCs/>
          <w:color w:val="000000" w:themeColor="text1"/>
        </w:rPr>
        <w:t>AJR Am J Roentgenol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212</w:t>
      </w:r>
      <w:r w:rsidRPr="00190A3E">
        <w:rPr>
          <w:rFonts w:ascii="Book Antiqua" w:eastAsia="Book Antiqua" w:hAnsi="Book Antiqua" w:cs="Book Antiqua"/>
          <w:color w:val="000000" w:themeColor="text1"/>
        </w:rPr>
        <w:t>: 323-331 [PMID: 30667305 DOI: 10.2214/AJR.18.20017]</w:t>
      </w:r>
    </w:p>
    <w:p w14:paraId="3138352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27 </w:t>
      </w:r>
      <w:r w:rsidRPr="00190A3E">
        <w:rPr>
          <w:rFonts w:ascii="Book Antiqua" w:eastAsia="Book Antiqua" w:hAnsi="Book Antiqua" w:cs="Book Antiqua"/>
          <w:b/>
          <w:bCs/>
          <w:color w:val="000000" w:themeColor="text1"/>
        </w:rPr>
        <w:t>Scott AT</w:t>
      </w:r>
      <w:r w:rsidRPr="00190A3E">
        <w:rPr>
          <w:rFonts w:ascii="Book Antiqua" w:eastAsia="Book Antiqua" w:hAnsi="Book Antiqua" w:cs="Book Antiqua"/>
          <w:color w:val="000000" w:themeColor="text1"/>
        </w:rPr>
        <w:t xml:space="preserve">, Howe JR. Evaluation and Management of Neuroendocrine Tumors of the Pancreas. </w:t>
      </w:r>
      <w:r w:rsidRPr="00190A3E">
        <w:rPr>
          <w:rFonts w:ascii="Book Antiqua" w:eastAsia="Book Antiqua" w:hAnsi="Book Antiqua" w:cs="Book Antiqua"/>
          <w:i/>
          <w:iCs/>
          <w:color w:val="000000" w:themeColor="text1"/>
        </w:rPr>
        <w:t>Surg Clin North Am</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99</w:t>
      </w:r>
      <w:r w:rsidRPr="00190A3E">
        <w:rPr>
          <w:rFonts w:ascii="Book Antiqua" w:eastAsia="Book Antiqua" w:hAnsi="Book Antiqua" w:cs="Book Antiqua"/>
          <w:color w:val="000000" w:themeColor="text1"/>
        </w:rPr>
        <w:t>: 793-814 [PMID: 31255207 DOI: 10.1016/j.suc.2019.04.014]</w:t>
      </w:r>
    </w:p>
    <w:p w14:paraId="545B515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28 </w:t>
      </w:r>
      <w:r w:rsidRPr="00190A3E">
        <w:rPr>
          <w:rFonts w:ascii="Book Antiqua" w:eastAsia="Book Antiqua" w:hAnsi="Book Antiqua" w:cs="Book Antiqua"/>
          <w:b/>
          <w:bCs/>
          <w:color w:val="000000" w:themeColor="text1"/>
        </w:rPr>
        <w:t>Dromain C</w:t>
      </w:r>
      <w:r w:rsidRPr="00190A3E">
        <w:rPr>
          <w:rFonts w:ascii="Book Antiqua" w:eastAsia="Book Antiqua" w:hAnsi="Book Antiqua" w:cs="Book Antiqua"/>
          <w:color w:val="000000" w:themeColor="text1"/>
        </w:rPr>
        <w:t xml:space="preserve">, de Baere T, Baudin E, Galline J, Ducreux M, Boige V, Duvillard P, Laplanche A, Caillet H, Lasser P, Schlumberger M, Sigal R. MR imaging of hepatic metastases caused by neuroendocrine tumors: comparing four techniques. </w:t>
      </w:r>
      <w:r w:rsidRPr="00190A3E">
        <w:rPr>
          <w:rFonts w:ascii="Book Antiqua" w:eastAsia="Book Antiqua" w:hAnsi="Book Antiqua" w:cs="Book Antiqua"/>
          <w:i/>
          <w:iCs/>
          <w:color w:val="000000" w:themeColor="text1"/>
        </w:rPr>
        <w:t>AJR Am J Roentgenol</w:t>
      </w:r>
      <w:r w:rsidRPr="00190A3E">
        <w:rPr>
          <w:rFonts w:ascii="Book Antiqua" w:eastAsia="Book Antiqua" w:hAnsi="Book Antiqua" w:cs="Book Antiqua"/>
          <w:color w:val="000000" w:themeColor="text1"/>
        </w:rPr>
        <w:t xml:space="preserve"> 2003; </w:t>
      </w:r>
      <w:r w:rsidRPr="00190A3E">
        <w:rPr>
          <w:rFonts w:ascii="Book Antiqua" w:eastAsia="Book Antiqua" w:hAnsi="Book Antiqua" w:cs="Book Antiqua"/>
          <w:b/>
          <w:bCs/>
          <w:color w:val="000000" w:themeColor="text1"/>
        </w:rPr>
        <w:t>180</w:t>
      </w:r>
      <w:r w:rsidRPr="00190A3E">
        <w:rPr>
          <w:rFonts w:ascii="Book Antiqua" w:eastAsia="Book Antiqua" w:hAnsi="Book Antiqua" w:cs="Book Antiqua"/>
          <w:color w:val="000000" w:themeColor="text1"/>
        </w:rPr>
        <w:t>: 121-128 [PMID: 12490490 DOI: 10.2214/ajr.180.1.1800121]</w:t>
      </w:r>
    </w:p>
    <w:p w14:paraId="4E4B3C7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29 </w:t>
      </w:r>
      <w:r w:rsidRPr="00190A3E">
        <w:rPr>
          <w:rFonts w:ascii="Book Antiqua" w:eastAsia="Book Antiqua" w:hAnsi="Book Antiqua" w:cs="Book Antiqua"/>
          <w:b/>
          <w:bCs/>
          <w:color w:val="000000" w:themeColor="text1"/>
        </w:rPr>
        <w:t>Ronot M</w:t>
      </w:r>
      <w:r w:rsidRPr="00190A3E">
        <w:rPr>
          <w:rFonts w:ascii="Book Antiqua" w:eastAsia="Book Antiqua" w:hAnsi="Book Antiqua" w:cs="Book Antiqua"/>
          <w:color w:val="000000" w:themeColor="text1"/>
        </w:rPr>
        <w:t xml:space="preserve">, Clift AK, Baum RP, Singh A, Kulkarni HR, Frilling A, Vilgrain V. Morphological and Functional Imaging for Detecting and Assessing the Resectability of Neuroendocrine Liver Metastases. </w:t>
      </w:r>
      <w:r w:rsidRPr="00190A3E">
        <w:rPr>
          <w:rFonts w:ascii="Book Antiqua" w:eastAsia="Book Antiqua" w:hAnsi="Book Antiqua" w:cs="Book Antiqua"/>
          <w:i/>
          <w:iCs/>
          <w:color w:val="000000" w:themeColor="text1"/>
        </w:rPr>
        <w:t>Neuroendocrinology</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106</w:t>
      </w:r>
      <w:r w:rsidRPr="00190A3E">
        <w:rPr>
          <w:rFonts w:ascii="Book Antiqua" w:eastAsia="Book Antiqua" w:hAnsi="Book Antiqua" w:cs="Book Antiqua"/>
          <w:color w:val="000000" w:themeColor="text1"/>
        </w:rPr>
        <w:t>: 74-88 [PMID: 28728155 DOI: 10.1159/000479293]</w:t>
      </w:r>
    </w:p>
    <w:p w14:paraId="375C336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30 </w:t>
      </w:r>
      <w:r w:rsidRPr="00190A3E">
        <w:rPr>
          <w:rFonts w:ascii="Book Antiqua" w:eastAsia="Book Antiqua" w:hAnsi="Book Antiqua" w:cs="Book Antiqua"/>
          <w:b/>
          <w:bCs/>
          <w:color w:val="000000" w:themeColor="text1"/>
        </w:rPr>
        <w:t>Morse B</w:t>
      </w:r>
      <w:r w:rsidRPr="00190A3E">
        <w:rPr>
          <w:rFonts w:ascii="Book Antiqua" w:eastAsia="Book Antiqua" w:hAnsi="Book Antiqua" w:cs="Book Antiqua"/>
          <w:color w:val="000000" w:themeColor="text1"/>
        </w:rPr>
        <w:t xml:space="preserve">, Jeong D, Thomas K, Diallo D, Strosberg JR. Magnetic Resonance Imaging of Neuroendocrine Tumor Hepatic Metastases: Does Hepatobiliary Phase Imaging Improve Lesion Conspicuity and Interobserver Agreement of Lesion Measurements?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46</w:t>
      </w:r>
      <w:r w:rsidRPr="00190A3E">
        <w:rPr>
          <w:rFonts w:ascii="Book Antiqua" w:eastAsia="Book Antiqua" w:hAnsi="Book Antiqua" w:cs="Book Antiqua"/>
          <w:color w:val="000000" w:themeColor="text1"/>
        </w:rPr>
        <w:t>: 1219-1224 [PMID: 28902795 DOI: 10.1097/MPA.0000000000000920]</w:t>
      </w:r>
    </w:p>
    <w:p w14:paraId="672C751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31 </w:t>
      </w:r>
      <w:r w:rsidRPr="00190A3E">
        <w:rPr>
          <w:rFonts w:ascii="Book Antiqua" w:eastAsia="Book Antiqua" w:hAnsi="Book Antiqua" w:cs="Book Antiqua"/>
          <w:b/>
          <w:bCs/>
          <w:color w:val="000000" w:themeColor="text1"/>
        </w:rPr>
        <w:t>Saleh M</w:t>
      </w:r>
      <w:r w:rsidRPr="00190A3E">
        <w:rPr>
          <w:rFonts w:ascii="Book Antiqua" w:eastAsia="Book Antiqua" w:hAnsi="Book Antiqua" w:cs="Book Antiqua"/>
          <w:color w:val="000000" w:themeColor="text1"/>
        </w:rPr>
        <w:t xml:space="preserve">, Bhosale PR, Yano M, Itani M, Elsayes AK, Halperin D, Bergsland EK, Morani AC. New frontiers in imaging including radiomics updates for pancreatic neuroendocrine neoplasms. </w:t>
      </w:r>
      <w:r w:rsidRPr="00190A3E">
        <w:rPr>
          <w:rFonts w:ascii="Book Antiqua" w:eastAsia="Book Antiqua" w:hAnsi="Book Antiqua" w:cs="Book Antiqua"/>
          <w:i/>
          <w:iCs/>
          <w:color w:val="000000" w:themeColor="text1"/>
        </w:rPr>
        <w:t>Abdom Radiol (NY)</w:t>
      </w:r>
      <w:r w:rsidRPr="00190A3E">
        <w:rPr>
          <w:rFonts w:ascii="Book Antiqua" w:eastAsia="Book Antiqua" w:hAnsi="Book Antiqua" w:cs="Book Antiqua"/>
          <w:color w:val="000000" w:themeColor="text1"/>
        </w:rPr>
        <w:t xml:space="preserve"> 2020 [PMID: 33095312 DOI: 10.1007/s00261-020-02833-8]</w:t>
      </w:r>
    </w:p>
    <w:p w14:paraId="2F94030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32 </w:t>
      </w:r>
      <w:r w:rsidRPr="00190A3E">
        <w:rPr>
          <w:rFonts w:ascii="Book Antiqua" w:eastAsia="Book Antiqua" w:hAnsi="Book Antiqua" w:cs="Book Antiqua"/>
          <w:b/>
          <w:bCs/>
          <w:color w:val="000000" w:themeColor="text1"/>
        </w:rPr>
        <w:t>Deguelte S</w:t>
      </w:r>
      <w:r w:rsidRPr="00190A3E">
        <w:rPr>
          <w:rFonts w:ascii="Book Antiqua" w:eastAsia="Book Antiqua" w:hAnsi="Book Antiqua" w:cs="Book Antiqua"/>
          <w:color w:val="000000" w:themeColor="text1"/>
        </w:rPr>
        <w:t xml:space="preserve">, de Mestier L, Hentic O, Cros J, Lebtahi R, Hammel P, Kianmanesh R. Preoperative imaging and pathologic classification for pancreatic neuroendocrine tumors. </w:t>
      </w:r>
      <w:r w:rsidRPr="00190A3E">
        <w:rPr>
          <w:rFonts w:ascii="Book Antiqua" w:eastAsia="Book Antiqua" w:hAnsi="Book Antiqua" w:cs="Book Antiqua"/>
          <w:i/>
          <w:iCs/>
          <w:color w:val="000000" w:themeColor="text1"/>
        </w:rPr>
        <w:t>J Visc Surg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155</w:t>
      </w:r>
      <w:r w:rsidRPr="00190A3E">
        <w:rPr>
          <w:rFonts w:ascii="Book Antiqua" w:eastAsia="Book Antiqua" w:hAnsi="Book Antiqua" w:cs="Book Antiqua"/>
          <w:color w:val="000000" w:themeColor="text1"/>
        </w:rPr>
        <w:t>: 117-125 [PMID: 29397338 DOI: 10.1016/j.jviscsurg.2017.12.008]</w:t>
      </w:r>
    </w:p>
    <w:p w14:paraId="5C4565C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33 </w:t>
      </w:r>
      <w:r w:rsidRPr="00190A3E">
        <w:rPr>
          <w:rFonts w:ascii="Book Antiqua" w:eastAsia="Book Antiqua" w:hAnsi="Book Antiqua" w:cs="Book Antiqua"/>
          <w:b/>
          <w:bCs/>
          <w:color w:val="000000" w:themeColor="text1"/>
        </w:rPr>
        <w:t>Gabriel M</w:t>
      </w:r>
      <w:r w:rsidRPr="00190A3E">
        <w:rPr>
          <w:rFonts w:ascii="Book Antiqua" w:eastAsia="Book Antiqua" w:hAnsi="Book Antiqua" w:cs="Book Antiqua"/>
          <w:color w:val="000000" w:themeColor="text1"/>
        </w:rPr>
        <w:t xml:space="preserve">, Decristoforo C, Kendler D, Dobrozemsky G, Heute D, Uprimny C, Kovacs P, Von Guggenberg E, Bale R, Virgolini IJ. 68Ga-DOTA-Tyr3-octreotide PET in neuroendocrine tumors: comparison with somatostatin receptor scintigraphy and CT. </w:t>
      </w:r>
      <w:r w:rsidRPr="00190A3E">
        <w:rPr>
          <w:rFonts w:ascii="Book Antiqua" w:eastAsia="Book Antiqua" w:hAnsi="Book Antiqua" w:cs="Book Antiqua"/>
          <w:i/>
          <w:iCs/>
          <w:color w:val="000000" w:themeColor="text1"/>
        </w:rPr>
        <w:t>J Nucl Med</w:t>
      </w:r>
      <w:r w:rsidRPr="00190A3E">
        <w:rPr>
          <w:rFonts w:ascii="Book Antiqua" w:eastAsia="Book Antiqua" w:hAnsi="Book Antiqua" w:cs="Book Antiqua"/>
          <w:color w:val="000000" w:themeColor="text1"/>
        </w:rPr>
        <w:t xml:space="preserve"> 2007; </w:t>
      </w:r>
      <w:r w:rsidRPr="00190A3E">
        <w:rPr>
          <w:rFonts w:ascii="Book Antiqua" w:eastAsia="Book Antiqua" w:hAnsi="Book Antiqua" w:cs="Book Antiqua"/>
          <w:b/>
          <w:bCs/>
          <w:color w:val="000000" w:themeColor="text1"/>
        </w:rPr>
        <w:t>48</w:t>
      </w:r>
      <w:r w:rsidRPr="00190A3E">
        <w:rPr>
          <w:rFonts w:ascii="Book Antiqua" w:eastAsia="Book Antiqua" w:hAnsi="Book Antiqua" w:cs="Book Antiqua"/>
          <w:color w:val="000000" w:themeColor="text1"/>
        </w:rPr>
        <w:t>: 508-518 [PMID: 17401086 DOI: 10.2967/jnumed.106.035667]</w:t>
      </w:r>
    </w:p>
    <w:p w14:paraId="6D5D961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34 </w:t>
      </w:r>
      <w:r w:rsidRPr="00190A3E">
        <w:rPr>
          <w:rFonts w:ascii="Book Antiqua" w:eastAsia="Book Antiqua" w:hAnsi="Book Antiqua" w:cs="Book Antiqua"/>
          <w:b/>
          <w:bCs/>
          <w:color w:val="000000" w:themeColor="text1"/>
        </w:rPr>
        <w:t>Ilhan H</w:t>
      </w:r>
      <w:r w:rsidRPr="00190A3E">
        <w:rPr>
          <w:rFonts w:ascii="Book Antiqua" w:eastAsia="Book Antiqua" w:hAnsi="Book Antiqua" w:cs="Book Antiqua"/>
          <w:color w:val="000000" w:themeColor="text1"/>
        </w:rPr>
        <w:t xml:space="preserve">, Fendler WP, Cyran CC, Spitzweg C, Auernhammer CJ, Gildehaus FJ, Bartenstein P, Angele MK, Haug AR. Impact of (68)Ga-DOTATATE PET/CT on the surgical management of primary neuroendocrine tumors of the pancreas or ileum. </w:t>
      </w:r>
      <w:r w:rsidRPr="00190A3E">
        <w:rPr>
          <w:rFonts w:ascii="Book Antiqua" w:eastAsia="Book Antiqua" w:hAnsi="Book Antiqua" w:cs="Book Antiqua"/>
          <w:i/>
          <w:iCs/>
          <w:color w:val="000000" w:themeColor="text1"/>
        </w:rPr>
        <w:t>Ann Surg Oncol</w:t>
      </w:r>
      <w:r w:rsidRPr="00190A3E">
        <w:rPr>
          <w:rFonts w:ascii="Book Antiqua" w:eastAsia="Book Antiqua" w:hAnsi="Book Antiqua" w:cs="Book Antiqua"/>
          <w:color w:val="000000" w:themeColor="text1"/>
        </w:rPr>
        <w:t xml:space="preserve"> 2015; </w:t>
      </w:r>
      <w:r w:rsidRPr="00190A3E">
        <w:rPr>
          <w:rFonts w:ascii="Book Antiqua" w:eastAsia="Book Antiqua" w:hAnsi="Book Antiqua" w:cs="Book Antiqua"/>
          <w:b/>
          <w:bCs/>
          <w:color w:val="000000" w:themeColor="text1"/>
        </w:rPr>
        <w:t>22</w:t>
      </w:r>
      <w:r w:rsidRPr="00190A3E">
        <w:rPr>
          <w:rFonts w:ascii="Book Antiqua" w:eastAsia="Book Antiqua" w:hAnsi="Book Antiqua" w:cs="Book Antiqua"/>
          <w:color w:val="000000" w:themeColor="text1"/>
        </w:rPr>
        <w:t>: 164-171 [PMID: 25190113 DOI: 10.1245/s10434-014-3981-2]</w:t>
      </w:r>
    </w:p>
    <w:p w14:paraId="3A550A8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35 </w:t>
      </w:r>
      <w:r w:rsidRPr="00190A3E">
        <w:rPr>
          <w:rFonts w:ascii="Book Antiqua" w:eastAsia="Book Antiqua" w:hAnsi="Book Antiqua" w:cs="Book Antiqua"/>
          <w:b/>
          <w:bCs/>
          <w:color w:val="000000" w:themeColor="text1"/>
        </w:rPr>
        <w:t>Calabrò D</w:t>
      </w:r>
      <w:r w:rsidRPr="00190A3E">
        <w:rPr>
          <w:rFonts w:ascii="Book Antiqua" w:eastAsia="Book Antiqua" w:hAnsi="Book Antiqua" w:cs="Book Antiqua"/>
          <w:color w:val="000000" w:themeColor="text1"/>
        </w:rPr>
        <w:t xml:space="preserve">, Argalia G, Ambrosini V. Role of PET/CT and Therapy Management of Pancreatic Neuroendocrine Tumors. </w:t>
      </w:r>
      <w:r w:rsidRPr="00190A3E">
        <w:rPr>
          <w:rFonts w:ascii="Book Antiqua" w:eastAsia="Book Antiqua" w:hAnsi="Book Antiqua" w:cs="Book Antiqua"/>
          <w:i/>
          <w:iCs/>
          <w:color w:val="000000" w:themeColor="text1"/>
        </w:rPr>
        <w:t>Diagnostics (Basel)</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10</w:t>
      </w:r>
      <w:r w:rsidRPr="00190A3E">
        <w:rPr>
          <w:rFonts w:ascii="Book Antiqua" w:eastAsia="Book Antiqua" w:hAnsi="Book Antiqua" w:cs="Book Antiqua"/>
          <w:color w:val="000000" w:themeColor="text1"/>
        </w:rPr>
        <w:t xml:space="preserve"> [PMID: 33297381 DOI: 10.3390/diagnostics10121059]</w:t>
      </w:r>
    </w:p>
    <w:p w14:paraId="6B81291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36 </w:t>
      </w:r>
      <w:r w:rsidRPr="00190A3E">
        <w:rPr>
          <w:rFonts w:ascii="Book Antiqua" w:eastAsia="Book Antiqua" w:hAnsi="Book Antiqua" w:cs="Book Antiqua"/>
          <w:b/>
          <w:bCs/>
          <w:color w:val="000000" w:themeColor="text1"/>
        </w:rPr>
        <w:t>Zhang P</w:t>
      </w:r>
      <w:r w:rsidRPr="00190A3E">
        <w:rPr>
          <w:rFonts w:ascii="Book Antiqua" w:eastAsia="Book Antiqua" w:hAnsi="Book Antiqua" w:cs="Book Antiqua"/>
          <w:color w:val="000000" w:themeColor="text1"/>
        </w:rPr>
        <w:t xml:space="preserve">, Yu J, Li J, Shen L, Li N, Zhu H, Zhai S, Zhang Y, Yang Z, Lu M. Clinical and Prognostic Value of PET/CT Imaging with Combination of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in Gastroenteropancreatic Neuroendocrine Neoplasms. </w:t>
      </w:r>
      <w:r w:rsidRPr="00190A3E">
        <w:rPr>
          <w:rFonts w:ascii="Book Antiqua" w:eastAsia="Book Antiqua" w:hAnsi="Book Antiqua" w:cs="Book Antiqua"/>
          <w:i/>
          <w:iCs/>
          <w:color w:val="000000" w:themeColor="text1"/>
        </w:rPr>
        <w:t>Contrast Media Mol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2018</w:t>
      </w:r>
      <w:r w:rsidRPr="00190A3E">
        <w:rPr>
          <w:rFonts w:ascii="Book Antiqua" w:eastAsia="Book Antiqua" w:hAnsi="Book Antiqua" w:cs="Book Antiqua"/>
          <w:color w:val="000000" w:themeColor="text1"/>
        </w:rPr>
        <w:t>: 2340389 [PMID: 29681780 DOI: 10.1155/2018/2340389]</w:t>
      </w:r>
    </w:p>
    <w:p w14:paraId="5513427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37 </w:t>
      </w:r>
      <w:r w:rsidRPr="00190A3E">
        <w:rPr>
          <w:rFonts w:ascii="Book Antiqua" w:eastAsia="Book Antiqua" w:hAnsi="Book Antiqua" w:cs="Book Antiqua"/>
          <w:b/>
          <w:bCs/>
          <w:color w:val="000000" w:themeColor="text1"/>
        </w:rPr>
        <w:t>Werner RA</w:t>
      </w:r>
      <w:r w:rsidRPr="00190A3E">
        <w:rPr>
          <w:rFonts w:ascii="Book Antiqua" w:eastAsia="Book Antiqua" w:hAnsi="Book Antiqua" w:cs="Book Antiqua"/>
          <w:color w:val="000000" w:themeColor="text1"/>
        </w:rPr>
        <w:t xml:space="preserve">, Ilhan H, Lehner S, Papp L, Zsótér N, Schatka I, Muegge DO, Javadi MS, Higuchi T, Buck AK, Bartenstein P, Bengel F, Essler M, Lapa C, Bundschuh RA. Pre-therapy Somatostatin Receptor-Based Heterogeneity Predicts Overall Survival in Pancreatic Neuroendocrine Tumor Patients Undergoing Peptide Receptor Radionuclide Therapy. </w:t>
      </w:r>
      <w:r w:rsidRPr="00190A3E">
        <w:rPr>
          <w:rFonts w:ascii="Book Antiqua" w:eastAsia="Book Antiqua" w:hAnsi="Book Antiqua" w:cs="Book Antiqua"/>
          <w:i/>
          <w:iCs/>
          <w:color w:val="000000" w:themeColor="text1"/>
        </w:rPr>
        <w:t>Mol Imaging Biol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21</w:t>
      </w:r>
      <w:r w:rsidRPr="00190A3E">
        <w:rPr>
          <w:rFonts w:ascii="Book Antiqua" w:eastAsia="Book Antiqua" w:hAnsi="Book Antiqua" w:cs="Book Antiqua"/>
          <w:color w:val="000000" w:themeColor="text1"/>
        </w:rPr>
        <w:t>: 582-590 [PMID: 30014345 DOI: 10.1007/s11307-018-1252-5]</w:t>
      </w:r>
    </w:p>
    <w:p w14:paraId="5EE9655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38 </w:t>
      </w:r>
      <w:r w:rsidRPr="00190A3E">
        <w:rPr>
          <w:rFonts w:ascii="Book Antiqua" w:eastAsia="Book Antiqua" w:hAnsi="Book Antiqua" w:cs="Book Antiqua"/>
          <w:b/>
          <w:bCs/>
          <w:color w:val="000000" w:themeColor="text1"/>
        </w:rPr>
        <w:t>Geijer H</w:t>
      </w:r>
      <w:r w:rsidRPr="00190A3E">
        <w:rPr>
          <w:rFonts w:ascii="Book Antiqua" w:eastAsia="Book Antiqua" w:hAnsi="Book Antiqua" w:cs="Book Antiqua"/>
          <w:color w:val="000000" w:themeColor="text1"/>
        </w:rPr>
        <w:t xml:space="preserve">, Breimer LH. Somatostatin receptor PET/CT in neuroendocrine tumours: update on systematic review and meta-analysis.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1770-1780 [PMID: 23873003 DOI: 10.1007/s00259-013-2482-z]</w:t>
      </w:r>
    </w:p>
    <w:p w14:paraId="3AE15E1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39 </w:t>
      </w:r>
      <w:r w:rsidRPr="00190A3E">
        <w:rPr>
          <w:rFonts w:ascii="Book Antiqua" w:eastAsia="Book Antiqua" w:hAnsi="Book Antiqua" w:cs="Book Antiqua"/>
          <w:b/>
          <w:bCs/>
          <w:color w:val="000000" w:themeColor="text1"/>
        </w:rPr>
        <w:t>Treglia G</w:t>
      </w:r>
      <w:r w:rsidRPr="00190A3E">
        <w:rPr>
          <w:rFonts w:ascii="Book Antiqua" w:eastAsia="Book Antiqua" w:hAnsi="Book Antiqua" w:cs="Book Antiqua"/>
          <w:color w:val="000000" w:themeColor="text1"/>
        </w:rPr>
        <w:t xml:space="preserve">, Castaldi P, Rindi G, Giordano A, Rufini V. Diagnostic performance of Gallium-68 somatostatin receptor PET and PET/CT in patients with thoracic and gastroenteropancreatic neuroendocrine tumours: a meta-analysis. </w:t>
      </w:r>
      <w:r w:rsidRPr="00190A3E">
        <w:rPr>
          <w:rFonts w:ascii="Book Antiqua" w:eastAsia="Book Antiqua" w:hAnsi="Book Antiqua" w:cs="Book Antiqua"/>
          <w:i/>
          <w:iCs/>
          <w:color w:val="000000" w:themeColor="text1"/>
        </w:rPr>
        <w:t>Endocrine</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42</w:t>
      </w:r>
      <w:r w:rsidRPr="00190A3E">
        <w:rPr>
          <w:rFonts w:ascii="Book Antiqua" w:eastAsia="Book Antiqua" w:hAnsi="Book Antiqua" w:cs="Book Antiqua"/>
          <w:color w:val="000000" w:themeColor="text1"/>
        </w:rPr>
        <w:t>: 80-87 [PMID: 22350660 DOI: 10.1007/s12020-012-9631-1]</w:t>
      </w:r>
    </w:p>
    <w:p w14:paraId="72E4A8D8"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40 </w:t>
      </w:r>
      <w:r w:rsidRPr="00190A3E">
        <w:rPr>
          <w:rFonts w:ascii="Book Antiqua" w:eastAsia="Book Antiqua" w:hAnsi="Book Antiqua" w:cs="Book Antiqua"/>
          <w:b/>
          <w:bCs/>
          <w:color w:val="000000" w:themeColor="text1"/>
        </w:rPr>
        <w:t>Cingarlini S</w:t>
      </w:r>
      <w:r w:rsidRPr="00190A3E">
        <w:rPr>
          <w:rFonts w:ascii="Book Antiqua" w:eastAsia="Book Antiqua" w:hAnsi="Book Antiqua" w:cs="Book Antiqua"/>
          <w:color w:val="000000" w:themeColor="text1"/>
        </w:rPr>
        <w:t>, Ortolani S, Salgarello M, Butturini G, Malpaga A, Malfatti V, D</w:t>
      </w:r>
      <w:r w:rsidRPr="00190A3E">
        <w:rPr>
          <w:rFonts w:eastAsia="Book Antiqua"/>
          <w:color w:val="000000" w:themeColor="text1"/>
        </w:rPr>
        <w:t>ʼ</w:t>
      </w:r>
      <w:r w:rsidRPr="00190A3E">
        <w:rPr>
          <w:rFonts w:ascii="Book Antiqua" w:eastAsia="Book Antiqua" w:hAnsi="Book Antiqua" w:cs="Book Antiqua"/>
          <w:color w:val="000000" w:themeColor="text1"/>
        </w:rPr>
        <w:t xml:space="preserve">Onofrio M, Davì MV, Vallerio P, Ruzzenente A, Capelli P, Citton E, Grego E, Trentin C, De Robertis R, Scarpa A, Bassi C, Tortora G. Role of Combined 68Ga-DOTATOC and 18F-FDG Positron Emission Tomography/Computed Tomography in the Diagnostic Workup of Pancreas Neuroendocrine Tumors: Implications for Managing Surgical Decisions. </w:t>
      </w:r>
      <w:r w:rsidRPr="00190A3E">
        <w:rPr>
          <w:rFonts w:ascii="Book Antiqua" w:eastAsia="Book Antiqua" w:hAnsi="Book Antiqua" w:cs="Book Antiqua"/>
          <w:i/>
          <w:iCs/>
          <w:color w:val="000000" w:themeColor="text1"/>
        </w:rPr>
        <w:t>Pancreas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46</w:t>
      </w:r>
      <w:r w:rsidRPr="00190A3E">
        <w:rPr>
          <w:rFonts w:ascii="Book Antiqua" w:eastAsia="Book Antiqua" w:hAnsi="Book Antiqua" w:cs="Book Antiqua"/>
          <w:color w:val="000000" w:themeColor="text1"/>
        </w:rPr>
        <w:t>: 42-47 [PMID: 27906872 DOI: 10.1097/MPA.0000000000000745]</w:t>
      </w:r>
    </w:p>
    <w:p w14:paraId="492E61A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41 </w:t>
      </w:r>
      <w:r w:rsidRPr="00190A3E">
        <w:rPr>
          <w:rFonts w:ascii="Book Antiqua" w:eastAsia="Book Antiqua" w:hAnsi="Book Antiqua" w:cs="Book Antiqua"/>
          <w:b/>
          <w:bCs/>
          <w:color w:val="000000" w:themeColor="text1"/>
        </w:rPr>
        <w:t>Morgat C</w:t>
      </w:r>
      <w:r w:rsidRPr="00190A3E">
        <w:rPr>
          <w:rFonts w:ascii="Book Antiqua" w:eastAsia="Book Antiqua" w:hAnsi="Book Antiqua" w:cs="Book Antiqua"/>
          <w:color w:val="000000" w:themeColor="text1"/>
        </w:rPr>
        <w:t xml:space="preserve">, Vélayoudom-Céphise FL, Schwartz P, Guyot M, Gaye D, Vimont D, Schulz J, Mazère J, Nunes ML, Smith D, Hindié E, Fernandez P, Tabarin A. Evaluation of (68)Ga-DOTA-TOC PET/CT for the detection of duodenopancreatic neuroendocrine tumors in patients with MEN1.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43</w:t>
      </w:r>
      <w:r w:rsidRPr="00190A3E">
        <w:rPr>
          <w:rFonts w:ascii="Book Antiqua" w:eastAsia="Book Antiqua" w:hAnsi="Book Antiqua" w:cs="Book Antiqua"/>
          <w:color w:val="000000" w:themeColor="text1"/>
        </w:rPr>
        <w:t>: 1258-1266 [PMID: 26819103 DOI: 10.1007/s00259-016-3319-3]</w:t>
      </w:r>
    </w:p>
    <w:p w14:paraId="13650ED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42 </w:t>
      </w:r>
      <w:r w:rsidRPr="00190A3E">
        <w:rPr>
          <w:rFonts w:ascii="Book Antiqua" w:eastAsia="Book Antiqua" w:hAnsi="Book Antiqua" w:cs="Book Antiqua"/>
          <w:b/>
          <w:bCs/>
          <w:color w:val="000000" w:themeColor="text1"/>
        </w:rPr>
        <w:t>Deppen SA</w:t>
      </w:r>
      <w:r w:rsidRPr="00190A3E">
        <w:rPr>
          <w:rFonts w:ascii="Book Antiqua" w:eastAsia="Book Antiqua" w:hAnsi="Book Antiqua" w:cs="Book Antiqua"/>
          <w:color w:val="000000" w:themeColor="text1"/>
        </w:rPr>
        <w:t xml:space="preserve">, Liu E, Blume JD, Clanton J, Shi C, Jones-Jackson LB, Lakhani V, Baum RP, Berlin J, Smith GT, Graham M, Sandler MP, Delbeke D, Walker RC. Safety and Efficacy of 68Ga-DOTATATE PET/CT for Diagnosis, Staging, and Treatment Management of Neuroendocrine Tumors. </w:t>
      </w:r>
      <w:r w:rsidRPr="00190A3E">
        <w:rPr>
          <w:rFonts w:ascii="Book Antiqua" w:eastAsia="Book Antiqua" w:hAnsi="Book Antiqua" w:cs="Book Antiqua"/>
          <w:i/>
          <w:iCs/>
          <w:color w:val="000000" w:themeColor="text1"/>
        </w:rPr>
        <w:t>J Nucl Med</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57</w:t>
      </w:r>
      <w:r w:rsidRPr="00190A3E">
        <w:rPr>
          <w:rFonts w:ascii="Book Antiqua" w:eastAsia="Book Antiqua" w:hAnsi="Book Antiqua" w:cs="Book Antiqua"/>
          <w:color w:val="000000" w:themeColor="text1"/>
        </w:rPr>
        <w:t>: 708-714 [PMID: 26769865 DOI: 10.2967/jnumed.115.163865]</w:t>
      </w:r>
    </w:p>
    <w:p w14:paraId="26F66F4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43 </w:t>
      </w:r>
      <w:r w:rsidRPr="00190A3E">
        <w:rPr>
          <w:rFonts w:ascii="Book Antiqua" w:eastAsia="Book Antiqua" w:hAnsi="Book Antiqua" w:cs="Book Antiqua"/>
          <w:b/>
          <w:bCs/>
          <w:color w:val="000000" w:themeColor="text1"/>
        </w:rPr>
        <w:t>Sharma P</w:t>
      </w:r>
      <w:r w:rsidRPr="00190A3E">
        <w:rPr>
          <w:rFonts w:ascii="Book Antiqua" w:eastAsia="Book Antiqua" w:hAnsi="Book Antiqua" w:cs="Book Antiqua"/>
          <w:color w:val="000000" w:themeColor="text1"/>
        </w:rPr>
        <w:t xml:space="preserve">, Arora S, Karunanithi S, Khadgawat R, Durgapal P, Sharma R, Kandasamy D, Bal C, Kumar R. Somatostatin receptor based PET/CT imaging with 68Ga-DOTA-Nal3-octreotide for localization of clinically and biochemically suspected insulinoma. </w:t>
      </w:r>
      <w:r w:rsidRPr="00190A3E">
        <w:rPr>
          <w:rFonts w:ascii="Book Antiqua" w:eastAsia="Book Antiqua" w:hAnsi="Book Antiqua" w:cs="Book Antiqua"/>
          <w:i/>
          <w:iCs/>
          <w:color w:val="000000" w:themeColor="text1"/>
        </w:rPr>
        <w:t>Q J Nucl Med Mol Imaging</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60</w:t>
      </w:r>
      <w:r w:rsidRPr="00190A3E">
        <w:rPr>
          <w:rFonts w:ascii="Book Antiqua" w:eastAsia="Book Antiqua" w:hAnsi="Book Antiqua" w:cs="Book Antiqua"/>
          <w:color w:val="000000" w:themeColor="text1"/>
        </w:rPr>
        <w:t>: 69-76 [PMID: 24740163]</w:t>
      </w:r>
    </w:p>
    <w:p w14:paraId="57169F6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44 </w:t>
      </w:r>
      <w:r w:rsidRPr="00190A3E">
        <w:rPr>
          <w:rFonts w:ascii="Book Antiqua" w:eastAsia="Book Antiqua" w:hAnsi="Book Antiqua" w:cs="Book Antiqua"/>
          <w:b/>
          <w:bCs/>
          <w:color w:val="000000" w:themeColor="text1"/>
        </w:rPr>
        <w:t>Bozkurt MF</w:t>
      </w:r>
      <w:r w:rsidRPr="00190A3E">
        <w:rPr>
          <w:rFonts w:ascii="Book Antiqua" w:eastAsia="Book Antiqua" w:hAnsi="Book Antiqua" w:cs="Book Antiqua"/>
          <w:color w:val="000000" w:themeColor="text1"/>
        </w:rPr>
        <w:t xml:space="preserve">, Virgolini I, Balogova S, Beheshti M, Rubello D, Decristoforo C, Ambrosini V, Kjaer A, Delgado-Bolton R, Kunikowska J, Oyen WJG, Chiti A, Giammarile F, Sundin A, Fanti S. Guideline for PET/CT imaging of neuroendocrine neoplasms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Ga-DOTA-conjugated somatostatin receptor targeting peptides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F-DOPA.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44</w:t>
      </w:r>
      <w:r w:rsidRPr="00190A3E">
        <w:rPr>
          <w:rFonts w:ascii="Book Antiqua" w:eastAsia="Book Antiqua" w:hAnsi="Book Antiqua" w:cs="Book Antiqua"/>
          <w:color w:val="000000" w:themeColor="text1"/>
        </w:rPr>
        <w:t>: 1588-1601 [PMID: 28547177 DOI: 10.1007/s00259-017-3728-y]</w:t>
      </w:r>
    </w:p>
    <w:p w14:paraId="19ECF766"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45 </w:t>
      </w:r>
      <w:r w:rsidRPr="00190A3E">
        <w:rPr>
          <w:rFonts w:ascii="Book Antiqua" w:eastAsia="Book Antiqua" w:hAnsi="Book Antiqua" w:cs="Book Antiqua"/>
          <w:b/>
          <w:bCs/>
          <w:color w:val="000000" w:themeColor="text1"/>
        </w:rPr>
        <w:t>Imperiale A</w:t>
      </w:r>
      <w:r w:rsidRPr="00190A3E">
        <w:rPr>
          <w:rFonts w:ascii="Book Antiqua" w:eastAsia="Book Antiqua" w:hAnsi="Book Antiqua" w:cs="Book Antiqua"/>
          <w:color w:val="000000" w:themeColor="text1"/>
        </w:rPr>
        <w:t xml:space="preserve">, Sebag F, Vix M, Castinetti F, Kessler L, Moreau F, Bachellier P, Guillet B, Namer IJ, Mundler O, Taïeb D. 18F-FDOPA PET/CT imaging of insulinoma revisited.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2015; </w:t>
      </w:r>
      <w:r w:rsidRPr="00190A3E">
        <w:rPr>
          <w:rFonts w:ascii="Book Antiqua" w:eastAsia="Book Antiqua" w:hAnsi="Book Antiqua" w:cs="Book Antiqua"/>
          <w:b/>
          <w:bCs/>
          <w:color w:val="000000" w:themeColor="text1"/>
        </w:rPr>
        <w:t>42</w:t>
      </w:r>
      <w:r w:rsidRPr="00190A3E">
        <w:rPr>
          <w:rFonts w:ascii="Book Antiqua" w:eastAsia="Book Antiqua" w:hAnsi="Book Antiqua" w:cs="Book Antiqua"/>
          <w:color w:val="000000" w:themeColor="text1"/>
        </w:rPr>
        <w:t>: 409-418 [PMID: 25367749 DOI: 10.1007/s00259-014-2943-z]</w:t>
      </w:r>
    </w:p>
    <w:p w14:paraId="32DBCF8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46 </w:t>
      </w:r>
      <w:r w:rsidRPr="00190A3E">
        <w:rPr>
          <w:rFonts w:ascii="Book Antiqua" w:eastAsia="Book Antiqua" w:hAnsi="Book Antiqua" w:cs="Book Antiqua"/>
          <w:b/>
          <w:bCs/>
          <w:color w:val="000000" w:themeColor="text1"/>
        </w:rPr>
        <w:t>Nakuz TS</w:t>
      </w:r>
      <w:r w:rsidRPr="00190A3E">
        <w:rPr>
          <w:rFonts w:ascii="Book Antiqua" w:eastAsia="Book Antiqua" w:hAnsi="Book Antiqua" w:cs="Book Antiqua"/>
          <w:color w:val="000000" w:themeColor="text1"/>
        </w:rPr>
        <w:t xml:space="preserve">, Berger E, El-Rabadi K, Wadsak W, Haug A, Hacker M, Karanikas G. Clinical Value of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F-FDOPA PET/CT With Contrast Enhancement and Without Carbidopa Premedication in Patients with Insulinoma. </w:t>
      </w:r>
      <w:r w:rsidRPr="00190A3E">
        <w:rPr>
          <w:rFonts w:ascii="Book Antiqua" w:eastAsia="Book Antiqua" w:hAnsi="Book Antiqua" w:cs="Book Antiqua"/>
          <w:i/>
          <w:iCs/>
          <w:color w:val="000000" w:themeColor="text1"/>
        </w:rPr>
        <w:t>Anticancer Res</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353-358 [PMID: 29277794 DOI: 10.21873/anticanres.12229]</w:t>
      </w:r>
    </w:p>
    <w:p w14:paraId="35B484B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47 </w:t>
      </w:r>
      <w:r w:rsidRPr="00190A3E">
        <w:rPr>
          <w:rFonts w:ascii="Book Antiqua" w:eastAsia="Book Antiqua" w:hAnsi="Book Antiqua" w:cs="Book Antiqua"/>
          <w:b/>
          <w:bCs/>
          <w:color w:val="000000" w:themeColor="text1"/>
        </w:rPr>
        <w:t>Christ E</w:t>
      </w:r>
      <w:r w:rsidRPr="00190A3E">
        <w:rPr>
          <w:rFonts w:ascii="Book Antiqua" w:eastAsia="Book Antiqua" w:hAnsi="Book Antiqua" w:cs="Book Antiqua"/>
          <w:color w:val="000000" w:themeColor="text1"/>
        </w:rPr>
        <w:t xml:space="preserve">, Wild D, Ederer S, Béhé M, Nicolas G, Caplin ME, Brändle M, Clerici T, Fischli S, Stettler C, Ell PJ, Seufert J, Gloor B, Perren A, Reubi JC, Forrer F. Glucagon-like peptide-1 receptor imaging for the localisation of insulinomas: a prospective multicentre imaging study. </w:t>
      </w:r>
      <w:r w:rsidRPr="00190A3E">
        <w:rPr>
          <w:rFonts w:ascii="Book Antiqua" w:eastAsia="Book Antiqua" w:hAnsi="Book Antiqua" w:cs="Book Antiqua"/>
          <w:i/>
          <w:iCs/>
          <w:color w:val="000000" w:themeColor="text1"/>
        </w:rPr>
        <w:t>Lancet Diabetes Endocrinol</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1</w:t>
      </w:r>
      <w:r w:rsidRPr="00190A3E">
        <w:rPr>
          <w:rFonts w:ascii="Book Antiqua" w:eastAsia="Book Antiqua" w:hAnsi="Book Antiqua" w:cs="Book Antiqua"/>
          <w:color w:val="000000" w:themeColor="text1"/>
        </w:rPr>
        <w:t>: 115-122 [PMID: 24622317 DOI: 10.1016/S2213-8587(13)70049-4]</w:t>
      </w:r>
    </w:p>
    <w:p w14:paraId="69536BA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48 </w:t>
      </w:r>
      <w:r w:rsidRPr="00190A3E">
        <w:rPr>
          <w:rFonts w:ascii="Book Antiqua" w:eastAsia="Book Antiqua" w:hAnsi="Book Antiqua" w:cs="Book Antiqua"/>
          <w:b/>
          <w:bCs/>
          <w:color w:val="000000" w:themeColor="text1"/>
        </w:rPr>
        <w:t>Sowa-Staszczak A</w:t>
      </w:r>
      <w:r w:rsidRPr="00190A3E">
        <w:rPr>
          <w:rFonts w:ascii="Book Antiqua" w:eastAsia="Book Antiqua" w:hAnsi="Book Antiqua" w:cs="Book Antiqua"/>
          <w:color w:val="000000" w:themeColor="text1"/>
        </w:rPr>
        <w:t xml:space="preserve">, Pach D, Mikołajczak R, Mäcke H, Jabrocka-Hybel A, Stefańska A, Tomaszuk M, Janota B, Gilis-Januszewska A, Małecki M, Kamiński G, Kowalska A, Kulig J, Matyja A, Osuch C, Hubalewska-Dydejczyk A. Glucagon-like peptide-1 receptor imaging with [Lys40(Ahx-HYNIC- 99mTc/EDDA)NH2]-exendin-4 for the detection of insulinoma.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2013; </w:t>
      </w:r>
      <w:r w:rsidRPr="00190A3E">
        <w:rPr>
          <w:rFonts w:ascii="Book Antiqua" w:eastAsia="Book Antiqua" w:hAnsi="Book Antiqua" w:cs="Book Antiqua"/>
          <w:b/>
          <w:bCs/>
          <w:color w:val="000000" w:themeColor="text1"/>
        </w:rPr>
        <w:t>40</w:t>
      </w:r>
      <w:r w:rsidRPr="00190A3E">
        <w:rPr>
          <w:rFonts w:ascii="Book Antiqua" w:eastAsia="Book Antiqua" w:hAnsi="Book Antiqua" w:cs="Book Antiqua"/>
          <w:color w:val="000000" w:themeColor="text1"/>
        </w:rPr>
        <w:t>: 524-531 [PMID: 23224740 DOI: 10.1007/s00259-012-2299-1]</w:t>
      </w:r>
    </w:p>
    <w:p w14:paraId="4056522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49 </w:t>
      </w:r>
      <w:r w:rsidRPr="00190A3E">
        <w:rPr>
          <w:rFonts w:ascii="Book Antiqua" w:eastAsia="Book Antiqua" w:hAnsi="Book Antiqua" w:cs="Book Antiqua"/>
          <w:b/>
          <w:bCs/>
          <w:color w:val="000000" w:themeColor="text1"/>
        </w:rPr>
        <w:t>Wild D</w:t>
      </w:r>
      <w:r w:rsidRPr="00190A3E">
        <w:rPr>
          <w:rFonts w:ascii="Book Antiqua" w:eastAsia="Book Antiqua" w:hAnsi="Book Antiqua" w:cs="Book Antiqua"/>
          <w:color w:val="000000" w:themeColor="text1"/>
        </w:rPr>
        <w:t xml:space="preserve">, Christ E, Caplin ME, Kurzawinski TR, Forrer F, Brändle M, Seufert J, Weber WA, Bomanji J, Perren A, Ell PJ, Reubi JC. Glucagon-like peptide-1 </w:t>
      </w:r>
      <w:r w:rsidRPr="00190A3E">
        <w:rPr>
          <w:rFonts w:ascii="Book Antiqua" w:eastAsia="Book Antiqua" w:hAnsi="Book Antiqua" w:cs="Book Antiqua"/>
          <w:i/>
          <w:iCs/>
          <w:color w:val="000000" w:themeColor="text1"/>
        </w:rPr>
        <w:t>vs</w:t>
      </w:r>
      <w:r w:rsidRPr="00190A3E">
        <w:rPr>
          <w:rFonts w:ascii="Book Antiqua" w:eastAsia="Book Antiqua" w:hAnsi="Book Antiqua" w:cs="Book Antiqua"/>
          <w:color w:val="000000" w:themeColor="text1"/>
        </w:rPr>
        <w:t xml:space="preserve"> somatostatin receptor targeting reveals 2 distinct forms of malignant insulinomas. </w:t>
      </w:r>
      <w:r w:rsidRPr="00190A3E">
        <w:rPr>
          <w:rFonts w:ascii="Book Antiqua" w:eastAsia="Book Antiqua" w:hAnsi="Book Antiqua" w:cs="Book Antiqua"/>
          <w:i/>
          <w:iCs/>
          <w:color w:val="000000" w:themeColor="text1"/>
        </w:rPr>
        <w:t>J Nucl Med</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52</w:t>
      </w:r>
      <w:r w:rsidRPr="00190A3E">
        <w:rPr>
          <w:rFonts w:ascii="Book Antiqua" w:eastAsia="Book Antiqua" w:hAnsi="Book Antiqua" w:cs="Book Antiqua"/>
          <w:color w:val="000000" w:themeColor="text1"/>
        </w:rPr>
        <w:t>: 1073-1078 [PMID: 21680696 DOI: 10.2967/jnumed.110.085142]</w:t>
      </w:r>
    </w:p>
    <w:p w14:paraId="4A9A12C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50 </w:t>
      </w:r>
      <w:r w:rsidRPr="00190A3E">
        <w:rPr>
          <w:rFonts w:ascii="Book Antiqua" w:eastAsia="Book Antiqua" w:hAnsi="Book Antiqua" w:cs="Book Antiqua"/>
          <w:b/>
          <w:bCs/>
          <w:color w:val="000000" w:themeColor="text1"/>
        </w:rPr>
        <w:t>Guo C</w:t>
      </w:r>
      <w:r w:rsidRPr="00190A3E">
        <w:rPr>
          <w:rFonts w:ascii="Book Antiqua" w:eastAsia="Book Antiqua" w:hAnsi="Book Antiqua" w:cs="Book Antiqua"/>
          <w:color w:val="000000" w:themeColor="text1"/>
        </w:rPr>
        <w:t xml:space="preserve">, Zhuge X, Wang Q, Xiao W, Wang Z, Wang Z, Feng Z, Chen X. The differentiation of pancreatic neuroendocrine carcinoma from pancreatic ductal adenocarcinoma: the values of CT imaging features and texture analysis. </w:t>
      </w:r>
      <w:r w:rsidRPr="00190A3E">
        <w:rPr>
          <w:rFonts w:ascii="Book Antiqua" w:eastAsia="Book Antiqua" w:hAnsi="Book Antiqua" w:cs="Book Antiqua"/>
          <w:i/>
          <w:iCs/>
          <w:color w:val="000000" w:themeColor="text1"/>
        </w:rPr>
        <w:t>Cancer Imaging</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18</w:t>
      </w:r>
      <w:r w:rsidRPr="00190A3E">
        <w:rPr>
          <w:rFonts w:ascii="Book Antiqua" w:eastAsia="Book Antiqua" w:hAnsi="Book Antiqua" w:cs="Book Antiqua"/>
          <w:color w:val="000000" w:themeColor="text1"/>
        </w:rPr>
        <w:t>: 37 [PMID: 30333055 DOI: 10.1186/s40644-018-0170-8]</w:t>
      </w:r>
    </w:p>
    <w:p w14:paraId="13D05FF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51 </w:t>
      </w:r>
      <w:r w:rsidRPr="00190A3E">
        <w:rPr>
          <w:rFonts w:ascii="Book Antiqua" w:eastAsia="Book Antiqua" w:hAnsi="Book Antiqua" w:cs="Book Antiqua"/>
          <w:b/>
          <w:bCs/>
          <w:color w:val="000000" w:themeColor="text1"/>
        </w:rPr>
        <w:t>Guo C</w:t>
      </w:r>
      <w:r w:rsidRPr="00190A3E">
        <w:rPr>
          <w:rFonts w:ascii="Book Antiqua" w:eastAsia="Book Antiqua" w:hAnsi="Book Antiqua" w:cs="Book Antiqua"/>
          <w:color w:val="000000" w:themeColor="text1"/>
        </w:rPr>
        <w:t xml:space="preserve">, Chen X, Wang Z, Xiao W, Wang Q, Sun K, Zhuge X. Differentiation of pancreatic neuroendocrine carcinoma from pancreatic ductal adenocarcinoma using magnetic resonance imaging: The value of contrast-enhanced and diffusion weighted imaging. </w:t>
      </w:r>
      <w:r w:rsidRPr="00190A3E">
        <w:rPr>
          <w:rFonts w:ascii="Book Antiqua" w:eastAsia="Book Antiqua" w:hAnsi="Book Antiqua" w:cs="Book Antiqua"/>
          <w:i/>
          <w:iCs/>
          <w:color w:val="000000" w:themeColor="text1"/>
        </w:rPr>
        <w:t>Oncotarget</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8</w:t>
      </w:r>
      <w:r w:rsidRPr="00190A3E">
        <w:rPr>
          <w:rFonts w:ascii="Book Antiqua" w:eastAsia="Book Antiqua" w:hAnsi="Book Antiqua" w:cs="Book Antiqua"/>
          <w:color w:val="000000" w:themeColor="text1"/>
        </w:rPr>
        <w:t>: 42962-42973 [PMID: 28487490 DOI: 10.18632/oncotarget.17309]</w:t>
      </w:r>
    </w:p>
    <w:p w14:paraId="3BFEA5F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52 </w:t>
      </w:r>
      <w:r w:rsidRPr="00190A3E">
        <w:rPr>
          <w:rFonts w:ascii="Book Antiqua" w:eastAsia="Book Antiqua" w:hAnsi="Book Antiqua" w:cs="Book Antiqua"/>
          <w:b/>
          <w:bCs/>
          <w:color w:val="000000" w:themeColor="text1"/>
        </w:rPr>
        <w:t>Jeon SK</w:t>
      </w:r>
      <w:r w:rsidRPr="00190A3E">
        <w:rPr>
          <w:rFonts w:ascii="Book Antiqua" w:eastAsia="Book Antiqua" w:hAnsi="Book Antiqua" w:cs="Book Antiqua"/>
          <w:color w:val="000000" w:themeColor="text1"/>
        </w:rPr>
        <w:t xml:space="preserve">, Lee JM, Joo I, Lee ES, Park HJ, Jang JY, Ryu JK, Lee KB, Han JK. Nonhypervascular Pancreatic Neuroendocrine Tumors: Differential Diagnosis from Pancreatic Ductal Adenocarcinomas at MR Imaging-Retrospective Cross-sectional Study. </w:t>
      </w:r>
      <w:r w:rsidRPr="00190A3E">
        <w:rPr>
          <w:rFonts w:ascii="Book Antiqua" w:eastAsia="Book Antiqua" w:hAnsi="Book Antiqua" w:cs="Book Antiqua"/>
          <w:i/>
          <w:iCs/>
          <w:color w:val="000000" w:themeColor="text1"/>
        </w:rPr>
        <w:t>Radiology</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284</w:t>
      </w:r>
      <w:r w:rsidRPr="00190A3E">
        <w:rPr>
          <w:rFonts w:ascii="Book Antiqua" w:eastAsia="Book Antiqua" w:hAnsi="Book Antiqua" w:cs="Book Antiqua"/>
          <w:color w:val="000000" w:themeColor="text1"/>
        </w:rPr>
        <w:t>: 77-87 [PMID: 28092495 DOI: 10.1148/radiol.2016160586]</w:t>
      </w:r>
    </w:p>
    <w:p w14:paraId="33315AF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53 </w:t>
      </w:r>
      <w:r w:rsidRPr="00190A3E">
        <w:rPr>
          <w:rFonts w:ascii="Book Antiqua" w:eastAsia="Book Antiqua" w:hAnsi="Book Antiqua" w:cs="Book Antiqua"/>
          <w:b/>
          <w:bCs/>
          <w:color w:val="000000" w:themeColor="text1"/>
        </w:rPr>
        <w:t>Pavel M</w:t>
      </w:r>
      <w:r w:rsidRPr="00190A3E">
        <w:rPr>
          <w:rFonts w:ascii="Book Antiqua" w:eastAsia="Book Antiqua" w:hAnsi="Book Antiqua" w:cs="Book Antiqua"/>
          <w:color w:val="000000" w:themeColor="text1"/>
        </w:rPr>
        <w:t xml:space="preserve">, Öberg K, Falconi M, Krenning EP, Sundin A, Perren A, Berruti A; ESMO Guidelines Committee. Electronic address: clinicalguidelines@esmo.org. Gastroenteropancreatic neuroendocrine neoplasms: ESMO Clinical Practice Guidelines for diagnosis, treatment and follow-up. </w:t>
      </w:r>
      <w:r w:rsidRPr="00190A3E">
        <w:rPr>
          <w:rFonts w:ascii="Book Antiqua" w:eastAsia="Book Antiqua" w:hAnsi="Book Antiqua" w:cs="Book Antiqua"/>
          <w:i/>
          <w:iCs/>
          <w:color w:val="000000" w:themeColor="text1"/>
        </w:rPr>
        <w:t>Ann Oncol</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31</w:t>
      </w:r>
      <w:r w:rsidRPr="00190A3E">
        <w:rPr>
          <w:rFonts w:ascii="Book Antiqua" w:eastAsia="Book Antiqua" w:hAnsi="Book Antiqua" w:cs="Book Antiqua"/>
          <w:color w:val="000000" w:themeColor="text1"/>
        </w:rPr>
        <w:t>: 844-860 [PMID: 32272208 DOI: 10.1016/j.annonc.2020.03.304]</w:t>
      </w:r>
    </w:p>
    <w:p w14:paraId="077B304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54 </w:t>
      </w:r>
      <w:r w:rsidRPr="00190A3E">
        <w:rPr>
          <w:rFonts w:ascii="Book Antiqua" w:eastAsia="Book Antiqua" w:hAnsi="Book Antiqua" w:cs="Book Antiqua"/>
          <w:b/>
          <w:bCs/>
          <w:color w:val="000000" w:themeColor="text1"/>
        </w:rPr>
        <w:t>Bartolini I</w:t>
      </w:r>
      <w:r w:rsidRPr="00190A3E">
        <w:rPr>
          <w:rFonts w:ascii="Book Antiqua" w:eastAsia="Book Antiqua" w:hAnsi="Book Antiqua" w:cs="Book Antiqua"/>
          <w:color w:val="000000" w:themeColor="text1"/>
        </w:rPr>
        <w:t xml:space="preserve">, Bencini L, Risaliti M, Ringressi MN, Moraldi L, Taddei A. Current Management of Pancreatic Neuroendocrine Tumors: From Demolitive Surgery to Observation. </w:t>
      </w:r>
      <w:r w:rsidRPr="00190A3E">
        <w:rPr>
          <w:rFonts w:ascii="Book Antiqua" w:eastAsia="Book Antiqua" w:hAnsi="Book Antiqua" w:cs="Book Antiqua"/>
          <w:i/>
          <w:iCs/>
          <w:color w:val="000000" w:themeColor="text1"/>
        </w:rPr>
        <w:t>Gastroenterol Res Pract</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2018</w:t>
      </w:r>
      <w:r w:rsidRPr="00190A3E">
        <w:rPr>
          <w:rFonts w:ascii="Book Antiqua" w:eastAsia="Book Antiqua" w:hAnsi="Book Antiqua" w:cs="Book Antiqua"/>
          <w:color w:val="000000" w:themeColor="text1"/>
        </w:rPr>
        <w:t>: 9647247 [PMID: 30140282 DOI: 10.1155/2018/9647247]</w:t>
      </w:r>
    </w:p>
    <w:p w14:paraId="1BF74A3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55 </w:t>
      </w:r>
      <w:r w:rsidRPr="00190A3E">
        <w:rPr>
          <w:rFonts w:ascii="Book Antiqua" w:eastAsia="Book Antiqua" w:hAnsi="Book Antiqua" w:cs="Book Antiqua"/>
          <w:b/>
          <w:bCs/>
          <w:color w:val="000000" w:themeColor="text1"/>
        </w:rPr>
        <w:t>Akirov A</w:t>
      </w:r>
      <w:r w:rsidRPr="00190A3E">
        <w:rPr>
          <w:rFonts w:ascii="Book Antiqua" w:eastAsia="Book Antiqua" w:hAnsi="Book Antiqua" w:cs="Book Antiqua"/>
          <w:color w:val="000000" w:themeColor="text1"/>
        </w:rPr>
        <w:t xml:space="preserve">, Larouche V, Alshehri S, Asa SL, Ezzat S. Treatment Options for Pancreatic Neuroendocrine Tumors. </w:t>
      </w:r>
      <w:r w:rsidRPr="00190A3E">
        <w:rPr>
          <w:rFonts w:ascii="Book Antiqua" w:eastAsia="Book Antiqua" w:hAnsi="Book Antiqua" w:cs="Book Antiqua"/>
          <w:i/>
          <w:iCs/>
          <w:color w:val="000000" w:themeColor="text1"/>
        </w:rPr>
        <w:t>Cancers (Basel)</w:t>
      </w:r>
      <w:r w:rsidRPr="00190A3E">
        <w:rPr>
          <w:rFonts w:ascii="Book Antiqua" w:eastAsia="Book Antiqua" w:hAnsi="Book Antiqua" w:cs="Book Antiqua"/>
          <w:color w:val="000000" w:themeColor="text1"/>
        </w:rPr>
        <w:t xml:space="preserve"> 2019; </w:t>
      </w:r>
      <w:r w:rsidRPr="00190A3E">
        <w:rPr>
          <w:rFonts w:ascii="Book Antiqua" w:eastAsia="Book Antiqua" w:hAnsi="Book Antiqua" w:cs="Book Antiqua"/>
          <w:b/>
          <w:bCs/>
          <w:color w:val="000000" w:themeColor="text1"/>
        </w:rPr>
        <w:t>11</w:t>
      </w:r>
      <w:r w:rsidRPr="00190A3E">
        <w:rPr>
          <w:rFonts w:ascii="Book Antiqua" w:eastAsia="Book Antiqua" w:hAnsi="Book Antiqua" w:cs="Book Antiqua"/>
          <w:color w:val="000000" w:themeColor="text1"/>
        </w:rPr>
        <w:t xml:space="preserve"> [PMID: 31207914 DOI: 10.3390/cancers11060828]</w:t>
      </w:r>
    </w:p>
    <w:p w14:paraId="78E6EB9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56 </w:t>
      </w:r>
      <w:r w:rsidRPr="00190A3E">
        <w:rPr>
          <w:rFonts w:ascii="Book Antiqua" w:eastAsia="Book Antiqua" w:hAnsi="Book Antiqua" w:cs="Book Antiqua"/>
          <w:b/>
          <w:bCs/>
          <w:color w:val="000000" w:themeColor="text1"/>
        </w:rPr>
        <w:t>Ore AS</w:t>
      </w:r>
      <w:r w:rsidRPr="00190A3E">
        <w:rPr>
          <w:rFonts w:ascii="Book Antiqua" w:eastAsia="Book Antiqua" w:hAnsi="Book Antiqua" w:cs="Book Antiqua"/>
          <w:color w:val="000000" w:themeColor="text1"/>
        </w:rPr>
        <w:t xml:space="preserve">, Barrows CE, Solis-Velasco M, Shaker J, Moser AJ. Robotic enucleation of benign pancreatic tumors. </w:t>
      </w:r>
      <w:r w:rsidRPr="00190A3E">
        <w:rPr>
          <w:rFonts w:ascii="Book Antiqua" w:eastAsia="Book Antiqua" w:hAnsi="Book Antiqua" w:cs="Book Antiqua"/>
          <w:i/>
          <w:iCs/>
          <w:color w:val="000000" w:themeColor="text1"/>
        </w:rPr>
        <w:t>J Vis Surg</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3</w:t>
      </w:r>
      <w:r w:rsidRPr="00190A3E">
        <w:rPr>
          <w:rFonts w:ascii="Book Antiqua" w:eastAsia="Book Antiqua" w:hAnsi="Book Antiqua" w:cs="Book Antiqua"/>
          <w:color w:val="000000" w:themeColor="text1"/>
        </w:rPr>
        <w:t>: 151 [PMID: 29302427 DOI: 10.21037/jovs.2017.08.15]</w:t>
      </w:r>
    </w:p>
    <w:p w14:paraId="4DE89788"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57 </w:t>
      </w:r>
      <w:r w:rsidRPr="00190A3E">
        <w:rPr>
          <w:rFonts w:ascii="Book Antiqua" w:eastAsia="Book Antiqua" w:hAnsi="Book Antiqua" w:cs="Book Antiqua"/>
          <w:b/>
          <w:bCs/>
          <w:color w:val="000000" w:themeColor="text1"/>
        </w:rPr>
        <w:t>Christ E</w:t>
      </w:r>
      <w:r w:rsidRPr="00190A3E">
        <w:rPr>
          <w:rFonts w:ascii="Book Antiqua" w:eastAsia="Book Antiqua" w:hAnsi="Book Antiqua" w:cs="Book Antiqua"/>
          <w:color w:val="000000" w:themeColor="text1"/>
        </w:rPr>
        <w:t xml:space="preserve">, Antwi K, Fani M, Wild D. Innovative imaging of insulinoma: the end of sampling? A review. </w:t>
      </w:r>
      <w:r w:rsidRPr="00190A3E">
        <w:rPr>
          <w:rFonts w:ascii="Book Antiqua" w:eastAsia="Book Antiqua" w:hAnsi="Book Antiqua" w:cs="Book Antiqua"/>
          <w:i/>
          <w:iCs/>
          <w:color w:val="000000" w:themeColor="text1"/>
        </w:rPr>
        <w:t>Endocr Relat Cancer</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27</w:t>
      </w:r>
      <w:r w:rsidRPr="00190A3E">
        <w:rPr>
          <w:rFonts w:ascii="Book Antiqua" w:eastAsia="Book Antiqua" w:hAnsi="Book Antiqua" w:cs="Book Antiqua"/>
          <w:color w:val="000000" w:themeColor="text1"/>
        </w:rPr>
        <w:t>: R79-R92 [PMID: 31951592 DOI: 10.1530/ERC-19-0476]</w:t>
      </w:r>
    </w:p>
    <w:p w14:paraId="6F0A258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58 </w:t>
      </w:r>
      <w:r w:rsidRPr="00190A3E">
        <w:rPr>
          <w:rFonts w:ascii="Book Antiqua" w:eastAsia="Book Antiqua" w:hAnsi="Book Antiqua" w:cs="Book Antiqua"/>
          <w:b/>
          <w:bCs/>
          <w:color w:val="000000" w:themeColor="text1"/>
        </w:rPr>
        <w:t>Caplin ME</w:t>
      </w:r>
      <w:r w:rsidRPr="00190A3E">
        <w:rPr>
          <w:rFonts w:ascii="Book Antiqua" w:eastAsia="Book Antiqua" w:hAnsi="Book Antiqua" w:cs="Book Antiqua"/>
          <w:color w:val="000000" w:themeColor="text1"/>
        </w:rPr>
        <w:t xml:space="preserve">, Pavel M, Ćwikła JB, Phan AT, Raderer M, Sedláčková E, Cadiot G, Wolin EM, Capdevila J, Wall L, Rindi G, Langley A, Martinez S, Blumberg J, Ruszniewski P; CLARINET Investigators. Lanreotide in metastatic enteropancreatic neuroendocrine tumors. </w:t>
      </w:r>
      <w:r w:rsidRPr="00190A3E">
        <w:rPr>
          <w:rFonts w:ascii="Book Antiqua" w:eastAsia="Book Antiqua" w:hAnsi="Book Antiqua" w:cs="Book Antiqua"/>
          <w:i/>
          <w:iCs/>
          <w:color w:val="000000" w:themeColor="text1"/>
        </w:rPr>
        <w:t>N Engl J Med</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371</w:t>
      </w:r>
      <w:r w:rsidRPr="00190A3E">
        <w:rPr>
          <w:rFonts w:ascii="Book Antiqua" w:eastAsia="Book Antiqua" w:hAnsi="Book Antiqua" w:cs="Book Antiqua"/>
          <w:color w:val="000000" w:themeColor="text1"/>
        </w:rPr>
        <w:t>: 224-233 [PMID: 25014687 DOI: 10.1056/NEJMoa1316158]</w:t>
      </w:r>
    </w:p>
    <w:p w14:paraId="734EA62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59 </w:t>
      </w:r>
      <w:r w:rsidRPr="00190A3E">
        <w:rPr>
          <w:rFonts w:ascii="Book Antiqua" w:eastAsia="Book Antiqua" w:hAnsi="Book Antiqua" w:cs="Book Antiqua"/>
          <w:b/>
          <w:bCs/>
          <w:color w:val="000000" w:themeColor="text1"/>
        </w:rPr>
        <w:t>Rinke A</w:t>
      </w:r>
      <w:r w:rsidRPr="00190A3E">
        <w:rPr>
          <w:rFonts w:ascii="Book Antiqua" w:eastAsia="Book Antiqua" w:hAnsi="Book Antiqua" w:cs="Book Antiqua"/>
          <w:color w:val="000000" w:themeColor="text1"/>
        </w:rPr>
        <w:t xml:space="preserve">, Müller HH, Schade-Brittinger C, Klose KJ, Barth P, Wied M, Mayer C, Aminossadati B, Pape UF, Bläker M, Harder J, Arnold C, Gress T, Arnold R; PROMID Study Group. Placebo-controlled, double-blind, prospective, randomized study on the effect of octreotide LAR in the control of tumor growth in patients with metastatic neuroendocrine midgut tumors: a report from the PROMID Study Group. </w:t>
      </w:r>
      <w:r w:rsidRPr="00190A3E">
        <w:rPr>
          <w:rFonts w:ascii="Book Antiqua" w:eastAsia="Book Antiqua" w:hAnsi="Book Antiqua" w:cs="Book Antiqua"/>
          <w:i/>
          <w:iCs/>
          <w:color w:val="000000" w:themeColor="text1"/>
        </w:rPr>
        <w:t>J Clin Oncol</w:t>
      </w:r>
      <w:r w:rsidRPr="00190A3E">
        <w:rPr>
          <w:rFonts w:ascii="Book Antiqua" w:eastAsia="Book Antiqua" w:hAnsi="Book Antiqua" w:cs="Book Antiqua"/>
          <w:color w:val="000000" w:themeColor="text1"/>
        </w:rPr>
        <w:t xml:space="preserve"> 2009; </w:t>
      </w:r>
      <w:r w:rsidRPr="00190A3E">
        <w:rPr>
          <w:rFonts w:ascii="Book Antiqua" w:eastAsia="Book Antiqua" w:hAnsi="Book Antiqua" w:cs="Book Antiqua"/>
          <w:b/>
          <w:bCs/>
          <w:color w:val="000000" w:themeColor="text1"/>
        </w:rPr>
        <w:t>27</w:t>
      </w:r>
      <w:r w:rsidRPr="00190A3E">
        <w:rPr>
          <w:rFonts w:ascii="Book Antiqua" w:eastAsia="Book Antiqua" w:hAnsi="Book Antiqua" w:cs="Book Antiqua"/>
          <w:color w:val="000000" w:themeColor="text1"/>
        </w:rPr>
        <w:t>: 4656-4663 [PMID: 19704057 DOI: 10.1200/JCO.2009.22.8510]</w:t>
      </w:r>
    </w:p>
    <w:p w14:paraId="2B49E92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60 </w:t>
      </w:r>
      <w:r w:rsidRPr="00190A3E">
        <w:rPr>
          <w:rFonts w:ascii="Book Antiqua" w:eastAsia="Book Antiqua" w:hAnsi="Book Antiqua" w:cs="Book Antiqua"/>
          <w:b/>
          <w:bCs/>
          <w:color w:val="000000" w:themeColor="text1"/>
        </w:rPr>
        <w:t>Koch W</w:t>
      </w:r>
      <w:r w:rsidRPr="00190A3E">
        <w:rPr>
          <w:rFonts w:ascii="Book Antiqua" w:eastAsia="Book Antiqua" w:hAnsi="Book Antiqua" w:cs="Book Antiqua"/>
          <w:color w:val="000000" w:themeColor="text1"/>
        </w:rPr>
        <w:t xml:space="preserve">, Auernhammer CJ, Geisler J, Spitzweg C, Cyran CC, Ilhan H, Bartenstein P, Haug AR. Treatment with octreotide in patients with well-differentiated neuroendocrine tumors of the ileum: prognostic stratification with Ga-68-DOTA-TATE positron emission tomography. </w:t>
      </w:r>
      <w:r w:rsidRPr="00190A3E">
        <w:rPr>
          <w:rFonts w:ascii="Book Antiqua" w:eastAsia="Book Antiqua" w:hAnsi="Book Antiqua" w:cs="Book Antiqua"/>
          <w:i/>
          <w:iCs/>
          <w:color w:val="000000" w:themeColor="text1"/>
        </w:rPr>
        <w:t>Mol Imaging</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13</w:t>
      </w:r>
      <w:r w:rsidRPr="00190A3E">
        <w:rPr>
          <w:rFonts w:ascii="Book Antiqua" w:eastAsia="Book Antiqua" w:hAnsi="Book Antiqua" w:cs="Book Antiqua"/>
          <w:color w:val="000000" w:themeColor="text1"/>
        </w:rPr>
        <w:t>: 1-10 [PMID: 24824963]</w:t>
      </w:r>
    </w:p>
    <w:p w14:paraId="4D838C0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61 </w:t>
      </w:r>
      <w:r w:rsidRPr="00190A3E">
        <w:rPr>
          <w:rFonts w:ascii="Book Antiqua" w:eastAsia="Book Antiqua" w:hAnsi="Book Antiqua" w:cs="Book Antiqua"/>
          <w:b/>
          <w:bCs/>
          <w:color w:val="000000" w:themeColor="text1"/>
        </w:rPr>
        <w:t>Hope TA</w:t>
      </w:r>
      <w:r w:rsidRPr="00190A3E">
        <w:rPr>
          <w:rFonts w:ascii="Book Antiqua" w:eastAsia="Book Antiqua" w:hAnsi="Book Antiqua" w:cs="Book Antiqua"/>
          <w:color w:val="000000" w:themeColor="text1"/>
        </w:rPr>
        <w:t xml:space="preserve">, Bergsland EK, Bozkurt MF, Graham M, Heaney AP, Herrmann K, Howe JR, Kulke MH, Kunz PL, Mailman J, May L, Metz DC, Millo C, O'Dorisio S, Reidy-Lagunes DL, Soulen MC, Strosberg JR. Appropriate Use Criteria for Somatostatin Receptor PET Imaging in Neuroendocrine Tumors. </w:t>
      </w:r>
      <w:r w:rsidRPr="00190A3E">
        <w:rPr>
          <w:rFonts w:ascii="Book Antiqua" w:eastAsia="Book Antiqua" w:hAnsi="Book Antiqua" w:cs="Book Antiqua"/>
          <w:i/>
          <w:iCs/>
          <w:color w:val="000000" w:themeColor="text1"/>
        </w:rPr>
        <w:t>J Nucl Med</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59</w:t>
      </w:r>
      <w:r w:rsidRPr="00190A3E">
        <w:rPr>
          <w:rFonts w:ascii="Book Antiqua" w:eastAsia="Book Antiqua" w:hAnsi="Book Antiqua" w:cs="Book Antiqua"/>
          <w:color w:val="000000" w:themeColor="text1"/>
        </w:rPr>
        <w:t>: 66-74 [PMID: 29025982 DOI: 10.2967/jnumed.117.202275]</w:t>
      </w:r>
    </w:p>
    <w:p w14:paraId="4A9F240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62 </w:t>
      </w:r>
      <w:r w:rsidRPr="00190A3E">
        <w:rPr>
          <w:rFonts w:ascii="Book Antiqua" w:eastAsia="Book Antiqua" w:hAnsi="Book Antiqua" w:cs="Book Antiqua"/>
          <w:b/>
          <w:bCs/>
          <w:color w:val="000000" w:themeColor="text1"/>
        </w:rPr>
        <w:t>Grillo F</w:t>
      </w:r>
      <w:r w:rsidRPr="00190A3E">
        <w:rPr>
          <w:rFonts w:ascii="Book Antiqua" w:eastAsia="Book Antiqua" w:hAnsi="Book Antiqua" w:cs="Book Antiqua"/>
          <w:color w:val="000000" w:themeColor="text1"/>
        </w:rPr>
        <w:t xml:space="preserve">, Florio T, Ferraù F, Kara E, Fanciulli G, Faggiano A, Colao A; NIKE Group. Emerging multitarget tyrosine kinase inhibitors in the treatment of neuroendocrine neoplasms. </w:t>
      </w:r>
      <w:r w:rsidRPr="00190A3E">
        <w:rPr>
          <w:rFonts w:ascii="Book Antiqua" w:eastAsia="Book Antiqua" w:hAnsi="Book Antiqua" w:cs="Book Antiqua"/>
          <w:i/>
          <w:iCs/>
          <w:color w:val="000000" w:themeColor="text1"/>
        </w:rPr>
        <w:t>Endocr Relat Cancer</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25</w:t>
      </w:r>
      <w:r w:rsidRPr="00190A3E">
        <w:rPr>
          <w:rFonts w:ascii="Book Antiqua" w:eastAsia="Book Antiqua" w:hAnsi="Book Antiqua" w:cs="Book Antiqua"/>
          <w:color w:val="000000" w:themeColor="text1"/>
        </w:rPr>
        <w:t>: R453-R466 [PMID: 29769293 DOI: 10.1530/ERC-17-0531]</w:t>
      </w:r>
    </w:p>
    <w:p w14:paraId="56372C8A" w14:textId="09337CB9" w:rsidR="00A77B3E" w:rsidRPr="00190A3E" w:rsidRDefault="00150E8B" w:rsidP="002A25BD">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63 </w:t>
      </w:r>
      <w:r w:rsidRPr="00190A3E">
        <w:rPr>
          <w:rFonts w:ascii="Book Antiqua" w:eastAsia="Book Antiqua" w:hAnsi="Book Antiqua" w:cs="Book Antiqua"/>
          <w:b/>
          <w:bCs/>
          <w:color w:val="000000" w:themeColor="text1"/>
        </w:rPr>
        <w:t>Hijioka S</w:t>
      </w:r>
      <w:r w:rsidR="002A25BD" w:rsidRPr="00190A3E">
        <w:rPr>
          <w:rFonts w:ascii="Book Antiqua" w:eastAsia="Book Antiqua" w:hAnsi="Book Antiqua" w:cs="Book Antiqua"/>
          <w:color w:val="000000" w:themeColor="text1"/>
        </w:rPr>
        <w:t>, Hosoda W, Morizane C, Mizuno N, Hara K, Okusaka T</w:t>
      </w:r>
      <w:r w:rsidRPr="00190A3E">
        <w:rPr>
          <w:rFonts w:ascii="Book Antiqua" w:eastAsia="Book Antiqua" w:hAnsi="Book Antiqua" w:cs="Book Antiqua"/>
          <w:color w:val="000000" w:themeColor="text1"/>
        </w:rPr>
        <w:t xml:space="preserve">. The Diagnosis and Treatment of Pancreatic NEN-G3-A Focus on Clinicopathological Difference of NET-G3 and NEC G3. </w:t>
      </w:r>
      <w:r w:rsidR="002A25BD" w:rsidRPr="00190A3E">
        <w:rPr>
          <w:rFonts w:ascii="Book Antiqua" w:eastAsia="Book Antiqua" w:hAnsi="Book Antiqua" w:cs="Book Antiqua"/>
          <w:i/>
          <w:iCs/>
          <w:color w:val="000000" w:themeColor="text1"/>
        </w:rPr>
        <w:t>J Pancreas</w:t>
      </w:r>
      <w:r w:rsidRPr="00190A3E">
        <w:rPr>
          <w:rFonts w:ascii="Book Antiqua" w:eastAsia="Book Antiqua" w:hAnsi="Book Antiqua" w:cs="Book Antiqua"/>
          <w:color w:val="000000" w:themeColor="text1"/>
        </w:rPr>
        <w:t xml:space="preserve"> 2017</w:t>
      </w:r>
      <w:r w:rsidR="002A25BD"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346</w:t>
      </w:r>
    </w:p>
    <w:p w14:paraId="1DB482D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64 </w:t>
      </w:r>
      <w:r w:rsidRPr="00190A3E">
        <w:rPr>
          <w:rFonts w:ascii="Book Antiqua" w:eastAsia="Book Antiqua" w:hAnsi="Book Antiqua" w:cs="Book Antiqua"/>
          <w:b/>
          <w:bCs/>
          <w:color w:val="000000" w:themeColor="text1"/>
        </w:rPr>
        <w:t>Imhof A</w:t>
      </w:r>
      <w:r w:rsidRPr="00190A3E">
        <w:rPr>
          <w:rFonts w:ascii="Book Antiqua" w:eastAsia="Book Antiqua" w:hAnsi="Book Antiqua" w:cs="Book Antiqua"/>
          <w:color w:val="000000" w:themeColor="text1"/>
        </w:rPr>
        <w:t xml:space="preserve">, Brunner P, Marincek N, Briel M, Schindler C, Rasch H, Mäcke HR, Rochlitz C, Müller-Brand J, Walter MA. Response, survival, and long-term toxicity after therapy with the radiolabeled somatostatin analogue [90Y-DOTA]-TOC in metastasized neuroendocrine cancers. </w:t>
      </w:r>
      <w:r w:rsidRPr="00190A3E">
        <w:rPr>
          <w:rFonts w:ascii="Book Antiqua" w:eastAsia="Book Antiqua" w:hAnsi="Book Antiqua" w:cs="Book Antiqua"/>
          <w:i/>
          <w:iCs/>
          <w:color w:val="000000" w:themeColor="text1"/>
        </w:rPr>
        <w:t>J Clin Oncol</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29</w:t>
      </w:r>
      <w:r w:rsidRPr="00190A3E">
        <w:rPr>
          <w:rFonts w:ascii="Book Antiqua" w:eastAsia="Book Antiqua" w:hAnsi="Book Antiqua" w:cs="Book Antiqua"/>
          <w:color w:val="000000" w:themeColor="text1"/>
        </w:rPr>
        <w:t>: 2416-2423 [PMID: 21555692 DOI: 10.1200/JCO.2010.33.7873]</w:t>
      </w:r>
    </w:p>
    <w:p w14:paraId="310C9B1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65 </w:t>
      </w:r>
      <w:r w:rsidRPr="00190A3E">
        <w:rPr>
          <w:rFonts w:ascii="Book Antiqua" w:eastAsia="Book Antiqua" w:hAnsi="Book Antiqua" w:cs="Book Antiqua"/>
          <w:b/>
          <w:bCs/>
          <w:color w:val="000000" w:themeColor="text1"/>
        </w:rPr>
        <w:t>Pfeifer AK</w:t>
      </w:r>
      <w:r w:rsidRPr="00190A3E">
        <w:rPr>
          <w:rFonts w:ascii="Book Antiqua" w:eastAsia="Book Antiqua" w:hAnsi="Book Antiqua" w:cs="Book Antiqua"/>
          <w:color w:val="000000" w:themeColor="text1"/>
        </w:rPr>
        <w:t xml:space="preserve">, Gregersen T, Grønbæk H, Hansen CP, Müller-Brand J, Herskind Bruun K, Krogh K, Kjær A, Knigge U. Peptide receptor radionuclide therapy with Y-DOTATOC and (177)Lu-DOTATOC in advanced neuroendocrine tumors: results from a Danish cohort treated in Switzerland. </w:t>
      </w:r>
      <w:r w:rsidRPr="00190A3E">
        <w:rPr>
          <w:rFonts w:ascii="Book Antiqua" w:eastAsia="Book Antiqua" w:hAnsi="Book Antiqua" w:cs="Book Antiqua"/>
          <w:i/>
          <w:iCs/>
          <w:color w:val="000000" w:themeColor="text1"/>
        </w:rPr>
        <w:t>Neuroendocrinology</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93</w:t>
      </w:r>
      <w:r w:rsidRPr="00190A3E">
        <w:rPr>
          <w:rFonts w:ascii="Book Antiqua" w:eastAsia="Book Antiqua" w:hAnsi="Book Antiqua" w:cs="Book Antiqua"/>
          <w:color w:val="000000" w:themeColor="text1"/>
        </w:rPr>
        <w:t>: 189-196 [PMID: 21335949 DOI: 10.1159/000324096]</w:t>
      </w:r>
    </w:p>
    <w:p w14:paraId="4BA5CC0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66 </w:t>
      </w:r>
      <w:r w:rsidRPr="00190A3E">
        <w:rPr>
          <w:rFonts w:ascii="Book Antiqua" w:eastAsia="Book Antiqua" w:hAnsi="Book Antiqua" w:cs="Book Antiqua"/>
          <w:b/>
          <w:bCs/>
          <w:color w:val="000000" w:themeColor="text1"/>
        </w:rPr>
        <w:t>Kwekkeboom DJ</w:t>
      </w:r>
      <w:r w:rsidRPr="00190A3E">
        <w:rPr>
          <w:rFonts w:ascii="Book Antiqua" w:eastAsia="Book Antiqua" w:hAnsi="Book Antiqua" w:cs="Book Antiqua"/>
          <w:color w:val="000000" w:themeColor="text1"/>
        </w:rPr>
        <w:t xml:space="preserve">, de Herder WW, Kam BL, van Eijck CH, van Essen M, Kooij PP, Feelders RA, van Aken MO, Krenning EP. Treatment with the radiolabeled somatostatin analog [177 Lu-DOTA 0,Tyr3]octreotate: toxicity, efficacy, and survival. </w:t>
      </w:r>
      <w:r w:rsidRPr="00190A3E">
        <w:rPr>
          <w:rFonts w:ascii="Book Antiqua" w:eastAsia="Book Antiqua" w:hAnsi="Book Antiqua" w:cs="Book Antiqua"/>
          <w:i/>
          <w:iCs/>
          <w:color w:val="000000" w:themeColor="text1"/>
        </w:rPr>
        <w:t>J Clin Oncol</w:t>
      </w:r>
      <w:r w:rsidRPr="00190A3E">
        <w:rPr>
          <w:rFonts w:ascii="Book Antiqua" w:eastAsia="Book Antiqua" w:hAnsi="Book Antiqua" w:cs="Book Antiqua"/>
          <w:color w:val="000000" w:themeColor="text1"/>
        </w:rPr>
        <w:t xml:space="preserve"> 2008; </w:t>
      </w:r>
      <w:r w:rsidRPr="00190A3E">
        <w:rPr>
          <w:rFonts w:ascii="Book Antiqua" w:eastAsia="Book Antiqua" w:hAnsi="Book Antiqua" w:cs="Book Antiqua"/>
          <w:b/>
          <w:bCs/>
          <w:color w:val="000000" w:themeColor="text1"/>
        </w:rPr>
        <w:t>26</w:t>
      </w:r>
      <w:r w:rsidRPr="00190A3E">
        <w:rPr>
          <w:rFonts w:ascii="Book Antiqua" w:eastAsia="Book Antiqua" w:hAnsi="Book Antiqua" w:cs="Book Antiqua"/>
          <w:color w:val="000000" w:themeColor="text1"/>
        </w:rPr>
        <w:t>: 2124-2130 [PMID: 18445841 DOI: 10.1200/JCO.2007.15.2553]</w:t>
      </w:r>
    </w:p>
    <w:p w14:paraId="3290A46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67 </w:t>
      </w:r>
      <w:r w:rsidRPr="00190A3E">
        <w:rPr>
          <w:rFonts w:ascii="Book Antiqua" w:eastAsia="Book Antiqua" w:hAnsi="Book Antiqua" w:cs="Book Antiqua"/>
          <w:b/>
          <w:bCs/>
          <w:color w:val="000000" w:themeColor="text1"/>
        </w:rPr>
        <w:t>Bodei L</w:t>
      </w:r>
      <w:r w:rsidRPr="00190A3E">
        <w:rPr>
          <w:rFonts w:ascii="Book Antiqua" w:eastAsia="Book Antiqua" w:hAnsi="Book Antiqua" w:cs="Book Antiqua"/>
          <w:color w:val="000000" w:themeColor="text1"/>
        </w:rPr>
        <w:t>, Cremonesi M, Grana CM, Fazio N, Iodice S, Baio SM, Bartolomei M, Lombardo D, Ferrari ME, Sansovini M, Chinol M, Paganelli G. Peptide receptor radionuclide therapy with ¹</w:t>
      </w:r>
      <w:r w:rsidRPr="00190A3E">
        <w:rPr>
          <w:rFonts w:ascii="微软雅黑" w:eastAsia="微软雅黑" w:hAnsi="微软雅黑" w:cs="微软雅黑" w:hint="eastAsia"/>
          <w:color w:val="000000" w:themeColor="text1"/>
        </w:rPr>
        <w:t>⁷⁷</w:t>
      </w:r>
      <w:r w:rsidRPr="00190A3E">
        <w:rPr>
          <w:rFonts w:ascii="Book Antiqua" w:eastAsia="Book Antiqua" w:hAnsi="Book Antiqua" w:cs="Book Antiqua"/>
          <w:color w:val="000000" w:themeColor="text1"/>
        </w:rPr>
        <w:t xml:space="preserve">Lu-DOTATATE: the IEO phase I-II study. </w:t>
      </w:r>
      <w:r w:rsidRPr="00190A3E">
        <w:rPr>
          <w:rFonts w:ascii="Book Antiqua" w:eastAsia="Book Antiqua" w:hAnsi="Book Antiqua" w:cs="Book Antiqua"/>
          <w:i/>
          <w:iCs/>
          <w:color w:val="000000" w:themeColor="text1"/>
        </w:rPr>
        <w:t>Eur J Nucl Med Mol Imaging</w:t>
      </w:r>
      <w:r w:rsidRPr="00190A3E">
        <w:rPr>
          <w:rFonts w:ascii="Book Antiqua" w:eastAsia="Book Antiqua" w:hAnsi="Book Antiqua" w:cs="Book Antiqua"/>
          <w:color w:val="000000" w:themeColor="text1"/>
        </w:rPr>
        <w:t xml:space="preserve"> 2011; </w:t>
      </w:r>
      <w:r w:rsidRPr="00190A3E">
        <w:rPr>
          <w:rFonts w:ascii="Book Antiqua" w:eastAsia="Book Antiqua" w:hAnsi="Book Antiqua" w:cs="Book Antiqua"/>
          <w:b/>
          <w:bCs/>
          <w:color w:val="000000" w:themeColor="text1"/>
        </w:rPr>
        <w:t>38</w:t>
      </w:r>
      <w:r w:rsidRPr="00190A3E">
        <w:rPr>
          <w:rFonts w:ascii="Book Antiqua" w:eastAsia="Book Antiqua" w:hAnsi="Book Antiqua" w:cs="Book Antiqua"/>
          <w:color w:val="000000" w:themeColor="text1"/>
        </w:rPr>
        <w:t>: 2125-2135 [PMID: 21892623 DOI: 10.1007/s00259-011-1902-1]</w:t>
      </w:r>
    </w:p>
    <w:p w14:paraId="72009D7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68 </w:t>
      </w:r>
      <w:r w:rsidRPr="00190A3E">
        <w:rPr>
          <w:rFonts w:ascii="Book Antiqua" w:eastAsia="Book Antiqua" w:hAnsi="Book Antiqua" w:cs="Book Antiqua"/>
          <w:b/>
          <w:bCs/>
          <w:color w:val="000000" w:themeColor="text1"/>
        </w:rPr>
        <w:t>Villard L</w:t>
      </w:r>
      <w:r w:rsidRPr="00190A3E">
        <w:rPr>
          <w:rFonts w:ascii="Book Antiqua" w:eastAsia="Book Antiqua" w:hAnsi="Book Antiqua" w:cs="Book Antiqua"/>
          <w:color w:val="000000" w:themeColor="text1"/>
        </w:rPr>
        <w:t xml:space="preserve">, Romer A, Marincek N, Brunner P, Koller MT, Schindler C, Ng QK, Mäcke HR, Müller-Brand J, Rochlitz C, Briel M, Walter MA. Cohort study of somatostatin-based radiopeptide therapy with [(90)Y-DOTA]-TOC </w:t>
      </w:r>
      <w:r w:rsidRPr="00190A3E">
        <w:rPr>
          <w:rFonts w:ascii="Book Antiqua" w:eastAsia="Book Antiqua" w:hAnsi="Book Antiqua" w:cs="Book Antiqua"/>
          <w:i/>
          <w:iCs/>
          <w:color w:val="000000" w:themeColor="text1"/>
        </w:rPr>
        <w:t>vs</w:t>
      </w:r>
      <w:r w:rsidRPr="00190A3E">
        <w:rPr>
          <w:rFonts w:ascii="Book Antiqua" w:eastAsia="Book Antiqua" w:hAnsi="Book Antiqua" w:cs="Book Antiqua"/>
          <w:color w:val="000000" w:themeColor="text1"/>
        </w:rPr>
        <w:t xml:space="preserve"> [(90)Y-DOTA]-TOC plus [(177)Lu-DOTA]-TOC in neuroendocrine cancers. </w:t>
      </w:r>
      <w:r w:rsidRPr="00190A3E">
        <w:rPr>
          <w:rFonts w:ascii="Book Antiqua" w:eastAsia="Book Antiqua" w:hAnsi="Book Antiqua" w:cs="Book Antiqua"/>
          <w:i/>
          <w:iCs/>
          <w:color w:val="000000" w:themeColor="text1"/>
        </w:rPr>
        <w:t>J Clin Oncol</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30</w:t>
      </w:r>
      <w:r w:rsidRPr="00190A3E">
        <w:rPr>
          <w:rFonts w:ascii="Book Antiqua" w:eastAsia="Book Antiqua" w:hAnsi="Book Antiqua" w:cs="Book Antiqua"/>
          <w:color w:val="000000" w:themeColor="text1"/>
        </w:rPr>
        <w:t>: 1100-1106 [PMID: 22393097 DOI: 10.1200/JCO.2011.37.2151]</w:t>
      </w:r>
    </w:p>
    <w:p w14:paraId="1CA512EE"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69 </w:t>
      </w:r>
      <w:r w:rsidRPr="00190A3E">
        <w:rPr>
          <w:rFonts w:ascii="Book Antiqua" w:eastAsia="Book Antiqua" w:hAnsi="Book Antiqua" w:cs="Book Antiqua"/>
          <w:b/>
          <w:bCs/>
          <w:color w:val="000000" w:themeColor="text1"/>
        </w:rPr>
        <w:t>Chan DL</w:t>
      </w:r>
      <w:r w:rsidRPr="00190A3E">
        <w:rPr>
          <w:rFonts w:ascii="Book Antiqua" w:eastAsia="Book Antiqua" w:hAnsi="Book Antiqua" w:cs="Book Antiqua"/>
          <w:color w:val="000000" w:themeColor="text1"/>
        </w:rPr>
        <w:t xml:space="preserve">, Pavlakis N, Schembri GP, Bernard EJ, Hsiao E, Hayes A, Barnes T, Diakos C, Khasraw M, Samra J, Eslick E, Roach PJ, Engel A, Clarke SJ, Bailey DL. Dual Somatostatin Receptor/FDG PET/CT Imaging in Metastatic Neuroendocrine Tumours: Proposal for a Novel Grading Scheme with Prognostic Significance. </w:t>
      </w:r>
      <w:r w:rsidRPr="00190A3E">
        <w:rPr>
          <w:rFonts w:ascii="Book Antiqua" w:eastAsia="Book Antiqua" w:hAnsi="Book Antiqua" w:cs="Book Antiqua"/>
          <w:i/>
          <w:iCs/>
          <w:color w:val="000000" w:themeColor="text1"/>
        </w:rPr>
        <w:t>Theranostics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7</w:t>
      </w:r>
      <w:r w:rsidRPr="00190A3E">
        <w:rPr>
          <w:rFonts w:ascii="Book Antiqua" w:eastAsia="Book Antiqua" w:hAnsi="Book Antiqua" w:cs="Book Antiqua"/>
          <w:color w:val="000000" w:themeColor="text1"/>
        </w:rPr>
        <w:t>: 1149-1158 [PMID: 28435454 DOI: 10.7150/thno.18068]</w:t>
      </w:r>
    </w:p>
    <w:p w14:paraId="03D3F95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70 </w:t>
      </w:r>
      <w:r w:rsidRPr="00190A3E">
        <w:rPr>
          <w:rFonts w:ascii="Book Antiqua" w:eastAsia="Book Antiqua" w:hAnsi="Book Antiqua" w:cs="Book Antiqua"/>
          <w:b/>
          <w:bCs/>
          <w:color w:val="000000" w:themeColor="text1"/>
        </w:rPr>
        <w:t>Karfis I</w:t>
      </w:r>
      <w:r w:rsidRPr="00190A3E">
        <w:rPr>
          <w:rFonts w:ascii="Book Antiqua" w:eastAsia="Book Antiqua" w:hAnsi="Book Antiqua" w:cs="Book Antiqua"/>
          <w:color w:val="000000" w:themeColor="text1"/>
        </w:rPr>
        <w:t xml:space="preserve">, Marin G, Levillain H, Drisis S, Muteganya R, Critchi G, Taraji-Schiltz L, Guix CA, Shaza L, Elbachiri M, Mans L, Machiels G, Hendlisz A, Flamen P. Prognostic value of a three-scale grading system based on combining molecular imaging with </w:t>
      </w:r>
      <w:r w:rsidRPr="00190A3E">
        <w:rPr>
          <w:rFonts w:ascii="Book Antiqua" w:eastAsia="Book Antiqua" w:hAnsi="Book Antiqua" w:cs="Book Antiqua"/>
          <w:color w:val="000000" w:themeColor="text1"/>
          <w:vertAlign w:val="superscript"/>
        </w:rPr>
        <w:t>68</w:t>
      </w:r>
      <w:r w:rsidRPr="00190A3E">
        <w:rPr>
          <w:rFonts w:ascii="Book Antiqua" w:eastAsia="Book Antiqua" w:hAnsi="Book Antiqua" w:cs="Book Antiqua"/>
          <w:color w:val="000000" w:themeColor="text1"/>
        </w:rPr>
        <w:t xml:space="preserve">Ga-DOTATATE and </w:t>
      </w:r>
      <w:r w:rsidRPr="00190A3E">
        <w:rPr>
          <w:rFonts w:ascii="Book Antiqua" w:eastAsia="Book Antiqua" w:hAnsi="Book Antiqua" w:cs="Book Antiqua"/>
          <w:color w:val="000000" w:themeColor="text1"/>
          <w:vertAlign w:val="superscript"/>
        </w:rPr>
        <w:t>18</w:t>
      </w:r>
      <w:r w:rsidRPr="00190A3E">
        <w:rPr>
          <w:rFonts w:ascii="Book Antiqua" w:eastAsia="Book Antiqua" w:hAnsi="Book Antiqua" w:cs="Book Antiqua"/>
          <w:color w:val="000000" w:themeColor="text1"/>
        </w:rPr>
        <w:t xml:space="preserve">F-FDG PET/CT in patients with metastatic gastroenteropancreatic neuroendocrine neoplasias. </w:t>
      </w:r>
      <w:r w:rsidRPr="00190A3E">
        <w:rPr>
          <w:rFonts w:ascii="Book Antiqua" w:eastAsia="Book Antiqua" w:hAnsi="Book Antiqua" w:cs="Book Antiqua"/>
          <w:i/>
          <w:iCs/>
          <w:color w:val="000000" w:themeColor="text1"/>
        </w:rPr>
        <w:t>Oncotarget</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11</w:t>
      </w:r>
      <w:r w:rsidRPr="00190A3E">
        <w:rPr>
          <w:rFonts w:ascii="Book Antiqua" w:eastAsia="Book Antiqua" w:hAnsi="Book Antiqua" w:cs="Book Antiqua"/>
          <w:color w:val="000000" w:themeColor="text1"/>
        </w:rPr>
        <w:t>: 589-599 [PMID: 32110279 DOI: 10.18632/oncotarget.27460]</w:t>
      </w:r>
    </w:p>
    <w:p w14:paraId="761095D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71 </w:t>
      </w:r>
      <w:r w:rsidRPr="00190A3E">
        <w:rPr>
          <w:rFonts w:ascii="Book Antiqua" w:eastAsia="Book Antiqua" w:hAnsi="Book Antiqua" w:cs="Book Antiqua"/>
          <w:b/>
          <w:bCs/>
          <w:color w:val="000000" w:themeColor="text1"/>
        </w:rPr>
        <w:t>Hindié E</w:t>
      </w:r>
      <w:r w:rsidRPr="00190A3E">
        <w:rPr>
          <w:rFonts w:ascii="Book Antiqua" w:eastAsia="Book Antiqua" w:hAnsi="Book Antiqua" w:cs="Book Antiqua"/>
          <w:color w:val="000000" w:themeColor="text1"/>
        </w:rPr>
        <w:t xml:space="preserve">. The NETPET Score: Combining FDG and Somatostatin Receptor Imaging for Optimal Management of Patients with Metastatic Well-Differentiated Neuroendocrine Tumors. </w:t>
      </w:r>
      <w:r w:rsidRPr="00190A3E">
        <w:rPr>
          <w:rFonts w:ascii="Book Antiqua" w:eastAsia="Book Antiqua" w:hAnsi="Book Antiqua" w:cs="Book Antiqua"/>
          <w:i/>
          <w:iCs/>
          <w:color w:val="000000" w:themeColor="text1"/>
        </w:rPr>
        <w:t>Theranostics</w:t>
      </w:r>
      <w:r w:rsidRPr="00190A3E">
        <w:rPr>
          <w:rFonts w:ascii="Book Antiqua" w:eastAsia="Book Antiqua" w:hAnsi="Book Antiqua" w:cs="Book Antiqua"/>
          <w:color w:val="000000" w:themeColor="text1"/>
        </w:rPr>
        <w:t xml:space="preserve"> 2017; </w:t>
      </w:r>
      <w:r w:rsidRPr="00190A3E">
        <w:rPr>
          <w:rFonts w:ascii="Book Antiqua" w:eastAsia="Book Antiqua" w:hAnsi="Book Antiqua" w:cs="Book Antiqua"/>
          <w:b/>
          <w:bCs/>
          <w:color w:val="000000" w:themeColor="text1"/>
        </w:rPr>
        <w:t>7</w:t>
      </w:r>
      <w:r w:rsidRPr="00190A3E">
        <w:rPr>
          <w:rFonts w:ascii="Book Antiqua" w:eastAsia="Book Antiqua" w:hAnsi="Book Antiqua" w:cs="Book Antiqua"/>
          <w:color w:val="000000" w:themeColor="text1"/>
        </w:rPr>
        <w:t>: 1159-1163 [PMID: 28435455 DOI: 10.7150/thno.19588]</w:t>
      </w:r>
    </w:p>
    <w:p w14:paraId="7551CEF1"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72 </w:t>
      </w:r>
      <w:r w:rsidRPr="00190A3E">
        <w:rPr>
          <w:rFonts w:ascii="Book Antiqua" w:eastAsia="Book Antiqua" w:hAnsi="Book Antiqua" w:cs="Book Antiqua"/>
          <w:b/>
          <w:bCs/>
          <w:color w:val="000000" w:themeColor="text1"/>
        </w:rPr>
        <w:t>Ezziddin S</w:t>
      </w:r>
      <w:r w:rsidRPr="00190A3E">
        <w:rPr>
          <w:rFonts w:ascii="Book Antiqua" w:eastAsia="Book Antiqua" w:hAnsi="Book Antiqua" w:cs="Book Antiqua"/>
          <w:color w:val="000000" w:themeColor="text1"/>
        </w:rPr>
        <w:t xml:space="preserve">, Lohmar J, Yong-Hing CJ, Sabet A, Ahmadzadehfar H, Kukuk G, Biersack HJ, Guhlke S, Reichmann K. Does the pretherapeutic tumor SUV in 68Ga DOTATOC PET predict the absorbed dose of 177Lu octreotate? </w:t>
      </w:r>
      <w:r w:rsidRPr="00190A3E">
        <w:rPr>
          <w:rFonts w:ascii="Book Antiqua" w:eastAsia="Book Antiqua" w:hAnsi="Book Antiqua" w:cs="Book Antiqua"/>
          <w:i/>
          <w:iCs/>
          <w:color w:val="000000" w:themeColor="text1"/>
        </w:rPr>
        <w:t>Clin Nucl Med</w:t>
      </w:r>
      <w:r w:rsidRPr="00190A3E">
        <w:rPr>
          <w:rFonts w:ascii="Book Antiqua" w:eastAsia="Book Antiqua" w:hAnsi="Book Antiqua" w:cs="Book Antiqua"/>
          <w:color w:val="000000" w:themeColor="text1"/>
        </w:rPr>
        <w:t xml:space="preserve"> 2012; </w:t>
      </w:r>
      <w:r w:rsidRPr="00190A3E">
        <w:rPr>
          <w:rFonts w:ascii="Book Antiqua" w:eastAsia="Book Antiqua" w:hAnsi="Book Antiqua" w:cs="Book Antiqua"/>
          <w:b/>
          <w:bCs/>
          <w:color w:val="000000" w:themeColor="text1"/>
        </w:rPr>
        <w:t>37</w:t>
      </w:r>
      <w:r w:rsidRPr="00190A3E">
        <w:rPr>
          <w:rFonts w:ascii="Book Antiqua" w:eastAsia="Book Antiqua" w:hAnsi="Book Antiqua" w:cs="Book Antiqua"/>
          <w:color w:val="000000" w:themeColor="text1"/>
        </w:rPr>
        <w:t>: e141-e147 [PMID: 22614212 DOI: 10.1097/RLU.0b013e31823926e5]</w:t>
      </w:r>
    </w:p>
    <w:p w14:paraId="5E7CF26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73 </w:t>
      </w:r>
      <w:r w:rsidRPr="00190A3E">
        <w:rPr>
          <w:rFonts w:ascii="Book Antiqua" w:eastAsia="Book Antiqua" w:hAnsi="Book Antiqua" w:cs="Book Antiqua"/>
          <w:b/>
          <w:bCs/>
          <w:color w:val="000000" w:themeColor="text1"/>
        </w:rPr>
        <w:t>Önner H</w:t>
      </w:r>
      <w:r w:rsidRPr="00190A3E">
        <w:rPr>
          <w:rFonts w:ascii="Book Antiqua" w:eastAsia="Book Antiqua" w:hAnsi="Book Antiqua" w:cs="Book Antiqua"/>
          <w:color w:val="000000" w:themeColor="text1"/>
        </w:rPr>
        <w:t xml:space="preserve">, Abdülrezzak Ü, Tutuş A. Could the skewness and kurtosis texture parameters of lesions obtained from pretreatment Ga-68 DOTA-TATE PET/CT images predict receptor radionuclide therapy response in patients with gastroenteropancreatic neuroendocrine tumors? </w:t>
      </w:r>
      <w:r w:rsidRPr="00190A3E">
        <w:rPr>
          <w:rFonts w:ascii="Book Antiqua" w:eastAsia="Book Antiqua" w:hAnsi="Book Antiqua" w:cs="Book Antiqua"/>
          <w:i/>
          <w:iCs/>
          <w:color w:val="000000" w:themeColor="text1"/>
        </w:rPr>
        <w:t>Nucl Med Commun</w:t>
      </w:r>
      <w:r w:rsidRPr="00190A3E">
        <w:rPr>
          <w:rFonts w:ascii="Book Antiqua" w:eastAsia="Book Antiqua" w:hAnsi="Book Antiqua" w:cs="Book Antiqua"/>
          <w:color w:val="000000" w:themeColor="text1"/>
        </w:rPr>
        <w:t xml:space="preserve"> 2020; </w:t>
      </w:r>
      <w:r w:rsidRPr="00190A3E">
        <w:rPr>
          <w:rFonts w:ascii="Book Antiqua" w:eastAsia="Book Antiqua" w:hAnsi="Book Antiqua" w:cs="Book Antiqua"/>
          <w:b/>
          <w:bCs/>
          <w:color w:val="000000" w:themeColor="text1"/>
        </w:rPr>
        <w:t>41</w:t>
      </w:r>
      <w:r w:rsidRPr="00190A3E">
        <w:rPr>
          <w:rFonts w:ascii="Book Antiqua" w:eastAsia="Book Antiqua" w:hAnsi="Book Antiqua" w:cs="Book Antiqua"/>
          <w:color w:val="000000" w:themeColor="text1"/>
        </w:rPr>
        <w:t>: 1034-1039 [PMID: 32516240 DOI: 10.1097/MNM.0000000000001231]</w:t>
      </w:r>
    </w:p>
    <w:p w14:paraId="7A6C472F"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74 </w:t>
      </w:r>
      <w:r w:rsidRPr="00190A3E">
        <w:rPr>
          <w:rFonts w:ascii="Book Antiqua" w:eastAsia="Book Antiqua" w:hAnsi="Book Antiqua" w:cs="Book Antiqua"/>
          <w:b/>
          <w:bCs/>
          <w:color w:val="000000" w:themeColor="text1"/>
        </w:rPr>
        <w:t>Morgan RE</w:t>
      </w:r>
      <w:r w:rsidRPr="00190A3E">
        <w:rPr>
          <w:rFonts w:ascii="Book Antiqua" w:eastAsia="Book Antiqua" w:hAnsi="Book Antiqua" w:cs="Book Antiqua"/>
          <w:color w:val="000000" w:themeColor="text1"/>
        </w:rPr>
        <w:t xml:space="preserve">, Pommier SJ, Pommier RF. Expanded criteria for debulking of liver metastasis also apply to pancreatic neuroendocrine tumors.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2018; </w:t>
      </w:r>
      <w:r w:rsidRPr="00190A3E">
        <w:rPr>
          <w:rFonts w:ascii="Book Antiqua" w:eastAsia="Book Antiqua" w:hAnsi="Book Antiqua" w:cs="Book Antiqua"/>
          <w:b/>
          <w:bCs/>
          <w:color w:val="000000" w:themeColor="text1"/>
        </w:rPr>
        <w:t>163</w:t>
      </w:r>
      <w:r w:rsidRPr="00190A3E">
        <w:rPr>
          <w:rFonts w:ascii="Book Antiqua" w:eastAsia="Book Antiqua" w:hAnsi="Book Antiqua" w:cs="Book Antiqua"/>
          <w:color w:val="000000" w:themeColor="text1"/>
        </w:rPr>
        <w:t>: 218-225 [PMID: 29103583 DOI: 10.1016/j.surg.2017.05.030]</w:t>
      </w:r>
    </w:p>
    <w:p w14:paraId="26F3DA4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75 </w:t>
      </w:r>
      <w:r w:rsidRPr="00190A3E">
        <w:rPr>
          <w:rFonts w:ascii="Book Antiqua" w:eastAsia="Book Antiqua" w:hAnsi="Book Antiqua" w:cs="Book Antiqua"/>
          <w:b/>
          <w:bCs/>
          <w:color w:val="000000" w:themeColor="text1"/>
        </w:rPr>
        <w:t>Graff-Baker AN</w:t>
      </w:r>
      <w:r w:rsidRPr="00190A3E">
        <w:rPr>
          <w:rFonts w:ascii="Book Antiqua" w:eastAsia="Book Antiqua" w:hAnsi="Book Antiqua" w:cs="Book Antiqua"/>
          <w:color w:val="000000" w:themeColor="text1"/>
        </w:rPr>
        <w:t xml:space="preserve">, Sauer DA, Pommier SJ, Pommier RF. Expanded criteria for carcinoid liver debulking: Maintaining survival and increasing the number of eligible patients.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2014; </w:t>
      </w:r>
      <w:r w:rsidRPr="00190A3E">
        <w:rPr>
          <w:rFonts w:ascii="Book Antiqua" w:eastAsia="Book Antiqua" w:hAnsi="Book Antiqua" w:cs="Book Antiqua"/>
          <w:b/>
          <w:bCs/>
          <w:color w:val="000000" w:themeColor="text1"/>
        </w:rPr>
        <w:t>156</w:t>
      </w:r>
      <w:r w:rsidRPr="00190A3E">
        <w:rPr>
          <w:rFonts w:ascii="Book Antiqua" w:eastAsia="Book Antiqua" w:hAnsi="Book Antiqua" w:cs="Book Antiqua"/>
          <w:color w:val="000000" w:themeColor="text1"/>
        </w:rPr>
        <w:t>: 1369-76; discussion 1376-7 [PMID: 25456912 DOI: 10.1016/j.surg.2014.08.009]</w:t>
      </w:r>
    </w:p>
    <w:p w14:paraId="74088C9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 xml:space="preserve">76 </w:t>
      </w:r>
      <w:r w:rsidRPr="00190A3E">
        <w:rPr>
          <w:rFonts w:ascii="Book Antiqua" w:eastAsia="Book Antiqua" w:hAnsi="Book Antiqua" w:cs="Book Antiqua"/>
          <w:b/>
          <w:bCs/>
          <w:color w:val="000000" w:themeColor="text1"/>
        </w:rPr>
        <w:t>Maxwell JE</w:t>
      </w:r>
      <w:r w:rsidRPr="00190A3E">
        <w:rPr>
          <w:rFonts w:ascii="Book Antiqua" w:eastAsia="Book Antiqua" w:hAnsi="Book Antiqua" w:cs="Book Antiqua"/>
          <w:color w:val="000000" w:themeColor="text1"/>
        </w:rPr>
        <w:t xml:space="preserve">, Sherman SK, O'Dorisio TM, Bellizzi AM, Howe JR. Liver-directed surgery of neuroendocrine metastases: What is the optimal strategy? </w:t>
      </w:r>
      <w:r w:rsidRPr="00190A3E">
        <w:rPr>
          <w:rFonts w:ascii="Book Antiqua" w:eastAsia="Book Antiqua" w:hAnsi="Book Antiqua" w:cs="Book Antiqua"/>
          <w:i/>
          <w:iCs/>
          <w:color w:val="000000" w:themeColor="text1"/>
        </w:rPr>
        <w:t>Surgery</w:t>
      </w:r>
      <w:r w:rsidRPr="00190A3E">
        <w:rPr>
          <w:rFonts w:ascii="Book Antiqua" w:eastAsia="Book Antiqua" w:hAnsi="Book Antiqua" w:cs="Book Antiqua"/>
          <w:color w:val="000000" w:themeColor="text1"/>
        </w:rPr>
        <w:t xml:space="preserve"> 2016; </w:t>
      </w:r>
      <w:r w:rsidRPr="00190A3E">
        <w:rPr>
          <w:rFonts w:ascii="Book Antiqua" w:eastAsia="Book Antiqua" w:hAnsi="Book Antiqua" w:cs="Book Antiqua"/>
          <w:b/>
          <w:bCs/>
          <w:color w:val="000000" w:themeColor="text1"/>
        </w:rPr>
        <w:t>159</w:t>
      </w:r>
      <w:r w:rsidRPr="00190A3E">
        <w:rPr>
          <w:rFonts w:ascii="Book Antiqua" w:eastAsia="Book Antiqua" w:hAnsi="Book Antiqua" w:cs="Book Antiqua"/>
          <w:color w:val="000000" w:themeColor="text1"/>
        </w:rPr>
        <w:t>: 320-333 [PMID: 26454679 DOI: 10.1016/j.surg.2015.05.040]</w:t>
      </w:r>
    </w:p>
    <w:p w14:paraId="070721D4" w14:textId="77777777" w:rsidR="00A77B3E" w:rsidRPr="00190A3E" w:rsidRDefault="00A77B3E">
      <w:pPr>
        <w:spacing w:line="360" w:lineRule="auto"/>
        <w:jc w:val="both"/>
        <w:rPr>
          <w:rFonts w:ascii="Book Antiqua" w:hAnsi="Book Antiqua"/>
          <w:color w:val="000000" w:themeColor="text1"/>
        </w:rPr>
        <w:sectPr w:rsidR="00A77B3E" w:rsidRPr="00190A3E">
          <w:footerReference w:type="default" r:id="rId8"/>
          <w:pgSz w:w="12240" w:h="15840"/>
          <w:pgMar w:top="1440" w:right="1440" w:bottom="1440" w:left="1440" w:header="720" w:footer="720" w:gutter="0"/>
          <w:cols w:space="720"/>
          <w:docGrid w:linePitch="360"/>
        </w:sectPr>
      </w:pPr>
    </w:p>
    <w:p w14:paraId="37A97DE2"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Footnotes</w:t>
      </w:r>
    </w:p>
    <w:p w14:paraId="7C4F25F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Conflict-of-interest statement: </w:t>
      </w:r>
      <w:r w:rsidRPr="00190A3E">
        <w:rPr>
          <w:rFonts w:ascii="Book Antiqua" w:eastAsia="Book Antiqua" w:hAnsi="Book Antiqua" w:cs="Book Antiqua"/>
          <w:color w:val="000000" w:themeColor="text1"/>
        </w:rPr>
        <w:t>Authors declare no conflict of interests for this manuscript.</w:t>
      </w:r>
    </w:p>
    <w:p w14:paraId="03702690" w14:textId="77777777" w:rsidR="00A77B3E" w:rsidRPr="00190A3E" w:rsidRDefault="00A77B3E">
      <w:pPr>
        <w:spacing w:line="360" w:lineRule="auto"/>
        <w:jc w:val="both"/>
        <w:rPr>
          <w:rFonts w:ascii="Book Antiqua" w:hAnsi="Book Antiqua"/>
          <w:color w:val="000000" w:themeColor="text1"/>
        </w:rPr>
      </w:pPr>
    </w:p>
    <w:p w14:paraId="00840DD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Open-Access: </w:t>
      </w:r>
      <w:r w:rsidRPr="00190A3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405C3" w14:textId="77777777" w:rsidR="00A77B3E" w:rsidRPr="00190A3E" w:rsidRDefault="00A77B3E">
      <w:pPr>
        <w:spacing w:line="360" w:lineRule="auto"/>
        <w:jc w:val="both"/>
        <w:rPr>
          <w:rFonts w:ascii="Book Antiqua" w:hAnsi="Book Antiqua"/>
          <w:color w:val="000000" w:themeColor="text1"/>
        </w:rPr>
      </w:pPr>
    </w:p>
    <w:p w14:paraId="4C2DF211" w14:textId="2677F52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Manuscript source: </w:t>
      </w:r>
      <w:r w:rsidRPr="00190A3E">
        <w:rPr>
          <w:rFonts w:ascii="Book Antiqua" w:eastAsia="Book Antiqua" w:hAnsi="Book Antiqua" w:cs="Book Antiqua"/>
          <w:color w:val="000000" w:themeColor="text1"/>
        </w:rPr>
        <w:t xml:space="preserve">Invited </w:t>
      </w:r>
      <w:r w:rsidR="00634848" w:rsidRPr="00190A3E">
        <w:rPr>
          <w:rFonts w:ascii="Book Antiqua" w:eastAsia="Book Antiqua" w:hAnsi="Book Antiqua" w:cs="Book Antiqua"/>
          <w:color w:val="000000" w:themeColor="text1"/>
        </w:rPr>
        <w:t>m</w:t>
      </w:r>
      <w:r w:rsidRPr="00190A3E">
        <w:rPr>
          <w:rFonts w:ascii="Book Antiqua" w:eastAsia="Book Antiqua" w:hAnsi="Book Antiqua" w:cs="Book Antiqua"/>
          <w:color w:val="000000" w:themeColor="text1"/>
        </w:rPr>
        <w:t>anuscript</w:t>
      </w:r>
    </w:p>
    <w:p w14:paraId="19AC4E85" w14:textId="77777777" w:rsidR="00A77B3E" w:rsidRPr="00190A3E" w:rsidRDefault="00A77B3E">
      <w:pPr>
        <w:spacing w:line="360" w:lineRule="auto"/>
        <w:jc w:val="both"/>
        <w:rPr>
          <w:rFonts w:ascii="Book Antiqua" w:hAnsi="Book Antiqua"/>
          <w:color w:val="000000" w:themeColor="text1"/>
        </w:rPr>
      </w:pPr>
    </w:p>
    <w:p w14:paraId="024CFDB7"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Peer-review started: </w:t>
      </w:r>
      <w:r w:rsidRPr="00190A3E">
        <w:rPr>
          <w:rFonts w:ascii="Book Antiqua" w:eastAsia="Book Antiqua" w:hAnsi="Book Antiqua" w:cs="Book Antiqua"/>
          <w:color w:val="000000" w:themeColor="text1"/>
        </w:rPr>
        <w:t>March 31, 2021</w:t>
      </w:r>
    </w:p>
    <w:p w14:paraId="5EAE0E33"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First decision: </w:t>
      </w:r>
      <w:r w:rsidRPr="00190A3E">
        <w:rPr>
          <w:rFonts w:ascii="Book Antiqua" w:eastAsia="Book Antiqua" w:hAnsi="Book Antiqua" w:cs="Book Antiqua"/>
          <w:color w:val="000000" w:themeColor="text1"/>
        </w:rPr>
        <w:t>June 7, 2021</w:t>
      </w:r>
    </w:p>
    <w:p w14:paraId="5663A7A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Article in press: </w:t>
      </w:r>
    </w:p>
    <w:p w14:paraId="48228196" w14:textId="77777777" w:rsidR="00A77B3E" w:rsidRPr="00190A3E" w:rsidRDefault="00A77B3E">
      <w:pPr>
        <w:spacing w:line="360" w:lineRule="auto"/>
        <w:jc w:val="both"/>
        <w:rPr>
          <w:rFonts w:ascii="Book Antiqua" w:hAnsi="Book Antiqua"/>
          <w:color w:val="000000" w:themeColor="text1"/>
        </w:rPr>
      </w:pPr>
    </w:p>
    <w:p w14:paraId="6ED236E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Specialty type: </w:t>
      </w:r>
      <w:r w:rsidRPr="00190A3E">
        <w:rPr>
          <w:rFonts w:ascii="Book Antiqua" w:eastAsia="Book Antiqua" w:hAnsi="Book Antiqua" w:cs="Book Antiqua"/>
          <w:color w:val="000000" w:themeColor="text1"/>
        </w:rPr>
        <w:t xml:space="preserve">Oncology </w:t>
      </w:r>
    </w:p>
    <w:p w14:paraId="119011FC"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 xml:space="preserve">Country/Territory of origin: </w:t>
      </w:r>
      <w:r w:rsidRPr="00190A3E">
        <w:rPr>
          <w:rFonts w:ascii="Book Antiqua" w:eastAsia="Book Antiqua" w:hAnsi="Book Antiqua" w:cs="Book Antiqua"/>
          <w:color w:val="000000" w:themeColor="text1"/>
        </w:rPr>
        <w:t>United States</w:t>
      </w:r>
    </w:p>
    <w:p w14:paraId="5F0EA58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color w:val="000000" w:themeColor="text1"/>
        </w:rPr>
        <w:t>Peer-review report’s scientific quality classification</w:t>
      </w:r>
    </w:p>
    <w:p w14:paraId="4FF0C944"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A (Excellent): 0</w:t>
      </w:r>
    </w:p>
    <w:p w14:paraId="6366096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B (Very good): 0</w:t>
      </w:r>
    </w:p>
    <w:p w14:paraId="5C8363C5"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C (Good): C</w:t>
      </w:r>
    </w:p>
    <w:p w14:paraId="379774FA"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D (Fair): 0</w:t>
      </w:r>
    </w:p>
    <w:p w14:paraId="486F70B0" w14:textId="77777777"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color w:val="000000" w:themeColor="text1"/>
        </w:rPr>
        <w:t>Grade E (Poor): 0</w:t>
      </w:r>
    </w:p>
    <w:p w14:paraId="7642EFEB" w14:textId="77777777" w:rsidR="00A77B3E" w:rsidRPr="00190A3E" w:rsidRDefault="00A77B3E">
      <w:pPr>
        <w:spacing w:line="360" w:lineRule="auto"/>
        <w:jc w:val="both"/>
        <w:rPr>
          <w:rFonts w:ascii="Book Antiqua" w:hAnsi="Book Antiqua"/>
          <w:color w:val="000000" w:themeColor="text1"/>
        </w:rPr>
      </w:pPr>
    </w:p>
    <w:p w14:paraId="00FAFE5D" w14:textId="1F7C21F6" w:rsidR="00A77B3E" w:rsidRPr="00190A3E" w:rsidRDefault="00150E8B">
      <w:pPr>
        <w:spacing w:line="360" w:lineRule="auto"/>
        <w:jc w:val="both"/>
        <w:rPr>
          <w:rFonts w:ascii="Book Antiqua" w:hAnsi="Book Antiqua"/>
          <w:color w:val="000000" w:themeColor="text1"/>
        </w:rPr>
        <w:sectPr w:rsidR="00A77B3E" w:rsidRPr="00190A3E">
          <w:pgSz w:w="12240" w:h="15840"/>
          <w:pgMar w:top="1440" w:right="1440" w:bottom="1440" w:left="1440" w:header="720" w:footer="720" w:gutter="0"/>
          <w:cols w:space="720"/>
          <w:docGrid w:linePitch="360"/>
        </w:sectPr>
      </w:pPr>
      <w:r w:rsidRPr="00190A3E">
        <w:rPr>
          <w:rFonts w:ascii="Book Antiqua" w:eastAsia="Book Antiqua" w:hAnsi="Book Antiqua" w:cs="Book Antiqua"/>
          <w:b/>
          <w:color w:val="000000" w:themeColor="text1"/>
        </w:rPr>
        <w:t xml:space="preserve">P-Reviewer: </w:t>
      </w:r>
      <w:r w:rsidRPr="00190A3E">
        <w:rPr>
          <w:rFonts w:ascii="Book Antiqua" w:eastAsia="Book Antiqua" w:hAnsi="Book Antiqua" w:cs="Book Antiqua"/>
          <w:color w:val="000000" w:themeColor="text1"/>
        </w:rPr>
        <w:t>Wang Z</w:t>
      </w:r>
      <w:r w:rsidRPr="00190A3E">
        <w:rPr>
          <w:rFonts w:ascii="Book Antiqua" w:eastAsia="Book Antiqua" w:hAnsi="Book Antiqua" w:cs="Book Antiqua"/>
          <w:b/>
          <w:color w:val="000000" w:themeColor="text1"/>
        </w:rPr>
        <w:t xml:space="preserve"> S-Editor: </w:t>
      </w:r>
      <w:r w:rsidR="002313A3" w:rsidRPr="00190A3E">
        <w:rPr>
          <w:rFonts w:ascii="Book Antiqua" w:eastAsia="Book Antiqua" w:hAnsi="Book Antiqua" w:cs="Book Antiqua"/>
          <w:color w:val="000000" w:themeColor="text1"/>
        </w:rPr>
        <w:t>Chang KL</w:t>
      </w:r>
      <w:r w:rsidRPr="00190A3E">
        <w:rPr>
          <w:rFonts w:ascii="Book Antiqua" w:eastAsia="Book Antiqua" w:hAnsi="Book Antiqua" w:cs="Book Antiqua"/>
          <w:b/>
          <w:color w:val="000000" w:themeColor="text1"/>
        </w:rPr>
        <w:t xml:space="preserve"> L-Editor: P-Editor: </w:t>
      </w:r>
    </w:p>
    <w:p w14:paraId="37FCF028" w14:textId="630397DA" w:rsidR="00A77B3E" w:rsidRPr="00190A3E" w:rsidRDefault="00150E8B">
      <w:pPr>
        <w:spacing w:line="360" w:lineRule="auto"/>
        <w:jc w:val="both"/>
        <w:rPr>
          <w:rFonts w:ascii="Book Antiqua" w:eastAsia="Book Antiqua" w:hAnsi="Book Antiqua" w:cs="Book Antiqua"/>
          <w:b/>
          <w:color w:val="000000" w:themeColor="text1"/>
        </w:rPr>
      </w:pPr>
      <w:r w:rsidRPr="00190A3E">
        <w:rPr>
          <w:rFonts w:ascii="Book Antiqua" w:eastAsia="Book Antiqua" w:hAnsi="Book Antiqua" w:cs="Book Antiqua"/>
          <w:b/>
          <w:color w:val="000000" w:themeColor="text1"/>
        </w:rPr>
        <w:t>Figure Legends</w:t>
      </w:r>
    </w:p>
    <w:p w14:paraId="1BE56E20" w14:textId="09792FD7" w:rsidR="00634848" w:rsidRPr="00190A3E" w:rsidRDefault="00677DA4">
      <w:pPr>
        <w:spacing w:line="360" w:lineRule="auto"/>
        <w:jc w:val="both"/>
        <w:rPr>
          <w:noProof/>
          <w:color w:val="000000" w:themeColor="text1"/>
        </w:rPr>
      </w:pPr>
      <w:r w:rsidRPr="00190A3E">
        <w:rPr>
          <w:rFonts w:ascii="Book Antiqua" w:hAnsi="Book Antiqua"/>
          <w:noProof/>
          <w:color w:val="000000" w:themeColor="text1"/>
        </w:rPr>
        <w:drawing>
          <wp:inline distT="0" distB="0" distL="0" distR="0" wp14:anchorId="1A7A7F55" wp14:editId="581E6361">
            <wp:extent cx="2821853" cy="1980000"/>
            <wp:effectExtent l="0" t="0" r="0" b="0"/>
            <wp:docPr id="5" name="Picture 2" descr="A picture containing text, dark&#10;&#10;Description automatically generated">
              <a:extLst xmlns:a="http://schemas.openxmlformats.org/drawingml/2006/main">
                <a:ext uri="{FF2B5EF4-FFF2-40B4-BE49-F238E27FC236}">
                  <a16:creationId xmlns:a16="http://schemas.microsoft.com/office/drawing/2014/main" id="{85AC51A1-D152-4140-B109-40E275EDE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dark&#10;&#10;Description automatically generated">
                      <a:extLst>
                        <a:ext uri="{FF2B5EF4-FFF2-40B4-BE49-F238E27FC236}">
                          <a16:creationId xmlns:a16="http://schemas.microsoft.com/office/drawing/2014/main" id="{85AC51A1-D152-4140-B109-40E275EDE44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1853" cy="198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rPr>
        <w:drawing>
          <wp:inline distT="0" distB="0" distL="0" distR="0" wp14:anchorId="5E2B7367" wp14:editId="01A47790">
            <wp:extent cx="2780899" cy="1980000"/>
            <wp:effectExtent l="0" t="0" r="0" b="0"/>
            <wp:docPr id="8" name="Picture 7" descr="A picture containing text, dark&#10;&#10;Description automatically generated">
              <a:extLst xmlns:a="http://schemas.openxmlformats.org/drawingml/2006/main">
                <a:ext uri="{FF2B5EF4-FFF2-40B4-BE49-F238E27FC236}">
                  <a16:creationId xmlns:a16="http://schemas.microsoft.com/office/drawing/2014/main" id="{2798200F-DF27-463B-93A7-68C1C8AA6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dark&#10;&#10;Description automatically generated">
                      <a:extLst>
                        <a:ext uri="{FF2B5EF4-FFF2-40B4-BE49-F238E27FC236}">
                          <a16:creationId xmlns:a16="http://schemas.microsoft.com/office/drawing/2014/main" id="{2798200F-DF27-463B-93A7-68C1C8AA6E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0899" cy="1980000"/>
                    </a:xfrm>
                    <a:prstGeom prst="rect">
                      <a:avLst/>
                    </a:prstGeom>
                  </pic:spPr>
                </pic:pic>
              </a:graphicData>
            </a:graphic>
          </wp:inline>
        </w:drawing>
      </w:r>
    </w:p>
    <w:p w14:paraId="092CF901" w14:textId="6EA79056" w:rsidR="00677DA4" w:rsidRPr="00190A3E" w:rsidRDefault="00677DA4">
      <w:pPr>
        <w:spacing w:line="360" w:lineRule="auto"/>
        <w:jc w:val="both"/>
        <w:rPr>
          <w:rFonts w:ascii="Book Antiqua" w:hAnsi="Book Antiqua"/>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7D95F51D" w14:textId="35A6203C"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1 </w:t>
      </w:r>
      <w:r w:rsidR="00677DA4" w:rsidRPr="00190A3E">
        <w:rPr>
          <w:rFonts w:ascii="Book Antiqua" w:eastAsia="Book Antiqua" w:hAnsi="Book Antiqua" w:cs="Book Antiqua"/>
          <w:b/>
          <w:bCs/>
          <w:color w:val="000000" w:themeColor="text1"/>
        </w:rPr>
        <w:t>Forty</w:t>
      </w:r>
      <w:r w:rsidR="00634848" w:rsidRPr="00190A3E">
        <w:rPr>
          <w:rFonts w:ascii="Book Antiqua" w:eastAsia="Book Antiqua" w:hAnsi="Book Antiqua" w:cs="Book Antiqua"/>
          <w:b/>
          <w:bCs/>
          <w:color w:val="000000" w:themeColor="text1"/>
        </w:rPr>
        <w:t>-year-old</w:t>
      </w:r>
      <w:r w:rsidRPr="00190A3E">
        <w:rPr>
          <w:rFonts w:ascii="Book Antiqua" w:eastAsia="Book Antiqua" w:hAnsi="Book Antiqua" w:cs="Book Antiqua"/>
          <w:b/>
          <w:bCs/>
          <w:color w:val="000000" w:themeColor="text1"/>
        </w:rPr>
        <w:t xml:space="preserve"> man with pancreatic neuroendocrine neoplasm. </w:t>
      </w:r>
      <w:r w:rsidRPr="00190A3E">
        <w:rPr>
          <w:rFonts w:ascii="Book Antiqua" w:eastAsia="Book Antiqua" w:hAnsi="Book Antiqua" w:cs="Book Antiqua"/>
          <w:color w:val="000000" w:themeColor="text1"/>
        </w:rPr>
        <w:t>A: Axial ultrasound shows a large solid heterogeneous mass (long arrow). Internal calcification (small arrow) is seen, causing posterior acoustic shadowing; B: Doppler ultrasound shows increased vascularity within the pancreatic tumor.</w:t>
      </w:r>
    </w:p>
    <w:p w14:paraId="13D157DC" w14:textId="77777777" w:rsidR="00634848" w:rsidRPr="00190A3E" w:rsidRDefault="00634848">
      <w:pPr>
        <w:spacing w:line="360" w:lineRule="auto"/>
        <w:jc w:val="both"/>
        <w:rPr>
          <w:rFonts w:ascii="Book Antiqua" w:hAnsi="Book Antiqua"/>
          <w:color w:val="000000" w:themeColor="text1"/>
        </w:rPr>
        <w:sectPr w:rsidR="00634848" w:rsidRPr="00190A3E">
          <w:pgSz w:w="12240" w:h="15840"/>
          <w:pgMar w:top="1440" w:right="1440" w:bottom="1440" w:left="1440" w:header="720" w:footer="720" w:gutter="0"/>
          <w:cols w:space="720"/>
          <w:docGrid w:linePitch="360"/>
        </w:sectPr>
      </w:pPr>
    </w:p>
    <w:p w14:paraId="7CE942E2" w14:textId="609BEFD7" w:rsidR="00A77B3E" w:rsidRPr="00190A3E" w:rsidRDefault="00677DA4">
      <w:pPr>
        <w:spacing w:line="360" w:lineRule="auto"/>
        <w:jc w:val="both"/>
        <w:rPr>
          <w:noProof/>
          <w:color w:val="000000" w:themeColor="text1"/>
        </w:rPr>
      </w:pPr>
      <w:r w:rsidRPr="00190A3E">
        <w:rPr>
          <w:rFonts w:ascii="Book Antiqua" w:hAnsi="Book Antiqua"/>
          <w:noProof/>
          <w:color w:val="000000" w:themeColor="text1"/>
        </w:rPr>
        <w:drawing>
          <wp:inline distT="0" distB="0" distL="0" distR="0" wp14:anchorId="1C12CC0C" wp14:editId="57A83ECB">
            <wp:extent cx="1968221" cy="1440000"/>
            <wp:effectExtent l="0" t="0" r="0" b="0"/>
            <wp:docPr id="6" name="Picture 5">
              <a:extLst xmlns:a="http://schemas.openxmlformats.org/drawingml/2006/main">
                <a:ext uri="{FF2B5EF4-FFF2-40B4-BE49-F238E27FC236}">
                  <a16:creationId xmlns:a16="http://schemas.microsoft.com/office/drawing/2014/main" id="{16EC41A7-0C96-4A6C-B53B-2A790862A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6EC41A7-0C96-4A6C-B53B-2A790862AF3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8221"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rPr>
        <w:drawing>
          <wp:inline distT="0" distB="0" distL="0" distR="0" wp14:anchorId="6A68F008" wp14:editId="70AB1B03">
            <wp:extent cx="1968221" cy="1440000"/>
            <wp:effectExtent l="0" t="0" r="0" b="0"/>
            <wp:docPr id="9" name="Picture 8">
              <a:extLst xmlns:a="http://schemas.openxmlformats.org/drawingml/2006/main">
                <a:ext uri="{FF2B5EF4-FFF2-40B4-BE49-F238E27FC236}">
                  <a16:creationId xmlns:a16="http://schemas.microsoft.com/office/drawing/2014/main" id="{85D6ACE7-946F-4D45-90AE-840C615C1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D6ACE7-946F-4D45-90AE-840C615C160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8221" cy="1440000"/>
                    </a:xfrm>
                    <a:prstGeom prst="rect">
                      <a:avLst/>
                    </a:prstGeom>
                  </pic:spPr>
                </pic:pic>
              </a:graphicData>
            </a:graphic>
          </wp:inline>
        </w:drawing>
      </w:r>
    </w:p>
    <w:p w14:paraId="594CFD38" w14:textId="1E19568B" w:rsidR="00677DA4" w:rsidRPr="00190A3E" w:rsidRDefault="00677DA4">
      <w:pPr>
        <w:spacing w:line="360" w:lineRule="auto"/>
        <w:jc w:val="both"/>
        <w:rPr>
          <w:noProof/>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71D80719"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noProof/>
          <w:color w:val="000000" w:themeColor="text1"/>
        </w:rPr>
        <w:drawing>
          <wp:inline distT="0" distB="0" distL="0" distR="0" wp14:anchorId="1D8C3A9B" wp14:editId="3029147A">
            <wp:extent cx="1933146" cy="1440000"/>
            <wp:effectExtent l="0" t="0" r="0" b="0"/>
            <wp:docPr id="3" name="Picture 2" descr="A picture containing indoor&#10;&#10;Description automatically generated">
              <a:extLst xmlns:a="http://schemas.openxmlformats.org/drawingml/2006/main">
                <a:ext uri="{FF2B5EF4-FFF2-40B4-BE49-F238E27FC236}">
                  <a16:creationId xmlns:a16="http://schemas.microsoft.com/office/drawing/2014/main" id="{B4D7D226-4E36-403D-918B-EFE3DDBB1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10;&#10;Description automatically generated">
                      <a:extLst>
                        <a:ext uri="{FF2B5EF4-FFF2-40B4-BE49-F238E27FC236}">
                          <a16:creationId xmlns:a16="http://schemas.microsoft.com/office/drawing/2014/main" id="{B4D7D226-4E36-403D-918B-EFE3DDBB159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146"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rPr>
        <w:drawing>
          <wp:inline distT="0" distB="0" distL="0" distR="0" wp14:anchorId="509BA24A" wp14:editId="00AF1D0B">
            <wp:extent cx="1971870" cy="1438910"/>
            <wp:effectExtent l="0" t="0" r="0" b="0"/>
            <wp:docPr id="7" name="Picture 6" descr="A picture containing light, star&#10;&#10;Description automatically generated">
              <a:extLst xmlns:a="http://schemas.openxmlformats.org/drawingml/2006/main">
                <a:ext uri="{FF2B5EF4-FFF2-40B4-BE49-F238E27FC236}">
                  <a16:creationId xmlns:a16="http://schemas.microsoft.com/office/drawing/2014/main" id="{67651F6B-9C7B-4A26-B431-85C6F904A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ight, star&#10;&#10;Description automatically generated">
                      <a:extLst>
                        <a:ext uri="{FF2B5EF4-FFF2-40B4-BE49-F238E27FC236}">
                          <a16:creationId xmlns:a16="http://schemas.microsoft.com/office/drawing/2014/main" id="{67651F6B-9C7B-4A26-B431-85C6F904A93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7310" cy="1450177"/>
                    </a:xfrm>
                    <a:prstGeom prst="rect">
                      <a:avLst/>
                    </a:prstGeom>
                  </pic:spPr>
                </pic:pic>
              </a:graphicData>
            </a:graphic>
          </wp:inline>
        </w:drawing>
      </w:r>
      <w:r w:rsidRPr="00190A3E">
        <w:rPr>
          <w:rFonts w:ascii="Book Antiqua" w:hAnsi="Book Antiqua"/>
          <w:b/>
          <w:bCs/>
          <w:color w:val="000000" w:themeColor="text1"/>
        </w:rPr>
        <w:t xml:space="preserve"> </w:t>
      </w:r>
    </w:p>
    <w:p w14:paraId="07954A37" w14:textId="67EECF57" w:rsidR="00D63721" w:rsidRPr="00190A3E" w:rsidRDefault="00D63721" w:rsidP="00D63721">
      <w:pPr>
        <w:spacing w:line="360" w:lineRule="auto"/>
        <w:jc w:val="both"/>
        <w:rPr>
          <w:rFonts w:ascii="Book Antiqua" w:hAnsi="Book Antiqua"/>
          <w:bCs/>
          <w:color w:val="000000" w:themeColor="text1"/>
          <w:lang w:eastAsia="zh-CN"/>
        </w:rPr>
      </w:pPr>
      <w:r w:rsidRPr="00190A3E">
        <w:rPr>
          <w:rFonts w:ascii="Book Antiqua" w:hAnsi="Book Antiqua"/>
          <w:b/>
          <w:bCs/>
          <w:color w:val="000000" w:themeColor="text1"/>
          <w:lang w:eastAsia="zh-CN"/>
        </w:rPr>
        <w:t xml:space="preserve">C                                                                  </w:t>
      </w:r>
      <w:r w:rsidRPr="00190A3E">
        <w:rPr>
          <w:rFonts w:ascii="Book Antiqua" w:hAnsi="Book Antiqua"/>
          <w:bCs/>
          <w:color w:val="000000" w:themeColor="text1"/>
          <w:lang w:eastAsia="zh-CN"/>
        </w:rPr>
        <w:t>D</w:t>
      </w:r>
    </w:p>
    <w:p w14:paraId="054CC479"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b/>
          <w:bCs/>
          <w:noProof/>
          <w:color w:val="000000" w:themeColor="text1"/>
        </w:rPr>
        <w:drawing>
          <wp:inline distT="0" distB="0" distL="0" distR="0" wp14:anchorId="0F01EFFC" wp14:editId="7EA5D9AE">
            <wp:extent cx="1967865" cy="1439545"/>
            <wp:effectExtent l="0" t="0" r="0" b="0"/>
            <wp:docPr id="10" name="Picture 9" descr="A picture containing indoor&#10;&#10;Description automatically generated">
              <a:extLst xmlns:a="http://schemas.openxmlformats.org/drawingml/2006/main">
                <a:ext uri="{FF2B5EF4-FFF2-40B4-BE49-F238E27FC236}">
                  <a16:creationId xmlns:a16="http://schemas.microsoft.com/office/drawing/2014/main" id="{E95D7C23-3A2B-425C-8A36-9F5A6729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ndoor&#10;&#10;Description automatically generated">
                      <a:extLst>
                        <a:ext uri="{FF2B5EF4-FFF2-40B4-BE49-F238E27FC236}">
                          <a16:creationId xmlns:a16="http://schemas.microsoft.com/office/drawing/2014/main" id="{E95D7C23-3A2B-425C-8A36-9F5A6729EFD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538" cy="1440037"/>
                    </a:xfrm>
                    <a:prstGeom prst="rect">
                      <a:avLst/>
                    </a:prstGeom>
                  </pic:spPr>
                </pic:pic>
              </a:graphicData>
            </a:graphic>
          </wp:inline>
        </w:drawing>
      </w:r>
    </w:p>
    <w:p w14:paraId="4D19CCF1" w14:textId="2A284FEF" w:rsidR="00D63721" w:rsidRPr="00190A3E" w:rsidRDefault="00D63721" w:rsidP="00D63721">
      <w:pPr>
        <w:spacing w:line="360" w:lineRule="auto"/>
        <w:jc w:val="both"/>
        <w:rPr>
          <w:rFonts w:ascii="Book Antiqua" w:hAnsi="Book Antiqua"/>
          <w:color w:val="000000" w:themeColor="text1"/>
          <w:lang w:eastAsia="zh-CN"/>
        </w:rPr>
      </w:pPr>
      <w:r w:rsidRPr="00190A3E">
        <w:rPr>
          <w:rFonts w:ascii="Book Antiqua" w:hAnsi="Book Antiqua"/>
          <w:b/>
          <w:bCs/>
          <w:color w:val="000000" w:themeColor="text1"/>
          <w:lang w:eastAsia="zh-CN"/>
        </w:rPr>
        <w:t>E</w:t>
      </w:r>
    </w:p>
    <w:p w14:paraId="1BB7C0EE" w14:textId="661C31C0"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2 </w:t>
      </w:r>
      <w:r w:rsidR="00677DA4" w:rsidRPr="00190A3E">
        <w:rPr>
          <w:rFonts w:ascii="Book Antiqua" w:eastAsia="Book Antiqua" w:hAnsi="Book Antiqua" w:cs="Book Antiqua"/>
          <w:b/>
          <w:bCs/>
          <w:color w:val="000000" w:themeColor="text1"/>
        </w:rPr>
        <w:t>Thirty-eight</w:t>
      </w:r>
      <w:r w:rsidR="00634848" w:rsidRPr="00190A3E">
        <w:rPr>
          <w:rFonts w:ascii="Book Antiqua" w:eastAsia="Book Antiqua" w:hAnsi="Book Antiqua" w:cs="Book Antiqua"/>
          <w:b/>
          <w:bCs/>
          <w:color w:val="000000" w:themeColor="text1"/>
        </w:rPr>
        <w:t>-year-old</w:t>
      </w:r>
      <w:r w:rsidRPr="00190A3E">
        <w:rPr>
          <w:rFonts w:ascii="Book Antiqua" w:eastAsia="Book Antiqua" w:hAnsi="Book Antiqua" w:cs="Book Antiqua"/>
          <w:b/>
          <w:bCs/>
          <w:color w:val="000000" w:themeColor="text1"/>
        </w:rPr>
        <w:t xml:space="preserve"> woman with pancreatic neuroendocrine neoplasm.</w:t>
      </w:r>
      <w:r w:rsidRPr="00190A3E">
        <w:rPr>
          <w:rFonts w:ascii="Book Antiqua" w:eastAsia="Book Antiqua" w:hAnsi="Book Antiqua" w:cs="Book Antiqua"/>
          <w:color w:val="000000" w:themeColor="text1"/>
        </w:rPr>
        <w:t xml:space="preserve"> A: Axial precontrast computed tomography; B</w:t>
      </w:r>
      <w:r w:rsidR="00634848"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color w:val="000000" w:themeColor="text1"/>
        </w:rPr>
        <w:t>C: Contrast-enhanced computed tomography in the arterial phase (B) and delayed phase (C) demonstrate pancreatic neuroendocrine neoplasm (arrow). Patient underwent surgical resection; D</w:t>
      </w:r>
      <w:r w:rsidR="00634848" w:rsidRPr="00190A3E">
        <w:rPr>
          <w:rFonts w:ascii="Book Antiqua" w:eastAsia="Book Antiqua" w:hAnsi="Book Antiqua" w:cs="Book Antiqua"/>
          <w:color w:val="000000" w:themeColor="text1"/>
        </w:rPr>
        <w:t xml:space="preserve"> and </w:t>
      </w:r>
      <w:r w:rsidRPr="00190A3E">
        <w:rPr>
          <w:rFonts w:ascii="Book Antiqua" w:eastAsia="Book Antiqua" w:hAnsi="Book Antiqua" w:cs="Book Antiqua"/>
          <w:color w:val="000000" w:themeColor="text1"/>
        </w:rPr>
        <w:t>E: Follow-up</w:t>
      </w:r>
      <w:r w:rsidR="00677DA4" w:rsidRPr="00190A3E">
        <w:rPr>
          <w:rFonts w:ascii="Book Antiqua" w:eastAsia="Book Antiqua" w:hAnsi="Book Antiqua" w:cs="Book Antiqua"/>
          <w:color w:val="000000" w:themeColor="text1"/>
        </w:rPr>
        <w:t xml:space="preserve"> </w:t>
      </w:r>
      <w:r w:rsidR="005E6FFD" w:rsidRPr="00190A3E">
        <w:rPr>
          <w:rFonts w:ascii="Book Antiqua" w:hAnsi="Book Antiqua"/>
          <w:color w:val="000000" w:themeColor="text1"/>
        </w:rPr>
        <w:t>Gallium-68 1,4,7,10-tetraazacyclododecane-1,4,7,10-tetraacetic acid–octreotate</w:t>
      </w:r>
      <w:r w:rsidRPr="00190A3E">
        <w:rPr>
          <w:rFonts w:ascii="Book Antiqua" w:eastAsia="Book Antiqua" w:hAnsi="Book Antiqua" w:cs="Book Antiqua"/>
          <w:color w:val="000000" w:themeColor="text1"/>
        </w:rPr>
        <w:t xml:space="preserve"> </w:t>
      </w:r>
      <w:r w:rsidR="00634848" w:rsidRPr="00190A3E">
        <w:rPr>
          <w:rFonts w:ascii="Book Antiqua" w:eastAsia="Book Antiqua" w:hAnsi="Book Antiqua" w:cs="Book Antiqua"/>
          <w:color w:val="000000" w:themeColor="text1"/>
        </w:rPr>
        <w:t>positron emission tomography</w:t>
      </w:r>
      <w:r w:rsidRPr="00190A3E">
        <w:rPr>
          <w:rFonts w:ascii="Book Antiqua" w:eastAsia="Book Antiqua" w:hAnsi="Book Antiqua" w:cs="Book Antiqua"/>
          <w:color w:val="000000" w:themeColor="text1"/>
        </w:rPr>
        <w:t>/</w:t>
      </w:r>
      <w:r w:rsidR="00677DA4" w:rsidRPr="00190A3E">
        <w:rPr>
          <w:rFonts w:ascii="Book Antiqua" w:eastAsia="Book Antiqua" w:hAnsi="Book Antiqua" w:cs="Book Antiqua"/>
          <w:color w:val="000000" w:themeColor="text1"/>
        </w:rPr>
        <w:t>computed tomography</w:t>
      </w:r>
      <w:r w:rsidRPr="00190A3E">
        <w:rPr>
          <w:rFonts w:ascii="Book Antiqua" w:eastAsia="Book Antiqua" w:hAnsi="Book Antiqua" w:cs="Book Antiqua"/>
          <w:color w:val="000000" w:themeColor="text1"/>
        </w:rPr>
        <w:t xml:space="preserve"> shows metastatic adenopathy (short arrow) and liver metastases (long arrow).</w:t>
      </w:r>
    </w:p>
    <w:p w14:paraId="0F029872"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4CE65184" w14:textId="77777777" w:rsidR="00D63721" w:rsidRPr="00190A3E" w:rsidRDefault="00D63721" w:rsidP="00D63721">
      <w:pPr>
        <w:spacing w:line="360" w:lineRule="auto"/>
        <w:jc w:val="both"/>
        <w:rPr>
          <w:noProof/>
          <w:color w:val="000000" w:themeColor="text1"/>
        </w:rPr>
      </w:pPr>
      <w:r w:rsidRPr="00190A3E">
        <w:rPr>
          <w:rFonts w:ascii="Book Antiqua" w:hAnsi="Book Antiqua"/>
          <w:noProof/>
          <w:color w:val="000000" w:themeColor="text1"/>
        </w:rPr>
        <w:drawing>
          <wp:inline distT="0" distB="0" distL="0" distR="0" wp14:anchorId="2799D2E7" wp14:editId="2AA26727">
            <wp:extent cx="2182400" cy="1440000"/>
            <wp:effectExtent l="0" t="0" r="0" b="0"/>
            <wp:docPr id="11" name="Picture 2">
              <a:extLst xmlns:a="http://schemas.openxmlformats.org/drawingml/2006/main">
                <a:ext uri="{FF2B5EF4-FFF2-40B4-BE49-F238E27FC236}">
                  <a16:creationId xmlns:a16="http://schemas.microsoft.com/office/drawing/2014/main" id="{7D55AD03-3F22-4410-90EE-980414C40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D55AD03-3F22-4410-90EE-980414C406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2400" cy="1440000"/>
                    </a:xfrm>
                    <a:prstGeom prst="rect">
                      <a:avLst/>
                    </a:prstGeom>
                  </pic:spPr>
                </pic:pic>
              </a:graphicData>
            </a:graphic>
          </wp:inline>
        </w:drawing>
      </w:r>
      <w:r w:rsidRPr="00190A3E">
        <w:rPr>
          <w:noProof/>
          <w:color w:val="000000" w:themeColor="text1"/>
        </w:rPr>
        <w:t xml:space="preserve">  </w:t>
      </w:r>
      <w:r w:rsidRPr="00190A3E">
        <w:rPr>
          <w:rFonts w:ascii="Book Antiqua" w:hAnsi="Book Antiqua"/>
          <w:noProof/>
          <w:color w:val="000000" w:themeColor="text1"/>
        </w:rPr>
        <w:drawing>
          <wp:inline distT="0" distB="0" distL="0" distR="0" wp14:anchorId="5A585E60" wp14:editId="6CB84B17">
            <wp:extent cx="2238400" cy="1440000"/>
            <wp:effectExtent l="0" t="0" r="0" b="0"/>
            <wp:docPr id="12" name="Picture 6" descr="A picture containing helmet, porcelain&#10;&#10;Description automatically generated">
              <a:extLst xmlns:a="http://schemas.openxmlformats.org/drawingml/2006/main">
                <a:ext uri="{FF2B5EF4-FFF2-40B4-BE49-F238E27FC236}">
                  <a16:creationId xmlns:a16="http://schemas.microsoft.com/office/drawing/2014/main" id="{352596FA-B4D7-4FAD-8A5E-2F3A17587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helmet, porcelain&#10;&#10;Description automatically generated">
                      <a:extLst>
                        <a:ext uri="{FF2B5EF4-FFF2-40B4-BE49-F238E27FC236}">
                          <a16:creationId xmlns:a16="http://schemas.microsoft.com/office/drawing/2014/main" id="{352596FA-B4D7-4FAD-8A5E-2F3A17587A3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400" cy="1440000"/>
                    </a:xfrm>
                    <a:prstGeom prst="rect">
                      <a:avLst/>
                    </a:prstGeom>
                  </pic:spPr>
                </pic:pic>
              </a:graphicData>
            </a:graphic>
          </wp:inline>
        </w:drawing>
      </w:r>
    </w:p>
    <w:p w14:paraId="1D59290B" w14:textId="147ABCC1" w:rsidR="00677DA4" w:rsidRPr="00190A3E" w:rsidRDefault="00D63721" w:rsidP="00D63721">
      <w:pPr>
        <w:spacing w:line="360" w:lineRule="auto"/>
        <w:jc w:val="both"/>
        <w:rPr>
          <w:noProof/>
          <w:color w:val="000000" w:themeColor="text1"/>
          <w:lang w:eastAsia="zh-CN"/>
        </w:rPr>
      </w:pPr>
      <w:r w:rsidRPr="00190A3E">
        <w:rPr>
          <w:rFonts w:hint="eastAsia"/>
          <w:noProof/>
          <w:color w:val="000000" w:themeColor="text1"/>
          <w:lang w:eastAsia="zh-CN"/>
        </w:rPr>
        <w:t>A</w:t>
      </w:r>
      <w:r w:rsidRPr="00190A3E">
        <w:rPr>
          <w:noProof/>
          <w:color w:val="000000" w:themeColor="text1"/>
          <w:lang w:eastAsia="zh-CN"/>
        </w:rPr>
        <w:t xml:space="preserve">                                                                       B</w:t>
      </w:r>
    </w:p>
    <w:p w14:paraId="43A7F149" w14:textId="761486C0"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b/>
          <w:bCs/>
          <w:noProof/>
          <w:color w:val="000000" w:themeColor="text1"/>
        </w:rPr>
        <w:drawing>
          <wp:inline distT="0" distB="0" distL="0" distR="0" wp14:anchorId="7B916FF2" wp14:editId="4002E4C0">
            <wp:extent cx="1993600" cy="1440000"/>
            <wp:effectExtent l="0" t="0" r="0" b="0"/>
            <wp:docPr id="4" name="Picture 3" descr="A picture containing black&#10;&#10;Description automatically generated">
              <a:extLst xmlns:a="http://schemas.openxmlformats.org/drawingml/2006/main">
                <a:ext uri="{FF2B5EF4-FFF2-40B4-BE49-F238E27FC236}">
                  <a16:creationId xmlns:a16="http://schemas.microsoft.com/office/drawing/2014/main" id="{5EA0B888-799B-43A7-8DE4-761E79DA6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black&#10;&#10;Description automatically generated">
                      <a:extLst>
                        <a:ext uri="{FF2B5EF4-FFF2-40B4-BE49-F238E27FC236}">
                          <a16:creationId xmlns:a16="http://schemas.microsoft.com/office/drawing/2014/main" id="{5EA0B888-799B-43A7-8DE4-761E79DA628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600" cy="1440000"/>
                    </a:xfrm>
                    <a:prstGeom prst="rect">
                      <a:avLst/>
                    </a:prstGeom>
                  </pic:spPr>
                </pic:pic>
              </a:graphicData>
            </a:graphic>
          </wp:inline>
        </w:drawing>
      </w:r>
      <w:r w:rsidRPr="00190A3E">
        <w:rPr>
          <w:rFonts w:ascii="Book Antiqua" w:hAnsi="Book Antiqua" w:hint="eastAsia"/>
          <w:b/>
          <w:bCs/>
          <w:color w:val="000000" w:themeColor="text1"/>
          <w:lang w:eastAsia="zh-CN"/>
        </w:rPr>
        <w:t xml:space="preserve"> </w:t>
      </w:r>
      <w:r w:rsidRPr="00190A3E">
        <w:rPr>
          <w:rFonts w:ascii="Book Antiqua" w:hAnsi="Book Antiqua"/>
          <w:b/>
          <w:bCs/>
          <w:color w:val="000000" w:themeColor="text1"/>
          <w:lang w:eastAsia="zh-CN"/>
        </w:rPr>
        <w:t xml:space="preserve"> </w:t>
      </w:r>
      <w:r w:rsidRPr="00190A3E">
        <w:rPr>
          <w:rFonts w:ascii="Book Antiqua" w:hAnsi="Book Antiqua"/>
          <w:b/>
          <w:bCs/>
          <w:noProof/>
          <w:color w:val="000000" w:themeColor="text1"/>
        </w:rPr>
        <w:drawing>
          <wp:inline distT="0" distB="0" distL="0" distR="0" wp14:anchorId="50CD3118" wp14:editId="28556F71">
            <wp:extent cx="1979200" cy="1440000"/>
            <wp:effectExtent l="0" t="0" r="0" b="0"/>
            <wp:docPr id="13" name="Picture 6">
              <a:extLst xmlns:a="http://schemas.openxmlformats.org/drawingml/2006/main">
                <a:ext uri="{FF2B5EF4-FFF2-40B4-BE49-F238E27FC236}">
                  <a16:creationId xmlns:a16="http://schemas.microsoft.com/office/drawing/2014/main" id="{05F3F077-FCD7-4CFB-BF93-897F5C84D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5F3F077-FCD7-4CFB-BF93-897F5C84DE2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200" cy="1440000"/>
                    </a:xfrm>
                    <a:prstGeom prst="rect">
                      <a:avLst/>
                    </a:prstGeom>
                  </pic:spPr>
                </pic:pic>
              </a:graphicData>
            </a:graphic>
          </wp:inline>
        </w:drawing>
      </w:r>
    </w:p>
    <w:p w14:paraId="0C82705C" w14:textId="1A760918"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hint="eastAsia"/>
          <w:b/>
          <w:bCs/>
          <w:color w:val="000000" w:themeColor="text1"/>
          <w:lang w:eastAsia="zh-CN"/>
        </w:rPr>
        <w:t>C</w:t>
      </w:r>
      <w:r w:rsidRPr="00190A3E">
        <w:rPr>
          <w:rFonts w:ascii="Book Antiqua" w:hAnsi="Book Antiqua"/>
          <w:b/>
          <w:bCs/>
          <w:color w:val="000000" w:themeColor="text1"/>
          <w:lang w:eastAsia="zh-CN"/>
        </w:rPr>
        <w:t xml:space="preserve">                                                                 D</w:t>
      </w:r>
    </w:p>
    <w:p w14:paraId="3D479E9B" w14:textId="750921F4"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b/>
          <w:bCs/>
          <w:noProof/>
          <w:color w:val="000000" w:themeColor="text1"/>
        </w:rPr>
        <w:drawing>
          <wp:inline distT="0" distB="0" distL="0" distR="0" wp14:anchorId="0D936DBF" wp14:editId="6D78E55D">
            <wp:extent cx="1870629" cy="1440000"/>
            <wp:effectExtent l="0" t="0" r="0" b="0"/>
            <wp:docPr id="14" name="Picture 9" descr="A picture containing crater&#10;&#10;Description automatically generated">
              <a:extLst xmlns:a="http://schemas.openxmlformats.org/drawingml/2006/main">
                <a:ext uri="{FF2B5EF4-FFF2-40B4-BE49-F238E27FC236}">
                  <a16:creationId xmlns:a16="http://schemas.microsoft.com/office/drawing/2014/main" id="{739548D6-FBAB-41EA-B9F9-C2C7CB070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crater&#10;&#10;Description automatically generated">
                      <a:extLst>
                        <a:ext uri="{FF2B5EF4-FFF2-40B4-BE49-F238E27FC236}">
                          <a16:creationId xmlns:a16="http://schemas.microsoft.com/office/drawing/2014/main" id="{739548D6-FBAB-41EA-B9F9-C2C7CB07026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0629" cy="1440000"/>
                    </a:xfrm>
                    <a:prstGeom prst="rect">
                      <a:avLst/>
                    </a:prstGeom>
                  </pic:spPr>
                </pic:pic>
              </a:graphicData>
            </a:graphic>
          </wp:inline>
        </w:drawing>
      </w:r>
    </w:p>
    <w:p w14:paraId="7A6887EC" w14:textId="64DF90A4" w:rsidR="00D63721" w:rsidRPr="00190A3E" w:rsidRDefault="00D63721" w:rsidP="00D63721">
      <w:pPr>
        <w:spacing w:line="360" w:lineRule="auto"/>
        <w:jc w:val="both"/>
        <w:rPr>
          <w:rFonts w:ascii="Book Antiqua" w:hAnsi="Book Antiqua"/>
          <w:b/>
          <w:bCs/>
          <w:color w:val="000000" w:themeColor="text1"/>
          <w:lang w:eastAsia="zh-CN"/>
        </w:rPr>
      </w:pPr>
      <w:r w:rsidRPr="00190A3E">
        <w:rPr>
          <w:rFonts w:ascii="Book Antiqua" w:hAnsi="Book Antiqua" w:hint="eastAsia"/>
          <w:b/>
          <w:bCs/>
          <w:color w:val="000000" w:themeColor="text1"/>
          <w:lang w:eastAsia="zh-CN"/>
        </w:rPr>
        <w:t>E</w:t>
      </w:r>
    </w:p>
    <w:p w14:paraId="4EB914F5" w14:textId="3D3C9CF2" w:rsidR="00677DA4" w:rsidRPr="00190A3E" w:rsidRDefault="00150E8B">
      <w:pPr>
        <w:spacing w:line="360" w:lineRule="auto"/>
        <w:jc w:val="both"/>
        <w:rPr>
          <w:rFonts w:ascii="Book Antiqua" w:eastAsia="Book Antiqua" w:hAnsi="Book Antiqua" w:cs="Book Antiqua"/>
          <w:color w:val="000000" w:themeColor="text1"/>
        </w:rPr>
      </w:pPr>
      <w:r w:rsidRPr="00190A3E">
        <w:rPr>
          <w:rFonts w:ascii="Book Antiqua" w:eastAsia="Book Antiqua" w:hAnsi="Book Antiqua" w:cs="Book Antiqua"/>
          <w:b/>
          <w:bCs/>
          <w:color w:val="000000" w:themeColor="text1"/>
        </w:rPr>
        <w:t xml:space="preserve">Figure 3 </w:t>
      </w:r>
      <w:r w:rsidR="00677DA4" w:rsidRPr="00190A3E">
        <w:rPr>
          <w:rFonts w:ascii="Book Antiqua" w:eastAsia="Book Antiqua" w:hAnsi="Book Antiqua" w:cs="Book Antiqua"/>
          <w:b/>
          <w:bCs/>
          <w:color w:val="000000" w:themeColor="text1"/>
        </w:rPr>
        <w:t>Thirty-five-year-old</w:t>
      </w:r>
      <w:r w:rsidRPr="00190A3E">
        <w:rPr>
          <w:rFonts w:ascii="Book Antiqua" w:eastAsia="Book Antiqua" w:hAnsi="Book Antiqua" w:cs="Book Antiqua"/>
          <w:b/>
          <w:bCs/>
          <w:color w:val="000000" w:themeColor="text1"/>
        </w:rPr>
        <w:t xml:space="preserve"> male with small pancreatic neuroendocrine neoplasm.</w:t>
      </w:r>
      <w:r w:rsidRPr="00190A3E">
        <w:rPr>
          <w:rFonts w:ascii="Book Antiqua" w:eastAsia="Book Antiqua" w:hAnsi="Book Antiqua" w:cs="Book Antiqua"/>
          <w:color w:val="000000" w:themeColor="text1"/>
        </w:rPr>
        <w:t xml:space="preserve"> A: Axial </w:t>
      </w:r>
      <w:r w:rsidR="00677DA4" w:rsidRPr="00190A3E">
        <w:rPr>
          <w:rFonts w:ascii="Book Antiqua" w:eastAsia="Book Antiqua" w:hAnsi="Book Antiqua" w:cs="Book Antiqua"/>
          <w:color w:val="000000" w:themeColor="text1"/>
        </w:rPr>
        <w:t>magnetic resonance</w:t>
      </w:r>
      <w:r w:rsidRPr="00190A3E">
        <w:rPr>
          <w:rFonts w:ascii="Book Antiqua" w:eastAsia="Book Antiqua" w:hAnsi="Book Antiqua" w:cs="Book Antiqua"/>
          <w:color w:val="000000" w:themeColor="text1"/>
        </w:rPr>
        <w:t xml:space="preserve"> T2 weighted image; B: T1 weighted image show a small 1 cm mass (arrow) in the head of pancreas; C: Arterial phase image shows avid enhancement in the tumor; D: Diffusion-weighted image; E: </w:t>
      </w:r>
      <w:r w:rsidR="00D97507" w:rsidRPr="00190A3E">
        <w:rPr>
          <w:rFonts w:ascii="Book Antiqua" w:eastAsia="Book Antiqua" w:hAnsi="Book Antiqua" w:cs="Book Antiqua"/>
          <w:color w:val="000000" w:themeColor="text1"/>
        </w:rPr>
        <w:t>Apparent diffusion coefficient</w:t>
      </w:r>
      <w:r w:rsidRPr="00190A3E">
        <w:rPr>
          <w:rFonts w:ascii="Book Antiqua" w:eastAsia="Book Antiqua" w:hAnsi="Book Antiqua" w:cs="Book Antiqua"/>
          <w:color w:val="000000" w:themeColor="text1"/>
        </w:rPr>
        <w:t xml:space="preserve"> map show restricted diffusion within the tumor (arrow). Biopsy confirmed diagnosis of pancreatic neuroendocrine neoplasm.</w:t>
      </w:r>
    </w:p>
    <w:p w14:paraId="1FEA1A46"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1021C1C2" w14:textId="7A12F575" w:rsidR="00D63721" w:rsidRPr="00190A3E" w:rsidRDefault="00D63721">
      <w:pPr>
        <w:spacing w:line="360" w:lineRule="auto"/>
        <w:jc w:val="both"/>
        <w:rPr>
          <w:rFonts w:ascii="Book Antiqua" w:hAnsi="Book Antiqua"/>
          <w:b/>
          <w:bCs/>
          <w:color w:val="000000" w:themeColor="text1"/>
          <w:lang w:eastAsia="zh-CN"/>
        </w:rPr>
      </w:pPr>
      <w:r w:rsidRPr="00190A3E">
        <w:rPr>
          <w:rFonts w:ascii="Book Antiqua" w:hAnsi="Book Antiqua"/>
          <w:noProof/>
          <w:color w:val="000000" w:themeColor="text1"/>
        </w:rPr>
        <w:drawing>
          <wp:inline distT="0" distB="0" distL="0" distR="0" wp14:anchorId="57D0DFB6" wp14:editId="4D6B8E04">
            <wp:extent cx="2119536" cy="3960000"/>
            <wp:effectExtent l="0" t="0" r="0" b="0"/>
            <wp:docPr id="15" name="Picture 2">
              <a:extLst xmlns:a="http://schemas.openxmlformats.org/drawingml/2006/main">
                <a:ext uri="{FF2B5EF4-FFF2-40B4-BE49-F238E27FC236}">
                  <a16:creationId xmlns:a16="http://schemas.microsoft.com/office/drawing/2014/main" id="{B73E6EBB-9769-47FB-A718-8EBEF6227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3E6EBB-9769-47FB-A718-8EBEF62278F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9536" cy="3960000"/>
                    </a:xfrm>
                    <a:prstGeom prst="rect">
                      <a:avLst/>
                    </a:prstGeom>
                  </pic:spPr>
                </pic:pic>
              </a:graphicData>
            </a:graphic>
          </wp:inline>
        </w:drawing>
      </w:r>
    </w:p>
    <w:p w14:paraId="02F89D8F" w14:textId="2FADC2AD" w:rsidR="00A77B3E" w:rsidRPr="00190A3E" w:rsidRDefault="00150E8B">
      <w:pPr>
        <w:spacing w:line="360" w:lineRule="auto"/>
        <w:jc w:val="both"/>
        <w:rPr>
          <w:rFonts w:ascii="Book Antiqua" w:hAnsi="Book Antiqua"/>
          <w:color w:val="000000" w:themeColor="text1"/>
        </w:rPr>
      </w:pPr>
      <w:r w:rsidRPr="00190A3E">
        <w:rPr>
          <w:rFonts w:ascii="Book Antiqua" w:eastAsia="Book Antiqua" w:hAnsi="Book Antiqua" w:cs="Book Antiqua"/>
          <w:b/>
          <w:bCs/>
          <w:color w:val="000000" w:themeColor="text1"/>
        </w:rPr>
        <w:t xml:space="preserve">Figure 4 </w:t>
      </w:r>
      <w:r w:rsidR="00677DA4" w:rsidRPr="00190A3E">
        <w:rPr>
          <w:rFonts w:ascii="Book Antiqua" w:eastAsia="Book Antiqua" w:hAnsi="Book Antiqua" w:cs="Book Antiqua"/>
          <w:b/>
          <w:bCs/>
          <w:color w:val="000000" w:themeColor="text1"/>
        </w:rPr>
        <w:t>Sixty-two-year-old</w:t>
      </w:r>
      <w:r w:rsidRPr="00190A3E">
        <w:rPr>
          <w:rFonts w:ascii="Book Antiqua" w:eastAsia="Book Antiqua" w:hAnsi="Book Antiqua" w:cs="Book Antiqua"/>
          <w:b/>
          <w:bCs/>
          <w:color w:val="000000" w:themeColor="text1"/>
        </w:rPr>
        <w:t xml:space="preserve"> female with metastatic pancreatic neuroendocrine neoplasm.</w:t>
      </w:r>
      <w:r w:rsidR="00677DA4"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 xml:space="preserve">Coronal fused </w:t>
      </w:r>
      <w:r w:rsidR="00D97507" w:rsidRPr="00190A3E">
        <w:rPr>
          <w:rFonts w:ascii="Book Antiqua" w:hAnsi="Book Antiqua"/>
          <w:color w:val="000000" w:themeColor="text1"/>
        </w:rPr>
        <w:t>Gallium-68 1,4,7,10-tetraazacyclododecane-1,4,7,10-tetraacetic acid–octreotate</w:t>
      </w:r>
      <w:r w:rsidR="00D97507" w:rsidRPr="00190A3E">
        <w:rPr>
          <w:rFonts w:ascii="Book Antiqua" w:eastAsia="Book Antiqua" w:hAnsi="Book Antiqua" w:cs="Book Antiqua"/>
          <w:color w:val="000000" w:themeColor="text1"/>
        </w:rPr>
        <w:t xml:space="preserve"> (</w:t>
      </w:r>
      <w:r w:rsidR="00677DA4" w:rsidRPr="00190A3E">
        <w:rPr>
          <w:rFonts w:ascii="Book Antiqua" w:eastAsia="Book Antiqua" w:hAnsi="Book Antiqua" w:cs="Book Antiqua"/>
          <w:color w:val="000000" w:themeColor="text1"/>
        </w:rPr>
        <w:t>DOTATATE</w:t>
      </w:r>
      <w:r w:rsidR="00D97507" w:rsidRPr="00190A3E">
        <w:rPr>
          <w:rFonts w:ascii="Book Antiqua" w:eastAsia="Book Antiqua" w:hAnsi="Book Antiqua" w:cs="Book Antiqua"/>
          <w:color w:val="000000" w:themeColor="text1"/>
        </w:rPr>
        <w:t>)</w:t>
      </w:r>
      <w:r w:rsidRPr="00190A3E">
        <w:rPr>
          <w:rFonts w:ascii="Book Antiqua" w:eastAsia="Book Antiqua" w:hAnsi="Book Antiqua" w:cs="Book Antiqua"/>
          <w:color w:val="000000" w:themeColor="text1"/>
        </w:rPr>
        <w:t xml:space="preserve"> </w:t>
      </w:r>
      <w:r w:rsidR="00677DA4" w:rsidRPr="00190A3E">
        <w:rPr>
          <w:rFonts w:ascii="Book Antiqua" w:eastAsia="Book Antiqua" w:hAnsi="Book Antiqua" w:cs="Book Antiqua"/>
          <w:color w:val="000000" w:themeColor="text1"/>
        </w:rPr>
        <w:t>positron emission tomography/computed tomography</w:t>
      </w:r>
      <w:r w:rsidRPr="00190A3E">
        <w:rPr>
          <w:rFonts w:ascii="Book Antiqua" w:eastAsia="Book Antiqua" w:hAnsi="Book Antiqua" w:cs="Book Antiqua"/>
          <w:color w:val="000000" w:themeColor="text1"/>
        </w:rPr>
        <w:t xml:space="preserve"> shows a large soft tissue mass in the pancreatic head with intensely avid DOTATATE uptake. Note the subtle metastatic lesion in the pericardium (short arrow) along the left atrium.</w:t>
      </w:r>
    </w:p>
    <w:p w14:paraId="775A4E3E" w14:textId="77777777" w:rsidR="00677DA4" w:rsidRPr="00190A3E" w:rsidRDefault="00677DA4">
      <w:pPr>
        <w:spacing w:line="360" w:lineRule="auto"/>
        <w:jc w:val="both"/>
        <w:rPr>
          <w:rFonts w:ascii="Book Antiqua" w:hAnsi="Book Antiqua"/>
          <w:color w:val="000000" w:themeColor="text1"/>
        </w:rPr>
        <w:sectPr w:rsidR="00677DA4" w:rsidRPr="00190A3E">
          <w:pgSz w:w="12240" w:h="15840"/>
          <w:pgMar w:top="1440" w:right="1440" w:bottom="1440" w:left="1440" w:header="720" w:footer="720" w:gutter="0"/>
          <w:cols w:space="720"/>
          <w:docGrid w:linePitch="360"/>
        </w:sectPr>
      </w:pPr>
    </w:p>
    <w:p w14:paraId="16C13AFD" w14:textId="107BAFBF" w:rsidR="00A77B3E" w:rsidRPr="00190A3E" w:rsidRDefault="00D63721">
      <w:pPr>
        <w:spacing w:line="360" w:lineRule="auto"/>
        <w:jc w:val="both"/>
        <w:rPr>
          <w:rFonts w:ascii="Book Antiqua" w:hAnsi="Book Antiqua"/>
          <w:color w:val="000000" w:themeColor="text1"/>
        </w:rPr>
      </w:pPr>
      <w:r w:rsidRPr="00190A3E">
        <w:rPr>
          <w:rFonts w:ascii="Book Antiqua" w:hAnsi="Book Antiqua"/>
          <w:noProof/>
          <w:color w:val="000000" w:themeColor="text1"/>
        </w:rPr>
        <w:drawing>
          <wp:inline distT="0" distB="0" distL="0" distR="0" wp14:anchorId="7411F213" wp14:editId="14CC4A56">
            <wp:extent cx="3026057" cy="2160000"/>
            <wp:effectExtent l="0" t="0" r="0" b="0"/>
            <wp:docPr id="16" name="Picture 3">
              <a:extLst xmlns:a="http://schemas.openxmlformats.org/drawingml/2006/main">
                <a:ext uri="{FF2B5EF4-FFF2-40B4-BE49-F238E27FC236}">
                  <a16:creationId xmlns:a16="http://schemas.microsoft.com/office/drawing/2014/main" id="{1054581A-8F42-4BD8-A378-959C69877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54581A-8F42-4BD8-A378-959C698777B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6057" cy="2160000"/>
                    </a:xfrm>
                    <a:prstGeom prst="rect">
                      <a:avLst/>
                    </a:prstGeom>
                  </pic:spPr>
                </pic:pic>
              </a:graphicData>
            </a:graphic>
          </wp:inline>
        </w:drawing>
      </w:r>
    </w:p>
    <w:p w14:paraId="4AEDD64C" w14:textId="4E1424AC" w:rsidR="00A77B3E" w:rsidRPr="00190A3E" w:rsidRDefault="00150E8B">
      <w:pPr>
        <w:spacing w:line="360" w:lineRule="auto"/>
        <w:jc w:val="both"/>
        <w:rPr>
          <w:rFonts w:ascii="Book Antiqua" w:eastAsia="Book Antiqua" w:hAnsi="Book Antiqua" w:cs="Book Antiqua"/>
          <w:color w:val="000000" w:themeColor="text1"/>
        </w:rPr>
      </w:pPr>
      <w:r w:rsidRPr="00190A3E">
        <w:rPr>
          <w:rFonts w:ascii="Book Antiqua" w:eastAsia="Book Antiqua" w:hAnsi="Book Antiqua" w:cs="Book Antiqua"/>
          <w:b/>
          <w:bCs/>
          <w:color w:val="000000" w:themeColor="text1"/>
        </w:rPr>
        <w:t xml:space="preserve">Figure 5 </w:t>
      </w:r>
      <w:r w:rsidR="00677DA4" w:rsidRPr="00190A3E">
        <w:rPr>
          <w:rFonts w:ascii="Book Antiqua" w:eastAsia="Book Antiqua" w:hAnsi="Book Antiqua" w:cs="Book Antiqua"/>
          <w:b/>
          <w:bCs/>
          <w:color w:val="000000" w:themeColor="text1"/>
        </w:rPr>
        <w:t>Thirty-nine-</w:t>
      </w:r>
      <w:r w:rsidRPr="00190A3E">
        <w:rPr>
          <w:rFonts w:ascii="Book Antiqua" w:eastAsia="Book Antiqua" w:hAnsi="Book Antiqua" w:cs="Book Antiqua"/>
          <w:b/>
          <w:bCs/>
          <w:color w:val="000000" w:themeColor="text1"/>
        </w:rPr>
        <w:t>year-old male with metastatic pancreatic neuroendocrine neoplasm.</w:t>
      </w:r>
      <w:r w:rsidR="00677DA4" w:rsidRPr="00190A3E">
        <w:rPr>
          <w:rFonts w:ascii="Book Antiqua" w:eastAsia="Book Antiqua" w:hAnsi="Book Antiqua" w:cs="Book Antiqua"/>
          <w:b/>
          <w:bCs/>
          <w:color w:val="000000" w:themeColor="text1"/>
        </w:rPr>
        <w:t xml:space="preserve"> </w:t>
      </w:r>
      <w:r w:rsidRPr="00190A3E">
        <w:rPr>
          <w:rFonts w:ascii="Book Antiqua" w:eastAsia="Book Antiqua" w:hAnsi="Book Antiqua" w:cs="Book Antiqua"/>
          <w:color w:val="000000" w:themeColor="text1"/>
        </w:rPr>
        <w:t>Axial T2 weighted image shows innumerable bilobar metastases (curved arrows). Note the heterogeneous primary pancreatic neuroendocrine tumor (straight arrow). Patient was treated with capecitabine and temozolomide.</w:t>
      </w:r>
    </w:p>
    <w:p w14:paraId="4150EDB3" w14:textId="77777777" w:rsidR="00C164E5" w:rsidRPr="00190A3E" w:rsidRDefault="00C164E5">
      <w:pPr>
        <w:spacing w:line="360" w:lineRule="auto"/>
        <w:jc w:val="both"/>
        <w:rPr>
          <w:rFonts w:ascii="Book Antiqua" w:hAnsi="Book Antiqua"/>
          <w:color w:val="000000" w:themeColor="text1"/>
        </w:rPr>
        <w:sectPr w:rsidR="00C164E5" w:rsidRPr="00190A3E">
          <w:pgSz w:w="12240" w:h="15840"/>
          <w:pgMar w:top="1440" w:right="1440" w:bottom="1440" w:left="1440" w:header="720" w:footer="720" w:gutter="0"/>
          <w:cols w:space="720"/>
          <w:docGrid w:linePitch="360"/>
        </w:sectPr>
      </w:pPr>
    </w:p>
    <w:p w14:paraId="75CFB3DF" w14:textId="5AD662A1" w:rsidR="00C164E5" w:rsidRPr="00190A3E" w:rsidRDefault="00C164E5">
      <w:pPr>
        <w:spacing w:line="360" w:lineRule="auto"/>
        <w:jc w:val="both"/>
        <w:rPr>
          <w:rFonts w:ascii="Book Antiqua" w:hAnsi="Book Antiqua"/>
          <w:b/>
          <w:bCs/>
          <w:color w:val="000000" w:themeColor="text1"/>
        </w:rPr>
      </w:pPr>
      <w:r w:rsidRPr="00190A3E">
        <w:rPr>
          <w:rFonts w:ascii="Book Antiqua" w:hAnsi="Book Antiqua"/>
          <w:b/>
          <w:bCs/>
          <w:color w:val="000000" w:themeColor="text1"/>
        </w:rPr>
        <w:t xml:space="preserve">Table 1 Comparison of 2010 and 2017 </w:t>
      </w:r>
      <w:r w:rsidR="000275B2" w:rsidRPr="00190A3E">
        <w:rPr>
          <w:rFonts w:ascii="Book Antiqua" w:hAnsi="Book Antiqua"/>
          <w:b/>
          <w:bCs/>
          <w:color w:val="000000" w:themeColor="text1"/>
        </w:rPr>
        <w:t>World Health Organization</w:t>
      </w:r>
      <w:r w:rsidRPr="00190A3E">
        <w:rPr>
          <w:rFonts w:ascii="Book Antiqua" w:hAnsi="Book Antiqua"/>
          <w:b/>
          <w:bCs/>
          <w:color w:val="000000" w:themeColor="text1"/>
        </w:rPr>
        <w:t xml:space="preserve"> </w:t>
      </w:r>
      <w:r w:rsidR="000275B2" w:rsidRPr="00190A3E">
        <w:rPr>
          <w:rFonts w:ascii="Book Antiqua" w:hAnsi="Book Antiqua"/>
          <w:b/>
          <w:bCs/>
          <w:color w:val="000000" w:themeColor="text1"/>
        </w:rPr>
        <w:t>classification</w:t>
      </w:r>
      <w:r w:rsidRPr="00190A3E">
        <w:rPr>
          <w:rFonts w:ascii="Book Antiqua" w:hAnsi="Book Antiqua"/>
          <w:b/>
          <w:bCs/>
          <w:color w:val="000000" w:themeColor="text1"/>
        </w:rPr>
        <w:t xml:space="preserve"> </w:t>
      </w:r>
      <w:r w:rsidR="000275B2" w:rsidRPr="00190A3E">
        <w:rPr>
          <w:rFonts w:ascii="Book Antiqua" w:hAnsi="Book Antiqua"/>
          <w:b/>
          <w:bCs/>
          <w:color w:val="000000" w:themeColor="text1"/>
        </w:rPr>
        <w:t>s</w:t>
      </w:r>
      <w:r w:rsidRPr="00190A3E">
        <w:rPr>
          <w:rFonts w:ascii="Book Antiqua" w:hAnsi="Book Antiqua"/>
          <w:b/>
          <w:bCs/>
          <w:color w:val="000000" w:themeColor="text1"/>
        </w:rPr>
        <w:t xml:space="preserve">ystem for </w:t>
      </w:r>
      <w:r w:rsidR="000275B2" w:rsidRPr="00190A3E">
        <w:rPr>
          <w:rFonts w:ascii="Book Antiqua" w:hAnsi="Book Antiqua"/>
          <w:b/>
          <w:bCs/>
          <w:color w:val="000000" w:themeColor="text1"/>
        </w:rPr>
        <w:t>pancreatic neuroendocrine tumors</w:t>
      </w:r>
    </w:p>
    <w:tbl>
      <w:tblPr>
        <w:tblStyle w:val="a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632"/>
        <w:gridCol w:w="1231"/>
        <w:gridCol w:w="1016"/>
      </w:tblGrid>
      <w:tr w:rsidR="00190A3E" w:rsidRPr="00190A3E" w14:paraId="29948FB8" w14:textId="77777777" w:rsidTr="00350D58">
        <w:trPr>
          <w:trHeight w:val="424"/>
        </w:trPr>
        <w:tc>
          <w:tcPr>
            <w:tcW w:w="1869" w:type="pct"/>
            <w:tcBorders>
              <w:top w:val="single" w:sz="12" w:space="0" w:color="auto"/>
              <w:bottom w:val="single" w:sz="12" w:space="0" w:color="auto"/>
            </w:tcBorders>
            <w:shd w:val="clear" w:color="auto" w:fill="auto"/>
          </w:tcPr>
          <w:p w14:paraId="7DCF5C33" w14:textId="7822C1A5" w:rsidR="00C164E5" w:rsidRPr="00190A3E" w:rsidRDefault="00C164E5" w:rsidP="00C164E5">
            <w:pPr>
              <w:spacing w:line="360" w:lineRule="auto"/>
              <w:jc w:val="both"/>
              <w:rPr>
                <w:rFonts w:ascii="Book Antiqua" w:hAnsi="Book Antiqua"/>
                <w:b/>
                <w:bCs/>
                <w:color w:val="000000" w:themeColor="text1"/>
              </w:rPr>
            </w:pPr>
            <w:r w:rsidRPr="00190A3E">
              <w:rPr>
                <w:rFonts w:ascii="Book Antiqua" w:hAnsi="Book Antiqua"/>
                <w:b/>
                <w:bCs/>
                <w:color w:val="000000" w:themeColor="text1"/>
                <w:lang w:val="es-ES"/>
              </w:rPr>
              <w:t xml:space="preserve">WHO 2010 Classification </w:t>
            </w:r>
            <w:r w:rsidR="007B64F3" w:rsidRPr="00190A3E">
              <w:rPr>
                <w:rFonts w:ascii="Book Antiqua" w:hAnsi="Book Antiqua"/>
                <w:b/>
                <w:bCs/>
                <w:color w:val="000000" w:themeColor="text1"/>
                <w:lang w:val="es-ES"/>
              </w:rPr>
              <w:t>system</w:t>
            </w:r>
          </w:p>
        </w:tc>
        <w:tc>
          <w:tcPr>
            <w:tcW w:w="1950" w:type="pct"/>
            <w:tcBorders>
              <w:top w:val="single" w:sz="12" w:space="0" w:color="auto"/>
              <w:bottom w:val="single" w:sz="12" w:space="0" w:color="auto"/>
            </w:tcBorders>
          </w:tcPr>
          <w:p w14:paraId="1711021F" w14:textId="1BA64C4E" w:rsidR="00C164E5" w:rsidRPr="00190A3E" w:rsidRDefault="00C164E5" w:rsidP="00C164E5">
            <w:pPr>
              <w:spacing w:line="360" w:lineRule="auto"/>
              <w:jc w:val="both"/>
              <w:rPr>
                <w:rFonts w:ascii="Book Antiqua" w:hAnsi="Book Antiqua"/>
                <w:b/>
                <w:bCs/>
                <w:color w:val="000000" w:themeColor="text1"/>
                <w:lang w:val="es-ES"/>
              </w:rPr>
            </w:pPr>
            <w:r w:rsidRPr="00190A3E">
              <w:rPr>
                <w:rFonts w:ascii="Book Antiqua" w:hAnsi="Book Antiqua"/>
                <w:b/>
                <w:bCs/>
                <w:color w:val="000000" w:themeColor="text1"/>
                <w:lang w:val="es-ES"/>
              </w:rPr>
              <w:t xml:space="preserve">WHO 2017 Classification </w:t>
            </w:r>
            <w:r w:rsidR="007B64F3" w:rsidRPr="00190A3E">
              <w:rPr>
                <w:rFonts w:ascii="Book Antiqua" w:hAnsi="Book Antiqua"/>
                <w:b/>
                <w:bCs/>
                <w:color w:val="000000" w:themeColor="text1"/>
                <w:lang w:val="es-ES"/>
              </w:rPr>
              <w:t>system</w:t>
            </w:r>
          </w:p>
        </w:tc>
        <w:tc>
          <w:tcPr>
            <w:tcW w:w="667" w:type="pct"/>
            <w:tcBorders>
              <w:top w:val="single" w:sz="12" w:space="0" w:color="auto"/>
              <w:bottom w:val="single" w:sz="12" w:space="0" w:color="auto"/>
            </w:tcBorders>
            <w:shd w:val="clear" w:color="auto" w:fill="auto"/>
          </w:tcPr>
          <w:p w14:paraId="028B20D4" w14:textId="41CEAD5D" w:rsidR="00C164E5" w:rsidRPr="00190A3E" w:rsidRDefault="00C164E5" w:rsidP="00C164E5">
            <w:pPr>
              <w:spacing w:line="360" w:lineRule="auto"/>
              <w:jc w:val="both"/>
              <w:rPr>
                <w:rFonts w:ascii="Book Antiqua" w:hAnsi="Book Antiqua"/>
                <w:b/>
                <w:color w:val="000000" w:themeColor="text1"/>
              </w:rPr>
            </w:pPr>
            <w:r w:rsidRPr="00190A3E">
              <w:rPr>
                <w:rFonts w:ascii="Book Antiqua" w:hAnsi="Book Antiqua"/>
                <w:b/>
                <w:color w:val="000000" w:themeColor="text1"/>
              </w:rPr>
              <w:t>Ki-67 index (%)</w:t>
            </w:r>
          </w:p>
        </w:tc>
        <w:tc>
          <w:tcPr>
            <w:tcW w:w="514" w:type="pct"/>
            <w:tcBorders>
              <w:top w:val="single" w:sz="12" w:space="0" w:color="auto"/>
              <w:bottom w:val="single" w:sz="12" w:space="0" w:color="auto"/>
            </w:tcBorders>
            <w:shd w:val="clear" w:color="auto" w:fill="auto"/>
          </w:tcPr>
          <w:p w14:paraId="2E771605" w14:textId="41B1C5ED" w:rsidR="00C164E5" w:rsidRPr="00190A3E" w:rsidRDefault="00C164E5" w:rsidP="00C164E5">
            <w:pPr>
              <w:spacing w:line="360" w:lineRule="auto"/>
              <w:jc w:val="both"/>
              <w:rPr>
                <w:rFonts w:ascii="Book Antiqua" w:hAnsi="Book Antiqua"/>
                <w:b/>
                <w:color w:val="000000" w:themeColor="text1"/>
                <w:vertAlign w:val="superscript"/>
              </w:rPr>
            </w:pPr>
            <w:r w:rsidRPr="00190A3E">
              <w:rPr>
                <w:rFonts w:ascii="Book Antiqua" w:hAnsi="Book Antiqua"/>
                <w:b/>
                <w:color w:val="000000" w:themeColor="text1"/>
                <w:lang w:val="es-ES"/>
              </w:rPr>
              <w:t>Mitotic index</w:t>
            </w:r>
            <w:r w:rsidRPr="00190A3E">
              <w:rPr>
                <w:rFonts w:ascii="Book Antiqua" w:hAnsi="Book Antiqua"/>
                <w:b/>
                <w:color w:val="000000" w:themeColor="text1"/>
                <w:vertAlign w:val="superscript"/>
                <w:lang w:val="es-ES"/>
              </w:rPr>
              <w:t>1</w:t>
            </w:r>
          </w:p>
        </w:tc>
      </w:tr>
      <w:tr w:rsidR="00190A3E" w:rsidRPr="00190A3E" w14:paraId="30092DAF" w14:textId="77777777" w:rsidTr="00350D58">
        <w:trPr>
          <w:trHeight w:val="342"/>
        </w:trPr>
        <w:tc>
          <w:tcPr>
            <w:tcW w:w="1869" w:type="pct"/>
            <w:tcBorders>
              <w:top w:val="single" w:sz="12" w:space="0" w:color="auto"/>
            </w:tcBorders>
            <w:shd w:val="clear" w:color="auto" w:fill="FFFFFF" w:themeFill="background1"/>
          </w:tcPr>
          <w:p w14:paraId="435A3E6A" w14:textId="77777777" w:rsidR="00C164E5" w:rsidRPr="00190A3E" w:rsidRDefault="00C164E5" w:rsidP="00C164E5">
            <w:pPr>
              <w:spacing w:line="360" w:lineRule="auto"/>
              <w:jc w:val="both"/>
              <w:rPr>
                <w:rFonts w:ascii="Book Antiqua" w:hAnsi="Book Antiqua"/>
                <w:i/>
                <w:iCs/>
                <w:color w:val="000000" w:themeColor="text1"/>
              </w:rPr>
            </w:pPr>
            <w:r w:rsidRPr="00190A3E">
              <w:rPr>
                <w:rFonts w:ascii="Book Antiqua" w:hAnsi="Book Antiqua"/>
                <w:color w:val="000000" w:themeColor="text1"/>
                <w:lang w:val="es-ES"/>
              </w:rPr>
              <w:t>Well-differentiated PanNET G1</w:t>
            </w:r>
          </w:p>
        </w:tc>
        <w:tc>
          <w:tcPr>
            <w:tcW w:w="1950" w:type="pct"/>
            <w:tcBorders>
              <w:top w:val="single" w:sz="12" w:space="0" w:color="auto"/>
            </w:tcBorders>
            <w:shd w:val="clear" w:color="auto" w:fill="FFFFFF" w:themeFill="background1"/>
          </w:tcPr>
          <w:p w14:paraId="781947AA"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G1</w:t>
            </w:r>
          </w:p>
        </w:tc>
        <w:tc>
          <w:tcPr>
            <w:tcW w:w="667" w:type="pct"/>
            <w:tcBorders>
              <w:top w:val="single" w:sz="12" w:space="0" w:color="auto"/>
            </w:tcBorders>
            <w:shd w:val="clear" w:color="auto" w:fill="FFFFFF" w:themeFill="background1"/>
          </w:tcPr>
          <w:p w14:paraId="7CDF38D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&lt; 3</w:t>
            </w:r>
          </w:p>
        </w:tc>
        <w:tc>
          <w:tcPr>
            <w:tcW w:w="514" w:type="pct"/>
            <w:tcBorders>
              <w:top w:val="single" w:sz="12" w:space="0" w:color="auto"/>
            </w:tcBorders>
            <w:shd w:val="clear" w:color="auto" w:fill="FFFFFF" w:themeFill="background1"/>
          </w:tcPr>
          <w:p w14:paraId="1A93B81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&lt; 2</w:t>
            </w:r>
          </w:p>
        </w:tc>
      </w:tr>
      <w:tr w:rsidR="00190A3E" w:rsidRPr="00190A3E" w14:paraId="115EBF26" w14:textId="77777777" w:rsidTr="00350D58">
        <w:trPr>
          <w:trHeight w:val="258"/>
        </w:trPr>
        <w:tc>
          <w:tcPr>
            <w:tcW w:w="1869" w:type="pct"/>
            <w:shd w:val="clear" w:color="auto" w:fill="FFFFFF" w:themeFill="background1"/>
          </w:tcPr>
          <w:p w14:paraId="6B2A4D5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lang w:val="es-ES"/>
              </w:rPr>
              <w:t>Well-differentiated PanNET G2</w:t>
            </w:r>
          </w:p>
        </w:tc>
        <w:tc>
          <w:tcPr>
            <w:tcW w:w="1950" w:type="pct"/>
            <w:shd w:val="clear" w:color="auto" w:fill="FFFFFF" w:themeFill="background1"/>
          </w:tcPr>
          <w:p w14:paraId="50E505D9"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G2</w:t>
            </w:r>
          </w:p>
        </w:tc>
        <w:tc>
          <w:tcPr>
            <w:tcW w:w="667" w:type="pct"/>
            <w:shd w:val="clear" w:color="auto" w:fill="FFFFFF" w:themeFill="background1"/>
          </w:tcPr>
          <w:p w14:paraId="7D1E458C"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3-20</w:t>
            </w:r>
          </w:p>
        </w:tc>
        <w:tc>
          <w:tcPr>
            <w:tcW w:w="514" w:type="pct"/>
            <w:shd w:val="clear" w:color="auto" w:fill="FFFFFF" w:themeFill="background1"/>
          </w:tcPr>
          <w:p w14:paraId="0D5F0566"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2-20</w:t>
            </w:r>
          </w:p>
        </w:tc>
      </w:tr>
      <w:tr w:rsidR="00190A3E" w:rsidRPr="00190A3E" w14:paraId="6D1457C3" w14:textId="77777777" w:rsidTr="00350D58">
        <w:trPr>
          <w:trHeight w:val="237"/>
        </w:trPr>
        <w:tc>
          <w:tcPr>
            <w:tcW w:w="1869" w:type="pct"/>
            <w:shd w:val="clear" w:color="auto" w:fill="FFFFFF" w:themeFill="background1"/>
          </w:tcPr>
          <w:p w14:paraId="7AD7C4E8" w14:textId="77777777" w:rsidR="00C164E5" w:rsidRPr="00190A3E" w:rsidRDefault="00C164E5" w:rsidP="00C164E5">
            <w:pPr>
              <w:spacing w:line="360" w:lineRule="auto"/>
              <w:jc w:val="both"/>
              <w:rPr>
                <w:rFonts w:ascii="Book Antiqua" w:hAnsi="Book Antiqua"/>
                <w:color w:val="000000" w:themeColor="text1"/>
              </w:rPr>
            </w:pPr>
          </w:p>
        </w:tc>
        <w:tc>
          <w:tcPr>
            <w:tcW w:w="1950" w:type="pct"/>
            <w:shd w:val="clear" w:color="auto" w:fill="FFFFFF" w:themeFill="background1"/>
          </w:tcPr>
          <w:p w14:paraId="42A9E9A6" w14:textId="77777777"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Well-differentiated PanNET G3</w:t>
            </w:r>
          </w:p>
        </w:tc>
        <w:tc>
          <w:tcPr>
            <w:tcW w:w="667" w:type="pct"/>
            <w:shd w:val="clear" w:color="auto" w:fill="FFFFFF" w:themeFill="background1"/>
          </w:tcPr>
          <w:p w14:paraId="0B755867"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c>
          <w:tcPr>
            <w:tcW w:w="514" w:type="pct"/>
            <w:shd w:val="clear" w:color="auto" w:fill="FFFFFF" w:themeFill="background1"/>
          </w:tcPr>
          <w:p w14:paraId="2FCD2BC1"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r>
      <w:tr w:rsidR="00190A3E" w:rsidRPr="00190A3E" w14:paraId="25833BC5" w14:textId="77777777" w:rsidTr="00350D58">
        <w:trPr>
          <w:trHeight w:val="237"/>
        </w:trPr>
        <w:tc>
          <w:tcPr>
            <w:tcW w:w="1869" w:type="pct"/>
            <w:shd w:val="clear" w:color="auto" w:fill="FFFFFF" w:themeFill="background1"/>
          </w:tcPr>
          <w:p w14:paraId="4077CD13" w14:textId="0BFCFB3E" w:rsidR="00C164E5" w:rsidRPr="00ED498D"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Poorly-differentiated PanNEC G3 (</w:t>
            </w:r>
            <w:r w:rsidRPr="00190A3E">
              <w:rPr>
                <w:rFonts w:ascii="Book Antiqua" w:hAnsi="Book Antiqua"/>
                <w:i/>
                <w:iCs/>
                <w:color w:val="000000" w:themeColor="text1"/>
                <w:lang w:val="es-ES"/>
              </w:rPr>
              <w:t>i.e.</w:t>
            </w:r>
            <w:r w:rsidRPr="00190A3E">
              <w:rPr>
                <w:rFonts w:ascii="Book Antiqua" w:hAnsi="Book Antiqua"/>
                <w:color w:val="000000" w:themeColor="text1"/>
                <w:lang w:val="es-ES"/>
              </w:rPr>
              <w:t xml:space="preserve"> small cell carcinoma, large cell carcinoma)</w:t>
            </w:r>
          </w:p>
        </w:tc>
        <w:tc>
          <w:tcPr>
            <w:tcW w:w="1950" w:type="pct"/>
            <w:shd w:val="clear" w:color="auto" w:fill="FFFFFF" w:themeFill="background1"/>
          </w:tcPr>
          <w:p w14:paraId="4F0327D8" w14:textId="6AE6543B" w:rsidR="00C164E5" w:rsidRPr="00190A3E" w:rsidRDefault="00C164E5" w:rsidP="00C164E5">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Poorly-differentiated PanNEC G3 (</w:t>
            </w:r>
            <w:r w:rsidRPr="00190A3E">
              <w:rPr>
                <w:rFonts w:ascii="Book Antiqua" w:hAnsi="Book Antiqua"/>
                <w:i/>
                <w:iCs/>
                <w:color w:val="000000" w:themeColor="text1"/>
                <w:lang w:val="es-ES"/>
              </w:rPr>
              <w:t>i.e.</w:t>
            </w:r>
            <w:r w:rsidRPr="00190A3E">
              <w:rPr>
                <w:rFonts w:ascii="Book Antiqua" w:hAnsi="Book Antiqua"/>
                <w:color w:val="000000" w:themeColor="text1"/>
                <w:lang w:val="es-ES"/>
              </w:rPr>
              <w:t xml:space="preserve"> small cell carcinoma, large cell carcinoma)</w:t>
            </w:r>
          </w:p>
        </w:tc>
        <w:tc>
          <w:tcPr>
            <w:tcW w:w="667" w:type="pct"/>
            <w:shd w:val="clear" w:color="auto" w:fill="FFFFFF" w:themeFill="background1"/>
          </w:tcPr>
          <w:p w14:paraId="471C706C"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c>
          <w:tcPr>
            <w:tcW w:w="514" w:type="pct"/>
            <w:shd w:val="clear" w:color="auto" w:fill="FFFFFF" w:themeFill="background1"/>
          </w:tcPr>
          <w:p w14:paraId="2911A8BE" w14:textId="77777777" w:rsidR="00C164E5" w:rsidRPr="00190A3E" w:rsidRDefault="00C164E5" w:rsidP="00C164E5">
            <w:pPr>
              <w:spacing w:line="360" w:lineRule="auto"/>
              <w:jc w:val="both"/>
              <w:rPr>
                <w:rFonts w:ascii="Book Antiqua" w:hAnsi="Book Antiqua"/>
                <w:color w:val="000000" w:themeColor="text1"/>
              </w:rPr>
            </w:pPr>
            <w:r w:rsidRPr="00190A3E">
              <w:rPr>
                <w:rFonts w:ascii="Book Antiqua" w:hAnsi="Book Antiqua"/>
                <w:color w:val="000000" w:themeColor="text1"/>
              </w:rPr>
              <w:t>&gt; 20</w:t>
            </w:r>
          </w:p>
        </w:tc>
      </w:tr>
      <w:tr w:rsidR="00190A3E" w:rsidRPr="00190A3E" w14:paraId="1020E96F" w14:textId="77777777" w:rsidTr="00757781">
        <w:trPr>
          <w:trHeight w:val="237"/>
        </w:trPr>
        <w:tc>
          <w:tcPr>
            <w:tcW w:w="1869" w:type="pct"/>
            <w:tcBorders>
              <w:bottom w:val="single" w:sz="12" w:space="0" w:color="auto"/>
            </w:tcBorders>
            <w:shd w:val="clear" w:color="auto" w:fill="FFFFFF" w:themeFill="background1"/>
          </w:tcPr>
          <w:p w14:paraId="3698B7A1" w14:textId="77777777" w:rsidR="00C164E5" w:rsidRPr="00190A3E" w:rsidRDefault="00C164E5" w:rsidP="00C164E5">
            <w:pPr>
              <w:spacing w:line="360" w:lineRule="auto"/>
              <w:jc w:val="both"/>
              <w:rPr>
                <w:rFonts w:ascii="Book Antiqua" w:hAnsi="Book Antiqua"/>
                <w:color w:val="000000" w:themeColor="text1"/>
                <w:vertAlign w:val="superscript"/>
              </w:rPr>
            </w:pPr>
            <w:r w:rsidRPr="00190A3E">
              <w:rPr>
                <w:rFonts w:ascii="Book Antiqua" w:hAnsi="Book Antiqua"/>
                <w:color w:val="000000" w:themeColor="text1"/>
                <w:lang w:val="es-ES"/>
              </w:rPr>
              <w:t>MiNEN</w:t>
            </w:r>
          </w:p>
        </w:tc>
        <w:tc>
          <w:tcPr>
            <w:tcW w:w="1950" w:type="pct"/>
            <w:tcBorders>
              <w:bottom w:val="single" w:sz="12" w:space="0" w:color="auto"/>
            </w:tcBorders>
            <w:shd w:val="clear" w:color="auto" w:fill="FFFFFF" w:themeFill="background1"/>
          </w:tcPr>
          <w:p w14:paraId="1BC964C5" w14:textId="77777777" w:rsidR="00C164E5" w:rsidRPr="00190A3E" w:rsidRDefault="00C164E5" w:rsidP="00C164E5">
            <w:pPr>
              <w:spacing w:line="360" w:lineRule="auto"/>
              <w:jc w:val="both"/>
              <w:rPr>
                <w:rFonts w:ascii="Book Antiqua" w:hAnsi="Book Antiqua"/>
                <w:color w:val="000000" w:themeColor="text1"/>
                <w:vertAlign w:val="superscript"/>
                <w:lang w:val="es-ES"/>
              </w:rPr>
            </w:pPr>
            <w:r w:rsidRPr="00190A3E">
              <w:rPr>
                <w:rFonts w:ascii="Book Antiqua" w:hAnsi="Book Antiqua"/>
                <w:color w:val="000000" w:themeColor="text1"/>
                <w:lang w:val="es-ES"/>
              </w:rPr>
              <w:t>MANEC</w:t>
            </w:r>
          </w:p>
        </w:tc>
        <w:tc>
          <w:tcPr>
            <w:tcW w:w="667" w:type="pct"/>
            <w:tcBorders>
              <w:bottom w:val="single" w:sz="12" w:space="0" w:color="auto"/>
            </w:tcBorders>
            <w:shd w:val="clear" w:color="auto" w:fill="FFFFFF" w:themeFill="background1"/>
          </w:tcPr>
          <w:p w14:paraId="182BA5C5" w14:textId="77777777" w:rsidR="00C164E5" w:rsidRPr="00190A3E" w:rsidRDefault="00C164E5" w:rsidP="00C164E5">
            <w:pPr>
              <w:spacing w:line="360" w:lineRule="auto"/>
              <w:jc w:val="both"/>
              <w:rPr>
                <w:rFonts w:ascii="Book Antiqua" w:hAnsi="Book Antiqua"/>
                <w:color w:val="000000" w:themeColor="text1"/>
              </w:rPr>
            </w:pPr>
          </w:p>
        </w:tc>
        <w:tc>
          <w:tcPr>
            <w:tcW w:w="514" w:type="pct"/>
            <w:tcBorders>
              <w:bottom w:val="single" w:sz="12" w:space="0" w:color="auto"/>
            </w:tcBorders>
            <w:shd w:val="clear" w:color="auto" w:fill="FFFFFF" w:themeFill="background1"/>
          </w:tcPr>
          <w:p w14:paraId="5D8345FD" w14:textId="77777777" w:rsidR="00C164E5" w:rsidRPr="00190A3E" w:rsidRDefault="00C164E5" w:rsidP="00C164E5">
            <w:pPr>
              <w:spacing w:line="360" w:lineRule="auto"/>
              <w:jc w:val="both"/>
              <w:rPr>
                <w:rFonts w:ascii="Book Antiqua" w:hAnsi="Book Antiqua"/>
                <w:color w:val="000000" w:themeColor="text1"/>
              </w:rPr>
            </w:pPr>
          </w:p>
        </w:tc>
      </w:tr>
    </w:tbl>
    <w:p w14:paraId="08D103A7" w14:textId="7C29D725" w:rsidR="000275B2" w:rsidRPr="00190A3E" w:rsidRDefault="00ED498D">
      <w:pPr>
        <w:spacing w:line="360" w:lineRule="auto"/>
        <w:jc w:val="both"/>
        <w:rPr>
          <w:rFonts w:ascii="Book Antiqua" w:hAnsi="Book Antiqua"/>
          <w:color w:val="000000" w:themeColor="text1"/>
        </w:rPr>
        <w:sectPr w:rsidR="000275B2" w:rsidRPr="00190A3E">
          <w:pgSz w:w="12240" w:h="15840"/>
          <w:pgMar w:top="1440" w:right="1440" w:bottom="1440" w:left="1440" w:header="720" w:footer="720" w:gutter="0"/>
          <w:cols w:space="720"/>
          <w:docGrid w:linePitch="360"/>
        </w:sectPr>
      </w:pPr>
      <w:r w:rsidRPr="00190A3E">
        <w:rPr>
          <w:rFonts w:ascii="Book Antiqua" w:hAnsi="Book Antiqua"/>
          <w:color w:val="000000" w:themeColor="text1"/>
          <w:vertAlign w:val="superscript"/>
        </w:rPr>
        <w:t>1</w:t>
      </w:r>
      <w:r w:rsidR="00757781" w:rsidRPr="00190A3E">
        <w:rPr>
          <w:rFonts w:ascii="Book Antiqua" w:hAnsi="Book Antiqua"/>
          <w:color w:val="000000" w:themeColor="text1"/>
        </w:rPr>
        <w:t>P</w:t>
      </w:r>
      <w:r w:rsidRPr="00190A3E">
        <w:rPr>
          <w:rFonts w:ascii="Book Antiqua" w:hAnsi="Book Antiqua"/>
          <w:color w:val="000000" w:themeColor="text1"/>
        </w:rPr>
        <w:t>er 10 high-power fields. WHO: World Health Organization; PanNEN: Pancreatic neuroendocrine neoplasms; PanNET: Pancreatic neuroendocrine tumors; PanNEC: Pancreatic neuroendocrine carcinomas; MiNEN: mixed neuroendocrine-nonneuroendocrine neoplasms; MANEC: Mixed adenoneuroendocrine carcinomas.</w:t>
      </w:r>
    </w:p>
    <w:p w14:paraId="59571BB9" w14:textId="56BAE12F" w:rsidR="00C164E5" w:rsidRPr="00190A3E" w:rsidRDefault="000275B2">
      <w:pPr>
        <w:spacing w:line="360" w:lineRule="auto"/>
        <w:jc w:val="both"/>
        <w:rPr>
          <w:rFonts w:ascii="Book Antiqua" w:hAnsi="Book Antiqua"/>
          <w:b/>
          <w:bCs/>
          <w:color w:val="000000" w:themeColor="text1"/>
        </w:rPr>
      </w:pPr>
      <w:r w:rsidRPr="00190A3E">
        <w:rPr>
          <w:rFonts w:ascii="Book Antiqua" w:hAnsi="Book Antiqua"/>
          <w:b/>
          <w:bCs/>
          <w:color w:val="000000" w:themeColor="text1"/>
        </w:rPr>
        <w:t xml:space="preserve">Table 2 Imaging </w:t>
      </w:r>
      <w:r w:rsidR="009C430C" w:rsidRPr="00190A3E">
        <w:rPr>
          <w:rFonts w:ascii="Book Antiqua" w:hAnsi="Book Antiqua"/>
          <w:b/>
          <w:bCs/>
          <w:color w:val="000000" w:themeColor="text1"/>
        </w:rPr>
        <w:t xml:space="preserve">features </w:t>
      </w:r>
      <w:r w:rsidRPr="00190A3E">
        <w:rPr>
          <w:rFonts w:ascii="Book Antiqua" w:hAnsi="Book Antiqua"/>
          <w:b/>
          <w:bCs/>
          <w:color w:val="000000" w:themeColor="text1"/>
        </w:rPr>
        <w:t xml:space="preserve">of </w:t>
      </w:r>
      <w:r w:rsidR="009C430C" w:rsidRPr="00190A3E">
        <w:rPr>
          <w:rFonts w:ascii="Book Antiqua" w:hAnsi="Book Antiqua"/>
          <w:b/>
          <w:bCs/>
          <w:color w:val="000000" w:themeColor="text1"/>
        </w:rPr>
        <w:t xml:space="preserve">grade </w:t>
      </w:r>
      <w:r w:rsidRPr="00190A3E">
        <w:rPr>
          <w:rFonts w:ascii="Book Antiqua" w:hAnsi="Book Antiqua"/>
          <w:b/>
          <w:bCs/>
          <w:color w:val="000000" w:themeColor="text1"/>
        </w:rPr>
        <w:t xml:space="preserve">3 </w:t>
      </w:r>
      <w:r w:rsidR="00D63721" w:rsidRPr="00190A3E">
        <w:rPr>
          <w:rFonts w:ascii="Book Antiqua" w:hAnsi="Book Antiqua"/>
          <w:b/>
          <w:bCs/>
          <w:color w:val="000000" w:themeColor="text1"/>
        </w:rPr>
        <w:t>pancreatic neuroendocrine tumors</w:t>
      </w:r>
      <w:r w:rsidRPr="00190A3E">
        <w:rPr>
          <w:rFonts w:ascii="Book Antiqua" w:hAnsi="Book Antiqua"/>
          <w:b/>
          <w:bCs/>
          <w:color w:val="000000" w:themeColor="text1"/>
        </w:rPr>
        <w:t xml:space="preserve"> </w:t>
      </w:r>
      <w:r w:rsidR="009C430C" w:rsidRPr="009C430C">
        <w:rPr>
          <w:rFonts w:ascii="Book Antiqua" w:hAnsi="Book Antiqua"/>
          <w:b/>
          <w:bCs/>
          <w:i/>
          <w:iCs/>
          <w:color w:val="000000" w:themeColor="text1"/>
        </w:rPr>
        <w:t>vs</w:t>
      </w:r>
      <w:r w:rsidRPr="00190A3E">
        <w:rPr>
          <w:rFonts w:ascii="Book Antiqua" w:hAnsi="Book Antiqua"/>
          <w:b/>
          <w:bCs/>
          <w:color w:val="000000" w:themeColor="text1"/>
        </w:rPr>
        <w:t xml:space="preserve"> </w:t>
      </w:r>
      <w:r w:rsidR="009C430C" w:rsidRPr="00190A3E">
        <w:rPr>
          <w:rFonts w:ascii="Book Antiqua" w:hAnsi="Book Antiqua"/>
          <w:b/>
          <w:bCs/>
          <w:color w:val="000000" w:themeColor="text1"/>
        </w:rPr>
        <w:t xml:space="preserve">grade </w:t>
      </w:r>
      <w:r w:rsidRPr="00190A3E">
        <w:rPr>
          <w:rFonts w:ascii="Book Antiqua" w:hAnsi="Book Antiqua"/>
          <w:b/>
          <w:bCs/>
          <w:color w:val="000000" w:themeColor="text1"/>
        </w:rPr>
        <w:t xml:space="preserve">3 </w:t>
      </w:r>
      <w:r w:rsidR="00D63721" w:rsidRPr="00190A3E">
        <w:rPr>
          <w:rFonts w:ascii="Book Antiqua" w:hAnsi="Book Antiqua"/>
          <w:b/>
          <w:bCs/>
          <w:color w:val="000000" w:themeColor="text1"/>
        </w:rPr>
        <w:t>pancreatic neuroendocrine carcinomas</w:t>
      </w:r>
    </w:p>
    <w:tbl>
      <w:tblPr>
        <w:tblStyle w:val="a3"/>
        <w:tblW w:w="934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98"/>
      </w:tblGrid>
      <w:tr w:rsidR="00190A3E" w:rsidRPr="00190A3E" w14:paraId="3AB57545" w14:textId="77777777" w:rsidTr="00267F71">
        <w:trPr>
          <w:trHeight w:val="429"/>
        </w:trPr>
        <w:tc>
          <w:tcPr>
            <w:tcW w:w="4643" w:type="dxa"/>
            <w:tcBorders>
              <w:top w:val="single" w:sz="12" w:space="0" w:color="auto"/>
              <w:bottom w:val="single" w:sz="12" w:space="0" w:color="auto"/>
            </w:tcBorders>
            <w:shd w:val="clear" w:color="auto" w:fill="auto"/>
          </w:tcPr>
          <w:p w14:paraId="64942A08" w14:textId="77777777" w:rsidR="00D63721" w:rsidRPr="00190A3E" w:rsidRDefault="00D63721" w:rsidP="00D63721">
            <w:pPr>
              <w:spacing w:line="360" w:lineRule="auto"/>
              <w:jc w:val="both"/>
              <w:rPr>
                <w:rFonts w:ascii="Book Antiqua" w:hAnsi="Book Antiqua"/>
                <w:b/>
                <w:bCs/>
                <w:color w:val="000000" w:themeColor="text1"/>
              </w:rPr>
            </w:pPr>
            <w:r w:rsidRPr="00190A3E">
              <w:rPr>
                <w:rFonts w:ascii="Book Antiqua" w:hAnsi="Book Antiqua"/>
                <w:b/>
                <w:bCs/>
                <w:color w:val="000000" w:themeColor="text1"/>
                <w:lang w:val="es-ES"/>
              </w:rPr>
              <w:t>Grade 3 PanNET</w:t>
            </w:r>
          </w:p>
        </w:tc>
        <w:tc>
          <w:tcPr>
            <w:tcW w:w="4698" w:type="dxa"/>
            <w:tcBorders>
              <w:top w:val="single" w:sz="12" w:space="0" w:color="auto"/>
              <w:bottom w:val="single" w:sz="12" w:space="0" w:color="auto"/>
            </w:tcBorders>
          </w:tcPr>
          <w:p w14:paraId="231D6B98" w14:textId="77777777" w:rsidR="00D63721" w:rsidRPr="00190A3E" w:rsidRDefault="00D63721" w:rsidP="00D63721">
            <w:pPr>
              <w:spacing w:line="360" w:lineRule="auto"/>
              <w:jc w:val="both"/>
              <w:rPr>
                <w:rFonts w:ascii="Book Antiqua" w:hAnsi="Book Antiqua"/>
                <w:b/>
                <w:bCs/>
                <w:color w:val="000000" w:themeColor="text1"/>
                <w:lang w:val="es-ES"/>
              </w:rPr>
            </w:pPr>
            <w:r w:rsidRPr="00190A3E">
              <w:rPr>
                <w:rFonts w:ascii="Book Antiqua" w:hAnsi="Book Antiqua"/>
                <w:b/>
                <w:bCs/>
                <w:color w:val="000000" w:themeColor="text1"/>
                <w:lang w:val="es-ES"/>
              </w:rPr>
              <w:t>Grade 3 PanNEC</w:t>
            </w:r>
          </w:p>
        </w:tc>
      </w:tr>
      <w:tr w:rsidR="00190A3E" w:rsidRPr="00190A3E" w14:paraId="2D3456B2" w14:textId="77777777" w:rsidTr="00267F71">
        <w:trPr>
          <w:trHeight w:val="346"/>
        </w:trPr>
        <w:tc>
          <w:tcPr>
            <w:tcW w:w="4643" w:type="dxa"/>
            <w:tcBorders>
              <w:top w:val="single" w:sz="12" w:space="0" w:color="auto"/>
            </w:tcBorders>
            <w:shd w:val="clear" w:color="auto" w:fill="FFFFFF" w:themeFill="background1"/>
          </w:tcPr>
          <w:p w14:paraId="5E60A3BE" w14:textId="77777777" w:rsidR="00D63721" w:rsidRPr="00190A3E" w:rsidRDefault="00D63721" w:rsidP="00D63721">
            <w:pPr>
              <w:spacing w:line="360" w:lineRule="auto"/>
              <w:jc w:val="both"/>
              <w:rPr>
                <w:rFonts w:ascii="Book Antiqua" w:hAnsi="Book Antiqua"/>
                <w:i/>
                <w:iCs/>
                <w:color w:val="000000" w:themeColor="text1"/>
              </w:rPr>
            </w:pPr>
            <w:r w:rsidRPr="00190A3E">
              <w:rPr>
                <w:rFonts w:ascii="Book Antiqua" w:hAnsi="Book Antiqua"/>
                <w:color w:val="000000" w:themeColor="text1"/>
                <w:lang w:val="es-ES"/>
              </w:rPr>
              <w:t>Smaller, more defined lesions</w:t>
            </w:r>
          </w:p>
        </w:tc>
        <w:tc>
          <w:tcPr>
            <w:tcW w:w="4698" w:type="dxa"/>
            <w:tcBorders>
              <w:top w:val="single" w:sz="12" w:space="0" w:color="auto"/>
            </w:tcBorders>
            <w:shd w:val="clear" w:color="auto" w:fill="FFFFFF" w:themeFill="background1"/>
          </w:tcPr>
          <w:p w14:paraId="3C769B65"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Larger, ill-defined lesions</w:t>
            </w:r>
          </w:p>
        </w:tc>
      </w:tr>
      <w:tr w:rsidR="00190A3E" w:rsidRPr="00190A3E" w14:paraId="1FB7A379" w14:textId="77777777" w:rsidTr="00267F71">
        <w:trPr>
          <w:trHeight w:val="261"/>
        </w:trPr>
        <w:tc>
          <w:tcPr>
            <w:tcW w:w="4643" w:type="dxa"/>
            <w:shd w:val="clear" w:color="auto" w:fill="FFFFFF" w:themeFill="background1"/>
          </w:tcPr>
          <w:p w14:paraId="4BEEBECF"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lang w:val="es-ES"/>
              </w:rPr>
              <w:t>Absence of ductal dilation or metastatic disease</w:t>
            </w:r>
          </w:p>
        </w:tc>
        <w:tc>
          <w:tcPr>
            <w:tcW w:w="4698" w:type="dxa"/>
            <w:shd w:val="clear" w:color="auto" w:fill="FFFFFF" w:themeFill="background1"/>
          </w:tcPr>
          <w:p w14:paraId="211AE45E"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 Ductal dilation or metastatic disease</w:t>
            </w:r>
          </w:p>
        </w:tc>
      </w:tr>
      <w:tr w:rsidR="00190A3E" w:rsidRPr="00190A3E" w14:paraId="5408BF8A" w14:textId="77777777" w:rsidTr="00267F71">
        <w:trPr>
          <w:trHeight w:val="239"/>
        </w:trPr>
        <w:tc>
          <w:tcPr>
            <w:tcW w:w="4643" w:type="dxa"/>
            <w:shd w:val="clear" w:color="auto" w:fill="FFFFFF" w:themeFill="background1"/>
          </w:tcPr>
          <w:p w14:paraId="63070AB5"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rPr>
              <w:t>Low to moderate homogeneous enhancement on arterial phase imaging</w:t>
            </w:r>
          </w:p>
        </w:tc>
        <w:tc>
          <w:tcPr>
            <w:tcW w:w="4698" w:type="dxa"/>
            <w:shd w:val="clear" w:color="auto" w:fill="FFFFFF" w:themeFill="background1"/>
          </w:tcPr>
          <w:p w14:paraId="2032B2F9"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Heterogeneous or rim-like enhancement on arterial phase imaging</w:t>
            </w:r>
          </w:p>
        </w:tc>
      </w:tr>
      <w:tr w:rsidR="00190A3E" w:rsidRPr="00190A3E" w14:paraId="5945F8EB" w14:textId="77777777" w:rsidTr="00267F71">
        <w:trPr>
          <w:trHeight w:val="239"/>
        </w:trPr>
        <w:tc>
          <w:tcPr>
            <w:tcW w:w="4643" w:type="dxa"/>
            <w:shd w:val="clear" w:color="auto" w:fill="FFFFFF" w:themeFill="background1"/>
          </w:tcPr>
          <w:p w14:paraId="6EA8FD1A"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Hypointense on delayed phase imaging</w:t>
            </w:r>
          </w:p>
        </w:tc>
        <w:tc>
          <w:tcPr>
            <w:tcW w:w="4698" w:type="dxa"/>
            <w:shd w:val="clear" w:color="auto" w:fill="FFFFFF" w:themeFill="background1"/>
          </w:tcPr>
          <w:p w14:paraId="6402C4D5"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Atypical persistence of enhancement on delayed phase imaging</w:t>
            </w:r>
          </w:p>
        </w:tc>
      </w:tr>
      <w:tr w:rsidR="00190A3E" w:rsidRPr="00190A3E" w14:paraId="3B3598F5" w14:textId="77777777" w:rsidTr="00267F71">
        <w:trPr>
          <w:trHeight w:val="239"/>
        </w:trPr>
        <w:tc>
          <w:tcPr>
            <w:tcW w:w="4643" w:type="dxa"/>
            <w:shd w:val="clear" w:color="auto" w:fill="FFFFFF" w:themeFill="background1"/>
          </w:tcPr>
          <w:p w14:paraId="6C6B2B88" w14:textId="77777777" w:rsidR="00D63721" w:rsidRPr="00190A3E" w:rsidRDefault="00D63721" w:rsidP="00D63721">
            <w:pPr>
              <w:spacing w:line="360" w:lineRule="auto"/>
              <w:jc w:val="both"/>
              <w:rPr>
                <w:rFonts w:ascii="Book Antiqua" w:hAnsi="Book Antiqua"/>
                <w:color w:val="000000" w:themeColor="text1"/>
              </w:rPr>
            </w:pPr>
            <w:r w:rsidRPr="00190A3E">
              <w:rPr>
                <w:rFonts w:ascii="Book Antiqua" w:hAnsi="Book Antiqua"/>
                <w:color w:val="000000" w:themeColor="text1"/>
              </w:rPr>
              <w:t>Higher ADC values</w:t>
            </w:r>
          </w:p>
        </w:tc>
        <w:tc>
          <w:tcPr>
            <w:tcW w:w="4698" w:type="dxa"/>
            <w:shd w:val="clear" w:color="auto" w:fill="FFFFFF" w:themeFill="background1"/>
          </w:tcPr>
          <w:p w14:paraId="6671EA47"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Signal hyperintensity on diffusion-weighted MRI and lower ADC value</w:t>
            </w:r>
          </w:p>
        </w:tc>
      </w:tr>
      <w:tr w:rsidR="00190A3E" w:rsidRPr="00190A3E" w14:paraId="6F372E4C" w14:textId="77777777" w:rsidTr="00267F71">
        <w:trPr>
          <w:trHeight w:val="239"/>
        </w:trPr>
        <w:tc>
          <w:tcPr>
            <w:tcW w:w="4643" w:type="dxa"/>
            <w:shd w:val="clear" w:color="auto" w:fill="FFFFFF" w:themeFill="background1"/>
          </w:tcPr>
          <w:p w14:paraId="1239CFD0"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Low uptake on </w:t>
            </w:r>
            <w:r w:rsidRPr="00190A3E">
              <w:rPr>
                <w:rFonts w:ascii="Book Antiqua" w:hAnsi="Book Antiqua"/>
                <w:color w:val="000000" w:themeColor="text1"/>
                <w:vertAlign w:val="superscript"/>
                <w:lang w:val="es-ES"/>
              </w:rPr>
              <w:t>18</w:t>
            </w:r>
            <w:r w:rsidRPr="00190A3E">
              <w:rPr>
                <w:rFonts w:ascii="Book Antiqua" w:hAnsi="Book Antiqua"/>
                <w:color w:val="000000" w:themeColor="text1"/>
                <w:lang w:val="es-ES"/>
              </w:rPr>
              <w:t>F-FDG PET/CT</w:t>
            </w:r>
          </w:p>
        </w:tc>
        <w:tc>
          <w:tcPr>
            <w:tcW w:w="4698" w:type="dxa"/>
            <w:shd w:val="clear" w:color="auto" w:fill="FFFFFF" w:themeFill="background1"/>
          </w:tcPr>
          <w:p w14:paraId="4EE62C1D"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High uptake on </w:t>
            </w:r>
            <w:r w:rsidRPr="00190A3E">
              <w:rPr>
                <w:rFonts w:ascii="Book Antiqua" w:hAnsi="Book Antiqua"/>
                <w:color w:val="000000" w:themeColor="text1"/>
                <w:vertAlign w:val="superscript"/>
                <w:lang w:val="es-ES"/>
              </w:rPr>
              <w:t>18</w:t>
            </w:r>
            <w:r w:rsidRPr="00190A3E">
              <w:rPr>
                <w:rFonts w:ascii="Book Antiqua" w:hAnsi="Book Antiqua"/>
                <w:color w:val="000000" w:themeColor="text1"/>
                <w:lang w:val="es-ES"/>
              </w:rPr>
              <w:t>F-FDG PET/CT</w:t>
            </w:r>
          </w:p>
        </w:tc>
      </w:tr>
      <w:tr w:rsidR="00190A3E" w:rsidRPr="00190A3E" w14:paraId="5452B324" w14:textId="77777777" w:rsidTr="00267F71">
        <w:trPr>
          <w:trHeight w:val="239"/>
        </w:trPr>
        <w:tc>
          <w:tcPr>
            <w:tcW w:w="4643" w:type="dxa"/>
            <w:shd w:val="clear" w:color="auto" w:fill="FFFFFF" w:themeFill="background1"/>
          </w:tcPr>
          <w:p w14:paraId="32F80AAD"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Moderate uptake on </w:t>
            </w:r>
            <w:r w:rsidRPr="00190A3E">
              <w:rPr>
                <w:rFonts w:ascii="Book Antiqua" w:hAnsi="Book Antiqua"/>
                <w:color w:val="000000" w:themeColor="text1"/>
                <w:vertAlign w:val="superscript"/>
                <w:lang w:val="es-ES"/>
              </w:rPr>
              <w:t>68</w:t>
            </w:r>
            <w:r w:rsidRPr="00190A3E">
              <w:rPr>
                <w:rFonts w:ascii="Book Antiqua" w:hAnsi="Book Antiqua"/>
                <w:color w:val="000000" w:themeColor="text1"/>
                <w:lang w:val="es-ES"/>
              </w:rPr>
              <w:t>Ga-DOTATATE PET/CT</w:t>
            </w:r>
          </w:p>
        </w:tc>
        <w:tc>
          <w:tcPr>
            <w:tcW w:w="4698" w:type="dxa"/>
            <w:shd w:val="clear" w:color="auto" w:fill="FFFFFF" w:themeFill="background1"/>
          </w:tcPr>
          <w:p w14:paraId="70BE6C6E" w14:textId="77777777" w:rsidR="00D63721" w:rsidRPr="00190A3E" w:rsidRDefault="00D63721" w:rsidP="00D63721">
            <w:pPr>
              <w:spacing w:line="360" w:lineRule="auto"/>
              <w:jc w:val="both"/>
              <w:rPr>
                <w:rFonts w:ascii="Book Antiqua" w:hAnsi="Book Antiqua"/>
                <w:color w:val="000000" w:themeColor="text1"/>
                <w:lang w:val="es-ES"/>
              </w:rPr>
            </w:pPr>
            <w:r w:rsidRPr="00190A3E">
              <w:rPr>
                <w:rFonts w:ascii="Book Antiqua" w:hAnsi="Book Antiqua"/>
                <w:color w:val="000000" w:themeColor="text1"/>
                <w:lang w:val="es-ES"/>
              </w:rPr>
              <w:t xml:space="preserve">Low uptake on </w:t>
            </w:r>
            <w:r w:rsidRPr="00190A3E">
              <w:rPr>
                <w:rFonts w:ascii="Book Antiqua" w:hAnsi="Book Antiqua"/>
                <w:color w:val="000000" w:themeColor="text1"/>
                <w:vertAlign w:val="superscript"/>
                <w:lang w:val="es-ES"/>
              </w:rPr>
              <w:t>68</w:t>
            </w:r>
            <w:r w:rsidRPr="00190A3E">
              <w:rPr>
                <w:rFonts w:ascii="Book Antiqua" w:hAnsi="Book Antiqua"/>
                <w:color w:val="000000" w:themeColor="text1"/>
                <w:lang w:val="es-ES"/>
              </w:rPr>
              <w:t>Ga-DOTATATE PET/CT</w:t>
            </w:r>
          </w:p>
        </w:tc>
      </w:tr>
    </w:tbl>
    <w:p w14:paraId="003D8979" w14:textId="37EEA0D8" w:rsidR="000275B2" w:rsidRPr="00190A3E" w:rsidRDefault="00654B4C">
      <w:pPr>
        <w:spacing w:line="360" w:lineRule="auto"/>
        <w:jc w:val="both"/>
        <w:rPr>
          <w:rFonts w:ascii="Book Antiqua" w:hAnsi="Book Antiqua"/>
          <w:color w:val="000000" w:themeColor="text1"/>
        </w:rPr>
      </w:pPr>
      <w:r w:rsidRPr="00190A3E">
        <w:rPr>
          <w:rFonts w:ascii="Book Antiqua" w:hAnsi="Book Antiqua"/>
          <w:color w:val="000000" w:themeColor="text1"/>
          <w:lang w:val="es-ES"/>
        </w:rPr>
        <w:t>MRI:</w:t>
      </w:r>
      <w:r w:rsidRPr="00190A3E">
        <w:rPr>
          <w:rFonts w:ascii="Book Antiqua" w:hAnsi="Book Antiqua"/>
          <w:color w:val="000000" w:themeColor="text1"/>
        </w:rPr>
        <w:t xml:space="preserve"> </w:t>
      </w:r>
      <w:r w:rsidRPr="00190A3E">
        <w:rPr>
          <w:rFonts w:ascii="Book Antiqua" w:eastAsia="Book Antiqua" w:hAnsi="Book Antiqua" w:cs="Book Antiqua"/>
          <w:color w:val="000000" w:themeColor="text1"/>
        </w:rPr>
        <w:t>Magnetic resonance imaging;</w:t>
      </w:r>
      <w:r w:rsidRPr="00190A3E">
        <w:rPr>
          <w:rFonts w:ascii="Book Antiqua" w:hAnsi="Book Antiqua" w:cstheme="minorHAnsi"/>
          <w:color w:val="000000" w:themeColor="text1"/>
        </w:rPr>
        <w:t xml:space="preserve"> ADC: </w:t>
      </w:r>
      <w:r w:rsidRPr="00190A3E">
        <w:rPr>
          <w:rFonts w:ascii="Book Antiqua" w:eastAsia="Book Antiqua" w:hAnsi="Book Antiqua" w:cs="Book Antiqua"/>
          <w:color w:val="000000" w:themeColor="text1"/>
        </w:rPr>
        <w:t>Apparent diffusion coefficient;</w:t>
      </w:r>
      <w:r w:rsidRPr="00190A3E">
        <w:rPr>
          <w:rFonts w:ascii="Book Antiqua" w:hAnsi="Book Antiqua"/>
          <w:color w:val="000000" w:themeColor="text1"/>
        </w:rPr>
        <w:t xml:space="preserve"> PanNET: Pancreatic neuroendocrine tumors; PanNEC: Pancreatic neuroendocrine carcinomas; ADC: Apparent diffusion coefficient; </w:t>
      </w:r>
      <w:r w:rsidRPr="00190A3E">
        <w:rPr>
          <w:rFonts w:ascii="Book Antiqua" w:hAnsi="Book Antiqua"/>
          <w:color w:val="000000" w:themeColor="text1"/>
          <w:vertAlign w:val="superscript"/>
        </w:rPr>
        <w:t>18</w:t>
      </w:r>
      <w:r w:rsidRPr="00190A3E">
        <w:rPr>
          <w:rFonts w:ascii="Book Antiqua" w:hAnsi="Book Antiqua"/>
          <w:color w:val="000000" w:themeColor="text1"/>
        </w:rPr>
        <w:t>F-FDG: Fluorine-18 fluorodeoxyglucose; PET/CT: positron emission tomography/computed tomography;</w:t>
      </w:r>
      <w:r w:rsidRPr="00190A3E">
        <w:rPr>
          <w:rFonts w:ascii="Book Antiqua" w:hAnsi="Book Antiqua"/>
          <w:color w:val="000000" w:themeColor="text1"/>
          <w:vertAlign w:val="superscript"/>
        </w:rPr>
        <w:t xml:space="preserve"> 68</w:t>
      </w:r>
      <w:r w:rsidRPr="00190A3E">
        <w:rPr>
          <w:rFonts w:ascii="Book Antiqua" w:hAnsi="Book Antiqua"/>
          <w:color w:val="000000" w:themeColor="text1"/>
        </w:rPr>
        <w:t>Ga-DOTATATE: Gallium-68 1,4,7,10-tetraazacyclododecane-1,4,7,10-tetraacetic acid–octreotate.</w:t>
      </w:r>
    </w:p>
    <w:sectPr w:rsidR="000275B2" w:rsidRPr="00190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048D" w14:textId="77777777" w:rsidR="001B4487" w:rsidRDefault="001B4487" w:rsidP="00306E95">
      <w:r>
        <w:separator/>
      </w:r>
    </w:p>
  </w:endnote>
  <w:endnote w:type="continuationSeparator" w:id="0">
    <w:p w14:paraId="09FA2B14" w14:textId="77777777" w:rsidR="001B4487" w:rsidRDefault="001B4487" w:rsidP="0030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D772" w14:textId="77777777" w:rsidR="00306E95" w:rsidRPr="00306E95" w:rsidRDefault="00306E95" w:rsidP="00306E95">
    <w:pPr>
      <w:pStyle w:val="ad"/>
      <w:jc w:val="right"/>
      <w:rPr>
        <w:rFonts w:ascii="Book Antiqua" w:hAnsi="Book Antiqua"/>
        <w:sz w:val="24"/>
        <w:szCs w:val="24"/>
      </w:rPr>
    </w:pPr>
    <w:r w:rsidRPr="00306E95">
      <w:rPr>
        <w:rFonts w:ascii="Book Antiqua" w:hAnsi="Book Antiqua"/>
        <w:sz w:val="24"/>
        <w:szCs w:val="24"/>
        <w:lang w:val="zh-CN" w:eastAsia="zh-CN"/>
      </w:rPr>
      <w:t xml:space="preserve"> </w:t>
    </w:r>
    <w:r w:rsidRPr="00306E95">
      <w:rPr>
        <w:rFonts w:ascii="Book Antiqua" w:hAnsi="Book Antiqua"/>
        <w:sz w:val="24"/>
        <w:szCs w:val="24"/>
      </w:rPr>
      <w:fldChar w:fldCharType="begin"/>
    </w:r>
    <w:r w:rsidRPr="00306E95">
      <w:rPr>
        <w:rFonts w:ascii="Book Antiqua" w:hAnsi="Book Antiqua"/>
        <w:sz w:val="24"/>
        <w:szCs w:val="24"/>
      </w:rPr>
      <w:instrText>PAGE  \* Arabic  \* MERGEFORMAT</w:instrText>
    </w:r>
    <w:r w:rsidRPr="00306E95">
      <w:rPr>
        <w:rFonts w:ascii="Book Antiqua" w:hAnsi="Book Antiqua"/>
        <w:sz w:val="24"/>
        <w:szCs w:val="24"/>
      </w:rPr>
      <w:fldChar w:fldCharType="separate"/>
    </w:r>
    <w:r w:rsidRPr="00306E95">
      <w:rPr>
        <w:rFonts w:ascii="Book Antiqua" w:hAnsi="Book Antiqua"/>
        <w:sz w:val="24"/>
        <w:szCs w:val="24"/>
        <w:lang w:val="zh-CN" w:eastAsia="zh-CN"/>
      </w:rPr>
      <w:t>2</w:t>
    </w:r>
    <w:r w:rsidRPr="00306E95">
      <w:rPr>
        <w:rFonts w:ascii="Book Antiqua" w:hAnsi="Book Antiqua"/>
        <w:sz w:val="24"/>
        <w:szCs w:val="24"/>
      </w:rPr>
      <w:fldChar w:fldCharType="end"/>
    </w:r>
    <w:r w:rsidRPr="00306E95">
      <w:rPr>
        <w:rFonts w:ascii="Book Antiqua" w:hAnsi="Book Antiqua"/>
        <w:sz w:val="24"/>
        <w:szCs w:val="24"/>
        <w:lang w:val="zh-CN" w:eastAsia="zh-CN"/>
      </w:rPr>
      <w:t xml:space="preserve"> / </w:t>
    </w:r>
    <w:r w:rsidRPr="00306E95">
      <w:rPr>
        <w:rFonts w:ascii="Book Antiqua" w:hAnsi="Book Antiqua"/>
        <w:sz w:val="24"/>
        <w:szCs w:val="24"/>
      </w:rPr>
      <w:fldChar w:fldCharType="begin"/>
    </w:r>
    <w:r w:rsidRPr="00306E95">
      <w:rPr>
        <w:rFonts w:ascii="Book Antiqua" w:hAnsi="Book Antiqua"/>
        <w:sz w:val="24"/>
        <w:szCs w:val="24"/>
      </w:rPr>
      <w:instrText>NUMPAGES  \* Arabic  \* MERGEFORMAT</w:instrText>
    </w:r>
    <w:r w:rsidRPr="00306E95">
      <w:rPr>
        <w:rFonts w:ascii="Book Antiqua" w:hAnsi="Book Antiqua"/>
        <w:sz w:val="24"/>
        <w:szCs w:val="24"/>
      </w:rPr>
      <w:fldChar w:fldCharType="separate"/>
    </w:r>
    <w:r w:rsidRPr="00306E95">
      <w:rPr>
        <w:rFonts w:ascii="Book Antiqua" w:hAnsi="Book Antiqua"/>
        <w:sz w:val="24"/>
        <w:szCs w:val="24"/>
        <w:lang w:val="zh-CN" w:eastAsia="zh-CN"/>
      </w:rPr>
      <w:t>2</w:t>
    </w:r>
    <w:r w:rsidRPr="00306E95">
      <w:rPr>
        <w:rFonts w:ascii="Book Antiqua" w:hAnsi="Book Antiqua"/>
        <w:sz w:val="24"/>
        <w:szCs w:val="24"/>
      </w:rPr>
      <w:fldChar w:fldCharType="end"/>
    </w:r>
  </w:p>
  <w:p w14:paraId="1F719619" w14:textId="77777777" w:rsidR="00306E95" w:rsidRPr="00306E95" w:rsidRDefault="00306E95" w:rsidP="00306E95">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E4C24" w14:textId="77777777" w:rsidR="001B4487" w:rsidRDefault="001B4487" w:rsidP="00306E95">
      <w:r>
        <w:separator/>
      </w:r>
    </w:p>
  </w:footnote>
  <w:footnote w:type="continuationSeparator" w:id="0">
    <w:p w14:paraId="488672F8" w14:textId="77777777" w:rsidR="001B4487" w:rsidRDefault="001B4487" w:rsidP="00306E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75B2"/>
    <w:rsid w:val="000879CE"/>
    <w:rsid w:val="000A1543"/>
    <w:rsid w:val="000B684B"/>
    <w:rsid w:val="00150E8B"/>
    <w:rsid w:val="00190A3E"/>
    <w:rsid w:val="001B4487"/>
    <w:rsid w:val="001C07DC"/>
    <w:rsid w:val="00223A02"/>
    <w:rsid w:val="002313A3"/>
    <w:rsid w:val="0023486B"/>
    <w:rsid w:val="00267F71"/>
    <w:rsid w:val="002A25BD"/>
    <w:rsid w:val="002E1D95"/>
    <w:rsid w:val="00302F9F"/>
    <w:rsid w:val="00306E95"/>
    <w:rsid w:val="00343AF3"/>
    <w:rsid w:val="00350D58"/>
    <w:rsid w:val="0043405D"/>
    <w:rsid w:val="00484FAD"/>
    <w:rsid w:val="00524F52"/>
    <w:rsid w:val="005B0DD0"/>
    <w:rsid w:val="005C15D9"/>
    <w:rsid w:val="005E6FFD"/>
    <w:rsid w:val="00627170"/>
    <w:rsid w:val="00634848"/>
    <w:rsid w:val="00645D2A"/>
    <w:rsid w:val="00654B4C"/>
    <w:rsid w:val="00677DA4"/>
    <w:rsid w:val="006E51ED"/>
    <w:rsid w:val="00757781"/>
    <w:rsid w:val="007B64F3"/>
    <w:rsid w:val="007B77CC"/>
    <w:rsid w:val="007F4548"/>
    <w:rsid w:val="00824270"/>
    <w:rsid w:val="009B7CD5"/>
    <w:rsid w:val="009C430C"/>
    <w:rsid w:val="009D16F7"/>
    <w:rsid w:val="00A1754A"/>
    <w:rsid w:val="00A567F6"/>
    <w:rsid w:val="00A77B3E"/>
    <w:rsid w:val="00AA365C"/>
    <w:rsid w:val="00AE2F8B"/>
    <w:rsid w:val="00B2167A"/>
    <w:rsid w:val="00B47E20"/>
    <w:rsid w:val="00B72A05"/>
    <w:rsid w:val="00C0381D"/>
    <w:rsid w:val="00C164E5"/>
    <w:rsid w:val="00C64E14"/>
    <w:rsid w:val="00CA2A55"/>
    <w:rsid w:val="00CF1806"/>
    <w:rsid w:val="00D50888"/>
    <w:rsid w:val="00D63721"/>
    <w:rsid w:val="00D97507"/>
    <w:rsid w:val="00E42EC5"/>
    <w:rsid w:val="00ED445A"/>
    <w:rsid w:val="00ED498D"/>
    <w:rsid w:val="00EE6226"/>
    <w:rsid w:val="00F57E8E"/>
    <w:rsid w:val="00FB658C"/>
    <w:rsid w:val="00FC1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84B5AC"/>
  <w15:docId w15:val="{F12107C1-4FE7-4C0F-BF13-80EB8519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B72A05"/>
    <w:rPr>
      <w:sz w:val="18"/>
      <w:szCs w:val="18"/>
    </w:rPr>
  </w:style>
  <w:style w:type="character" w:customStyle="1" w:styleId="a5">
    <w:name w:val="批注框文本 字符"/>
    <w:basedOn w:val="a0"/>
    <w:link w:val="a4"/>
    <w:rsid w:val="00B72A05"/>
    <w:rPr>
      <w:sz w:val="18"/>
      <w:szCs w:val="18"/>
    </w:rPr>
  </w:style>
  <w:style w:type="character" w:styleId="a6">
    <w:name w:val="annotation reference"/>
    <w:basedOn w:val="a0"/>
    <w:semiHidden/>
    <w:unhideWhenUsed/>
    <w:rsid w:val="002E1D95"/>
    <w:rPr>
      <w:sz w:val="16"/>
      <w:szCs w:val="16"/>
    </w:rPr>
  </w:style>
  <w:style w:type="paragraph" w:styleId="a7">
    <w:name w:val="annotation text"/>
    <w:basedOn w:val="a"/>
    <w:link w:val="a8"/>
    <w:semiHidden/>
    <w:unhideWhenUsed/>
    <w:rsid w:val="002E1D95"/>
    <w:rPr>
      <w:sz w:val="20"/>
      <w:szCs w:val="20"/>
    </w:rPr>
  </w:style>
  <w:style w:type="character" w:customStyle="1" w:styleId="a8">
    <w:name w:val="批注文字 字符"/>
    <w:basedOn w:val="a0"/>
    <w:link w:val="a7"/>
    <w:semiHidden/>
    <w:rsid w:val="002E1D95"/>
  </w:style>
  <w:style w:type="paragraph" w:styleId="a9">
    <w:name w:val="annotation subject"/>
    <w:basedOn w:val="a7"/>
    <w:next w:val="a7"/>
    <w:link w:val="aa"/>
    <w:semiHidden/>
    <w:unhideWhenUsed/>
    <w:rsid w:val="002E1D95"/>
    <w:rPr>
      <w:b/>
      <w:bCs/>
    </w:rPr>
  </w:style>
  <w:style w:type="character" w:customStyle="1" w:styleId="aa">
    <w:name w:val="批注主题 字符"/>
    <w:basedOn w:val="a8"/>
    <w:link w:val="a9"/>
    <w:semiHidden/>
    <w:rsid w:val="002E1D95"/>
    <w:rPr>
      <w:b/>
      <w:bCs/>
    </w:rPr>
  </w:style>
  <w:style w:type="paragraph" w:styleId="ab">
    <w:name w:val="header"/>
    <w:basedOn w:val="a"/>
    <w:link w:val="ac"/>
    <w:unhideWhenUsed/>
    <w:rsid w:val="00306E95"/>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306E95"/>
    <w:rPr>
      <w:sz w:val="18"/>
      <w:szCs w:val="18"/>
    </w:rPr>
  </w:style>
  <w:style w:type="paragraph" w:styleId="ad">
    <w:name w:val="footer"/>
    <w:basedOn w:val="a"/>
    <w:link w:val="ae"/>
    <w:uiPriority w:val="99"/>
    <w:unhideWhenUsed/>
    <w:rsid w:val="00306E95"/>
    <w:pPr>
      <w:tabs>
        <w:tab w:val="center" w:pos="4153"/>
        <w:tab w:val="right" w:pos="8306"/>
      </w:tabs>
      <w:snapToGrid w:val="0"/>
    </w:pPr>
    <w:rPr>
      <w:sz w:val="18"/>
      <w:szCs w:val="18"/>
    </w:rPr>
  </w:style>
  <w:style w:type="character" w:customStyle="1" w:styleId="ae">
    <w:name w:val="页脚 字符"/>
    <w:basedOn w:val="a0"/>
    <w:link w:val="ad"/>
    <w:uiPriority w:val="99"/>
    <w:rsid w:val="00306E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pubmed.ncbi.nlm.nih.gov/?term=%C3%96nner+H&amp;cauthor_id=32516240" TargetMode="Externa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A91FF-9886-4370-B157-C28EFCE0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36</Pages>
  <Words>8608</Words>
  <Characters>54554</Characters>
  <Application>Microsoft Office Word</Application>
  <DocSecurity>0</DocSecurity>
  <Lines>454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Ganeshan,Dhakshina Moorthy</dc:creator>
  <cp:lastModifiedBy>Jin-Lei Wang</cp:lastModifiedBy>
  <cp:revision>27</cp:revision>
  <dcterms:created xsi:type="dcterms:W3CDTF">2021-08-26T04:22:00Z</dcterms:created>
  <dcterms:modified xsi:type="dcterms:W3CDTF">2021-08-27T10:30:00Z</dcterms:modified>
</cp:coreProperties>
</file>