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7AD8D" w14:textId="77777777" w:rsidR="00B113BC" w:rsidRDefault="00C207E9">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5D9B066" w14:textId="77777777" w:rsidR="00B113BC" w:rsidRDefault="00C207E9">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66654</w:t>
      </w:r>
    </w:p>
    <w:p w14:paraId="7B50F90B" w14:textId="77777777" w:rsidR="00B113BC" w:rsidRDefault="00C207E9">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6C6F04F1" w14:textId="77777777" w:rsidR="00B113BC" w:rsidRDefault="00B113BC">
      <w:pPr>
        <w:spacing w:line="360" w:lineRule="auto"/>
        <w:jc w:val="both"/>
        <w:rPr>
          <w:rFonts w:ascii="Book Antiqua" w:hAnsi="Book Antiqua"/>
        </w:rPr>
      </w:pPr>
    </w:p>
    <w:p w14:paraId="7A1D8BC1" w14:textId="77777777" w:rsidR="00B113BC" w:rsidRDefault="00C207E9">
      <w:pPr>
        <w:spacing w:line="360" w:lineRule="auto"/>
        <w:jc w:val="both"/>
        <w:rPr>
          <w:rFonts w:ascii="Book Antiqua" w:hAnsi="Book Antiqua"/>
        </w:rPr>
      </w:pPr>
      <w:bookmarkStart w:id="0" w:name="OLE_LINK150"/>
      <w:bookmarkStart w:id="1" w:name="OLE_LINK151"/>
      <w:r>
        <w:rPr>
          <w:rFonts w:ascii="Book Antiqua" w:eastAsia="Book Antiqua" w:hAnsi="Book Antiqua" w:cs="Book Antiqua"/>
          <w:b/>
          <w:bCs/>
          <w:color w:val="000000"/>
        </w:rPr>
        <w:t>Impact of COVID-19 on the clinical status of patients with Wilson disease</w:t>
      </w:r>
    </w:p>
    <w:bookmarkEnd w:id="0"/>
    <w:bookmarkEnd w:id="1"/>
    <w:p w14:paraId="5A877534" w14:textId="77777777" w:rsidR="00B113BC" w:rsidRDefault="00B113BC">
      <w:pPr>
        <w:spacing w:line="360" w:lineRule="auto"/>
        <w:jc w:val="both"/>
        <w:rPr>
          <w:rFonts w:ascii="Book Antiqua" w:hAnsi="Book Antiqua"/>
        </w:rPr>
      </w:pPr>
    </w:p>
    <w:p w14:paraId="19A8431B" w14:textId="77777777" w:rsidR="00B113BC" w:rsidRDefault="00C207E9">
      <w:pPr>
        <w:spacing w:line="360" w:lineRule="auto"/>
        <w:jc w:val="both"/>
        <w:rPr>
          <w:rFonts w:ascii="Book Antiqua" w:hAnsi="Book Antiqua"/>
        </w:rPr>
      </w:pPr>
      <w:r>
        <w:rPr>
          <w:rFonts w:ascii="Book Antiqua" w:eastAsia="Book Antiqua" w:hAnsi="Book Antiqua" w:cs="Book Antiqua"/>
          <w:color w:val="000000"/>
        </w:rPr>
        <w:t xml:space="preserve">Zhuang </w:t>
      </w:r>
      <w:r>
        <w:rPr>
          <w:rFonts w:ascii="Book Antiqua" w:hAnsi="Book Antiqua" w:cs="Book Antiqua"/>
          <w:color w:val="000000"/>
          <w:lang w:eastAsia="zh-CN"/>
        </w:rPr>
        <w:t xml:space="preserve">YP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eastAsia="Book Antiqua" w:hAnsi="Book Antiqua" w:cs="Book Antiqua"/>
          <w:color w:val="000000"/>
        </w:rPr>
        <w:t>COVID-19 and Wilson disease</w:t>
      </w:r>
    </w:p>
    <w:p w14:paraId="672315E8" w14:textId="77777777" w:rsidR="00B113BC" w:rsidRDefault="00B113BC">
      <w:pPr>
        <w:spacing w:line="360" w:lineRule="auto"/>
        <w:jc w:val="both"/>
        <w:rPr>
          <w:rFonts w:ascii="Book Antiqua" w:hAnsi="Book Antiqua"/>
        </w:rPr>
      </w:pPr>
    </w:p>
    <w:p w14:paraId="480C60D6" w14:textId="77777777" w:rsidR="00B113BC" w:rsidRDefault="00C207E9">
      <w:pPr>
        <w:spacing w:line="360" w:lineRule="auto"/>
        <w:jc w:val="both"/>
        <w:rPr>
          <w:rFonts w:ascii="Book Antiqua" w:hAnsi="Book Antiqua"/>
        </w:rPr>
      </w:pPr>
      <w:r>
        <w:rPr>
          <w:rFonts w:ascii="Book Antiqua" w:eastAsia="Book Antiqua" w:hAnsi="Book Antiqua" w:cs="Book Antiqua"/>
          <w:color w:val="000000"/>
        </w:rPr>
        <w:t>Yu-Pei Zhuang, Hao-Jie Zhong</w:t>
      </w:r>
    </w:p>
    <w:p w14:paraId="1DEBDFBD" w14:textId="77777777" w:rsidR="00B113BC" w:rsidRDefault="00B113BC">
      <w:pPr>
        <w:spacing w:line="360" w:lineRule="auto"/>
        <w:jc w:val="both"/>
        <w:rPr>
          <w:rFonts w:ascii="Book Antiqua" w:hAnsi="Book Antiqua"/>
        </w:rPr>
      </w:pPr>
    </w:p>
    <w:p w14:paraId="7CF32202" w14:textId="77777777" w:rsidR="00B113BC" w:rsidRDefault="00C207E9">
      <w:pPr>
        <w:spacing w:line="360" w:lineRule="auto"/>
        <w:jc w:val="both"/>
        <w:rPr>
          <w:rFonts w:ascii="Book Antiqua" w:hAnsi="Book Antiqua"/>
        </w:rPr>
      </w:pPr>
      <w:r>
        <w:rPr>
          <w:rFonts w:ascii="Book Antiqua" w:eastAsia="Book Antiqua" w:hAnsi="Book Antiqua" w:cs="Book Antiqua"/>
          <w:b/>
          <w:bCs/>
          <w:color w:val="000000"/>
        </w:rPr>
        <w:t xml:space="preserve">Yu-Pei Zhuang, </w:t>
      </w:r>
      <w:r>
        <w:rPr>
          <w:rFonts w:ascii="Book Antiqua" w:eastAsia="Book Antiqua" w:hAnsi="Book Antiqua" w:cs="Book Antiqua"/>
          <w:color w:val="000000"/>
        </w:rPr>
        <w:t>Department of Gastroenterology, the First Affiliated Hospital of Guangdong Pharmaceutical University, Guangzhou 510080, Guangdong Province, China</w:t>
      </w:r>
    </w:p>
    <w:p w14:paraId="166CAA74" w14:textId="77777777" w:rsidR="00B113BC" w:rsidRDefault="00B113BC">
      <w:pPr>
        <w:spacing w:line="360" w:lineRule="auto"/>
        <w:jc w:val="both"/>
        <w:rPr>
          <w:rFonts w:ascii="Book Antiqua" w:hAnsi="Book Antiqua"/>
        </w:rPr>
      </w:pPr>
    </w:p>
    <w:p w14:paraId="61D3E434" w14:textId="77777777" w:rsidR="00B113BC" w:rsidRDefault="00C207E9">
      <w:pPr>
        <w:spacing w:line="360" w:lineRule="auto"/>
        <w:jc w:val="both"/>
        <w:rPr>
          <w:rFonts w:ascii="Book Antiqua" w:hAnsi="Book Antiqua"/>
        </w:rPr>
      </w:pPr>
      <w:r>
        <w:rPr>
          <w:rFonts w:ascii="Book Antiqua" w:eastAsia="Book Antiqua" w:hAnsi="Book Antiqua" w:cs="Book Antiqua"/>
          <w:b/>
          <w:bCs/>
          <w:color w:val="000000"/>
        </w:rPr>
        <w:t xml:space="preserve">Hao-Jie Zhong, </w:t>
      </w:r>
      <w:r>
        <w:rPr>
          <w:rFonts w:ascii="Book Antiqua" w:eastAsia="Book Antiqua" w:hAnsi="Book Antiqua" w:cs="Book Antiqua"/>
          <w:color w:val="000000"/>
        </w:rPr>
        <w:t>Department of Gastroenterology, The First Affiliated Hospital of Guangdong Pharmaceutical University, Guangzhou 510080, Guangdong Province, China</w:t>
      </w:r>
    </w:p>
    <w:p w14:paraId="18E68459" w14:textId="77777777" w:rsidR="00B113BC" w:rsidRDefault="00B113BC">
      <w:pPr>
        <w:spacing w:line="360" w:lineRule="auto"/>
        <w:jc w:val="both"/>
        <w:rPr>
          <w:rFonts w:ascii="Book Antiqua" w:hAnsi="Book Antiqua"/>
        </w:rPr>
      </w:pPr>
    </w:p>
    <w:p w14:paraId="5E6FFB8F" w14:textId="77777777" w:rsidR="00B113BC" w:rsidRDefault="00C207E9">
      <w:pPr>
        <w:spacing w:line="360" w:lineRule="auto"/>
        <w:jc w:val="both"/>
        <w:rPr>
          <w:rFonts w:ascii="Book Antiqua" w:hAnsi="Book Antiqua"/>
        </w:rPr>
      </w:pPr>
      <w:r>
        <w:rPr>
          <w:rFonts w:ascii="Book Antiqua" w:eastAsia="Book Antiqua" w:hAnsi="Book Antiqua" w:cs="Book Antiqua"/>
          <w:b/>
          <w:bCs/>
          <w:color w:val="000000"/>
        </w:rPr>
        <w:t xml:space="preserve">Hao-Jie Zhong, </w:t>
      </w:r>
      <w:r>
        <w:rPr>
          <w:rFonts w:ascii="Book Antiqua" w:eastAsia="Book Antiqua" w:hAnsi="Book Antiqua" w:cs="Book Antiqua"/>
          <w:color w:val="000000"/>
        </w:rPr>
        <w:t>School of Biology and Biological Engineering, South China University of Technology, Guangzhou 510000, Guangdong Province, China</w:t>
      </w:r>
    </w:p>
    <w:p w14:paraId="091283C1" w14:textId="77777777" w:rsidR="00B113BC" w:rsidRDefault="00B113BC">
      <w:pPr>
        <w:spacing w:line="360" w:lineRule="auto"/>
        <w:jc w:val="both"/>
        <w:rPr>
          <w:rFonts w:ascii="Book Antiqua" w:hAnsi="Book Antiqua"/>
        </w:rPr>
      </w:pPr>
    </w:p>
    <w:p w14:paraId="26553EAF" w14:textId="77777777" w:rsidR="00B113BC" w:rsidRDefault="00C207E9">
      <w:pPr>
        <w:spacing w:line="360" w:lineRule="auto"/>
        <w:jc w:val="both"/>
        <w:rPr>
          <w:rFonts w:ascii="Book Antiqua" w:hAnsi="Book Antiqua"/>
        </w:rPr>
      </w:pPr>
      <w:r>
        <w:rPr>
          <w:rFonts w:ascii="Book Antiqua" w:eastAsia="Book Antiqua" w:hAnsi="Book Antiqua" w:cs="Book Antiqua"/>
          <w:b/>
          <w:bCs/>
          <w:color w:val="000000"/>
        </w:rPr>
        <w:t xml:space="preserve">Hao-Jie Zhong, </w:t>
      </w:r>
      <w:r>
        <w:rPr>
          <w:rFonts w:ascii="Book Antiqua" w:eastAsia="Book Antiqua" w:hAnsi="Book Antiqua" w:cs="Book Antiqua"/>
          <w:color w:val="000000"/>
        </w:rPr>
        <w:t>Institute of Microbiology, Guangdong Academy of Sciences, Guangzhou 510000, Guangdong Province, China</w:t>
      </w:r>
    </w:p>
    <w:p w14:paraId="2F528290" w14:textId="77777777" w:rsidR="00B113BC" w:rsidRDefault="00B113BC">
      <w:pPr>
        <w:spacing w:line="360" w:lineRule="auto"/>
        <w:jc w:val="both"/>
        <w:rPr>
          <w:rFonts w:ascii="Book Antiqua" w:hAnsi="Book Antiqua"/>
        </w:rPr>
      </w:pPr>
    </w:p>
    <w:p w14:paraId="0B6790A1" w14:textId="77777777" w:rsidR="00B113BC" w:rsidRDefault="00C207E9">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Zhong HJ designed the research; Zhuang YP analyzed the data; Zhuang YP and Zhong HJ performed the research and wrote the letter.</w:t>
      </w:r>
    </w:p>
    <w:p w14:paraId="1F241A73" w14:textId="77777777" w:rsidR="00B113BC" w:rsidRDefault="00B113BC">
      <w:pPr>
        <w:spacing w:line="360" w:lineRule="auto"/>
        <w:jc w:val="both"/>
        <w:rPr>
          <w:rFonts w:ascii="Book Antiqua" w:hAnsi="Book Antiqua"/>
        </w:rPr>
      </w:pPr>
    </w:p>
    <w:p w14:paraId="47177CD4" w14:textId="77777777" w:rsidR="00B113BC" w:rsidRDefault="00C207E9">
      <w:pPr>
        <w:spacing w:line="360" w:lineRule="auto"/>
        <w:jc w:val="both"/>
        <w:rPr>
          <w:rFonts w:ascii="Book Antiqua" w:hAnsi="Book Antiqua"/>
        </w:rPr>
      </w:pPr>
      <w:r>
        <w:rPr>
          <w:rFonts w:ascii="Book Antiqua" w:eastAsia="Book Antiqua" w:hAnsi="Book Antiqua" w:cs="Book Antiqua"/>
          <w:b/>
          <w:bCs/>
          <w:color w:val="000000"/>
        </w:rPr>
        <w:t xml:space="preserve">Corresponding author: Hao-Jie Zhong, MD, PhD, Doctor, </w:t>
      </w:r>
      <w:r>
        <w:rPr>
          <w:rFonts w:ascii="Book Antiqua" w:eastAsia="Book Antiqua" w:hAnsi="Book Antiqua" w:cs="Book Antiqua"/>
          <w:color w:val="000000"/>
        </w:rPr>
        <w:t xml:space="preserve">Department of Gastroenterology, The First Affiliated Hospital of Guangdong Pharmaceutical </w:t>
      </w:r>
      <w:r>
        <w:rPr>
          <w:rFonts w:ascii="Book Antiqua" w:eastAsia="Book Antiqua" w:hAnsi="Book Antiqua" w:cs="Book Antiqua"/>
          <w:color w:val="000000"/>
        </w:rPr>
        <w:lastRenderedPageBreak/>
        <w:t>University, No. 19 Nonglingxia Road, Guangzhou 510080, Guangdong Province, China. jaxzhong@126.com</w:t>
      </w:r>
    </w:p>
    <w:p w14:paraId="6B1C9CB1" w14:textId="77777777" w:rsidR="00B113BC" w:rsidRDefault="00B113BC">
      <w:pPr>
        <w:spacing w:line="360" w:lineRule="auto"/>
        <w:jc w:val="both"/>
        <w:rPr>
          <w:rFonts w:ascii="Book Antiqua" w:hAnsi="Book Antiqua"/>
        </w:rPr>
      </w:pPr>
    </w:p>
    <w:p w14:paraId="43B41DAC" w14:textId="77777777" w:rsidR="00B113BC" w:rsidRDefault="00C207E9">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10, 2021</w:t>
      </w:r>
    </w:p>
    <w:p w14:paraId="6FE3348F" w14:textId="77777777" w:rsidR="00B113BC" w:rsidRDefault="00C207E9">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3, 2021</w:t>
      </w:r>
    </w:p>
    <w:p w14:paraId="7A64536C" w14:textId="77777777" w:rsidR="00B113BC" w:rsidRDefault="00C207E9">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bCs/>
          <w:color w:val="000000"/>
        </w:rPr>
        <w:t>June 16, 2021</w:t>
      </w:r>
    </w:p>
    <w:p w14:paraId="75E151A3" w14:textId="7E48C6E1" w:rsidR="00B113BC" w:rsidRPr="001F3789" w:rsidRDefault="00C207E9">
      <w:pPr>
        <w:spacing w:line="360" w:lineRule="auto"/>
        <w:jc w:val="both"/>
        <w:rPr>
          <w:rFonts w:ascii="Book Antiqua" w:hAnsi="Book Antiqua"/>
          <w:lang w:eastAsia="zh-CN"/>
        </w:rPr>
      </w:pPr>
      <w:r>
        <w:rPr>
          <w:rFonts w:ascii="Book Antiqua" w:eastAsia="Book Antiqua" w:hAnsi="Book Antiqua" w:cs="Book Antiqua"/>
          <w:b/>
          <w:bCs/>
          <w:color w:val="000000"/>
        </w:rPr>
        <w:t xml:space="preserve">Published online: </w:t>
      </w:r>
      <w:r w:rsidR="001F3789" w:rsidRPr="001F3789">
        <w:rPr>
          <w:rFonts w:ascii="Book Antiqua" w:hAnsi="Book Antiqua" w:cs="Book Antiqua" w:hint="eastAsia"/>
          <w:bCs/>
          <w:color w:val="000000"/>
          <w:lang w:eastAsia="zh-CN"/>
        </w:rPr>
        <w:t xml:space="preserve">July </w:t>
      </w:r>
      <w:r w:rsidR="00F40192">
        <w:rPr>
          <w:rFonts w:ascii="Book Antiqua" w:hAnsi="Book Antiqua" w:cs="Book Antiqua"/>
          <w:bCs/>
          <w:color w:val="000000"/>
          <w:lang w:eastAsia="zh-CN"/>
        </w:rPr>
        <w:t>14</w:t>
      </w:r>
      <w:r w:rsidR="001F3789" w:rsidRPr="001F3789">
        <w:rPr>
          <w:rFonts w:ascii="Book Antiqua" w:hAnsi="Book Antiqua" w:cs="Book Antiqua" w:hint="eastAsia"/>
          <w:bCs/>
          <w:color w:val="000000"/>
          <w:lang w:eastAsia="zh-CN"/>
        </w:rPr>
        <w:t>, 2021</w:t>
      </w:r>
    </w:p>
    <w:p w14:paraId="6005E0B6" w14:textId="77777777" w:rsidR="00B113BC" w:rsidRDefault="00B113BC">
      <w:pPr>
        <w:spacing w:line="360" w:lineRule="auto"/>
        <w:jc w:val="both"/>
        <w:rPr>
          <w:rFonts w:ascii="Book Antiqua" w:hAnsi="Book Antiqua"/>
        </w:rPr>
        <w:sectPr w:rsidR="00B113BC">
          <w:footerReference w:type="default" r:id="rId8"/>
          <w:pgSz w:w="12240" w:h="15840"/>
          <w:pgMar w:top="1440" w:right="1440" w:bottom="1440" w:left="1440" w:header="720" w:footer="720" w:gutter="0"/>
          <w:cols w:space="720"/>
          <w:docGrid w:linePitch="360"/>
        </w:sectPr>
      </w:pPr>
    </w:p>
    <w:p w14:paraId="5C8A81C1" w14:textId="77777777" w:rsidR="00B113BC" w:rsidRDefault="00C207E9">
      <w:pPr>
        <w:spacing w:line="360" w:lineRule="auto"/>
        <w:jc w:val="both"/>
        <w:rPr>
          <w:rFonts w:ascii="Book Antiqua" w:hAnsi="Book Antiqua"/>
        </w:rPr>
      </w:pPr>
      <w:r>
        <w:rPr>
          <w:rFonts w:ascii="Book Antiqua" w:eastAsia="Book Antiqua" w:hAnsi="Book Antiqua" w:cs="Book Antiqua"/>
          <w:b/>
          <w:color w:val="000000"/>
        </w:rPr>
        <w:t>Abstract</w:t>
      </w:r>
    </w:p>
    <w:p w14:paraId="48A0A892" w14:textId="77777777" w:rsidR="00B113BC" w:rsidRDefault="00C207E9">
      <w:pPr>
        <w:spacing w:line="360" w:lineRule="auto"/>
        <w:jc w:val="both"/>
        <w:rPr>
          <w:rFonts w:ascii="Book Antiqua" w:hAnsi="Book Antiqua"/>
        </w:rPr>
      </w:pPr>
      <w:bookmarkStart w:id="2" w:name="OLE_LINK139"/>
      <w:bookmarkStart w:id="3" w:name="OLE_LINK140"/>
      <w:r>
        <w:rPr>
          <w:rFonts w:ascii="Book Antiqua" w:eastAsia="Book Antiqua" w:hAnsi="Book Antiqua" w:cs="Book Antiqua"/>
          <w:color w:val="000000"/>
        </w:rPr>
        <w:t>The coronavirus disease 2019 pandemic has greatly impacted health systems. Many guidelines on chronic liver diseases have been released to optimize the use of medical resources and patient management. However, most of these guidelines have been established through expert consensus because the existing data do not provide strong evidence for developing effective recommendations. As Wilson disease (WD) is a rare chronic liver disease, the impact of coronavirus disease 2019 on the clinical status of patients with WD is unclear. The present study showed a marked shortage of medical resources for clinically managing patients with WD during the pandemic. Although patients with WD who consistently took anticopper therapy showed no significant differences in hepatic and extrahepatic markers before and after the pandemic, their complication incidences, especially the infection incidence, were significantly increased during the study period. Therefore, patients with WD should be encouraged to adhere to anticopper therapy and be closely monitored to prevent infections and other complications. The present study provides a clinical basis for further managing WD during the pandemic.</w:t>
      </w:r>
    </w:p>
    <w:bookmarkEnd w:id="2"/>
    <w:bookmarkEnd w:id="3"/>
    <w:p w14:paraId="566FD29D" w14:textId="77777777" w:rsidR="00B113BC" w:rsidRDefault="00B113BC">
      <w:pPr>
        <w:spacing w:line="360" w:lineRule="auto"/>
        <w:jc w:val="both"/>
        <w:rPr>
          <w:rFonts w:ascii="Book Antiqua" w:hAnsi="Book Antiqua"/>
        </w:rPr>
      </w:pPr>
    </w:p>
    <w:p w14:paraId="1AEFA841" w14:textId="77777777" w:rsidR="00B113BC" w:rsidRDefault="00C207E9">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aps/>
          <w:color w:val="000000"/>
        </w:rPr>
        <w:t>c</w:t>
      </w:r>
      <w:r>
        <w:rPr>
          <w:rFonts w:ascii="Book Antiqua" w:eastAsia="Book Antiqua" w:hAnsi="Book Antiqua" w:cs="Book Antiqua"/>
          <w:color w:val="000000"/>
        </w:rPr>
        <w:t>oronavirus disease 2019; Wilson disease; Clinical status; Complications; Infections; Anticopper therapy</w:t>
      </w:r>
    </w:p>
    <w:p w14:paraId="4D5AA0FA" w14:textId="77777777" w:rsidR="00BC1590" w:rsidRDefault="00BC1590" w:rsidP="00BC1590">
      <w:pPr>
        <w:spacing w:line="360" w:lineRule="auto"/>
        <w:jc w:val="both"/>
        <w:rPr>
          <w:lang w:eastAsia="zh-CN"/>
        </w:rPr>
      </w:pPr>
    </w:p>
    <w:p w14:paraId="28DE656C" w14:textId="77777777" w:rsidR="00BC1590" w:rsidRPr="00026CB8" w:rsidRDefault="00BC1590" w:rsidP="00BC1590">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77168992" w14:textId="77777777" w:rsidR="00B113BC" w:rsidRDefault="00B113BC">
      <w:pPr>
        <w:spacing w:line="360" w:lineRule="auto"/>
        <w:jc w:val="both"/>
        <w:rPr>
          <w:rFonts w:ascii="Book Antiqua" w:hAnsi="Book Antiqua"/>
        </w:rPr>
      </w:pPr>
    </w:p>
    <w:p w14:paraId="6AB58809" w14:textId="1BCA6973" w:rsidR="004F3C20" w:rsidRDefault="004F3C20">
      <w:pPr>
        <w:spacing w:line="360" w:lineRule="auto"/>
        <w:jc w:val="both"/>
        <w:rPr>
          <w:rFonts w:ascii="Book Antiqua" w:hAnsi="Book Antiqua" w:cs="Book Antiqua"/>
          <w:color w:val="000000"/>
          <w:lang w:eastAsia="zh-CN"/>
        </w:rPr>
      </w:pPr>
      <w:bookmarkStart w:id="4" w:name="OLE_LINK145"/>
      <w:bookmarkStart w:id="5" w:name="OLE_LINK146"/>
      <w:r w:rsidRPr="004F3C20">
        <w:rPr>
          <w:rFonts w:ascii="Book Antiqua" w:hAnsi="Book Antiqua" w:cs="Book Antiqua" w:hint="eastAsia"/>
          <w:b/>
          <w:color w:val="000000"/>
          <w:lang w:eastAsia="zh-CN"/>
        </w:rPr>
        <w:t xml:space="preserve">Citation: </w:t>
      </w:r>
      <w:r w:rsidR="00C207E9">
        <w:rPr>
          <w:rFonts w:ascii="Book Antiqua" w:eastAsia="Book Antiqua" w:hAnsi="Book Antiqua" w:cs="Book Antiqua"/>
          <w:color w:val="000000"/>
        </w:rPr>
        <w:t xml:space="preserve">Zhuang YP, Zhong HJ. Impact of COVID-19 on the clinical status of patients with Wilson disease. </w:t>
      </w:r>
      <w:r w:rsidR="00C207E9">
        <w:rPr>
          <w:rFonts w:ascii="Book Antiqua" w:eastAsia="Book Antiqua" w:hAnsi="Book Antiqua" w:cs="Book Antiqua"/>
          <w:i/>
          <w:iCs/>
          <w:color w:val="000000"/>
        </w:rPr>
        <w:t>World J Gastroenterol</w:t>
      </w:r>
      <w:r w:rsidR="00C207E9">
        <w:rPr>
          <w:rFonts w:ascii="Book Antiqua" w:eastAsia="Book Antiqua" w:hAnsi="Book Antiqua" w:cs="Book Antiqua"/>
          <w:color w:val="000000"/>
        </w:rPr>
        <w:t xml:space="preserve"> 2021;</w:t>
      </w:r>
      <w:r w:rsidR="009B42E3" w:rsidRPr="009B42E3">
        <w:t xml:space="preserve"> </w:t>
      </w:r>
      <w:r w:rsidR="009B42E3" w:rsidRPr="009B42E3">
        <w:rPr>
          <w:rFonts w:ascii="Book Antiqua" w:eastAsia="Book Antiqua" w:hAnsi="Book Antiqua" w:cs="Book Antiqua"/>
          <w:color w:val="000000"/>
        </w:rPr>
        <w:t>27(2</w:t>
      </w:r>
      <w:r w:rsidR="009B42E3">
        <w:rPr>
          <w:rFonts w:ascii="Book Antiqua" w:hAnsi="Book Antiqua" w:cs="Book Antiqua" w:hint="eastAsia"/>
          <w:color w:val="000000"/>
          <w:lang w:eastAsia="zh-CN"/>
        </w:rPr>
        <w:t>6</w:t>
      </w:r>
      <w:r w:rsidR="009B42E3" w:rsidRPr="009B42E3">
        <w:rPr>
          <w:rFonts w:ascii="Book Antiqua" w:eastAsia="Book Antiqua" w:hAnsi="Book Antiqua" w:cs="Book Antiqua"/>
          <w:color w:val="000000"/>
        </w:rPr>
        <w:t xml:space="preserve">): </w:t>
      </w:r>
      <w:r w:rsidR="00843537" w:rsidRPr="00843537">
        <w:rPr>
          <w:rFonts w:ascii="Book Antiqua" w:eastAsia="Book Antiqua" w:hAnsi="Book Antiqua" w:cs="Book Antiqua"/>
          <w:color w:val="000000"/>
        </w:rPr>
        <w:t>4248-4251</w:t>
      </w:r>
      <w:r w:rsidR="009B42E3" w:rsidRPr="009B42E3">
        <w:rPr>
          <w:rFonts w:ascii="Book Antiqua" w:eastAsia="Book Antiqua" w:hAnsi="Book Antiqua" w:cs="Book Antiqua"/>
          <w:color w:val="000000"/>
        </w:rPr>
        <w:t xml:space="preserve">  </w:t>
      </w:r>
    </w:p>
    <w:p w14:paraId="5555DDD2" w14:textId="037C5E44" w:rsidR="004F3C20" w:rsidRDefault="009B42E3">
      <w:pPr>
        <w:spacing w:line="360" w:lineRule="auto"/>
        <w:jc w:val="both"/>
        <w:rPr>
          <w:rFonts w:ascii="Book Antiqua" w:hAnsi="Book Antiqua" w:cs="Book Antiqua"/>
          <w:color w:val="000000"/>
          <w:lang w:eastAsia="zh-CN"/>
        </w:rPr>
      </w:pPr>
      <w:r w:rsidRPr="004F3C20">
        <w:rPr>
          <w:rFonts w:ascii="Book Antiqua" w:eastAsia="Book Antiqua" w:hAnsi="Book Antiqua" w:cs="Book Antiqua"/>
          <w:b/>
          <w:color w:val="000000"/>
        </w:rPr>
        <w:t xml:space="preserve">URL: </w:t>
      </w:r>
      <w:r w:rsidRPr="009B42E3">
        <w:rPr>
          <w:rFonts w:ascii="Book Antiqua" w:eastAsia="Book Antiqua" w:hAnsi="Book Antiqua" w:cs="Book Antiqua"/>
          <w:color w:val="000000"/>
        </w:rPr>
        <w:t>https://www.wjgnet.com/1007-9327/full/v27/i2</w:t>
      </w:r>
      <w:r>
        <w:rPr>
          <w:rFonts w:ascii="Book Antiqua" w:hAnsi="Book Antiqua" w:cs="Book Antiqua" w:hint="eastAsia"/>
          <w:color w:val="000000"/>
          <w:lang w:eastAsia="zh-CN"/>
        </w:rPr>
        <w:t>6</w:t>
      </w:r>
      <w:r w:rsidRPr="009B42E3">
        <w:rPr>
          <w:rFonts w:ascii="Book Antiqua" w:eastAsia="Book Antiqua" w:hAnsi="Book Antiqua" w:cs="Book Antiqua"/>
          <w:color w:val="000000"/>
        </w:rPr>
        <w:t>/</w:t>
      </w:r>
      <w:r w:rsidR="004F3C20" w:rsidRPr="004F3C20">
        <w:rPr>
          <w:rFonts w:ascii="Book Antiqua" w:eastAsia="Book Antiqua" w:hAnsi="Book Antiqua" w:cs="Book Antiqua"/>
          <w:color w:val="000000"/>
        </w:rPr>
        <w:t>424</w:t>
      </w:r>
      <w:r w:rsidR="00843537">
        <w:rPr>
          <w:rFonts w:ascii="Book Antiqua" w:hAnsi="Book Antiqua" w:cs="Book Antiqua" w:hint="eastAsia"/>
          <w:color w:val="000000"/>
          <w:lang w:eastAsia="zh-CN"/>
        </w:rPr>
        <w:t>8</w:t>
      </w:r>
      <w:r w:rsidRPr="009B42E3">
        <w:rPr>
          <w:rFonts w:ascii="Book Antiqua" w:eastAsia="Book Antiqua" w:hAnsi="Book Antiqua" w:cs="Book Antiqua"/>
          <w:color w:val="000000"/>
        </w:rPr>
        <w:t xml:space="preserve">.htm  </w:t>
      </w:r>
    </w:p>
    <w:p w14:paraId="36A89C94" w14:textId="07F7DC02" w:rsidR="00B113BC" w:rsidRPr="00843537" w:rsidRDefault="009B42E3">
      <w:pPr>
        <w:spacing w:line="360" w:lineRule="auto"/>
        <w:jc w:val="both"/>
        <w:rPr>
          <w:rFonts w:ascii="Book Antiqua" w:hAnsi="Book Antiqua" w:hint="eastAsia"/>
          <w:lang w:eastAsia="zh-CN"/>
        </w:rPr>
      </w:pPr>
      <w:r w:rsidRPr="004F3C20">
        <w:rPr>
          <w:rFonts w:ascii="Book Antiqua" w:eastAsia="Book Antiqua" w:hAnsi="Book Antiqua" w:cs="Book Antiqua"/>
          <w:b/>
          <w:color w:val="000000"/>
        </w:rPr>
        <w:t xml:space="preserve">DOI: </w:t>
      </w:r>
      <w:r w:rsidRPr="009B42E3">
        <w:rPr>
          <w:rFonts w:ascii="Book Antiqua" w:eastAsia="Book Antiqua" w:hAnsi="Book Antiqua" w:cs="Book Antiqua"/>
          <w:color w:val="000000"/>
        </w:rPr>
        <w:t>https://dx.doi.org/10.3748/wjg.v27.i2</w:t>
      </w:r>
      <w:r>
        <w:rPr>
          <w:rFonts w:ascii="Book Antiqua" w:hAnsi="Book Antiqua" w:cs="Book Antiqua" w:hint="eastAsia"/>
          <w:color w:val="000000"/>
          <w:lang w:eastAsia="zh-CN"/>
        </w:rPr>
        <w:t>6</w:t>
      </w:r>
      <w:r w:rsidRPr="009B42E3">
        <w:rPr>
          <w:rFonts w:ascii="Book Antiqua" w:eastAsia="Book Antiqua" w:hAnsi="Book Antiqua" w:cs="Book Antiqua"/>
          <w:color w:val="000000"/>
        </w:rPr>
        <w:t>.</w:t>
      </w:r>
      <w:r w:rsidR="004F3C20" w:rsidRPr="004F3C20">
        <w:rPr>
          <w:rFonts w:ascii="Book Antiqua" w:eastAsia="Book Antiqua" w:hAnsi="Book Antiqua" w:cs="Book Antiqua"/>
          <w:color w:val="000000"/>
        </w:rPr>
        <w:t>424</w:t>
      </w:r>
      <w:r w:rsidR="00843537">
        <w:rPr>
          <w:rFonts w:ascii="Book Antiqua" w:hAnsi="Book Antiqua" w:cs="Book Antiqua" w:hint="eastAsia"/>
          <w:color w:val="000000"/>
          <w:lang w:eastAsia="zh-CN"/>
        </w:rPr>
        <w:t>8</w:t>
      </w:r>
      <w:bookmarkStart w:id="6" w:name="_GoBack"/>
      <w:bookmarkEnd w:id="6"/>
    </w:p>
    <w:bookmarkEnd w:id="4"/>
    <w:bookmarkEnd w:id="5"/>
    <w:p w14:paraId="7D8B9B06" w14:textId="77777777" w:rsidR="00B113BC" w:rsidRDefault="00B113BC">
      <w:pPr>
        <w:spacing w:line="360" w:lineRule="auto"/>
        <w:jc w:val="both"/>
        <w:rPr>
          <w:rFonts w:ascii="Book Antiqua" w:hAnsi="Book Antiqua"/>
        </w:rPr>
      </w:pPr>
    </w:p>
    <w:p w14:paraId="6FC73D66" w14:textId="77777777" w:rsidR="00B113BC" w:rsidRDefault="00C207E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bookmarkStart w:id="7" w:name="OLE_LINK144"/>
      <w:bookmarkStart w:id="8" w:name="OLE_LINK143"/>
      <w:r>
        <w:rPr>
          <w:rFonts w:ascii="Book Antiqua" w:eastAsia="Book Antiqua" w:hAnsi="Book Antiqua" w:cs="Book Antiqua"/>
          <w:color w:val="000000"/>
        </w:rPr>
        <w:t>The coronavirus disease 2019 pandemic has had a long-lasting impact on the quality of care for patients with cirrhosis. Although many guidelines have been released for the rational use of medical resources, few clinical data are available to support these guidelines. The clinical features of patients with Wilson disease during the coronavirus disease 2019 pandemic remain unclear. We compared the clinical features of patients with Wilson disease before and after the pandemic to clarify the impact of coronavirus disease 2019 on these patients and provide a basis for their clinical management.</w:t>
      </w:r>
      <w:r>
        <w:rPr>
          <w:rFonts w:ascii="Book Antiqua" w:eastAsia="Book Antiqua" w:hAnsi="Book Antiqua" w:cs="Book Antiqua"/>
          <w:color w:val="000000"/>
        </w:rPr>
        <w:br w:type="page"/>
      </w:r>
    </w:p>
    <w:bookmarkEnd w:id="7"/>
    <w:bookmarkEnd w:id="8"/>
    <w:p w14:paraId="498B5496" w14:textId="77777777" w:rsidR="00B113BC" w:rsidRDefault="00C207E9">
      <w:pPr>
        <w:spacing w:line="360" w:lineRule="auto"/>
        <w:jc w:val="both"/>
        <w:rPr>
          <w:rFonts w:ascii="Book Antiqua" w:hAnsi="Book Antiqua"/>
        </w:rPr>
      </w:pPr>
      <w:r>
        <w:rPr>
          <w:rFonts w:ascii="Book Antiqua" w:eastAsia="Book Antiqua" w:hAnsi="Book Antiqua" w:cs="Book Antiqua"/>
          <w:b/>
          <w:caps/>
          <w:color w:val="000000"/>
          <w:u w:val="single"/>
        </w:rPr>
        <w:t>TO THE EDITOR</w:t>
      </w:r>
    </w:p>
    <w:p w14:paraId="0138D2F1" w14:textId="77777777" w:rsidR="00B113BC" w:rsidRDefault="00C207E9">
      <w:pPr>
        <w:spacing w:line="360" w:lineRule="auto"/>
        <w:jc w:val="both"/>
        <w:rPr>
          <w:rFonts w:ascii="Book Antiqua" w:hAnsi="Book Antiqua"/>
        </w:rPr>
      </w:pPr>
      <w:r>
        <w:rPr>
          <w:rFonts w:ascii="Book Antiqua" w:eastAsia="Book Antiqua" w:hAnsi="Book Antiqua" w:cs="Book Antiqua"/>
          <w:color w:val="000000"/>
        </w:rPr>
        <w:t>Many countries have enforced social distancing and strict stay-at-home strategies to reduce the spread of coronavirus disease 2019 (COVID-19). However, these measures often negatively affect patients with other diseases</w:t>
      </w:r>
      <w:r>
        <w:rPr>
          <w:rFonts w:ascii="Book Antiqua" w:eastAsia="Book Antiqua" w:hAnsi="Book Antiqua" w:cs="Book Antiqua"/>
          <w:color w:val="000000"/>
          <w:vertAlign w:val="superscript"/>
        </w:rPr>
        <w:t>[1,2]</w:t>
      </w:r>
      <w:r>
        <w:rPr>
          <w:rFonts w:ascii="Book Antiqua" w:eastAsia="Book Antiqua" w:hAnsi="Book Antiqua" w:cs="Book Antiqua"/>
          <w:color w:val="000000"/>
        </w:rPr>
        <w:t>. Many guidelines on chronic liver diseases have been released to optimize the use of medical resources and patient management</w:t>
      </w:r>
      <w:r>
        <w:rPr>
          <w:rFonts w:ascii="Book Antiqua" w:eastAsia="Book Antiqua" w:hAnsi="Book Antiqua" w:cs="Book Antiqua"/>
          <w:color w:val="000000"/>
          <w:vertAlign w:val="superscript"/>
        </w:rPr>
        <w:t>[3]</w:t>
      </w:r>
      <w:r>
        <w:rPr>
          <w:rFonts w:ascii="Book Antiqua" w:eastAsia="Book Antiqua" w:hAnsi="Book Antiqua" w:cs="Book Antiqua"/>
          <w:color w:val="000000"/>
        </w:rPr>
        <w:t>. Most of these guidelines have been established through expert consensus because the existing data do not provide strong evidence for developing effective recommendations.</w:t>
      </w:r>
    </w:p>
    <w:p w14:paraId="7C010FDC" w14:textId="77777777" w:rsidR="00B113BC" w:rsidRDefault="00C207E9">
      <w:pPr>
        <w:spacing w:line="360" w:lineRule="auto"/>
        <w:ind w:firstLine="240"/>
        <w:jc w:val="both"/>
        <w:rPr>
          <w:rFonts w:ascii="Book Antiqua" w:hAnsi="Book Antiqua"/>
        </w:rPr>
      </w:pPr>
      <w:r>
        <w:rPr>
          <w:rFonts w:ascii="Book Antiqua" w:eastAsia="Book Antiqua" w:hAnsi="Book Antiqua" w:cs="Book Antiqua"/>
          <w:color w:val="000000"/>
        </w:rPr>
        <w:t>Given the high copper deposition in the livers of patients with Wilson disease (WD), these patients often develop liver injury and cirrhosis. Because WD has clinical features that are distinct from those of liver diseases caused by other etiologies and medical resources have been in short supply during the pandemic, the clinical features of patients with WD should be examined to improve their management. Therefore, we conducted a before–after study to investigate the clinical features of these patients before and during COVID-19.</w:t>
      </w:r>
    </w:p>
    <w:p w14:paraId="4FCA607C" w14:textId="77777777" w:rsidR="00B113BC" w:rsidRDefault="00C207E9">
      <w:pPr>
        <w:spacing w:line="360" w:lineRule="auto"/>
        <w:ind w:firstLine="240"/>
        <w:jc w:val="both"/>
        <w:rPr>
          <w:rFonts w:ascii="Book Antiqua" w:hAnsi="Book Antiqua"/>
        </w:rPr>
      </w:pPr>
      <w:r>
        <w:rPr>
          <w:rFonts w:ascii="Book Antiqua" w:eastAsia="Book Antiqua" w:hAnsi="Book Antiqua" w:cs="Book Antiqua"/>
          <w:color w:val="000000"/>
        </w:rPr>
        <w:t>We reviewed the medical records of patients with WD who were hospitalized for routine office visits or emergency visits at the First Affiliated Hospital of Guangdong Pharmaceutical University from 1 January 2018 to 3 September 2020. In China, the diagnostic criteria for WD are similar to those of the diagnostic scoring system for WD. During the COVID-19 pandemic, the number of WD inpatient visits dropped from 198 to 95, indicating a 52.02% decrease from the number of WD inpatient visits during the same period in 2019. These data indicate that the ongoing pandemic has led to a marked shortage of medical resources for clinically managing patients with WD. Medical data on 68 patients with WD who were hospitalized at our hospital during and before the pandemic were analyzed. All of these patients underwent anticopper therapy during the pandemic. Most of them (83.82%) had developed cirrhosis before the pandemic, and none had COVID-19.</w:t>
      </w:r>
    </w:p>
    <w:p w14:paraId="21E45A47" w14:textId="77777777" w:rsidR="00B113BC" w:rsidRDefault="00C207E9">
      <w:pPr>
        <w:spacing w:line="360" w:lineRule="auto"/>
        <w:ind w:firstLine="240"/>
        <w:jc w:val="both"/>
        <w:rPr>
          <w:rFonts w:ascii="Book Antiqua" w:hAnsi="Book Antiqua"/>
        </w:rPr>
      </w:pPr>
      <w:r>
        <w:rPr>
          <w:rFonts w:ascii="Book Antiqua" w:eastAsia="Book Antiqua" w:hAnsi="Book Antiqua" w:cs="Book Antiqua"/>
          <w:color w:val="000000"/>
        </w:rPr>
        <w:t xml:space="preserve">The hepatic and extrahepatic status of patients who consistently used anticopper therapy during the pandemic did not significantly deteriorate (Table 1). However, owing to lifestyle changes and delayed screening for complications during the pandemic, the complication incidence increased significantly in these patients during the study period (23.53% </w:t>
      </w:r>
      <w:r>
        <w:rPr>
          <w:rFonts w:ascii="Book Antiqua" w:eastAsia="Book Antiqua" w:hAnsi="Book Antiqua" w:cs="Book Antiqua"/>
          <w:i/>
          <w:iCs/>
          <w:color w:val="000000"/>
        </w:rPr>
        <w:t>vs</w:t>
      </w:r>
      <w:r>
        <w:rPr>
          <w:rFonts w:ascii="Book Antiqua" w:eastAsia="Book Antiqua" w:hAnsi="Book Antiqua" w:cs="Book Antiqua"/>
          <w:color w:val="000000"/>
        </w:rPr>
        <w:t xml:space="preserve"> 11.76%, </w:t>
      </w:r>
      <w:r>
        <w:rPr>
          <w:rFonts w:ascii="Book Antiqua" w:eastAsia="Book Antiqua" w:hAnsi="Book Antiqua" w:cs="Book Antiqua"/>
          <w:i/>
          <w:iCs/>
          <w:color w:val="000000"/>
        </w:rPr>
        <w:t>P</w:t>
      </w:r>
      <w:r>
        <w:rPr>
          <w:rFonts w:ascii="Book Antiqua" w:eastAsia="Book Antiqua" w:hAnsi="Book Antiqua" w:cs="Book Antiqua"/>
          <w:color w:val="000000"/>
        </w:rPr>
        <w:t xml:space="preserve"> = 0.021). Notably, most complications (22/24) occurred in patients with WD-associated cirrhosis. Among the complications, infections were the most prevalent (11.8% </w:t>
      </w:r>
      <w:r>
        <w:rPr>
          <w:rFonts w:ascii="Book Antiqua" w:eastAsia="Book Antiqua" w:hAnsi="Book Antiqua" w:cs="Book Antiqua"/>
          <w:i/>
          <w:iCs/>
          <w:color w:val="000000"/>
        </w:rPr>
        <w:t>vs</w:t>
      </w:r>
      <w:r>
        <w:rPr>
          <w:rFonts w:ascii="Book Antiqua" w:eastAsia="Book Antiqua" w:hAnsi="Book Antiqua" w:cs="Book Antiqua"/>
          <w:color w:val="000000"/>
        </w:rPr>
        <w:t xml:space="preserve"> 1.5%, </w:t>
      </w:r>
      <w:r>
        <w:rPr>
          <w:rFonts w:ascii="Book Antiqua" w:eastAsia="Book Antiqua" w:hAnsi="Book Antiqua" w:cs="Book Antiqua"/>
          <w:i/>
          <w:iCs/>
          <w:color w:val="000000"/>
        </w:rPr>
        <w:t>P</w:t>
      </w:r>
      <w:r>
        <w:rPr>
          <w:rFonts w:ascii="Book Antiqua" w:eastAsia="Book Antiqua" w:hAnsi="Book Antiqua" w:cs="Book Antiqua"/>
          <w:color w:val="000000"/>
        </w:rPr>
        <w:t xml:space="preserve"> = 0.016). Although the community mitigation measures for COVID-19 are thought to reduce the incidence of respiratory infections in the general population</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our data showed that the incidence of respiratory infections in patients with WD increased during the pandemic (7.4% </w:t>
      </w:r>
      <w:r>
        <w:rPr>
          <w:rFonts w:ascii="Book Antiqua" w:eastAsia="Book Antiqua" w:hAnsi="Book Antiqua" w:cs="Book Antiqua"/>
          <w:i/>
          <w:iCs/>
          <w:color w:val="000000"/>
        </w:rPr>
        <w:t>vs</w:t>
      </w:r>
      <w:r>
        <w:rPr>
          <w:rFonts w:ascii="Book Antiqua" w:eastAsia="Book Antiqua" w:hAnsi="Book Antiqua" w:cs="Book Antiqua"/>
          <w:color w:val="000000"/>
        </w:rPr>
        <w:t xml:space="preserve"> 0%, </w:t>
      </w:r>
      <w:r>
        <w:rPr>
          <w:rFonts w:ascii="Book Antiqua" w:eastAsia="Book Antiqua" w:hAnsi="Book Antiqua" w:cs="Book Antiqua"/>
          <w:i/>
          <w:iCs/>
          <w:color w:val="000000"/>
        </w:rPr>
        <w:t>P</w:t>
      </w:r>
      <w:r>
        <w:rPr>
          <w:rFonts w:ascii="Book Antiqua" w:eastAsia="Book Antiqua" w:hAnsi="Book Antiqua" w:cs="Book Antiqua"/>
          <w:color w:val="000000"/>
        </w:rPr>
        <w:t xml:space="preserve"> = 0.063).</w:t>
      </w:r>
    </w:p>
    <w:p w14:paraId="5068187A" w14:textId="77777777" w:rsidR="00B113BC" w:rsidRDefault="00C207E9">
      <w:pPr>
        <w:spacing w:line="360" w:lineRule="auto"/>
        <w:ind w:firstLine="240"/>
        <w:jc w:val="both"/>
        <w:rPr>
          <w:rFonts w:ascii="Book Antiqua" w:hAnsi="Book Antiqua"/>
        </w:rPr>
      </w:pPr>
      <w:r>
        <w:rPr>
          <w:rFonts w:ascii="Book Antiqua" w:eastAsia="Book Antiqua" w:hAnsi="Book Antiqua" w:cs="Book Antiqua"/>
          <w:color w:val="000000"/>
        </w:rPr>
        <w:t>Following the COVID-19 outbreak, the Chinese government implemented strong strict measures, and most citizens, except those involved in essential services, were ordered to stay at home. These measures helped keep the pandemic under control in China. However, the lockdown and movement restrictions often led to reduced physical activity, prolonged sedentary behaviors, imbalanced nutritional intake, poor mental health and delayed routine follow-up visits in these patients</w:t>
      </w:r>
      <w:r>
        <w:rPr>
          <w:rFonts w:ascii="Book Antiqua" w:eastAsia="Book Antiqua" w:hAnsi="Book Antiqua" w:cs="Book Antiqua"/>
          <w:color w:val="000000"/>
          <w:vertAlign w:val="superscript"/>
        </w:rPr>
        <w:t>[5]</w:t>
      </w:r>
      <w:r>
        <w:rPr>
          <w:rFonts w:ascii="Book Antiqua" w:eastAsia="Book Antiqua" w:hAnsi="Book Antiqua" w:cs="Book Antiqua"/>
          <w:color w:val="000000"/>
        </w:rPr>
        <w:t>. These changes were associated with cirrhosis-associated immune dysfunction and accounted for the high infection risk</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447FF37C" w14:textId="77777777" w:rsidR="00B113BC" w:rsidRDefault="00C207E9">
      <w:pPr>
        <w:spacing w:line="360" w:lineRule="auto"/>
        <w:ind w:firstLine="240"/>
        <w:jc w:val="both"/>
        <w:rPr>
          <w:rFonts w:ascii="Book Antiqua" w:hAnsi="Book Antiqua"/>
        </w:rPr>
      </w:pPr>
      <w:r>
        <w:rPr>
          <w:rFonts w:ascii="Book Antiqua" w:eastAsia="Book Antiqua" w:hAnsi="Book Antiqua" w:cs="Book Antiqua"/>
          <w:color w:val="000000"/>
        </w:rPr>
        <w:t>In conclusion, the hepatic and extrahepatic status of patients with WD who adhered strictly to their anticopper therapy during the COVID-19 pandemic did not significantly worsen, but the complication incidence — especially the infection incidence — increased significantly. Therefore, patients with WD should be encouraged to adhere to anticopper therapy and be closely monitored to prevent infections and other complications.</w:t>
      </w:r>
    </w:p>
    <w:p w14:paraId="7BACBCDA" w14:textId="77777777" w:rsidR="00B113BC" w:rsidRDefault="00B113BC">
      <w:pPr>
        <w:spacing w:line="360" w:lineRule="auto"/>
        <w:ind w:firstLine="240"/>
        <w:jc w:val="both"/>
        <w:rPr>
          <w:rFonts w:ascii="Book Antiqua" w:hAnsi="Book Antiqua"/>
        </w:rPr>
      </w:pPr>
    </w:p>
    <w:p w14:paraId="2CD5EB1C" w14:textId="77777777" w:rsidR="00B113BC" w:rsidRDefault="00C207E9">
      <w:pPr>
        <w:spacing w:line="360" w:lineRule="auto"/>
        <w:jc w:val="both"/>
        <w:rPr>
          <w:rFonts w:ascii="Book Antiqua" w:hAnsi="Book Antiqua"/>
        </w:rPr>
      </w:pPr>
      <w:r>
        <w:rPr>
          <w:rFonts w:ascii="Book Antiqua" w:eastAsia="Book Antiqua" w:hAnsi="Book Antiqua" w:cs="Book Antiqua"/>
          <w:b/>
          <w:color w:val="000000"/>
        </w:rPr>
        <w:t>REFERENCES</w:t>
      </w:r>
    </w:p>
    <w:p w14:paraId="25A96B03" w14:textId="77777777" w:rsidR="00B113BC" w:rsidRDefault="00C207E9">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Mafham MM</w:t>
      </w:r>
      <w:r>
        <w:rPr>
          <w:rFonts w:ascii="Book Antiqua" w:eastAsia="Book Antiqua" w:hAnsi="Book Antiqua" w:cs="Book Antiqua"/>
          <w:color w:val="000000"/>
        </w:rPr>
        <w:t xml:space="preserve">, Spata E, Goldacre R, Gair D, Curnow P, Bray M, Hollings S, Roebuck C, Gale CP, Mamas MA, Deanfield JE, de Belder MA, Luescher TF, Denwood T, Landray MJ, Emberson JR, Collins R, Morris EJA, Casadei B, Baigent C. COVID-19 pandemic and admission rates for and management of acute coronary syndromes in England.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396</w:t>
      </w:r>
      <w:r>
        <w:rPr>
          <w:rFonts w:ascii="Book Antiqua" w:eastAsia="Book Antiqua" w:hAnsi="Book Antiqua" w:cs="Book Antiqua"/>
          <w:color w:val="000000"/>
        </w:rPr>
        <w:t>: 381-389 [PMID: 32679111 DOI: 10.1016/S0140-6736(20)31356-8]</w:t>
      </w:r>
    </w:p>
    <w:p w14:paraId="6F7B23C2" w14:textId="77777777" w:rsidR="00B113BC" w:rsidRDefault="00C207E9">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Villarreal-Garza C</w:t>
      </w:r>
      <w:r>
        <w:rPr>
          <w:rFonts w:ascii="Book Antiqua" w:eastAsia="Book Antiqua" w:hAnsi="Book Antiqua" w:cs="Book Antiqua"/>
          <w:color w:val="000000"/>
        </w:rPr>
        <w:t xml:space="preserve">, Aranda-Gutierrez A, Ferrigno AS, Platas A, Aloi-Timeus I, Mesa-Chavez F, Ayensa-Alonso A, Platas A. The challenges of breast cancer care in Mexico during health-care reforms and COVID-19.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170-171 [PMID: 33539740 DOI: 10.1016/S1470-2045(20)30609-4]</w:t>
      </w:r>
    </w:p>
    <w:p w14:paraId="6217C93A" w14:textId="77777777" w:rsidR="00B113BC" w:rsidRDefault="00C207E9">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Bollipo S</w:t>
      </w:r>
      <w:r>
        <w:rPr>
          <w:rFonts w:ascii="Book Antiqua" w:eastAsia="Book Antiqua" w:hAnsi="Book Antiqua" w:cs="Book Antiqua"/>
          <w:color w:val="000000"/>
        </w:rPr>
        <w:t xml:space="preserve">, Kapuria D, Rabiee A, Ben-Yakov G, Lui RN, Lee HW, Kumar G, Siau K, Turnes J, Dhanasekaran R. One world, one pandemic, many guidelines: management of liver diseases during COVID-19.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1369-1372 [PMID: 32499304 DOI: 10.1136/gutjnl-2020-321553]</w:t>
      </w:r>
    </w:p>
    <w:p w14:paraId="458FAABC" w14:textId="77777777" w:rsidR="00B113BC" w:rsidRDefault="00C207E9">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Olsen SJ</w:t>
      </w:r>
      <w:r>
        <w:rPr>
          <w:rFonts w:ascii="Book Antiqua" w:eastAsia="Book Antiqua" w:hAnsi="Book Antiqua" w:cs="Book Antiqua"/>
          <w:color w:val="000000"/>
        </w:rPr>
        <w:t xml:space="preserve">, Azziz-Baumgartner E, Budd AP, Brammer L, Sullivan S, Pineda RF, Cohen C, Fry AM. Decreased Influenza Activity During the COVID-19 Pandemic - United States, Australia, Chile, and South Africa, 2020. </w:t>
      </w:r>
      <w:r>
        <w:rPr>
          <w:rFonts w:ascii="Book Antiqua" w:eastAsia="Book Antiqua" w:hAnsi="Book Antiqua" w:cs="Book Antiqua"/>
          <w:i/>
          <w:iCs/>
          <w:color w:val="000000"/>
        </w:rPr>
        <w:t>MMWR Morb Mortal Wkly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1305-1309 [PMID: 32941415 DOI: 10.15585/mmwr.mm6937a6]</w:t>
      </w:r>
    </w:p>
    <w:p w14:paraId="3395C105" w14:textId="77777777" w:rsidR="00B113BC" w:rsidRDefault="00C207E9">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Pinto AJ</w:t>
      </w:r>
      <w:r>
        <w:rPr>
          <w:rFonts w:ascii="Book Antiqua" w:eastAsia="Book Antiqua" w:hAnsi="Book Antiqua" w:cs="Book Antiqua"/>
          <w:color w:val="000000"/>
        </w:rPr>
        <w:t xml:space="preserve">, Dunstan DW, Owen N, Bonfá E, Gualano B. Combating physical inactivity during the COVID-19 pandemic. </w:t>
      </w:r>
      <w:r>
        <w:rPr>
          <w:rFonts w:ascii="Book Antiqua" w:eastAsia="Book Antiqua" w:hAnsi="Book Antiqua" w:cs="Book Antiqua"/>
          <w:i/>
          <w:iCs/>
          <w:color w:val="000000"/>
        </w:rPr>
        <w:t>Nat Rev Rheumatol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347-348 [PMID: 32355296 DOI: 10.1038/s41584-020-0427-z]</w:t>
      </w:r>
    </w:p>
    <w:p w14:paraId="131AA4AD" w14:textId="77777777" w:rsidR="00B113BC" w:rsidRDefault="00C207E9">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Xiang M</w:t>
      </w:r>
      <w:r>
        <w:rPr>
          <w:rFonts w:ascii="Book Antiqua" w:eastAsia="Book Antiqua" w:hAnsi="Book Antiqua" w:cs="Book Antiqua"/>
          <w:color w:val="000000"/>
        </w:rPr>
        <w:t xml:space="preserve">, Zhang Z, Kuwahara K. Impact of COVID-19 pandemic on children and adolescents' lifestyle behavior larger than expected. </w:t>
      </w:r>
      <w:r>
        <w:rPr>
          <w:rFonts w:ascii="Book Antiqua" w:eastAsia="Book Antiqua" w:hAnsi="Book Antiqua" w:cs="Book Antiqua"/>
          <w:i/>
          <w:iCs/>
          <w:color w:val="000000"/>
        </w:rPr>
        <w:t>Prog Cardiovasc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63</w:t>
      </w:r>
      <w:r>
        <w:rPr>
          <w:rFonts w:ascii="Book Antiqua" w:eastAsia="Book Antiqua" w:hAnsi="Book Antiqua" w:cs="Book Antiqua"/>
          <w:color w:val="000000"/>
        </w:rPr>
        <w:t>: 531-532 [PMID: 32360513 DOI: 10.1016/j.pcad.2020.04.013]</w:t>
      </w:r>
    </w:p>
    <w:p w14:paraId="002C3BBF" w14:textId="77777777" w:rsidR="00B113BC" w:rsidRDefault="00B113BC">
      <w:pPr>
        <w:spacing w:line="360" w:lineRule="auto"/>
        <w:jc w:val="both"/>
        <w:rPr>
          <w:rFonts w:ascii="Book Antiqua" w:hAnsi="Book Antiqua"/>
        </w:rPr>
        <w:sectPr w:rsidR="00B113BC">
          <w:pgSz w:w="12240" w:h="15840"/>
          <w:pgMar w:top="1440" w:right="1440" w:bottom="1440" w:left="1440" w:header="720" w:footer="720" w:gutter="0"/>
          <w:cols w:space="720"/>
          <w:docGrid w:linePitch="360"/>
        </w:sectPr>
      </w:pPr>
    </w:p>
    <w:p w14:paraId="3BFCB906" w14:textId="77777777" w:rsidR="00B113BC" w:rsidRDefault="00C207E9">
      <w:pPr>
        <w:spacing w:line="360" w:lineRule="auto"/>
        <w:jc w:val="both"/>
        <w:rPr>
          <w:rFonts w:ascii="Book Antiqua" w:hAnsi="Book Antiqua"/>
        </w:rPr>
      </w:pPr>
      <w:r>
        <w:rPr>
          <w:rFonts w:ascii="Book Antiqua" w:eastAsia="Book Antiqua" w:hAnsi="Book Antiqua" w:cs="Book Antiqua"/>
          <w:b/>
          <w:color w:val="000000"/>
        </w:rPr>
        <w:t>Footnotes</w:t>
      </w:r>
    </w:p>
    <w:p w14:paraId="6952DC37" w14:textId="77777777" w:rsidR="00B113BC" w:rsidRDefault="00C207E9">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conflicts of interest for this article.</w:t>
      </w:r>
    </w:p>
    <w:p w14:paraId="2AD72BAF" w14:textId="77777777" w:rsidR="00B113BC" w:rsidRDefault="00B113BC">
      <w:pPr>
        <w:spacing w:line="360" w:lineRule="auto"/>
        <w:jc w:val="both"/>
        <w:rPr>
          <w:rFonts w:ascii="Book Antiqua" w:hAnsi="Book Antiqua"/>
        </w:rPr>
      </w:pPr>
    </w:p>
    <w:p w14:paraId="1BB39C29" w14:textId="77777777" w:rsidR="00B113BC" w:rsidRDefault="00C207E9">
      <w:pPr>
        <w:spacing w:line="360" w:lineRule="auto"/>
        <w:jc w:val="both"/>
        <w:rPr>
          <w:rFonts w:ascii="Book Antiqua" w:hAnsi="Book Antiqua"/>
        </w:rPr>
      </w:pPr>
      <w:r>
        <w:rPr>
          <w:rFonts w:ascii="Book Antiqua" w:eastAsia="Book Antiqua" w:hAnsi="Book Antiqua" w:cs="Book Antiqua"/>
          <w:b/>
          <w:bCs/>
          <w:color w:val="000000"/>
        </w:rPr>
        <w:t xml:space="preserve">Open-Access: </w:t>
      </w:r>
      <w:bookmarkStart w:id="9" w:name="OLE_LINK141"/>
      <w:bookmarkStart w:id="10" w:name="OLE_LINK142"/>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9"/>
    <w:bookmarkEnd w:id="10"/>
    <w:p w14:paraId="547AA497" w14:textId="77777777" w:rsidR="00B113BC" w:rsidRDefault="00B113BC">
      <w:pPr>
        <w:spacing w:line="360" w:lineRule="auto"/>
        <w:jc w:val="both"/>
        <w:rPr>
          <w:rFonts w:ascii="Book Antiqua" w:hAnsi="Book Antiqua"/>
        </w:rPr>
      </w:pPr>
    </w:p>
    <w:p w14:paraId="00090A94" w14:textId="77777777" w:rsidR="00B113BC" w:rsidRDefault="00C207E9">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75E77B72" w14:textId="77777777" w:rsidR="00B113BC" w:rsidRDefault="00B113BC">
      <w:pPr>
        <w:spacing w:line="360" w:lineRule="auto"/>
        <w:jc w:val="both"/>
        <w:rPr>
          <w:rFonts w:ascii="Book Antiqua" w:hAnsi="Book Antiqua"/>
        </w:rPr>
      </w:pPr>
    </w:p>
    <w:p w14:paraId="4C77C0A5" w14:textId="77777777" w:rsidR="00B113BC" w:rsidRDefault="00C207E9">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10, 2021</w:t>
      </w:r>
    </w:p>
    <w:p w14:paraId="292667B7" w14:textId="77777777" w:rsidR="00B113BC" w:rsidRDefault="00C207E9">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24, 2021</w:t>
      </w:r>
    </w:p>
    <w:p w14:paraId="41658EED" w14:textId="19060B3B" w:rsidR="00B113BC" w:rsidRDefault="00C207E9">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1F3789">
        <w:rPr>
          <w:rFonts w:ascii="Book Antiqua" w:eastAsia="Book Antiqua" w:hAnsi="Book Antiqua" w:cs="Book Antiqua"/>
          <w:bCs/>
          <w:color w:val="000000"/>
        </w:rPr>
        <w:t>June 16, 2021</w:t>
      </w:r>
    </w:p>
    <w:p w14:paraId="702903D2" w14:textId="77777777" w:rsidR="00B113BC" w:rsidRDefault="00B113BC">
      <w:pPr>
        <w:spacing w:line="360" w:lineRule="auto"/>
        <w:jc w:val="both"/>
        <w:rPr>
          <w:rFonts w:ascii="Book Antiqua" w:hAnsi="Book Antiqua"/>
        </w:rPr>
      </w:pPr>
    </w:p>
    <w:p w14:paraId="70847471" w14:textId="77777777" w:rsidR="00B113BC" w:rsidRDefault="00C207E9">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2473F549" w14:textId="77777777" w:rsidR="00B113BC" w:rsidRDefault="00C207E9">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F95AA18" w14:textId="77777777" w:rsidR="00B113BC" w:rsidRDefault="00C207E9">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7BAB1383" w14:textId="77777777" w:rsidR="00B113BC" w:rsidRDefault="00C207E9">
      <w:pPr>
        <w:spacing w:line="360" w:lineRule="auto"/>
        <w:jc w:val="both"/>
        <w:rPr>
          <w:rFonts w:ascii="Book Antiqua" w:hAnsi="Book Antiqua"/>
        </w:rPr>
      </w:pPr>
      <w:r>
        <w:rPr>
          <w:rFonts w:ascii="Book Antiqua" w:eastAsia="Book Antiqua" w:hAnsi="Book Antiqua" w:cs="Book Antiqua"/>
          <w:color w:val="000000"/>
        </w:rPr>
        <w:t>Grade A (Excellent): 0</w:t>
      </w:r>
    </w:p>
    <w:p w14:paraId="6D187CA7" w14:textId="77777777" w:rsidR="00B113BC" w:rsidRDefault="00C207E9">
      <w:pPr>
        <w:spacing w:line="360" w:lineRule="auto"/>
        <w:jc w:val="both"/>
        <w:rPr>
          <w:rFonts w:ascii="Book Antiqua" w:hAnsi="Book Antiqua"/>
        </w:rPr>
      </w:pPr>
      <w:r>
        <w:rPr>
          <w:rFonts w:ascii="Book Antiqua" w:eastAsia="Book Antiqua" w:hAnsi="Book Antiqua" w:cs="Book Antiqua"/>
          <w:color w:val="000000"/>
        </w:rPr>
        <w:t>Grade B (Very good): 0</w:t>
      </w:r>
    </w:p>
    <w:p w14:paraId="5F72FA71" w14:textId="77777777" w:rsidR="00B113BC" w:rsidRDefault="00C207E9">
      <w:pPr>
        <w:spacing w:line="360" w:lineRule="auto"/>
        <w:jc w:val="both"/>
        <w:rPr>
          <w:rFonts w:ascii="Book Antiqua" w:hAnsi="Book Antiqua"/>
        </w:rPr>
      </w:pPr>
      <w:r>
        <w:rPr>
          <w:rFonts w:ascii="Book Antiqua" w:eastAsia="Book Antiqua" w:hAnsi="Book Antiqua" w:cs="Book Antiqua"/>
          <w:color w:val="000000"/>
        </w:rPr>
        <w:t>Grade C (Good): C</w:t>
      </w:r>
    </w:p>
    <w:p w14:paraId="58FEB0EB" w14:textId="77777777" w:rsidR="00B113BC" w:rsidRDefault="00C207E9">
      <w:pPr>
        <w:spacing w:line="360" w:lineRule="auto"/>
        <w:jc w:val="both"/>
        <w:rPr>
          <w:rFonts w:ascii="Book Antiqua" w:hAnsi="Book Antiqua"/>
        </w:rPr>
      </w:pPr>
      <w:r>
        <w:rPr>
          <w:rFonts w:ascii="Book Antiqua" w:eastAsia="Book Antiqua" w:hAnsi="Book Antiqua" w:cs="Book Antiqua"/>
          <w:color w:val="000000"/>
        </w:rPr>
        <w:t>Grade D (Fair): 0</w:t>
      </w:r>
    </w:p>
    <w:p w14:paraId="3DD6087B" w14:textId="77777777" w:rsidR="00B113BC" w:rsidRDefault="00C207E9">
      <w:pPr>
        <w:spacing w:line="360" w:lineRule="auto"/>
        <w:jc w:val="both"/>
        <w:rPr>
          <w:rFonts w:ascii="Book Antiqua" w:hAnsi="Book Antiqua"/>
        </w:rPr>
      </w:pPr>
      <w:r>
        <w:rPr>
          <w:rFonts w:ascii="Book Antiqua" w:eastAsia="Book Antiqua" w:hAnsi="Book Antiqua" w:cs="Book Antiqua"/>
          <w:color w:val="000000"/>
        </w:rPr>
        <w:t>Grade E (Poor): 0</w:t>
      </w:r>
    </w:p>
    <w:p w14:paraId="571019BE" w14:textId="77777777" w:rsidR="00B113BC" w:rsidRDefault="00B113BC">
      <w:pPr>
        <w:spacing w:line="360" w:lineRule="auto"/>
        <w:jc w:val="both"/>
        <w:rPr>
          <w:rFonts w:ascii="Book Antiqua" w:hAnsi="Book Antiqua"/>
        </w:rPr>
      </w:pPr>
    </w:p>
    <w:p w14:paraId="1FB87DAB" w14:textId="46B599A1" w:rsidR="00B113BC" w:rsidRPr="00C41F6D" w:rsidRDefault="00C207E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Boregowda U</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sidR="00C41F6D" w:rsidRPr="00C41F6D">
        <w:rPr>
          <w:rFonts w:ascii="Book Antiqua" w:hAnsi="Book Antiqua" w:cs="Book Antiqua" w:hint="eastAsia"/>
          <w:color w:val="000000"/>
          <w:lang w:eastAsia="zh-CN"/>
        </w:rPr>
        <w:t>Ma YJ</w:t>
      </w:r>
    </w:p>
    <w:p w14:paraId="03B9D554" w14:textId="77777777" w:rsidR="00B113BC" w:rsidRDefault="00C207E9">
      <w:pPr>
        <w:spacing w:line="360" w:lineRule="auto"/>
        <w:jc w:val="both"/>
        <w:rPr>
          <w:rFonts w:ascii="Book Antiqua" w:eastAsia="Book Antiqua" w:hAnsi="Book Antiqua" w:cs="Book Antiqua"/>
          <w:b/>
          <w:bCs/>
        </w:rPr>
      </w:pPr>
      <w:r>
        <w:rPr>
          <w:rFonts w:ascii="Book Antiqua" w:hAnsi="Book Antiqua" w:cs="Book Antiqua"/>
          <w:b/>
          <w:color w:val="000000"/>
          <w:lang w:eastAsia="zh-CN"/>
        </w:rPr>
        <w:br w:type="page"/>
      </w:r>
      <w:r>
        <w:rPr>
          <w:rFonts w:ascii="Book Antiqua" w:eastAsia="Book Antiqua" w:hAnsi="Book Antiqua" w:cs="Book Antiqua"/>
          <w:b/>
          <w:bCs/>
        </w:rPr>
        <w:t>Table 1</w:t>
      </w:r>
      <w:r>
        <w:rPr>
          <w:rFonts w:ascii="Book Antiqua" w:hAnsi="Book Antiqua" w:cs="Book Antiqua"/>
          <w:b/>
          <w:bCs/>
        </w:rPr>
        <w:t xml:space="preserve"> </w:t>
      </w:r>
      <w:r>
        <w:rPr>
          <w:rFonts w:ascii="Book Antiqua" w:eastAsia="Book Antiqua" w:hAnsi="Book Antiqua" w:cs="Book Antiqua"/>
          <w:b/>
          <w:bCs/>
        </w:rPr>
        <w:t>Clinical features and complications in patients with Wilson disease before and after coronavirus disease 2019</w:t>
      </w:r>
    </w:p>
    <w:tbl>
      <w:tblPr>
        <w:tblStyle w:val="a6"/>
        <w:tblW w:w="9484" w:type="dxa"/>
        <w:tblLook w:val="04A0" w:firstRow="1" w:lastRow="0" w:firstColumn="1" w:lastColumn="0" w:noHBand="0" w:noVBand="1"/>
      </w:tblPr>
      <w:tblGrid>
        <w:gridCol w:w="3813"/>
        <w:gridCol w:w="2209"/>
        <w:gridCol w:w="2209"/>
        <w:gridCol w:w="1253"/>
      </w:tblGrid>
      <w:tr w:rsidR="00B113BC" w14:paraId="13A029C7" w14:textId="77777777" w:rsidTr="00B113BC">
        <w:trPr>
          <w:cnfStyle w:val="100000000000" w:firstRow="1" w:lastRow="0" w:firstColumn="0" w:lastColumn="0" w:oddVBand="0" w:evenVBand="0" w:oddHBand="0" w:evenHBand="0" w:firstRowFirstColumn="0" w:firstRowLastColumn="0" w:lastRowFirstColumn="0" w:lastRowLastColumn="0"/>
          <w:trHeight w:val="875"/>
        </w:trPr>
        <w:tc>
          <w:tcPr>
            <w:cnfStyle w:val="001000000000" w:firstRow="0" w:lastRow="0" w:firstColumn="1" w:lastColumn="0" w:oddVBand="0" w:evenVBand="0" w:oddHBand="0" w:evenHBand="0" w:firstRowFirstColumn="0" w:firstRowLastColumn="0" w:lastRowFirstColumn="0" w:lastRowLastColumn="0"/>
            <w:tcW w:w="3813" w:type="dxa"/>
            <w:shd w:val="clear" w:color="auto" w:fill="auto"/>
          </w:tcPr>
          <w:p w14:paraId="0B39A094" w14:textId="77777777" w:rsidR="00B113BC" w:rsidRDefault="00B113BC">
            <w:pPr>
              <w:spacing w:line="360" w:lineRule="auto"/>
              <w:jc w:val="both"/>
              <w:rPr>
                <w:rFonts w:ascii="Book Antiqua" w:eastAsia="Book Antiqua" w:hAnsi="Book Antiqua" w:cs="Book Antiqua"/>
                <w:color w:val="auto"/>
                <w:lang w:eastAsia="zh-CN"/>
              </w:rPr>
            </w:pPr>
          </w:p>
        </w:tc>
        <w:tc>
          <w:tcPr>
            <w:tcW w:w="2209" w:type="dxa"/>
            <w:shd w:val="clear" w:color="auto" w:fill="auto"/>
          </w:tcPr>
          <w:p w14:paraId="3CD215EC" w14:textId="77777777" w:rsidR="00B113BC" w:rsidRDefault="00C207E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Before COVID-19</w:t>
            </w:r>
            <w:r>
              <w:rPr>
                <w:rFonts w:ascii="Book Antiqua" w:hAnsi="Book Antiqua" w:cs="Book Antiqua"/>
                <w:b w:val="0"/>
                <w:bCs w:val="0"/>
                <w:color w:val="auto"/>
                <w:lang w:eastAsia="zh-CN"/>
              </w:rPr>
              <w:t xml:space="preserve"> </w:t>
            </w:r>
            <w:r>
              <w:rPr>
                <w:rFonts w:ascii="Book Antiqua" w:eastAsia="Book Antiqua" w:hAnsi="Book Antiqua" w:cs="Book Antiqua"/>
                <w:color w:val="auto"/>
                <w:lang w:eastAsia="zh-CN"/>
              </w:rPr>
              <w:t>(</w:t>
            </w:r>
            <w:r>
              <w:rPr>
                <w:rFonts w:ascii="Book Antiqua" w:eastAsia="Book Antiqua" w:hAnsi="Book Antiqua" w:cs="Book Antiqua"/>
                <w:i/>
                <w:color w:val="auto"/>
                <w:lang w:eastAsia="zh-CN"/>
              </w:rPr>
              <w:t xml:space="preserve">n </w:t>
            </w:r>
            <w:r>
              <w:rPr>
                <w:rFonts w:ascii="Book Antiqua" w:eastAsia="Book Antiqua" w:hAnsi="Book Antiqua" w:cs="Book Antiqua"/>
                <w:color w:val="auto"/>
                <w:lang w:eastAsia="zh-CN"/>
              </w:rPr>
              <w:t>= 68)</w:t>
            </w:r>
          </w:p>
        </w:tc>
        <w:tc>
          <w:tcPr>
            <w:tcW w:w="2209" w:type="dxa"/>
            <w:shd w:val="clear" w:color="auto" w:fill="auto"/>
          </w:tcPr>
          <w:p w14:paraId="629FD580" w14:textId="77777777" w:rsidR="00B113BC" w:rsidRDefault="00C207E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After COVID-19</w:t>
            </w:r>
            <w:r>
              <w:rPr>
                <w:rFonts w:ascii="Book Antiqua" w:hAnsi="Book Antiqua" w:cs="Book Antiqua"/>
                <w:b w:val="0"/>
                <w:bCs w:val="0"/>
                <w:color w:val="auto"/>
                <w:lang w:eastAsia="zh-CN"/>
              </w:rPr>
              <w:t xml:space="preserve"> </w:t>
            </w:r>
            <w:r>
              <w:rPr>
                <w:rFonts w:ascii="Book Antiqua" w:eastAsia="Book Antiqua" w:hAnsi="Book Antiqua" w:cs="Book Antiqua"/>
                <w:color w:val="auto"/>
                <w:lang w:eastAsia="zh-CN"/>
              </w:rPr>
              <w:t>(</w:t>
            </w:r>
            <w:r>
              <w:rPr>
                <w:rFonts w:ascii="Book Antiqua" w:eastAsia="Book Antiqua" w:hAnsi="Book Antiqua" w:cs="Book Antiqua"/>
                <w:i/>
                <w:color w:val="auto"/>
                <w:lang w:eastAsia="zh-CN"/>
              </w:rPr>
              <w:t>n</w:t>
            </w:r>
            <w:r>
              <w:rPr>
                <w:rFonts w:ascii="Book Antiqua" w:eastAsia="Book Antiqua" w:hAnsi="Book Antiqua" w:cs="Book Antiqua"/>
                <w:color w:val="auto"/>
                <w:lang w:eastAsia="zh-CN"/>
              </w:rPr>
              <w:t xml:space="preserve"> = 68)</w:t>
            </w:r>
          </w:p>
        </w:tc>
        <w:tc>
          <w:tcPr>
            <w:tcW w:w="1253" w:type="dxa"/>
            <w:shd w:val="clear" w:color="auto" w:fill="auto"/>
          </w:tcPr>
          <w:p w14:paraId="28CE7661" w14:textId="77777777" w:rsidR="00B113BC" w:rsidRDefault="00C207E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i/>
                <w:color w:val="auto"/>
                <w:lang w:eastAsia="zh-CN"/>
              </w:rPr>
              <w:t>P</w:t>
            </w:r>
            <w:r>
              <w:rPr>
                <w:rFonts w:ascii="Book Antiqua" w:eastAsia="Book Antiqua" w:hAnsi="Book Antiqua" w:cs="Book Antiqua"/>
                <w:color w:val="auto"/>
                <w:lang w:eastAsia="zh-CN"/>
              </w:rPr>
              <w:t xml:space="preserve"> value</w:t>
            </w:r>
          </w:p>
        </w:tc>
      </w:tr>
      <w:tr w:rsidR="00B113BC" w14:paraId="1751B8FB" w14:textId="77777777" w:rsidTr="00B113BC">
        <w:trPr>
          <w:trHeight w:val="437"/>
        </w:trPr>
        <w:tc>
          <w:tcPr>
            <w:cnfStyle w:val="001000000000" w:firstRow="0" w:lastRow="0" w:firstColumn="1" w:lastColumn="0" w:oddVBand="0" w:evenVBand="0" w:oddHBand="0" w:evenHBand="0" w:firstRowFirstColumn="0" w:firstRowLastColumn="0" w:lastRowFirstColumn="0" w:lastRowLastColumn="0"/>
            <w:tcW w:w="3813" w:type="dxa"/>
            <w:tcBorders>
              <w:left w:val="nil"/>
              <w:right w:val="nil"/>
            </w:tcBorders>
            <w:shd w:val="clear" w:color="auto" w:fill="auto"/>
          </w:tcPr>
          <w:p w14:paraId="026F7629"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Demographic characteristics</w:t>
            </w:r>
          </w:p>
        </w:tc>
        <w:tc>
          <w:tcPr>
            <w:tcW w:w="2209" w:type="dxa"/>
            <w:tcBorders>
              <w:right w:val="nil"/>
            </w:tcBorders>
            <w:shd w:val="clear" w:color="auto" w:fill="auto"/>
          </w:tcPr>
          <w:p w14:paraId="0914C596" w14:textId="77777777" w:rsidR="00B113BC" w:rsidRDefault="00B1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p>
        </w:tc>
        <w:tc>
          <w:tcPr>
            <w:tcW w:w="2209" w:type="dxa"/>
            <w:tcBorders>
              <w:right w:val="nil"/>
            </w:tcBorders>
            <w:shd w:val="clear" w:color="auto" w:fill="auto"/>
          </w:tcPr>
          <w:p w14:paraId="7CECB1EE" w14:textId="77777777" w:rsidR="00B113BC" w:rsidRDefault="00B1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p>
        </w:tc>
        <w:tc>
          <w:tcPr>
            <w:tcW w:w="1253" w:type="dxa"/>
            <w:tcBorders>
              <w:right w:val="nil"/>
            </w:tcBorders>
            <w:shd w:val="clear" w:color="auto" w:fill="auto"/>
          </w:tcPr>
          <w:p w14:paraId="1F72EF44" w14:textId="77777777" w:rsidR="00B113BC" w:rsidRDefault="00B1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p>
        </w:tc>
      </w:tr>
      <w:tr w:rsidR="00B113BC" w14:paraId="76928E1B" w14:textId="77777777" w:rsidTr="00B113BC">
        <w:trPr>
          <w:trHeight w:val="450"/>
        </w:trPr>
        <w:tc>
          <w:tcPr>
            <w:cnfStyle w:val="001000000000" w:firstRow="0" w:lastRow="0" w:firstColumn="1" w:lastColumn="0" w:oddVBand="0" w:evenVBand="0" w:oddHBand="0" w:evenHBand="0" w:firstRowFirstColumn="0" w:firstRowLastColumn="0" w:lastRowFirstColumn="0" w:lastRowLastColumn="0"/>
            <w:tcW w:w="3813" w:type="dxa"/>
            <w:shd w:val="clear" w:color="auto" w:fill="auto"/>
          </w:tcPr>
          <w:p w14:paraId="35322E48"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Age (yr)</w:t>
            </w:r>
          </w:p>
        </w:tc>
        <w:tc>
          <w:tcPr>
            <w:tcW w:w="4418" w:type="dxa"/>
            <w:gridSpan w:val="2"/>
            <w:shd w:val="clear" w:color="auto" w:fill="auto"/>
          </w:tcPr>
          <w:p w14:paraId="6126435D"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28.00 (23.00–33.00)</w:t>
            </w:r>
          </w:p>
        </w:tc>
        <w:tc>
          <w:tcPr>
            <w:tcW w:w="1253" w:type="dxa"/>
            <w:shd w:val="clear" w:color="auto" w:fill="auto"/>
          </w:tcPr>
          <w:p w14:paraId="13F3445E"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w:t>
            </w:r>
          </w:p>
        </w:tc>
      </w:tr>
      <w:tr w:rsidR="00B113BC" w14:paraId="71410727" w14:textId="77777777" w:rsidTr="00B113BC">
        <w:trPr>
          <w:trHeight w:val="437"/>
        </w:trPr>
        <w:tc>
          <w:tcPr>
            <w:cnfStyle w:val="001000000000" w:firstRow="0" w:lastRow="0" w:firstColumn="1" w:lastColumn="0" w:oddVBand="0" w:evenVBand="0" w:oddHBand="0" w:evenHBand="0" w:firstRowFirstColumn="0" w:firstRowLastColumn="0" w:lastRowFirstColumn="0" w:lastRowLastColumn="0"/>
            <w:tcW w:w="3813" w:type="dxa"/>
            <w:tcBorders>
              <w:left w:val="nil"/>
              <w:right w:val="nil"/>
            </w:tcBorders>
            <w:shd w:val="clear" w:color="auto" w:fill="auto"/>
          </w:tcPr>
          <w:p w14:paraId="6F629858"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Male sex</w:t>
            </w:r>
          </w:p>
        </w:tc>
        <w:tc>
          <w:tcPr>
            <w:tcW w:w="4418" w:type="dxa"/>
            <w:gridSpan w:val="2"/>
            <w:tcBorders>
              <w:right w:val="nil"/>
            </w:tcBorders>
            <w:shd w:val="clear" w:color="auto" w:fill="auto"/>
          </w:tcPr>
          <w:p w14:paraId="347B4F98"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37 (54.41)</w:t>
            </w:r>
          </w:p>
        </w:tc>
        <w:tc>
          <w:tcPr>
            <w:tcW w:w="1253" w:type="dxa"/>
            <w:tcBorders>
              <w:right w:val="nil"/>
            </w:tcBorders>
            <w:shd w:val="clear" w:color="auto" w:fill="auto"/>
          </w:tcPr>
          <w:p w14:paraId="79A95C26"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w:t>
            </w:r>
          </w:p>
        </w:tc>
      </w:tr>
      <w:tr w:rsidR="00B113BC" w14:paraId="3EC27D55" w14:textId="77777777" w:rsidTr="00B113BC">
        <w:trPr>
          <w:trHeight w:val="450"/>
        </w:trPr>
        <w:tc>
          <w:tcPr>
            <w:cnfStyle w:val="001000000000" w:firstRow="0" w:lastRow="0" w:firstColumn="1" w:lastColumn="0" w:oddVBand="0" w:evenVBand="0" w:oddHBand="0" w:evenHBand="0" w:firstRowFirstColumn="0" w:firstRowLastColumn="0" w:lastRowFirstColumn="0" w:lastRowLastColumn="0"/>
            <w:tcW w:w="3813" w:type="dxa"/>
            <w:shd w:val="clear" w:color="auto" w:fill="auto"/>
          </w:tcPr>
          <w:p w14:paraId="66BC4BFE"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Hepatic features</w:t>
            </w:r>
          </w:p>
        </w:tc>
        <w:tc>
          <w:tcPr>
            <w:tcW w:w="2209" w:type="dxa"/>
            <w:shd w:val="clear" w:color="auto" w:fill="auto"/>
          </w:tcPr>
          <w:p w14:paraId="60BC2D9B" w14:textId="77777777" w:rsidR="00B113BC" w:rsidRDefault="00B1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p>
        </w:tc>
        <w:tc>
          <w:tcPr>
            <w:tcW w:w="2209" w:type="dxa"/>
            <w:shd w:val="clear" w:color="auto" w:fill="auto"/>
          </w:tcPr>
          <w:p w14:paraId="2E2E8773" w14:textId="77777777" w:rsidR="00B113BC" w:rsidRDefault="00B1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p>
        </w:tc>
        <w:tc>
          <w:tcPr>
            <w:tcW w:w="1253" w:type="dxa"/>
            <w:shd w:val="clear" w:color="auto" w:fill="auto"/>
          </w:tcPr>
          <w:p w14:paraId="4A0F0F15" w14:textId="77777777" w:rsidR="00B113BC" w:rsidRDefault="00B1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p>
        </w:tc>
      </w:tr>
      <w:tr w:rsidR="00B113BC" w14:paraId="0AEBF389" w14:textId="77777777" w:rsidTr="00B113BC">
        <w:trPr>
          <w:trHeight w:val="450"/>
        </w:trPr>
        <w:tc>
          <w:tcPr>
            <w:cnfStyle w:val="001000000000" w:firstRow="0" w:lastRow="0" w:firstColumn="1" w:lastColumn="0" w:oddVBand="0" w:evenVBand="0" w:oddHBand="0" w:evenHBand="0" w:firstRowFirstColumn="0" w:firstRowLastColumn="0" w:lastRowFirstColumn="0" w:lastRowLastColumn="0"/>
            <w:tcW w:w="3813" w:type="dxa"/>
            <w:tcBorders>
              <w:left w:val="nil"/>
              <w:right w:val="nil"/>
            </w:tcBorders>
            <w:shd w:val="clear" w:color="auto" w:fill="auto"/>
          </w:tcPr>
          <w:p w14:paraId="464F0483"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Elevated ALT (&gt;</w:t>
            </w:r>
            <w:r>
              <w:rPr>
                <w:rFonts w:ascii="Book Antiqua" w:hAnsi="Book Antiqua" w:cs="Book Antiqua"/>
                <w:b w:val="0"/>
                <w:color w:val="auto"/>
                <w:lang w:eastAsia="zh-CN"/>
              </w:rPr>
              <w:t xml:space="preserve"> </w:t>
            </w:r>
            <w:r>
              <w:rPr>
                <w:rFonts w:ascii="Book Antiqua" w:eastAsia="Book Antiqua" w:hAnsi="Book Antiqua" w:cs="Book Antiqua"/>
                <w:b w:val="0"/>
                <w:color w:val="auto"/>
                <w:lang w:eastAsia="zh-CN"/>
              </w:rPr>
              <w:t>40 U/L)</w:t>
            </w:r>
          </w:p>
        </w:tc>
        <w:tc>
          <w:tcPr>
            <w:tcW w:w="2209" w:type="dxa"/>
            <w:tcBorders>
              <w:right w:val="nil"/>
            </w:tcBorders>
            <w:shd w:val="clear" w:color="auto" w:fill="auto"/>
          </w:tcPr>
          <w:p w14:paraId="606CFF3D"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16 (23.53)</w:t>
            </w:r>
          </w:p>
        </w:tc>
        <w:tc>
          <w:tcPr>
            <w:tcW w:w="2209" w:type="dxa"/>
            <w:tcBorders>
              <w:right w:val="nil"/>
            </w:tcBorders>
            <w:shd w:val="clear" w:color="auto" w:fill="auto"/>
          </w:tcPr>
          <w:p w14:paraId="5088A558"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12 (17.65)</w:t>
            </w:r>
          </w:p>
        </w:tc>
        <w:tc>
          <w:tcPr>
            <w:tcW w:w="1253" w:type="dxa"/>
            <w:tcBorders>
              <w:right w:val="nil"/>
            </w:tcBorders>
            <w:shd w:val="clear" w:color="auto" w:fill="auto"/>
          </w:tcPr>
          <w:p w14:paraId="253C072C"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0.424</w:t>
            </w:r>
          </w:p>
        </w:tc>
      </w:tr>
      <w:tr w:rsidR="00B113BC" w14:paraId="20618FF3" w14:textId="77777777" w:rsidTr="00B113BC">
        <w:trPr>
          <w:trHeight w:val="437"/>
        </w:trPr>
        <w:tc>
          <w:tcPr>
            <w:cnfStyle w:val="001000000000" w:firstRow="0" w:lastRow="0" w:firstColumn="1" w:lastColumn="0" w:oddVBand="0" w:evenVBand="0" w:oddHBand="0" w:evenHBand="0" w:firstRowFirstColumn="0" w:firstRowLastColumn="0" w:lastRowFirstColumn="0" w:lastRowLastColumn="0"/>
            <w:tcW w:w="3813" w:type="dxa"/>
            <w:shd w:val="clear" w:color="auto" w:fill="auto"/>
          </w:tcPr>
          <w:p w14:paraId="18EA8C5D"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Elevated AST (&gt;</w:t>
            </w:r>
            <w:r>
              <w:rPr>
                <w:rFonts w:ascii="Book Antiqua" w:hAnsi="Book Antiqua" w:cs="Book Antiqua"/>
                <w:b w:val="0"/>
                <w:color w:val="auto"/>
                <w:lang w:eastAsia="zh-CN"/>
              </w:rPr>
              <w:t xml:space="preserve"> </w:t>
            </w:r>
            <w:r>
              <w:rPr>
                <w:rFonts w:ascii="Book Antiqua" w:eastAsia="Book Antiqua" w:hAnsi="Book Antiqua" w:cs="Book Antiqua"/>
                <w:b w:val="0"/>
                <w:color w:val="auto"/>
                <w:lang w:eastAsia="zh-CN"/>
              </w:rPr>
              <w:t>35 U/L)</w:t>
            </w:r>
          </w:p>
        </w:tc>
        <w:tc>
          <w:tcPr>
            <w:tcW w:w="2209" w:type="dxa"/>
            <w:shd w:val="clear" w:color="auto" w:fill="auto"/>
          </w:tcPr>
          <w:p w14:paraId="79178B19"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13 (19.12)</w:t>
            </w:r>
          </w:p>
        </w:tc>
        <w:tc>
          <w:tcPr>
            <w:tcW w:w="2209" w:type="dxa"/>
            <w:shd w:val="clear" w:color="auto" w:fill="auto"/>
          </w:tcPr>
          <w:p w14:paraId="17402A95"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17 (25.00)</w:t>
            </w:r>
          </w:p>
        </w:tc>
        <w:tc>
          <w:tcPr>
            <w:tcW w:w="1253" w:type="dxa"/>
            <w:shd w:val="clear" w:color="auto" w:fill="auto"/>
          </w:tcPr>
          <w:p w14:paraId="13AE4A35"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0.388</w:t>
            </w:r>
          </w:p>
        </w:tc>
      </w:tr>
      <w:tr w:rsidR="00B113BC" w14:paraId="4DD6097D" w14:textId="77777777" w:rsidTr="00B113BC">
        <w:trPr>
          <w:trHeight w:val="900"/>
        </w:trPr>
        <w:tc>
          <w:tcPr>
            <w:cnfStyle w:val="001000000000" w:firstRow="0" w:lastRow="0" w:firstColumn="1" w:lastColumn="0" w:oddVBand="0" w:evenVBand="0" w:oddHBand="0" w:evenHBand="0" w:firstRowFirstColumn="0" w:firstRowLastColumn="0" w:lastRowFirstColumn="0" w:lastRowLastColumn="0"/>
            <w:tcW w:w="3813" w:type="dxa"/>
            <w:tcBorders>
              <w:left w:val="nil"/>
              <w:right w:val="nil"/>
            </w:tcBorders>
            <w:shd w:val="clear" w:color="auto" w:fill="auto"/>
          </w:tcPr>
          <w:p w14:paraId="59DC15B2"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Elevated bilirubin (&gt;</w:t>
            </w:r>
            <w:r>
              <w:rPr>
                <w:rFonts w:ascii="Book Antiqua" w:hAnsi="Book Antiqua" w:cs="Book Antiqua"/>
                <w:b w:val="0"/>
                <w:color w:val="auto"/>
                <w:lang w:eastAsia="zh-CN"/>
              </w:rPr>
              <w:t xml:space="preserve"> </w:t>
            </w:r>
            <w:r>
              <w:rPr>
                <w:rFonts w:ascii="Book Antiqua" w:eastAsia="Book Antiqua" w:hAnsi="Book Antiqua" w:cs="Book Antiqua"/>
                <w:b w:val="0"/>
                <w:color w:val="auto"/>
                <w:lang w:eastAsia="zh-CN"/>
              </w:rPr>
              <w:t>17.1</w:t>
            </w:r>
            <w:r>
              <w:rPr>
                <w:rFonts w:ascii="Book Antiqua" w:hAnsi="Book Antiqua" w:cs="Book Antiqua"/>
                <w:b w:val="0"/>
                <w:color w:val="auto"/>
                <w:lang w:eastAsia="zh-CN"/>
              </w:rPr>
              <w:t xml:space="preserve"> µ</w:t>
            </w:r>
            <w:r>
              <w:rPr>
                <w:rFonts w:ascii="Book Antiqua" w:eastAsia="Book Antiqua" w:hAnsi="Book Antiqua" w:cs="Book Antiqua"/>
                <w:b w:val="0"/>
                <w:color w:val="auto"/>
                <w:lang w:eastAsia="zh-CN"/>
              </w:rPr>
              <w:t>mol/L)</w:t>
            </w:r>
          </w:p>
        </w:tc>
        <w:tc>
          <w:tcPr>
            <w:tcW w:w="2209" w:type="dxa"/>
            <w:tcBorders>
              <w:right w:val="nil"/>
            </w:tcBorders>
            <w:shd w:val="clear" w:color="auto" w:fill="auto"/>
          </w:tcPr>
          <w:p w14:paraId="6B39453F"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15 (22.06)</w:t>
            </w:r>
          </w:p>
        </w:tc>
        <w:tc>
          <w:tcPr>
            <w:tcW w:w="2209" w:type="dxa"/>
            <w:tcBorders>
              <w:right w:val="nil"/>
            </w:tcBorders>
            <w:shd w:val="clear" w:color="auto" w:fill="auto"/>
          </w:tcPr>
          <w:p w14:paraId="0F227E32"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13 (19.12)</w:t>
            </w:r>
          </w:p>
        </w:tc>
        <w:tc>
          <w:tcPr>
            <w:tcW w:w="1253" w:type="dxa"/>
            <w:tcBorders>
              <w:right w:val="nil"/>
            </w:tcBorders>
            <w:shd w:val="clear" w:color="auto" w:fill="auto"/>
          </w:tcPr>
          <w:p w14:paraId="395004D4"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0.754</w:t>
            </w:r>
          </w:p>
        </w:tc>
      </w:tr>
      <w:tr w:rsidR="00B113BC" w14:paraId="34527251" w14:textId="77777777" w:rsidTr="00B113BC">
        <w:trPr>
          <w:trHeight w:val="887"/>
        </w:trPr>
        <w:tc>
          <w:tcPr>
            <w:cnfStyle w:val="001000000000" w:firstRow="0" w:lastRow="0" w:firstColumn="1" w:lastColumn="0" w:oddVBand="0" w:evenVBand="0" w:oddHBand="0" w:evenHBand="0" w:firstRowFirstColumn="0" w:firstRowLastColumn="0" w:lastRowFirstColumn="0" w:lastRowLastColumn="0"/>
            <w:tcW w:w="3813" w:type="dxa"/>
            <w:shd w:val="clear" w:color="auto" w:fill="auto"/>
          </w:tcPr>
          <w:p w14:paraId="2736DD66"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Hypoproteinemia (albumin &lt;</w:t>
            </w:r>
            <w:r>
              <w:rPr>
                <w:rFonts w:ascii="Book Antiqua" w:hAnsi="Book Antiqua" w:cs="Book Antiqua"/>
                <w:b w:val="0"/>
                <w:color w:val="auto"/>
                <w:lang w:eastAsia="zh-CN"/>
              </w:rPr>
              <w:t xml:space="preserve"> </w:t>
            </w:r>
            <w:r>
              <w:rPr>
                <w:rFonts w:ascii="Book Antiqua" w:eastAsia="Book Antiqua" w:hAnsi="Book Antiqua" w:cs="Book Antiqua"/>
                <w:b w:val="0"/>
                <w:color w:val="auto"/>
                <w:lang w:eastAsia="zh-CN"/>
              </w:rPr>
              <w:t>35 g/L)</w:t>
            </w:r>
          </w:p>
        </w:tc>
        <w:tc>
          <w:tcPr>
            <w:tcW w:w="2209" w:type="dxa"/>
            <w:shd w:val="clear" w:color="auto" w:fill="auto"/>
          </w:tcPr>
          <w:p w14:paraId="7ED8557D"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10 (14.71)</w:t>
            </w:r>
          </w:p>
        </w:tc>
        <w:tc>
          <w:tcPr>
            <w:tcW w:w="2209" w:type="dxa"/>
            <w:shd w:val="clear" w:color="auto" w:fill="auto"/>
          </w:tcPr>
          <w:p w14:paraId="4C548888"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12 (17.65)</w:t>
            </w:r>
          </w:p>
        </w:tc>
        <w:tc>
          <w:tcPr>
            <w:tcW w:w="1253" w:type="dxa"/>
            <w:shd w:val="clear" w:color="auto" w:fill="auto"/>
          </w:tcPr>
          <w:p w14:paraId="6206A771"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0.774</w:t>
            </w:r>
          </w:p>
        </w:tc>
      </w:tr>
      <w:tr w:rsidR="00B113BC" w14:paraId="1361320D" w14:textId="77777777" w:rsidTr="00B113BC">
        <w:trPr>
          <w:trHeight w:val="450"/>
        </w:trPr>
        <w:tc>
          <w:tcPr>
            <w:cnfStyle w:val="001000000000" w:firstRow="0" w:lastRow="0" w:firstColumn="1" w:lastColumn="0" w:oddVBand="0" w:evenVBand="0" w:oddHBand="0" w:evenHBand="0" w:firstRowFirstColumn="0" w:firstRowLastColumn="0" w:lastRowFirstColumn="0" w:lastRowLastColumn="0"/>
            <w:tcW w:w="3813" w:type="dxa"/>
            <w:tcBorders>
              <w:left w:val="nil"/>
              <w:right w:val="nil"/>
            </w:tcBorders>
            <w:shd w:val="clear" w:color="auto" w:fill="auto"/>
          </w:tcPr>
          <w:p w14:paraId="59F86637"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Elevated PT (&gt;</w:t>
            </w:r>
            <w:r>
              <w:rPr>
                <w:rFonts w:ascii="Book Antiqua" w:hAnsi="Book Antiqua" w:cs="Book Antiqua"/>
                <w:b w:val="0"/>
                <w:color w:val="auto"/>
                <w:lang w:eastAsia="zh-CN"/>
              </w:rPr>
              <w:t xml:space="preserve"> </w:t>
            </w:r>
            <w:r>
              <w:rPr>
                <w:rFonts w:ascii="Book Antiqua" w:eastAsia="Book Antiqua" w:hAnsi="Book Antiqua" w:cs="Book Antiqua"/>
                <w:b w:val="0"/>
                <w:color w:val="auto"/>
                <w:lang w:eastAsia="zh-CN"/>
              </w:rPr>
              <w:t>15 s)</w:t>
            </w:r>
          </w:p>
        </w:tc>
        <w:tc>
          <w:tcPr>
            <w:tcW w:w="2209" w:type="dxa"/>
            <w:tcBorders>
              <w:right w:val="nil"/>
            </w:tcBorders>
            <w:shd w:val="clear" w:color="auto" w:fill="auto"/>
          </w:tcPr>
          <w:p w14:paraId="29762F30"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11 (16.18)</w:t>
            </w:r>
          </w:p>
        </w:tc>
        <w:tc>
          <w:tcPr>
            <w:tcW w:w="2209" w:type="dxa"/>
            <w:tcBorders>
              <w:right w:val="nil"/>
            </w:tcBorders>
            <w:shd w:val="clear" w:color="auto" w:fill="auto"/>
          </w:tcPr>
          <w:p w14:paraId="35FD0ACC"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13 (19.12)</w:t>
            </w:r>
          </w:p>
        </w:tc>
        <w:tc>
          <w:tcPr>
            <w:tcW w:w="1253" w:type="dxa"/>
            <w:tcBorders>
              <w:right w:val="nil"/>
            </w:tcBorders>
            <w:shd w:val="clear" w:color="auto" w:fill="auto"/>
          </w:tcPr>
          <w:p w14:paraId="4793FD17"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0.791</w:t>
            </w:r>
          </w:p>
        </w:tc>
      </w:tr>
      <w:tr w:rsidR="00B113BC" w14:paraId="2A9FF23A" w14:textId="77777777" w:rsidTr="00B113BC">
        <w:trPr>
          <w:trHeight w:val="450"/>
        </w:trPr>
        <w:tc>
          <w:tcPr>
            <w:cnfStyle w:val="001000000000" w:firstRow="0" w:lastRow="0" w:firstColumn="1" w:lastColumn="0" w:oddVBand="0" w:evenVBand="0" w:oddHBand="0" w:evenHBand="0" w:firstRowFirstColumn="0" w:firstRowLastColumn="0" w:lastRowFirstColumn="0" w:lastRowLastColumn="0"/>
            <w:tcW w:w="3813" w:type="dxa"/>
            <w:shd w:val="clear" w:color="auto" w:fill="auto"/>
          </w:tcPr>
          <w:p w14:paraId="12C9D645"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Elevated INR (&gt;</w:t>
            </w:r>
            <w:r>
              <w:rPr>
                <w:rFonts w:ascii="Book Antiqua" w:hAnsi="Book Antiqua" w:cs="Book Antiqua"/>
                <w:b w:val="0"/>
                <w:color w:val="auto"/>
                <w:lang w:eastAsia="zh-CN"/>
              </w:rPr>
              <w:t xml:space="preserve"> </w:t>
            </w:r>
            <w:r>
              <w:rPr>
                <w:rFonts w:ascii="Book Antiqua" w:eastAsia="Book Antiqua" w:hAnsi="Book Antiqua" w:cs="Book Antiqua"/>
                <w:b w:val="0"/>
                <w:color w:val="auto"/>
                <w:lang w:eastAsia="zh-CN"/>
              </w:rPr>
              <w:t>1.5)</w:t>
            </w:r>
          </w:p>
        </w:tc>
        <w:tc>
          <w:tcPr>
            <w:tcW w:w="2209" w:type="dxa"/>
            <w:shd w:val="clear" w:color="auto" w:fill="auto"/>
          </w:tcPr>
          <w:p w14:paraId="642DDBB9"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1 (1.47)</w:t>
            </w:r>
          </w:p>
        </w:tc>
        <w:tc>
          <w:tcPr>
            <w:tcW w:w="2209" w:type="dxa"/>
            <w:shd w:val="clear" w:color="auto" w:fill="auto"/>
          </w:tcPr>
          <w:p w14:paraId="4E532D0F"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2 (2.94)</w:t>
            </w:r>
          </w:p>
        </w:tc>
        <w:tc>
          <w:tcPr>
            <w:tcW w:w="1253" w:type="dxa"/>
            <w:shd w:val="clear" w:color="auto" w:fill="auto"/>
          </w:tcPr>
          <w:p w14:paraId="67F48505"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1.000</w:t>
            </w:r>
          </w:p>
        </w:tc>
      </w:tr>
      <w:tr w:rsidR="00B113BC" w14:paraId="7A43F815" w14:textId="77777777" w:rsidTr="00B113BC">
        <w:trPr>
          <w:trHeight w:val="450"/>
        </w:trPr>
        <w:tc>
          <w:tcPr>
            <w:cnfStyle w:val="001000000000" w:firstRow="0" w:lastRow="0" w:firstColumn="1" w:lastColumn="0" w:oddVBand="0" w:evenVBand="0" w:oddHBand="0" w:evenHBand="0" w:firstRowFirstColumn="0" w:firstRowLastColumn="0" w:lastRowFirstColumn="0" w:lastRowLastColumn="0"/>
            <w:tcW w:w="3813" w:type="dxa"/>
            <w:tcBorders>
              <w:left w:val="nil"/>
              <w:right w:val="nil"/>
            </w:tcBorders>
            <w:shd w:val="clear" w:color="auto" w:fill="auto"/>
          </w:tcPr>
          <w:p w14:paraId="551C53A4"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Child-Pugh</w:t>
            </w:r>
          </w:p>
        </w:tc>
        <w:tc>
          <w:tcPr>
            <w:tcW w:w="2209" w:type="dxa"/>
            <w:tcBorders>
              <w:right w:val="nil"/>
            </w:tcBorders>
            <w:shd w:val="clear" w:color="auto" w:fill="auto"/>
          </w:tcPr>
          <w:p w14:paraId="3AC199BD" w14:textId="77777777" w:rsidR="00B113BC" w:rsidRDefault="00B1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p>
        </w:tc>
        <w:tc>
          <w:tcPr>
            <w:tcW w:w="2209" w:type="dxa"/>
            <w:tcBorders>
              <w:right w:val="nil"/>
            </w:tcBorders>
            <w:shd w:val="clear" w:color="auto" w:fill="auto"/>
          </w:tcPr>
          <w:p w14:paraId="3033B55D" w14:textId="77777777" w:rsidR="00B113BC" w:rsidRDefault="00B1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p>
        </w:tc>
        <w:tc>
          <w:tcPr>
            <w:tcW w:w="1253" w:type="dxa"/>
            <w:tcBorders>
              <w:right w:val="nil"/>
            </w:tcBorders>
            <w:shd w:val="clear" w:color="auto" w:fill="auto"/>
          </w:tcPr>
          <w:p w14:paraId="4AC1721F"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1.000</w:t>
            </w:r>
          </w:p>
        </w:tc>
      </w:tr>
      <w:tr w:rsidR="00B113BC" w14:paraId="0D92BFC6" w14:textId="77777777" w:rsidTr="00B113BC">
        <w:trPr>
          <w:trHeight w:val="437"/>
        </w:trPr>
        <w:tc>
          <w:tcPr>
            <w:cnfStyle w:val="001000000000" w:firstRow="0" w:lastRow="0" w:firstColumn="1" w:lastColumn="0" w:oddVBand="0" w:evenVBand="0" w:oddHBand="0" w:evenHBand="0" w:firstRowFirstColumn="0" w:firstRowLastColumn="0" w:lastRowFirstColumn="0" w:lastRowLastColumn="0"/>
            <w:tcW w:w="3813" w:type="dxa"/>
            <w:shd w:val="clear" w:color="auto" w:fill="auto"/>
          </w:tcPr>
          <w:p w14:paraId="1C914241"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A</w:t>
            </w:r>
          </w:p>
        </w:tc>
        <w:tc>
          <w:tcPr>
            <w:tcW w:w="2209" w:type="dxa"/>
            <w:shd w:val="clear" w:color="auto" w:fill="auto"/>
          </w:tcPr>
          <w:p w14:paraId="0BA77E93"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64 (94.12)</w:t>
            </w:r>
          </w:p>
        </w:tc>
        <w:tc>
          <w:tcPr>
            <w:tcW w:w="2209" w:type="dxa"/>
            <w:shd w:val="clear" w:color="auto" w:fill="auto"/>
          </w:tcPr>
          <w:p w14:paraId="33AF8167"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65 (95.59)</w:t>
            </w:r>
          </w:p>
        </w:tc>
        <w:tc>
          <w:tcPr>
            <w:tcW w:w="1253" w:type="dxa"/>
            <w:shd w:val="clear" w:color="auto" w:fill="auto"/>
          </w:tcPr>
          <w:p w14:paraId="6F042881" w14:textId="77777777" w:rsidR="00B113BC" w:rsidRDefault="00B1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p>
        </w:tc>
      </w:tr>
      <w:tr w:rsidR="00B113BC" w14:paraId="4708E953" w14:textId="77777777" w:rsidTr="00B113BC">
        <w:trPr>
          <w:trHeight w:val="450"/>
        </w:trPr>
        <w:tc>
          <w:tcPr>
            <w:cnfStyle w:val="001000000000" w:firstRow="0" w:lastRow="0" w:firstColumn="1" w:lastColumn="0" w:oddVBand="0" w:evenVBand="0" w:oddHBand="0" w:evenHBand="0" w:firstRowFirstColumn="0" w:firstRowLastColumn="0" w:lastRowFirstColumn="0" w:lastRowLastColumn="0"/>
            <w:tcW w:w="3813" w:type="dxa"/>
            <w:tcBorders>
              <w:left w:val="nil"/>
              <w:right w:val="nil"/>
            </w:tcBorders>
            <w:shd w:val="clear" w:color="auto" w:fill="auto"/>
          </w:tcPr>
          <w:p w14:paraId="51D3B96A"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B/C</w:t>
            </w:r>
          </w:p>
        </w:tc>
        <w:tc>
          <w:tcPr>
            <w:tcW w:w="2209" w:type="dxa"/>
            <w:tcBorders>
              <w:right w:val="nil"/>
            </w:tcBorders>
            <w:shd w:val="clear" w:color="auto" w:fill="auto"/>
          </w:tcPr>
          <w:p w14:paraId="427CF0F9"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4 (5.88)</w:t>
            </w:r>
          </w:p>
        </w:tc>
        <w:tc>
          <w:tcPr>
            <w:tcW w:w="2209" w:type="dxa"/>
            <w:tcBorders>
              <w:right w:val="nil"/>
            </w:tcBorders>
            <w:shd w:val="clear" w:color="auto" w:fill="auto"/>
          </w:tcPr>
          <w:p w14:paraId="4E3555A6"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3 (4.41)</w:t>
            </w:r>
          </w:p>
        </w:tc>
        <w:tc>
          <w:tcPr>
            <w:tcW w:w="1253" w:type="dxa"/>
            <w:tcBorders>
              <w:right w:val="nil"/>
            </w:tcBorders>
            <w:shd w:val="clear" w:color="auto" w:fill="auto"/>
          </w:tcPr>
          <w:p w14:paraId="6F23AF4C" w14:textId="77777777" w:rsidR="00B113BC" w:rsidRDefault="00B1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p>
        </w:tc>
      </w:tr>
      <w:tr w:rsidR="00B113BC" w14:paraId="6602FFC6" w14:textId="77777777" w:rsidTr="00B113BC">
        <w:trPr>
          <w:trHeight w:val="450"/>
        </w:trPr>
        <w:tc>
          <w:tcPr>
            <w:cnfStyle w:val="001000000000" w:firstRow="0" w:lastRow="0" w:firstColumn="1" w:lastColumn="0" w:oddVBand="0" w:evenVBand="0" w:oddHBand="0" w:evenHBand="0" w:firstRowFirstColumn="0" w:firstRowLastColumn="0" w:lastRowFirstColumn="0" w:lastRowLastColumn="0"/>
            <w:tcW w:w="3813" w:type="dxa"/>
            <w:shd w:val="clear" w:color="auto" w:fill="auto"/>
          </w:tcPr>
          <w:p w14:paraId="3BEBF297"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Cirrhosis</w:t>
            </w:r>
          </w:p>
        </w:tc>
        <w:tc>
          <w:tcPr>
            <w:tcW w:w="2209" w:type="dxa"/>
            <w:shd w:val="clear" w:color="auto" w:fill="auto"/>
          </w:tcPr>
          <w:p w14:paraId="65C651BC"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57 (83.82)</w:t>
            </w:r>
          </w:p>
        </w:tc>
        <w:tc>
          <w:tcPr>
            <w:tcW w:w="2209" w:type="dxa"/>
            <w:shd w:val="clear" w:color="auto" w:fill="auto"/>
          </w:tcPr>
          <w:p w14:paraId="043A930F"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57 (83.82)</w:t>
            </w:r>
          </w:p>
        </w:tc>
        <w:tc>
          <w:tcPr>
            <w:tcW w:w="1253" w:type="dxa"/>
            <w:shd w:val="clear" w:color="auto" w:fill="auto"/>
          </w:tcPr>
          <w:p w14:paraId="5628604B"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1.000</w:t>
            </w:r>
          </w:p>
        </w:tc>
      </w:tr>
      <w:tr w:rsidR="00B113BC" w14:paraId="50D92D85" w14:textId="77777777" w:rsidTr="00B113BC">
        <w:trPr>
          <w:trHeight w:val="437"/>
        </w:trPr>
        <w:tc>
          <w:tcPr>
            <w:cnfStyle w:val="001000000000" w:firstRow="0" w:lastRow="0" w:firstColumn="1" w:lastColumn="0" w:oddVBand="0" w:evenVBand="0" w:oddHBand="0" w:evenHBand="0" w:firstRowFirstColumn="0" w:firstRowLastColumn="0" w:lastRowFirstColumn="0" w:lastRowLastColumn="0"/>
            <w:tcW w:w="3813" w:type="dxa"/>
            <w:tcBorders>
              <w:left w:val="nil"/>
              <w:right w:val="nil"/>
            </w:tcBorders>
            <w:shd w:val="clear" w:color="auto" w:fill="auto"/>
          </w:tcPr>
          <w:p w14:paraId="1C1B49AA"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Extrahepatic features</w:t>
            </w:r>
          </w:p>
        </w:tc>
        <w:tc>
          <w:tcPr>
            <w:tcW w:w="2209" w:type="dxa"/>
            <w:tcBorders>
              <w:right w:val="nil"/>
            </w:tcBorders>
            <w:shd w:val="clear" w:color="auto" w:fill="auto"/>
          </w:tcPr>
          <w:p w14:paraId="5DE5C676" w14:textId="77777777" w:rsidR="00B113BC" w:rsidRDefault="00B1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p>
        </w:tc>
        <w:tc>
          <w:tcPr>
            <w:tcW w:w="2209" w:type="dxa"/>
            <w:tcBorders>
              <w:right w:val="nil"/>
            </w:tcBorders>
            <w:shd w:val="clear" w:color="auto" w:fill="auto"/>
          </w:tcPr>
          <w:p w14:paraId="52FB968D" w14:textId="77777777" w:rsidR="00B113BC" w:rsidRDefault="00B1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p>
        </w:tc>
        <w:tc>
          <w:tcPr>
            <w:tcW w:w="1253" w:type="dxa"/>
            <w:tcBorders>
              <w:right w:val="nil"/>
            </w:tcBorders>
            <w:shd w:val="clear" w:color="auto" w:fill="auto"/>
          </w:tcPr>
          <w:p w14:paraId="18CB7877" w14:textId="77777777" w:rsidR="00B113BC" w:rsidRDefault="00B1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p>
        </w:tc>
      </w:tr>
      <w:tr w:rsidR="00B113BC" w14:paraId="36B8D993" w14:textId="77777777" w:rsidTr="00B113BC">
        <w:trPr>
          <w:trHeight w:val="450"/>
        </w:trPr>
        <w:tc>
          <w:tcPr>
            <w:cnfStyle w:val="001000000000" w:firstRow="0" w:lastRow="0" w:firstColumn="1" w:lastColumn="0" w:oddVBand="0" w:evenVBand="0" w:oddHBand="0" w:evenHBand="0" w:firstRowFirstColumn="0" w:firstRowLastColumn="0" w:lastRowFirstColumn="0" w:lastRowLastColumn="0"/>
            <w:tcW w:w="3813" w:type="dxa"/>
            <w:shd w:val="clear" w:color="auto" w:fill="auto"/>
          </w:tcPr>
          <w:p w14:paraId="36B41B50"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Neurological manifestations</w:t>
            </w:r>
          </w:p>
        </w:tc>
        <w:tc>
          <w:tcPr>
            <w:tcW w:w="2209" w:type="dxa"/>
            <w:shd w:val="clear" w:color="auto" w:fill="auto"/>
          </w:tcPr>
          <w:p w14:paraId="3688974B"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50 (73.5)</w:t>
            </w:r>
          </w:p>
        </w:tc>
        <w:tc>
          <w:tcPr>
            <w:tcW w:w="2209" w:type="dxa"/>
            <w:shd w:val="clear" w:color="auto" w:fill="auto"/>
          </w:tcPr>
          <w:p w14:paraId="3120D9CF"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49 (72.1)</w:t>
            </w:r>
          </w:p>
        </w:tc>
        <w:tc>
          <w:tcPr>
            <w:tcW w:w="1253" w:type="dxa"/>
            <w:shd w:val="clear" w:color="auto" w:fill="auto"/>
          </w:tcPr>
          <w:p w14:paraId="5450B191"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1.000</w:t>
            </w:r>
          </w:p>
        </w:tc>
      </w:tr>
      <w:tr w:rsidR="00B113BC" w14:paraId="0BCB41E4" w14:textId="77777777" w:rsidTr="00B113BC">
        <w:trPr>
          <w:trHeight w:val="450"/>
        </w:trPr>
        <w:tc>
          <w:tcPr>
            <w:cnfStyle w:val="001000000000" w:firstRow="0" w:lastRow="0" w:firstColumn="1" w:lastColumn="0" w:oddVBand="0" w:evenVBand="0" w:oddHBand="0" w:evenHBand="0" w:firstRowFirstColumn="0" w:firstRowLastColumn="0" w:lastRowFirstColumn="0" w:lastRowLastColumn="0"/>
            <w:tcW w:w="3813" w:type="dxa"/>
            <w:tcBorders>
              <w:left w:val="nil"/>
              <w:right w:val="nil"/>
            </w:tcBorders>
            <w:shd w:val="clear" w:color="auto" w:fill="auto"/>
          </w:tcPr>
          <w:p w14:paraId="6C7FA455"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Psychiatric manifestations</w:t>
            </w:r>
          </w:p>
        </w:tc>
        <w:tc>
          <w:tcPr>
            <w:tcW w:w="2209" w:type="dxa"/>
            <w:tcBorders>
              <w:right w:val="nil"/>
            </w:tcBorders>
            <w:shd w:val="clear" w:color="auto" w:fill="auto"/>
          </w:tcPr>
          <w:p w14:paraId="77D0391A"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3 (4.4)</w:t>
            </w:r>
          </w:p>
        </w:tc>
        <w:tc>
          <w:tcPr>
            <w:tcW w:w="2209" w:type="dxa"/>
            <w:tcBorders>
              <w:right w:val="nil"/>
            </w:tcBorders>
            <w:shd w:val="clear" w:color="auto" w:fill="auto"/>
          </w:tcPr>
          <w:p w14:paraId="0A2B8DC3"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4 (5.9)</w:t>
            </w:r>
          </w:p>
        </w:tc>
        <w:tc>
          <w:tcPr>
            <w:tcW w:w="1253" w:type="dxa"/>
            <w:tcBorders>
              <w:right w:val="nil"/>
            </w:tcBorders>
            <w:shd w:val="clear" w:color="auto" w:fill="auto"/>
          </w:tcPr>
          <w:p w14:paraId="43EA3A4C"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1.000</w:t>
            </w:r>
          </w:p>
        </w:tc>
      </w:tr>
      <w:tr w:rsidR="00B113BC" w14:paraId="19C9A88E" w14:textId="77777777" w:rsidTr="00B113BC">
        <w:trPr>
          <w:trHeight w:val="450"/>
        </w:trPr>
        <w:tc>
          <w:tcPr>
            <w:cnfStyle w:val="001000000000" w:firstRow="0" w:lastRow="0" w:firstColumn="1" w:lastColumn="0" w:oddVBand="0" w:evenVBand="0" w:oddHBand="0" w:evenHBand="0" w:firstRowFirstColumn="0" w:firstRowLastColumn="0" w:lastRowFirstColumn="0" w:lastRowLastColumn="0"/>
            <w:tcW w:w="3813" w:type="dxa"/>
            <w:shd w:val="clear" w:color="auto" w:fill="auto"/>
          </w:tcPr>
          <w:p w14:paraId="0FAB77DC"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Kayser-Fleischer ring</w:t>
            </w:r>
          </w:p>
        </w:tc>
        <w:tc>
          <w:tcPr>
            <w:tcW w:w="2209" w:type="dxa"/>
            <w:shd w:val="clear" w:color="auto" w:fill="auto"/>
          </w:tcPr>
          <w:p w14:paraId="4021F6F5"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32 (47.1)</w:t>
            </w:r>
          </w:p>
        </w:tc>
        <w:tc>
          <w:tcPr>
            <w:tcW w:w="2209" w:type="dxa"/>
            <w:shd w:val="clear" w:color="auto" w:fill="auto"/>
          </w:tcPr>
          <w:p w14:paraId="720BEC25"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35 (51.5)</w:t>
            </w:r>
          </w:p>
        </w:tc>
        <w:tc>
          <w:tcPr>
            <w:tcW w:w="1253" w:type="dxa"/>
            <w:shd w:val="clear" w:color="auto" w:fill="auto"/>
          </w:tcPr>
          <w:p w14:paraId="4E6F2ACC"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0.375</w:t>
            </w:r>
          </w:p>
        </w:tc>
      </w:tr>
      <w:tr w:rsidR="00B113BC" w14:paraId="6A37A1B4" w14:textId="77777777" w:rsidTr="00B113BC">
        <w:trPr>
          <w:trHeight w:val="437"/>
        </w:trPr>
        <w:tc>
          <w:tcPr>
            <w:cnfStyle w:val="001000000000" w:firstRow="0" w:lastRow="0" w:firstColumn="1" w:lastColumn="0" w:oddVBand="0" w:evenVBand="0" w:oddHBand="0" w:evenHBand="0" w:firstRowFirstColumn="0" w:firstRowLastColumn="0" w:lastRowFirstColumn="0" w:lastRowLastColumn="0"/>
            <w:tcW w:w="3813" w:type="dxa"/>
            <w:tcBorders>
              <w:left w:val="nil"/>
              <w:right w:val="nil"/>
            </w:tcBorders>
            <w:shd w:val="clear" w:color="auto" w:fill="auto"/>
          </w:tcPr>
          <w:p w14:paraId="68541E42"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Splenomegaly/splenectomy</w:t>
            </w:r>
          </w:p>
        </w:tc>
        <w:tc>
          <w:tcPr>
            <w:tcW w:w="2209" w:type="dxa"/>
            <w:tcBorders>
              <w:right w:val="nil"/>
            </w:tcBorders>
            <w:shd w:val="clear" w:color="auto" w:fill="auto"/>
          </w:tcPr>
          <w:p w14:paraId="7E19BF89"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45 (66.2)</w:t>
            </w:r>
          </w:p>
        </w:tc>
        <w:tc>
          <w:tcPr>
            <w:tcW w:w="2209" w:type="dxa"/>
            <w:tcBorders>
              <w:right w:val="nil"/>
            </w:tcBorders>
            <w:shd w:val="clear" w:color="auto" w:fill="auto"/>
          </w:tcPr>
          <w:p w14:paraId="3CD5EABF"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47 (69.1)</w:t>
            </w:r>
          </w:p>
        </w:tc>
        <w:tc>
          <w:tcPr>
            <w:tcW w:w="1253" w:type="dxa"/>
            <w:tcBorders>
              <w:right w:val="nil"/>
            </w:tcBorders>
            <w:shd w:val="clear" w:color="auto" w:fill="auto"/>
          </w:tcPr>
          <w:p w14:paraId="759B8484"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0.688</w:t>
            </w:r>
          </w:p>
        </w:tc>
      </w:tr>
      <w:tr w:rsidR="00B113BC" w14:paraId="4121A674" w14:textId="77777777" w:rsidTr="00B113BC">
        <w:trPr>
          <w:trHeight w:val="450"/>
        </w:trPr>
        <w:tc>
          <w:tcPr>
            <w:cnfStyle w:val="001000000000" w:firstRow="0" w:lastRow="0" w:firstColumn="1" w:lastColumn="0" w:oddVBand="0" w:evenVBand="0" w:oddHBand="0" w:evenHBand="0" w:firstRowFirstColumn="0" w:firstRowLastColumn="0" w:lastRowFirstColumn="0" w:lastRowLastColumn="0"/>
            <w:tcW w:w="3813" w:type="dxa"/>
            <w:shd w:val="clear" w:color="auto" w:fill="auto"/>
          </w:tcPr>
          <w:p w14:paraId="73436A01"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Complications</w:t>
            </w:r>
          </w:p>
        </w:tc>
        <w:tc>
          <w:tcPr>
            <w:tcW w:w="2209" w:type="dxa"/>
            <w:shd w:val="clear" w:color="auto" w:fill="auto"/>
          </w:tcPr>
          <w:p w14:paraId="7C468C9D" w14:textId="77777777" w:rsidR="00B113BC" w:rsidRDefault="00B1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p>
        </w:tc>
        <w:tc>
          <w:tcPr>
            <w:tcW w:w="2209" w:type="dxa"/>
            <w:shd w:val="clear" w:color="auto" w:fill="auto"/>
          </w:tcPr>
          <w:p w14:paraId="398D64BD" w14:textId="77777777" w:rsidR="00B113BC" w:rsidRDefault="00B1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p>
        </w:tc>
        <w:tc>
          <w:tcPr>
            <w:tcW w:w="1253" w:type="dxa"/>
            <w:shd w:val="clear" w:color="auto" w:fill="auto"/>
          </w:tcPr>
          <w:p w14:paraId="005E6A53" w14:textId="77777777" w:rsidR="00B113BC" w:rsidRDefault="00B1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p>
        </w:tc>
      </w:tr>
      <w:tr w:rsidR="00B113BC" w14:paraId="69338DF5" w14:textId="77777777" w:rsidTr="00B113BC">
        <w:trPr>
          <w:trHeight w:val="450"/>
        </w:trPr>
        <w:tc>
          <w:tcPr>
            <w:cnfStyle w:val="001000000000" w:firstRow="0" w:lastRow="0" w:firstColumn="1" w:lastColumn="0" w:oddVBand="0" w:evenVBand="0" w:oddHBand="0" w:evenHBand="0" w:firstRowFirstColumn="0" w:firstRowLastColumn="0" w:lastRowFirstColumn="0" w:lastRowLastColumn="0"/>
            <w:tcW w:w="3813" w:type="dxa"/>
            <w:tcBorders>
              <w:left w:val="nil"/>
              <w:right w:val="nil"/>
            </w:tcBorders>
            <w:shd w:val="clear" w:color="auto" w:fill="auto"/>
          </w:tcPr>
          <w:p w14:paraId="42FB81BD"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Any complication</w:t>
            </w:r>
          </w:p>
        </w:tc>
        <w:tc>
          <w:tcPr>
            <w:tcW w:w="2209" w:type="dxa"/>
            <w:tcBorders>
              <w:right w:val="nil"/>
            </w:tcBorders>
            <w:shd w:val="clear" w:color="auto" w:fill="auto"/>
          </w:tcPr>
          <w:p w14:paraId="45AD1078"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8 (11.76)</w:t>
            </w:r>
          </w:p>
        </w:tc>
        <w:tc>
          <w:tcPr>
            <w:tcW w:w="2209" w:type="dxa"/>
            <w:tcBorders>
              <w:right w:val="nil"/>
            </w:tcBorders>
            <w:shd w:val="clear" w:color="auto" w:fill="auto"/>
          </w:tcPr>
          <w:p w14:paraId="1B5D9926"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16 (23.53)</w:t>
            </w:r>
          </w:p>
        </w:tc>
        <w:tc>
          <w:tcPr>
            <w:tcW w:w="1253" w:type="dxa"/>
            <w:tcBorders>
              <w:right w:val="nil"/>
            </w:tcBorders>
            <w:shd w:val="clear" w:color="auto" w:fill="auto"/>
          </w:tcPr>
          <w:p w14:paraId="70C8FA34"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0.021</w:t>
            </w:r>
          </w:p>
        </w:tc>
      </w:tr>
      <w:tr w:rsidR="00B113BC" w14:paraId="6DC2107D" w14:textId="77777777" w:rsidTr="00B113BC">
        <w:trPr>
          <w:trHeight w:val="450"/>
        </w:trPr>
        <w:tc>
          <w:tcPr>
            <w:cnfStyle w:val="001000000000" w:firstRow="0" w:lastRow="0" w:firstColumn="1" w:lastColumn="0" w:oddVBand="0" w:evenVBand="0" w:oddHBand="0" w:evenHBand="0" w:firstRowFirstColumn="0" w:firstRowLastColumn="0" w:lastRowFirstColumn="0" w:lastRowLastColumn="0"/>
            <w:tcW w:w="3813" w:type="dxa"/>
            <w:shd w:val="clear" w:color="auto" w:fill="auto"/>
          </w:tcPr>
          <w:p w14:paraId="79D9CD96"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Ascites</w:t>
            </w:r>
          </w:p>
        </w:tc>
        <w:tc>
          <w:tcPr>
            <w:tcW w:w="2209" w:type="dxa"/>
            <w:shd w:val="clear" w:color="auto" w:fill="auto"/>
          </w:tcPr>
          <w:p w14:paraId="33B0EEAD"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2 (1.5)</w:t>
            </w:r>
          </w:p>
        </w:tc>
        <w:tc>
          <w:tcPr>
            <w:tcW w:w="2209" w:type="dxa"/>
            <w:shd w:val="clear" w:color="auto" w:fill="auto"/>
          </w:tcPr>
          <w:p w14:paraId="25C12E01"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5 (7.4)</w:t>
            </w:r>
          </w:p>
        </w:tc>
        <w:tc>
          <w:tcPr>
            <w:tcW w:w="1253" w:type="dxa"/>
            <w:shd w:val="clear" w:color="auto" w:fill="auto"/>
          </w:tcPr>
          <w:p w14:paraId="7F0E96F4"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0.375</w:t>
            </w:r>
          </w:p>
        </w:tc>
      </w:tr>
      <w:tr w:rsidR="00B113BC" w14:paraId="2E713A7D" w14:textId="77777777" w:rsidTr="00B113BC">
        <w:trPr>
          <w:trHeight w:val="437"/>
        </w:trPr>
        <w:tc>
          <w:tcPr>
            <w:cnfStyle w:val="001000000000" w:firstRow="0" w:lastRow="0" w:firstColumn="1" w:lastColumn="0" w:oddVBand="0" w:evenVBand="0" w:oddHBand="0" w:evenHBand="0" w:firstRowFirstColumn="0" w:firstRowLastColumn="0" w:lastRowFirstColumn="0" w:lastRowLastColumn="0"/>
            <w:tcW w:w="3813" w:type="dxa"/>
            <w:tcBorders>
              <w:left w:val="nil"/>
              <w:right w:val="nil"/>
            </w:tcBorders>
            <w:shd w:val="clear" w:color="auto" w:fill="auto"/>
          </w:tcPr>
          <w:p w14:paraId="48FF835F"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Infections</w:t>
            </w:r>
          </w:p>
        </w:tc>
        <w:tc>
          <w:tcPr>
            <w:tcW w:w="2209" w:type="dxa"/>
            <w:tcBorders>
              <w:right w:val="nil"/>
            </w:tcBorders>
            <w:shd w:val="clear" w:color="auto" w:fill="auto"/>
          </w:tcPr>
          <w:p w14:paraId="0D5FA603"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1 (1.5)</w:t>
            </w:r>
          </w:p>
        </w:tc>
        <w:tc>
          <w:tcPr>
            <w:tcW w:w="2209" w:type="dxa"/>
            <w:tcBorders>
              <w:right w:val="nil"/>
            </w:tcBorders>
            <w:shd w:val="clear" w:color="auto" w:fill="auto"/>
          </w:tcPr>
          <w:p w14:paraId="2970740B"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8 (11.8)</w:t>
            </w:r>
          </w:p>
        </w:tc>
        <w:tc>
          <w:tcPr>
            <w:tcW w:w="1253" w:type="dxa"/>
            <w:tcBorders>
              <w:right w:val="nil"/>
            </w:tcBorders>
            <w:shd w:val="clear" w:color="auto" w:fill="auto"/>
          </w:tcPr>
          <w:p w14:paraId="5A209140"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0.016</w:t>
            </w:r>
          </w:p>
        </w:tc>
      </w:tr>
      <w:tr w:rsidR="00B113BC" w14:paraId="6837A1B5" w14:textId="77777777" w:rsidTr="00B113BC">
        <w:trPr>
          <w:trHeight w:val="450"/>
        </w:trPr>
        <w:tc>
          <w:tcPr>
            <w:cnfStyle w:val="001000000000" w:firstRow="0" w:lastRow="0" w:firstColumn="1" w:lastColumn="0" w:oddVBand="0" w:evenVBand="0" w:oddHBand="0" w:evenHBand="0" w:firstRowFirstColumn="0" w:firstRowLastColumn="0" w:lastRowFirstColumn="0" w:lastRowLastColumn="0"/>
            <w:tcW w:w="3813" w:type="dxa"/>
            <w:shd w:val="clear" w:color="auto" w:fill="auto"/>
          </w:tcPr>
          <w:p w14:paraId="48DD9903"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Respiratory infection</w:t>
            </w:r>
          </w:p>
        </w:tc>
        <w:tc>
          <w:tcPr>
            <w:tcW w:w="2209" w:type="dxa"/>
            <w:shd w:val="clear" w:color="auto" w:fill="auto"/>
          </w:tcPr>
          <w:p w14:paraId="7843EC7E"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0 (0)</w:t>
            </w:r>
          </w:p>
        </w:tc>
        <w:tc>
          <w:tcPr>
            <w:tcW w:w="2209" w:type="dxa"/>
            <w:shd w:val="clear" w:color="auto" w:fill="auto"/>
          </w:tcPr>
          <w:p w14:paraId="60D486E5"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5 (7.4)</w:t>
            </w:r>
          </w:p>
        </w:tc>
        <w:tc>
          <w:tcPr>
            <w:tcW w:w="1253" w:type="dxa"/>
            <w:shd w:val="clear" w:color="auto" w:fill="auto"/>
          </w:tcPr>
          <w:p w14:paraId="5447F966"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0.063</w:t>
            </w:r>
          </w:p>
        </w:tc>
      </w:tr>
      <w:tr w:rsidR="00B113BC" w14:paraId="1B5CDCB3" w14:textId="77777777" w:rsidTr="00B113BC">
        <w:trPr>
          <w:trHeight w:val="450"/>
        </w:trPr>
        <w:tc>
          <w:tcPr>
            <w:cnfStyle w:val="001000000000" w:firstRow="0" w:lastRow="0" w:firstColumn="1" w:lastColumn="0" w:oddVBand="0" w:evenVBand="0" w:oddHBand="0" w:evenHBand="0" w:firstRowFirstColumn="0" w:firstRowLastColumn="0" w:lastRowFirstColumn="0" w:lastRowLastColumn="0"/>
            <w:tcW w:w="3813" w:type="dxa"/>
            <w:tcBorders>
              <w:left w:val="nil"/>
              <w:right w:val="nil"/>
            </w:tcBorders>
            <w:shd w:val="clear" w:color="auto" w:fill="auto"/>
          </w:tcPr>
          <w:p w14:paraId="39438CEC"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Urinary infection</w:t>
            </w:r>
          </w:p>
        </w:tc>
        <w:tc>
          <w:tcPr>
            <w:tcW w:w="2209" w:type="dxa"/>
            <w:tcBorders>
              <w:right w:val="nil"/>
            </w:tcBorders>
            <w:shd w:val="clear" w:color="auto" w:fill="auto"/>
          </w:tcPr>
          <w:p w14:paraId="6F821059"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0 (0)</w:t>
            </w:r>
          </w:p>
        </w:tc>
        <w:tc>
          <w:tcPr>
            <w:tcW w:w="2209" w:type="dxa"/>
            <w:tcBorders>
              <w:right w:val="nil"/>
            </w:tcBorders>
            <w:shd w:val="clear" w:color="auto" w:fill="auto"/>
          </w:tcPr>
          <w:p w14:paraId="6BBA25A2"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1 (1.5)</w:t>
            </w:r>
          </w:p>
        </w:tc>
        <w:tc>
          <w:tcPr>
            <w:tcW w:w="1253" w:type="dxa"/>
            <w:tcBorders>
              <w:right w:val="nil"/>
            </w:tcBorders>
            <w:shd w:val="clear" w:color="auto" w:fill="auto"/>
          </w:tcPr>
          <w:p w14:paraId="5F42A911"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1.000</w:t>
            </w:r>
          </w:p>
        </w:tc>
      </w:tr>
      <w:tr w:rsidR="00B113BC" w14:paraId="165885B5" w14:textId="77777777" w:rsidTr="00B113BC">
        <w:trPr>
          <w:trHeight w:val="450"/>
        </w:trPr>
        <w:tc>
          <w:tcPr>
            <w:cnfStyle w:val="001000000000" w:firstRow="0" w:lastRow="0" w:firstColumn="1" w:lastColumn="0" w:oddVBand="0" w:evenVBand="0" w:oddHBand="0" w:evenHBand="0" w:firstRowFirstColumn="0" w:firstRowLastColumn="0" w:lastRowFirstColumn="0" w:lastRowLastColumn="0"/>
            <w:tcW w:w="3813" w:type="dxa"/>
            <w:shd w:val="clear" w:color="auto" w:fill="auto"/>
          </w:tcPr>
          <w:p w14:paraId="548B8B9A"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Gastrointestinal infection</w:t>
            </w:r>
          </w:p>
        </w:tc>
        <w:tc>
          <w:tcPr>
            <w:tcW w:w="2209" w:type="dxa"/>
            <w:shd w:val="clear" w:color="auto" w:fill="auto"/>
          </w:tcPr>
          <w:p w14:paraId="08778537"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1 (1.5)</w:t>
            </w:r>
          </w:p>
        </w:tc>
        <w:tc>
          <w:tcPr>
            <w:tcW w:w="2209" w:type="dxa"/>
            <w:shd w:val="clear" w:color="auto" w:fill="auto"/>
          </w:tcPr>
          <w:p w14:paraId="6C3E4287"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2 (2.9)</w:t>
            </w:r>
          </w:p>
        </w:tc>
        <w:tc>
          <w:tcPr>
            <w:tcW w:w="1253" w:type="dxa"/>
            <w:shd w:val="clear" w:color="auto" w:fill="auto"/>
          </w:tcPr>
          <w:p w14:paraId="2B8B340C"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1.000</w:t>
            </w:r>
          </w:p>
        </w:tc>
      </w:tr>
      <w:tr w:rsidR="00B113BC" w14:paraId="7C83C2D5" w14:textId="77777777" w:rsidTr="00B113BC">
        <w:trPr>
          <w:trHeight w:val="437"/>
        </w:trPr>
        <w:tc>
          <w:tcPr>
            <w:cnfStyle w:val="001000000000" w:firstRow="0" w:lastRow="0" w:firstColumn="1" w:lastColumn="0" w:oddVBand="0" w:evenVBand="0" w:oddHBand="0" w:evenHBand="0" w:firstRowFirstColumn="0" w:firstRowLastColumn="0" w:lastRowFirstColumn="0" w:lastRowLastColumn="0"/>
            <w:tcW w:w="3813" w:type="dxa"/>
            <w:tcBorders>
              <w:left w:val="nil"/>
              <w:right w:val="nil"/>
            </w:tcBorders>
            <w:shd w:val="clear" w:color="auto" w:fill="auto"/>
          </w:tcPr>
          <w:p w14:paraId="5D0E1FF5"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SBP</w:t>
            </w:r>
          </w:p>
        </w:tc>
        <w:tc>
          <w:tcPr>
            <w:tcW w:w="2209" w:type="dxa"/>
            <w:tcBorders>
              <w:right w:val="nil"/>
            </w:tcBorders>
            <w:shd w:val="clear" w:color="auto" w:fill="auto"/>
          </w:tcPr>
          <w:p w14:paraId="01ECE47B"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0 (0)</w:t>
            </w:r>
          </w:p>
        </w:tc>
        <w:tc>
          <w:tcPr>
            <w:tcW w:w="2209" w:type="dxa"/>
            <w:tcBorders>
              <w:right w:val="nil"/>
            </w:tcBorders>
            <w:shd w:val="clear" w:color="auto" w:fill="auto"/>
          </w:tcPr>
          <w:p w14:paraId="7805FA6D"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1 (1.5)</w:t>
            </w:r>
          </w:p>
        </w:tc>
        <w:tc>
          <w:tcPr>
            <w:tcW w:w="1253" w:type="dxa"/>
            <w:tcBorders>
              <w:right w:val="nil"/>
            </w:tcBorders>
            <w:shd w:val="clear" w:color="auto" w:fill="auto"/>
          </w:tcPr>
          <w:p w14:paraId="18652D33"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1.000</w:t>
            </w:r>
          </w:p>
        </w:tc>
      </w:tr>
      <w:tr w:rsidR="00B113BC" w14:paraId="38098268" w14:textId="77777777" w:rsidTr="00B113BC">
        <w:trPr>
          <w:trHeight w:val="450"/>
        </w:trPr>
        <w:tc>
          <w:tcPr>
            <w:cnfStyle w:val="001000000000" w:firstRow="0" w:lastRow="0" w:firstColumn="1" w:lastColumn="0" w:oddVBand="0" w:evenVBand="0" w:oddHBand="0" w:evenHBand="0" w:firstRowFirstColumn="0" w:firstRowLastColumn="0" w:lastRowFirstColumn="0" w:lastRowLastColumn="0"/>
            <w:tcW w:w="3813" w:type="dxa"/>
            <w:shd w:val="clear" w:color="auto" w:fill="auto"/>
          </w:tcPr>
          <w:p w14:paraId="65D66641"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PVT</w:t>
            </w:r>
          </w:p>
        </w:tc>
        <w:tc>
          <w:tcPr>
            <w:tcW w:w="2209" w:type="dxa"/>
            <w:shd w:val="clear" w:color="auto" w:fill="auto"/>
          </w:tcPr>
          <w:p w14:paraId="6D1DB5A2"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0 (0)</w:t>
            </w:r>
          </w:p>
        </w:tc>
        <w:tc>
          <w:tcPr>
            <w:tcW w:w="2209" w:type="dxa"/>
            <w:shd w:val="clear" w:color="auto" w:fill="auto"/>
          </w:tcPr>
          <w:p w14:paraId="27CE08E1"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0 (0)</w:t>
            </w:r>
          </w:p>
        </w:tc>
        <w:tc>
          <w:tcPr>
            <w:tcW w:w="1253" w:type="dxa"/>
            <w:shd w:val="clear" w:color="auto" w:fill="auto"/>
          </w:tcPr>
          <w:p w14:paraId="2637717D"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w:t>
            </w:r>
          </w:p>
        </w:tc>
      </w:tr>
      <w:tr w:rsidR="00B113BC" w14:paraId="27291705" w14:textId="77777777" w:rsidTr="00B113BC">
        <w:trPr>
          <w:trHeight w:val="450"/>
        </w:trPr>
        <w:tc>
          <w:tcPr>
            <w:cnfStyle w:val="001000000000" w:firstRow="0" w:lastRow="0" w:firstColumn="1" w:lastColumn="0" w:oddVBand="0" w:evenVBand="0" w:oddHBand="0" w:evenHBand="0" w:firstRowFirstColumn="0" w:firstRowLastColumn="0" w:lastRowFirstColumn="0" w:lastRowLastColumn="0"/>
            <w:tcW w:w="3813" w:type="dxa"/>
            <w:tcBorders>
              <w:left w:val="nil"/>
              <w:right w:val="nil"/>
            </w:tcBorders>
            <w:shd w:val="clear" w:color="auto" w:fill="auto"/>
          </w:tcPr>
          <w:p w14:paraId="5FDC99E2"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Gastroesophageal varices</w:t>
            </w:r>
          </w:p>
        </w:tc>
        <w:tc>
          <w:tcPr>
            <w:tcW w:w="2209" w:type="dxa"/>
            <w:tcBorders>
              <w:right w:val="nil"/>
            </w:tcBorders>
            <w:shd w:val="clear" w:color="auto" w:fill="auto"/>
          </w:tcPr>
          <w:p w14:paraId="2D086598"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5 (7.4)</w:t>
            </w:r>
          </w:p>
        </w:tc>
        <w:tc>
          <w:tcPr>
            <w:tcW w:w="2209" w:type="dxa"/>
            <w:tcBorders>
              <w:right w:val="nil"/>
            </w:tcBorders>
            <w:shd w:val="clear" w:color="auto" w:fill="auto"/>
          </w:tcPr>
          <w:p w14:paraId="362E40AD"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7 (10.3)</w:t>
            </w:r>
          </w:p>
        </w:tc>
        <w:tc>
          <w:tcPr>
            <w:tcW w:w="1253" w:type="dxa"/>
            <w:tcBorders>
              <w:right w:val="nil"/>
            </w:tcBorders>
            <w:shd w:val="clear" w:color="auto" w:fill="auto"/>
          </w:tcPr>
          <w:p w14:paraId="2773F920"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0.500</w:t>
            </w:r>
          </w:p>
        </w:tc>
      </w:tr>
      <w:tr w:rsidR="00B113BC" w14:paraId="6DA13D5E" w14:textId="77777777" w:rsidTr="00B113BC">
        <w:trPr>
          <w:trHeight w:val="437"/>
        </w:trPr>
        <w:tc>
          <w:tcPr>
            <w:cnfStyle w:val="001000000000" w:firstRow="0" w:lastRow="0" w:firstColumn="1" w:lastColumn="0" w:oddVBand="0" w:evenVBand="0" w:oddHBand="0" w:evenHBand="0" w:firstRowFirstColumn="0" w:firstRowLastColumn="0" w:lastRowFirstColumn="0" w:lastRowLastColumn="0"/>
            <w:tcW w:w="3813" w:type="dxa"/>
            <w:shd w:val="clear" w:color="auto" w:fill="auto"/>
          </w:tcPr>
          <w:p w14:paraId="6E64DED9"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Variceal bleeding</w:t>
            </w:r>
          </w:p>
        </w:tc>
        <w:tc>
          <w:tcPr>
            <w:tcW w:w="2209" w:type="dxa"/>
            <w:shd w:val="clear" w:color="auto" w:fill="auto"/>
          </w:tcPr>
          <w:p w14:paraId="2EC62857"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0 (0)</w:t>
            </w:r>
          </w:p>
        </w:tc>
        <w:tc>
          <w:tcPr>
            <w:tcW w:w="2209" w:type="dxa"/>
            <w:shd w:val="clear" w:color="auto" w:fill="auto"/>
          </w:tcPr>
          <w:p w14:paraId="03064EAD"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1 (1.5)</w:t>
            </w:r>
          </w:p>
        </w:tc>
        <w:tc>
          <w:tcPr>
            <w:tcW w:w="1253" w:type="dxa"/>
            <w:shd w:val="clear" w:color="auto" w:fill="auto"/>
          </w:tcPr>
          <w:p w14:paraId="2404F7C0"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1.000</w:t>
            </w:r>
          </w:p>
        </w:tc>
      </w:tr>
      <w:tr w:rsidR="00B113BC" w14:paraId="6E4A5FD8" w14:textId="77777777" w:rsidTr="00B113BC">
        <w:trPr>
          <w:trHeight w:val="450"/>
        </w:trPr>
        <w:tc>
          <w:tcPr>
            <w:cnfStyle w:val="001000000000" w:firstRow="0" w:lastRow="0" w:firstColumn="1" w:lastColumn="0" w:oddVBand="0" w:evenVBand="0" w:oddHBand="0" w:evenHBand="0" w:firstRowFirstColumn="0" w:firstRowLastColumn="0" w:lastRowFirstColumn="0" w:lastRowLastColumn="0"/>
            <w:tcW w:w="3813" w:type="dxa"/>
            <w:tcBorders>
              <w:left w:val="nil"/>
              <w:right w:val="nil"/>
            </w:tcBorders>
            <w:shd w:val="clear" w:color="auto" w:fill="auto"/>
          </w:tcPr>
          <w:p w14:paraId="5DBC2DF7"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Hepatic encephalopathy</w:t>
            </w:r>
          </w:p>
        </w:tc>
        <w:tc>
          <w:tcPr>
            <w:tcW w:w="2209" w:type="dxa"/>
            <w:tcBorders>
              <w:right w:val="nil"/>
            </w:tcBorders>
            <w:shd w:val="clear" w:color="auto" w:fill="auto"/>
          </w:tcPr>
          <w:p w14:paraId="173C4F73"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0 (0)</w:t>
            </w:r>
          </w:p>
        </w:tc>
        <w:tc>
          <w:tcPr>
            <w:tcW w:w="2209" w:type="dxa"/>
            <w:tcBorders>
              <w:right w:val="nil"/>
            </w:tcBorders>
            <w:shd w:val="clear" w:color="auto" w:fill="auto"/>
          </w:tcPr>
          <w:p w14:paraId="7FC0A5C5"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0 (0)</w:t>
            </w:r>
          </w:p>
        </w:tc>
        <w:tc>
          <w:tcPr>
            <w:tcW w:w="1253" w:type="dxa"/>
            <w:tcBorders>
              <w:right w:val="nil"/>
            </w:tcBorders>
            <w:shd w:val="clear" w:color="auto" w:fill="auto"/>
          </w:tcPr>
          <w:p w14:paraId="1CA48336"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w:t>
            </w:r>
          </w:p>
        </w:tc>
      </w:tr>
      <w:tr w:rsidR="00B113BC" w14:paraId="60968E07" w14:textId="77777777" w:rsidTr="00B113BC">
        <w:trPr>
          <w:trHeight w:val="450"/>
        </w:trPr>
        <w:tc>
          <w:tcPr>
            <w:cnfStyle w:val="001000000000" w:firstRow="0" w:lastRow="0" w:firstColumn="1" w:lastColumn="0" w:oddVBand="0" w:evenVBand="0" w:oddHBand="0" w:evenHBand="0" w:firstRowFirstColumn="0" w:firstRowLastColumn="0" w:lastRowFirstColumn="0" w:lastRowLastColumn="0"/>
            <w:tcW w:w="3813" w:type="dxa"/>
            <w:shd w:val="clear" w:color="auto" w:fill="auto"/>
          </w:tcPr>
          <w:p w14:paraId="364BC845"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Renal impairment</w:t>
            </w:r>
          </w:p>
        </w:tc>
        <w:tc>
          <w:tcPr>
            <w:tcW w:w="2209" w:type="dxa"/>
            <w:shd w:val="clear" w:color="auto" w:fill="auto"/>
          </w:tcPr>
          <w:p w14:paraId="144EE100"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0 (0)</w:t>
            </w:r>
          </w:p>
        </w:tc>
        <w:tc>
          <w:tcPr>
            <w:tcW w:w="2209" w:type="dxa"/>
            <w:shd w:val="clear" w:color="auto" w:fill="auto"/>
          </w:tcPr>
          <w:p w14:paraId="311A7FFD"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0 (0)</w:t>
            </w:r>
          </w:p>
        </w:tc>
        <w:tc>
          <w:tcPr>
            <w:tcW w:w="1253" w:type="dxa"/>
            <w:shd w:val="clear" w:color="auto" w:fill="auto"/>
          </w:tcPr>
          <w:p w14:paraId="60ACCF38"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w:t>
            </w:r>
          </w:p>
        </w:tc>
      </w:tr>
      <w:tr w:rsidR="00B113BC" w14:paraId="0280C05F" w14:textId="77777777" w:rsidTr="00B113BC">
        <w:trPr>
          <w:trHeight w:val="450"/>
        </w:trPr>
        <w:tc>
          <w:tcPr>
            <w:cnfStyle w:val="001000000000" w:firstRow="0" w:lastRow="0" w:firstColumn="1" w:lastColumn="0" w:oddVBand="0" w:evenVBand="0" w:oddHBand="0" w:evenHBand="0" w:firstRowFirstColumn="0" w:firstRowLastColumn="0" w:lastRowFirstColumn="0" w:lastRowLastColumn="0"/>
            <w:tcW w:w="3813" w:type="dxa"/>
            <w:tcBorders>
              <w:left w:val="nil"/>
              <w:right w:val="nil"/>
            </w:tcBorders>
            <w:shd w:val="clear" w:color="auto" w:fill="auto"/>
          </w:tcPr>
          <w:p w14:paraId="0AD397F6"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Liver failure</w:t>
            </w:r>
          </w:p>
        </w:tc>
        <w:tc>
          <w:tcPr>
            <w:tcW w:w="2209" w:type="dxa"/>
            <w:tcBorders>
              <w:right w:val="nil"/>
            </w:tcBorders>
            <w:shd w:val="clear" w:color="auto" w:fill="auto"/>
          </w:tcPr>
          <w:p w14:paraId="72795DAE"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0 (0)</w:t>
            </w:r>
          </w:p>
        </w:tc>
        <w:tc>
          <w:tcPr>
            <w:tcW w:w="2209" w:type="dxa"/>
            <w:tcBorders>
              <w:right w:val="nil"/>
            </w:tcBorders>
            <w:shd w:val="clear" w:color="auto" w:fill="auto"/>
          </w:tcPr>
          <w:p w14:paraId="350BC796"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0 (0)</w:t>
            </w:r>
          </w:p>
        </w:tc>
        <w:tc>
          <w:tcPr>
            <w:tcW w:w="1253" w:type="dxa"/>
            <w:tcBorders>
              <w:right w:val="nil"/>
            </w:tcBorders>
            <w:shd w:val="clear" w:color="auto" w:fill="auto"/>
          </w:tcPr>
          <w:p w14:paraId="1FF48436"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w:t>
            </w:r>
          </w:p>
        </w:tc>
      </w:tr>
      <w:tr w:rsidR="00B113BC" w14:paraId="426DEC11" w14:textId="77777777" w:rsidTr="00B113BC">
        <w:trPr>
          <w:trHeight w:val="450"/>
        </w:trPr>
        <w:tc>
          <w:tcPr>
            <w:cnfStyle w:val="001000000000" w:firstRow="0" w:lastRow="0" w:firstColumn="1" w:lastColumn="0" w:oddVBand="0" w:evenVBand="0" w:oddHBand="0" w:evenHBand="0" w:firstRowFirstColumn="0" w:firstRowLastColumn="0" w:lastRowFirstColumn="0" w:lastRowLastColumn="0"/>
            <w:tcW w:w="3813" w:type="dxa"/>
            <w:shd w:val="clear" w:color="auto" w:fill="auto"/>
          </w:tcPr>
          <w:p w14:paraId="2060AB32"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HCC</w:t>
            </w:r>
          </w:p>
        </w:tc>
        <w:tc>
          <w:tcPr>
            <w:tcW w:w="2209" w:type="dxa"/>
            <w:shd w:val="clear" w:color="auto" w:fill="auto"/>
          </w:tcPr>
          <w:p w14:paraId="379456DD"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0 (0)</w:t>
            </w:r>
          </w:p>
        </w:tc>
        <w:tc>
          <w:tcPr>
            <w:tcW w:w="2209" w:type="dxa"/>
            <w:shd w:val="clear" w:color="auto" w:fill="auto"/>
          </w:tcPr>
          <w:p w14:paraId="50D52185"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0 (0)</w:t>
            </w:r>
          </w:p>
        </w:tc>
        <w:tc>
          <w:tcPr>
            <w:tcW w:w="1253" w:type="dxa"/>
            <w:shd w:val="clear" w:color="auto" w:fill="auto"/>
          </w:tcPr>
          <w:p w14:paraId="1B73BEDD"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w:t>
            </w:r>
          </w:p>
        </w:tc>
      </w:tr>
    </w:tbl>
    <w:p w14:paraId="0E062278" w14:textId="77777777" w:rsidR="00B113BC" w:rsidRDefault="00C207E9">
      <w:pPr>
        <w:spacing w:line="360" w:lineRule="auto"/>
        <w:jc w:val="both"/>
        <w:rPr>
          <w:rFonts w:ascii="Book Antiqua" w:hAnsi="Book Antiqua"/>
        </w:rPr>
      </w:pPr>
      <w:r>
        <w:rPr>
          <w:rFonts w:ascii="Book Antiqua" w:eastAsia="Book Antiqua" w:hAnsi="Book Antiqua" w:cs="Book Antiqua"/>
        </w:rPr>
        <w:t xml:space="preserve">Data are presented as medians (interquartile ranges) or </w:t>
      </w:r>
      <w:r>
        <w:rPr>
          <w:rFonts w:ascii="Book Antiqua" w:eastAsia="Book Antiqua" w:hAnsi="Book Antiqua" w:cs="Book Antiqua"/>
          <w:i/>
        </w:rPr>
        <w:t>n</w:t>
      </w:r>
      <w:r>
        <w:rPr>
          <w:rFonts w:ascii="Book Antiqua" w:eastAsia="Book Antiqua" w:hAnsi="Book Antiqua" w:cs="Book Antiqua"/>
        </w:rPr>
        <w:t xml:space="preserve"> (%). ALT</w:t>
      </w:r>
      <w:r>
        <w:rPr>
          <w:rFonts w:ascii="Book Antiqua" w:eastAsia="宋体" w:hAnsi="Book Antiqua" w:cs="Book Antiqua"/>
        </w:rPr>
        <w:t>:</w:t>
      </w:r>
      <w:r>
        <w:rPr>
          <w:rFonts w:ascii="Book Antiqua" w:eastAsia="Book Antiqua" w:hAnsi="Book Antiqua" w:cs="Book Antiqua"/>
        </w:rPr>
        <w:t xml:space="preserve"> </w:t>
      </w:r>
      <w:r>
        <w:rPr>
          <w:rFonts w:ascii="Book Antiqua" w:eastAsia="宋体" w:hAnsi="Book Antiqua" w:cs="Book Antiqua"/>
        </w:rPr>
        <w:t>A</w:t>
      </w:r>
      <w:r>
        <w:rPr>
          <w:rFonts w:ascii="Book Antiqua" w:eastAsia="Book Antiqua" w:hAnsi="Book Antiqua" w:cs="Book Antiqua"/>
        </w:rPr>
        <w:t>lanine transaminase; AST</w:t>
      </w:r>
      <w:r>
        <w:rPr>
          <w:rFonts w:ascii="Book Antiqua" w:eastAsia="宋体" w:hAnsi="Book Antiqua" w:cs="Book Antiqua"/>
        </w:rPr>
        <w:t>:</w:t>
      </w:r>
      <w:r>
        <w:rPr>
          <w:rFonts w:ascii="Book Antiqua" w:eastAsia="Book Antiqua" w:hAnsi="Book Antiqua" w:cs="Book Antiqua"/>
        </w:rPr>
        <w:t xml:space="preserve"> </w:t>
      </w:r>
      <w:r>
        <w:rPr>
          <w:rFonts w:ascii="Book Antiqua" w:eastAsia="宋体" w:hAnsi="Book Antiqua" w:cs="Book Antiqua"/>
        </w:rPr>
        <w:t>A</w:t>
      </w:r>
      <w:r>
        <w:rPr>
          <w:rFonts w:ascii="Book Antiqua" w:eastAsia="Book Antiqua" w:hAnsi="Book Antiqua" w:cs="Book Antiqua"/>
        </w:rPr>
        <w:t>spartate transaminase; HCC</w:t>
      </w:r>
      <w:r>
        <w:rPr>
          <w:rFonts w:ascii="Book Antiqua" w:eastAsia="宋体" w:hAnsi="Book Antiqua" w:cs="Book Antiqua"/>
        </w:rPr>
        <w:t>:</w:t>
      </w:r>
      <w:r>
        <w:rPr>
          <w:rFonts w:ascii="Book Antiqua" w:eastAsia="Book Antiqua" w:hAnsi="Book Antiqua" w:cs="Book Antiqua"/>
        </w:rPr>
        <w:t xml:space="preserve"> </w:t>
      </w:r>
      <w:r>
        <w:rPr>
          <w:rFonts w:ascii="Book Antiqua" w:eastAsia="宋体" w:hAnsi="Book Antiqua" w:cs="Book Antiqua"/>
        </w:rPr>
        <w:t>H</w:t>
      </w:r>
      <w:r>
        <w:rPr>
          <w:rFonts w:ascii="Book Antiqua" w:eastAsia="Book Antiqua" w:hAnsi="Book Antiqua" w:cs="Book Antiqua"/>
        </w:rPr>
        <w:t>epatocellular carcinoma; INR</w:t>
      </w:r>
      <w:r>
        <w:rPr>
          <w:rFonts w:ascii="Book Antiqua" w:eastAsia="宋体" w:hAnsi="Book Antiqua" w:cs="Book Antiqua"/>
        </w:rPr>
        <w:t>:</w:t>
      </w:r>
      <w:r>
        <w:rPr>
          <w:rFonts w:ascii="Book Antiqua" w:eastAsia="Book Antiqua" w:hAnsi="Book Antiqua" w:cs="Book Antiqua"/>
        </w:rPr>
        <w:t xml:space="preserve"> </w:t>
      </w:r>
      <w:r>
        <w:rPr>
          <w:rFonts w:ascii="Book Antiqua" w:eastAsia="宋体" w:hAnsi="Book Antiqua" w:cs="Book Antiqua"/>
        </w:rPr>
        <w:t>I</w:t>
      </w:r>
      <w:r>
        <w:rPr>
          <w:rFonts w:ascii="Book Antiqua" w:eastAsia="Book Antiqua" w:hAnsi="Book Antiqua" w:cs="Book Antiqua"/>
        </w:rPr>
        <w:t>nternational normalized ratio; PT</w:t>
      </w:r>
      <w:r>
        <w:rPr>
          <w:rFonts w:ascii="Book Antiqua" w:eastAsia="宋体" w:hAnsi="Book Antiqua" w:cs="Book Antiqua"/>
        </w:rPr>
        <w:t>:</w:t>
      </w:r>
      <w:r>
        <w:rPr>
          <w:rFonts w:ascii="Book Antiqua" w:eastAsia="Book Antiqua" w:hAnsi="Book Antiqua" w:cs="Book Antiqua"/>
        </w:rPr>
        <w:t xml:space="preserve"> </w:t>
      </w:r>
      <w:r>
        <w:rPr>
          <w:rFonts w:ascii="Book Antiqua" w:eastAsia="宋体" w:hAnsi="Book Antiqua" w:cs="Book Antiqua"/>
        </w:rPr>
        <w:t>P</w:t>
      </w:r>
      <w:r>
        <w:rPr>
          <w:rFonts w:ascii="Book Antiqua" w:eastAsia="Book Antiqua" w:hAnsi="Book Antiqua" w:cs="Book Antiqua"/>
        </w:rPr>
        <w:t>rothrombin time; PVT</w:t>
      </w:r>
      <w:r>
        <w:rPr>
          <w:rFonts w:ascii="Book Antiqua" w:eastAsia="宋体" w:hAnsi="Book Antiqua" w:cs="Book Antiqua"/>
        </w:rPr>
        <w:t>:</w:t>
      </w:r>
      <w:r>
        <w:rPr>
          <w:rFonts w:ascii="Book Antiqua" w:eastAsia="Book Antiqua" w:hAnsi="Book Antiqua" w:cs="Book Antiqua"/>
        </w:rPr>
        <w:t xml:space="preserve"> </w:t>
      </w:r>
      <w:r>
        <w:rPr>
          <w:rFonts w:ascii="Book Antiqua" w:eastAsia="宋体" w:hAnsi="Book Antiqua" w:cs="Book Antiqua"/>
        </w:rPr>
        <w:t>P</w:t>
      </w:r>
      <w:r>
        <w:rPr>
          <w:rFonts w:ascii="Book Antiqua" w:eastAsia="Book Antiqua" w:hAnsi="Book Antiqua" w:cs="Book Antiqua"/>
        </w:rPr>
        <w:t>ortal vein thrombosis; SBP</w:t>
      </w:r>
      <w:r>
        <w:rPr>
          <w:rFonts w:ascii="Book Antiqua" w:eastAsia="宋体" w:hAnsi="Book Antiqua" w:cs="Book Antiqua"/>
        </w:rPr>
        <w:t>:</w:t>
      </w:r>
      <w:r>
        <w:rPr>
          <w:rFonts w:ascii="Book Antiqua" w:eastAsia="Book Antiqua" w:hAnsi="Book Antiqua" w:cs="Book Antiqua"/>
        </w:rPr>
        <w:t xml:space="preserve"> </w:t>
      </w:r>
      <w:r>
        <w:rPr>
          <w:rFonts w:ascii="Book Antiqua" w:eastAsia="宋体" w:hAnsi="Book Antiqua" w:cs="Book Antiqua"/>
        </w:rPr>
        <w:t>S</w:t>
      </w:r>
      <w:r>
        <w:rPr>
          <w:rFonts w:ascii="Book Antiqua" w:eastAsia="Book Antiqua" w:hAnsi="Book Antiqua" w:cs="Book Antiqua"/>
        </w:rPr>
        <w:t>pontaneous bacterial peritonitis; COVID-19</w:t>
      </w:r>
      <w:r>
        <w:rPr>
          <w:rFonts w:ascii="Book Antiqua" w:eastAsia="宋体" w:hAnsi="Book Antiqua" w:cs="Book Antiqua"/>
        </w:rPr>
        <w:t>: Coronavirus</w:t>
      </w:r>
      <w:r>
        <w:rPr>
          <w:rFonts w:ascii="Book Antiqua" w:eastAsia="Book Antiqua" w:hAnsi="Book Antiqua" w:cs="Book Antiqua"/>
        </w:rPr>
        <w:t xml:space="preserve"> disease 2019</w:t>
      </w:r>
      <w:r>
        <w:rPr>
          <w:rFonts w:ascii="Book Antiqua" w:hAnsi="Book Antiqua" w:cs="Book Antiqua"/>
        </w:rPr>
        <w:t>.</w:t>
      </w:r>
    </w:p>
    <w:p w14:paraId="1C65045A" w14:textId="76E5A876" w:rsidR="00BC1590" w:rsidRDefault="00BC1590">
      <w:pPr>
        <w:rPr>
          <w:rFonts w:ascii="Book Antiqua" w:hAnsi="Book Antiqua"/>
          <w:lang w:eastAsia="zh-CN"/>
        </w:rPr>
      </w:pPr>
      <w:r>
        <w:rPr>
          <w:rFonts w:ascii="Book Antiqua" w:hAnsi="Book Antiqua"/>
          <w:lang w:eastAsia="zh-CN"/>
        </w:rPr>
        <w:br w:type="page"/>
      </w:r>
    </w:p>
    <w:p w14:paraId="3D0FED79" w14:textId="77777777" w:rsidR="00BC1590" w:rsidRDefault="00BC1590" w:rsidP="00BC1590">
      <w:pPr>
        <w:jc w:val="center"/>
        <w:rPr>
          <w:rFonts w:ascii="Book Antiqua" w:hAnsi="Book Antiqua"/>
          <w:lang w:eastAsia="zh-CN"/>
        </w:rPr>
      </w:pPr>
      <w:bookmarkStart w:id="11" w:name="OLE_LINK1"/>
      <w:bookmarkStart w:id="12" w:name="OLE_LINK2"/>
    </w:p>
    <w:p w14:paraId="27160D88" w14:textId="77777777" w:rsidR="00BC1590" w:rsidRDefault="00BC1590" w:rsidP="00BC1590">
      <w:pPr>
        <w:jc w:val="center"/>
        <w:rPr>
          <w:rFonts w:ascii="Book Antiqua" w:hAnsi="Book Antiqua"/>
          <w:lang w:eastAsia="zh-CN"/>
        </w:rPr>
      </w:pPr>
    </w:p>
    <w:p w14:paraId="1411D454" w14:textId="77777777" w:rsidR="00BC1590" w:rsidRDefault="00BC1590" w:rsidP="00BC1590">
      <w:pPr>
        <w:jc w:val="center"/>
        <w:rPr>
          <w:rFonts w:ascii="Book Antiqua" w:hAnsi="Book Antiqua"/>
          <w:lang w:eastAsia="zh-CN"/>
        </w:rPr>
      </w:pPr>
    </w:p>
    <w:p w14:paraId="0B0B5DA8" w14:textId="77777777" w:rsidR="00BC1590" w:rsidRDefault="00BC1590" w:rsidP="00BC1590">
      <w:pPr>
        <w:jc w:val="center"/>
        <w:rPr>
          <w:rFonts w:ascii="Book Antiqua" w:hAnsi="Book Antiqua"/>
          <w:lang w:eastAsia="zh-CN"/>
        </w:rPr>
      </w:pPr>
    </w:p>
    <w:p w14:paraId="4E149FEA" w14:textId="77777777" w:rsidR="00BC1590" w:rsidRDefault="00BC1590" w:rsidP="00BC1590">
      <w:pPr>
        <w:jc w:val="center"/>
        <w:rPr>
          <w:rFonts w:ascii="Book Antiqua" w:hAnsi="Book Antiqua"/>
          <w:lang w:eastAsia="zh-CN"/>
        </w:rPr>
      </w:pPr>
    </w:p>
    <w:p w14:paraId="0847C275" w14:textId="77777777" w:rsidR="00BC1590" w:rsidRDefault="00BC1590" w:rsidP="00BC1590">
      <w:pPr>
        <w:jc w:val="center"/>
        <w:rPr>
          <w:rFonts w:ascii="Book Antiqua" w:hAnsi="Book Antiqua"/>
          <w:lang w:eastAsia="zh-CN"/>
        </w:rPr>
      </w:pPr>
      <w:r>
        <w:rPr>
          <w:rFonts w:ascii="Book Antiqua" w:hAnsi="Book Antiqua"/>
          <w:noProof/>
          <w:lang w:eastAsia="zh-CN"/>
        </w:rPr>
        <w:drawing>
          <wp:inline distT="0" distB="0" distL="0" distR="0" wp14:anchorId="4B13B0BA" wp14:editId="4D6FA57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3FBABF0" w14:textId="77777777" w:rsidR="00BC1590" w:rsidRDefault="00BC1590" w:rsidP="00BC1590">
      <w:pPr>
        <w:jc w:val="center"/>
        <w:rPr>
          <w:rFonts w:ascii="Book Antiqua" w:hAnsi="Book Antiqua"/>
          <w:lang w:eastAsia="zh-CN"/>
        </w:rPr>
      </w:pPr>
    </w:p>
    <w:p w14:paraId="29000130" w14:textId="77777777" w:rsidR="00BC1590" w:rsidRPr="00763D22" w:rsidRDefault="00BC1590" w:rsidP="00BC159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03A509A" w14:textId="77777777" w:rsidR="00BC1590" w:rsidRPr="00763D22" w:rsidRDefault="00BC1590" w:rsidP="00BC159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832E655" w14:textId="77777777" w:rsidR="00BC1590" w:rsidRPr="00763D22" w:rsidRDefault="00BC1590" w:rsidP="00BC159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3BB222C" w14:textId="77777777" w:rsidR="00BC1590" w:rsidRPr="00763D22" w:rsidRDefault="00BC1590" w:rsidP="00BC159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D1ACB4D" w14:textId="77777777" w:rsidR="00BC1590" w:rsidRPr="00763D22" w:rsidRDefault="00BC1590" w:rsidP="00BC159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7F6103A" w14:textId="77777777" w:rsidR="00BC1590" w:rsidRPr="00763D22" w:rsidRDefault="00BC1590" w:rsidP="00BC1590">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5D9774F" w14:textId="77777777" w:rsidR="00BC1590" w:rsidRDefault="00BC1590" w:rsidP="00BC1590">
      <w:pPr>
        <w:jc w:val="center"/>
        <w:rPr>
          <w:rFonts w:ascii="Book Antiqua" w:hAnsi="Book Antiqua"/>
          <w:lang w:eastAsia="zh-CN"/>
        </w:rPr>
      </w:pPr>
    </w:p>
    <w:p w14:paraId="72C2DD4D" w14:textId="77777777" w:rsidR="00BC1590" w:rsidRDefault="00BC1590" w:rsidP="00BC1590">
      <w:pPr>
        <w:jc w:val="center"/>
        <w:rPr>
          <w:rFonts w:ascii="Book Antiqua" w:hAnsi="Book Antiqua"/>
          <w:lang w:eastAsia="zh-CN"/>
        </w:rPr>
      </w:pPr>
    </w:p>
    <w:p w14:paraId="38B0B761" w14:textId="77777777" w:rsidR="00BC1590" w:rsidRDefault="00BC1590" w:rsidP="00BC1590">
      <w:pPr>
        <w:jc w:val="center"/>
        <w:rPr>
          <w:rFonts w:ascii="Book Antiqua" w:hAnsi="Book Antiqua"/>
          <w:lang w:eastAsia="zh-CN"/>
        </w:rPr>
      </w:pPr>
    </w:p>
    <w:p w14:paraId="6E77C6FF" w14:textId="77777777" w:rsidR="00BC1590" w:rsidRDefault="00BC1590" w:rsidP="00BC1590">
      <w:pPr>
        <w:jc w:val="center"/>
        <w:rPr>
          <w:rFonts w:ascii="Book Antiqua" w:hAnsi="Book Antiqua"/>
          <w:lang w:eastAsia="zh-CN"/>
        </w:rPr>
      </w:pPr>
      <w:r>
        <w:rPr>
          <w:rFonts w:ascii="Book Antiqua" w:hAnsi="Book Antiqua"/>
          <w:noProof/>
          <w:lang w:eastAsia="zh-CN"/>
        </w:rPr>
        <w:drawing>
          <wp:inline distT="0" distB="0" distL="0" distR="0" wp14:anchorId="4F2A99AC" wp14:editId="3056291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41A1EC6" w14:textId="77777777" w:rsidR="00BC1590" w:rsidRDefault="00BC1590" w:rsidP="00BC1590">
      <w:pPr>
        <w:jc w:val="center"/>
        <w:rPr>
          <w:rFonts w:ascii="Book Antiqua" w:hAnsi="Book Antiqua"/>
          <w:lang w:eastAsia="zh-CN"/>
        </w:rPr>
      </w:pPr>
    </w:p>
    <w:p w14:paraId="791B4840" w14:textId="77777777" w:rsidR="00BC1590" w:rsidRDefault="00BC1590" w:rsidP="00BC1590">
      <w:pPr>
        <w:jc w:val="center"/>
        <w:rPr>
          <w:rFonts w:ascii="Book Antiqua" w:hAnsi="Book Antiqua"/>
          <w:lang w:eastAsia="zh-CN"/>
        </w:rPr>
      </w:pPr>
    </w:p>
    <w:p w14:paraId="26AFB38A" w14:textId="77777777" w:rsidR="00BC1590" w:rsidRDefault="00BC1590" w:rsidP="00BC1590">
      <w:pPr>
        <w:jc w:val="center"/>
        <w:rPr>
          <w:rFonts w:ascii="Book Antiqua" w:hAnsi="Book Antiqua"/>
          <w:lang w:eastAsia="zh-CN"/>
        </w:rPr>
      </w:pPr>
    </w:p>
    <w:p w14:paraId="3D878B60" w14:textId="77777777" w:rsidR="00BC1590" w:rsidRDefault="00BC1590" w:rsidP="00BC1590">
      <w:pPr>
        <w:jc w:val="center"/>
        <w:rPr>
          <w:rFonts w:ascii="Book Antiqua" w:hAnsi="Book Antiqua"/>
          <w:lang w:eastAsia="zh-CN"/>
        </w:rPr>
      </w:pPr>
    </w:p>
    <w:p w14:paraId="13FABE57" w14:textId="77777777" w:rsidR="00BC1590" w:rsidRDefault="00BC1590" w:rsidP="00BC1590">
      <w:pPr>
        <w:jc w:val="center"/>
        <w:rPr>
          <w:rFonts w:ascii="Book Antiqua" w:hAnsi="Book Antiqua"/>
          <w:lang w:eastAsia="zh-CN"/>
        </w:rPr>
      </w:pPr>
    </w:p>
    <w:p w14:paraId="1564C8A1" w14:textId="77777777" w:rsidR="00BC1590" w:rsidRDefault="00BC1590" w:rsidP="00BC1590">
      <w:pPr>
        <w:jc w:val="center"/>
        <w:rPr>
          <w:rFonts w:ascii="Book Antiqua" w:hAnsi="Book Antiqua"/>
          <w:lang w:eastAsia="zh-CN"/>
        </w:rPr>
      </w:pPr>
    </w:p>
    <w:p w14:paraId="567184BB" w14:textId="77777777" w:rsidR="00BC1590" w:rsidRDefault="00BC1590" w:rsidP="00BC1590">
      <w:pPr>
        <w:jc w:val="center"/>
        <w:rPr>
          <w:rFonts w:ascii="Book Antiqua" w:hAnsi="Book Antiqua"/>
          <w:lang w:eastAsia="zh-CN"/>
        </w:rPr>
      </w:pPr>
    </w:p>
    <w:p w14:paraId="5BFDD545" w14:textId="77777777" w:rsidR="00BC1590" w:rsidRDefault="00BC1590" w:rsidP="00BC1590">
      <w:pPr>
        <w:jc w:val="center"/>
        <w:rPr>
          <w:rFonts w:ascii="Book Antiqua" w:hAnsi="Book Antiqua"/>
          <w:lang w:eastAsia="zh-CN"/>
        </w:rPr>
      </w:pPr>
    </w:p>
    <w:p w14:paraId="33EBA204" w14:textId="77777777" w:rsidR="00BC1590" w:rsidRDefault="00BC1590" w:rsidP="00BC1590">
      <w:pPr>
        <w:jc w:val="center"/>
        <w:rPr>
          <w:rFonts w:ascii="Book Antiqua" w:hAnsi="Book Antiqua"/>
          <w:lang w:eastAsia="zh-CN"/>
        </w:rPr>
      </w:pPr>
    </w:p>
    <w:p w14:paraId="71B34725" w14:textId="77777777" w:rsidR="00BC1590" w:rsidRPr="00763D22" w:rsidRDefault="00BC1590" w:rsidP="00BC1590">
      <w:pPr>
        <w:jc w:val="right"/>
        <w:rPr>
          <w:rFonts w:ascii="Book Antiqua" w:hAnsi="Book Antiqua"/>
          <w:color w:val="000000" w:themeColor="text1"/>
          <w:lang w:eastAsia="zh-CN"/>
        </w:rPr>
      </w:pPr>
    </w:p>
    <w:p w14:paraId="05BD5287" w14:textId="77777777" w:rsidR="00BC1590" w:rsidRPr="00763D22" w:rsidRDefault="00BC1590" w:rsidP="00BC1590">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1"/>
      <w:bookmarkEnd w:id="12"/>
    </w:p>
    <w:p w14:paraId="637CBAF7" w14:textId="77777777" w:rsidR="00B113BC" w:rsidRPr="00BC1590" w:rsidRDefault="00B113BC">
      <w:pPr>
        <w:spacing w:line="360" w:lineRule="auto"/>
        <w:jc w:val="both"/>
        <w:rPr>
          <w:rFonts w:ascii="Book Antiqua" w:hAnsi="Book Antiqua"/>
          <w:lang w:eastAsia="zh-CN"/>
        </w:rPr>
      </w:pPr>
    </w:p>
    <w:sectPr w:rsidR="00B113BC" w:rsidRPr="00BC15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9D627" w14:textId="77777777" w:rsidR="004A310A" w:rsidRDefault="004A310A">
      <w:r>
        <w:separator/>
      </w:r>
    </w:p>
  </w:endnote>
  <w:endnote w:type="continuationSeparator" w:id="0">
    <w:p w14:paraId="33036E03" w14:textId="77777777" w:rsidR="004A310A" w:rsidRDefault="004A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598880"/>
    </w:sdtPr>
    <w:sdtEndPr/>
    <w:sdtContent>
      <w:sdt>
        <w:sdtPr>
          <w:id w:val="98381352"/>
        </w:sdtPr>
        <w:sdtEndPr/>
        <w:sdtContent>
          <w:p w14:paraId="69052083" w14:textId="77777777" w:rsidR="00B113BC" w:rsidRDefault="00C207E9">
            <w:pPr>
              <w:pStyle w:val="a4"/>
              <w:jc w:val="right"/>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4A310A">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4A310A">
              <w:rPr>
                <w:rFonts w:ascii="Book Antiqua" w:hAnsi="Book Antiqua"/>
                <w:noProof/>
                <w:sz w:val="24"/>
                <w:szCs w:val="24"/>
              </w:rPr>
              <w:t>1</w:t>
            </w:r>
            <w:r>
              <w:rPr>
                <w:rFonts w:ascii="Book Antiqua" w:hAnsi="Book Antiqua"/>
                <w:sz w:val="24"/>
                <w:szCs w:val="24"/>
              </w:rPr>
              <w:fldChar w:fldCharType="end"/>
            </w:r>
          </w:p>
        </w:sdtContent>
      </w:sdt>
    </w:sdtContent>
  </w:sdt>
  <w:p w14:paraId="04BD31D6" w14:textId="77777777" w:rsidR="00B113BC" w:rsidRDefault="00B113B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5D904" w14:textId="77777777" w:rsidR="004A310A" w:rsidRDefault="004A310A">
      <w:r>
        <w:separator/>
      </w:r>
    </w:p>
  </w:footnote>
  <w:footnote w:type="continuationSeparator" w:id="0">
    <w:p w14:paraId="19646589" w14:textId="77777777" w:rsidR="004A310A" w:rsidRDefault="004A31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6D1A"/>
    <w:rsid w:val="000635A7"/>
    <w:rsid w:val="0007225C"/>
    <w:rsid w:val="00194CFB"/>
    <w:rsid w:val="001A043C"/>
    <w:rsid w:val="001D5BDE"/>
    <w:rsid w:val="001F3789"/>
    <w:rsid w:val="0027505F"/>
    <w:rsid w:val="002B1BD3"/>
    <w:rsid w:val="00323CC2"/>
    <w:rsid w:val="00397161"/>
    <w:rsid w:val="003D00A0"/>
    <w:rsid w:val="00464AE5"/>
    <w:rsid w:val="004A310A"/>
    <w:rsid w:val="004F3C20"/>
    <w:rsid w:val="00506EEB"/>
    <w:rsid w:val="00520A6F"/>
    <w:rsid w:val="005946DB"/>
    <w:rsid w:val="005D3923"/>
    <w:rsid w:val="005F31CF"/>
    <w:rsid w:val="00655374"/>
    <w:rsid w:val="00740FCE"/>
    <w:rsid w:val="007C0F7A"/>
    <w:rsid w:val="00843537"/>
    <w:rsid w:val="0094456D"/>
    <w:rsid w:val="00987D23"/>
    <w:rsid w:val="009B42E3"/>
    <w:rsid w:val="009E1B05"/>
    <w:rsid w:val="00A16979"/>
    <w:rsid w:val="00A200DC"/>
    <w:rsid w:val="00A63AD4"/>
    <w:rsid w:val="00A65A00"/>
    <w:rsid w:val="00A67A48"/>
    <w:rsid w:val="00A77B3E"/>
    <w:rsid w:val="00B113BC"/>
    <w:rsid w:val="00B1291F"/>
    <w:rsid w:val="00B142B8"/>
    <w:rsid w:val="00BC1590"/>
    <w:rsid w:val="00C207E9"/>
    <w:rsid w:val="00C31EF7"/>
    <w:rsid w:val="00C41F6D"/>
    <w:rsid w:val="00C81456"/>
    <w:rsid w:val="00CA2A55"/>
    <w:rsid w:val="00D10A42"/>
    <w:rsid w:val="00D72EC7"/>
    <w:rsid w:val="00E32965"/>
    <w:rsid w:val="00E35CB4"/>
    <w:rsid w:val="00E4165E"/>
    <w:rsid w:val="00E97CF5"/>
    <w:rsid w:val="00F16EDB"/>
    <w:rsid w:val="00F20B27"/>
    <w:rsid w:val="00F40192"/>
    <w:rsid w:val="00F63826"/>
    <w:rsid w:val="00FB2EDA"/>
    <w:rsid w:val="0D530985"/>
    <w:rsid w:val="47907C0C"/>
    <w:rsid w:val="68573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5C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unhideWhenUsed="0"/>
    <w:lsdException w:name="No Spacing" w:semiHidden="0" w:uiPriority="99" w:unhideWhenUsed="0"/>
    <w:lsdException w:name="Light Shading" w:semiHidden="0" w:uiPriority="60" w:unhideWhenUsed="0" w:qFormat="1"/>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qFormat/>
    <w:pPr>
      <w:tabs>
        <w:tab w:val="center" w:pos="4153"/>
        <w:tab w:val="right" w:pos="8306"/>
      </w:tabs>
      <w:snapToGrid w:val="0"/>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6">
    <w:name w:val="Light Shading"/>
    <w:basedOn w:val="a1"/>
    <w:uiPriority w:val="60"/>
    <w:qFormat/>
    <w:rPr>
      <w:rFonts w:asciiTheme="minorHAnsi" w:hAnsiTheme="minorHAnsi" w:cstheme="minorBidi"/>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unhideWhenUsed="0"/>
    <w:lsdException w:name="No Spacing" w:semiHidden="0" w:uiPriority="99" w:unhideWhenUsed="0"/>
    <w:lsdException w:name="Light Shading" w:semiHidden="0" w:uiPriority="60" w:unhideWhenUsed="0" w:qFormat="1"/>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qFormat/>
    <w:pPr>
      <w:tabs>
        <w:tab w:val="center" w:pos="4153"/>
        <w:tab w:val="right" w:pos="8306"/>
      </w:tabs>
      <w:snapToGrid w:val="0"/>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6">
    <w:name w:val="Light Shading"/>
    <w:basedOn w:val="a1"/>
    <w:uiPriority w:val="60"/>
    <w:qFormat/>
    <w:rPr>
      <w:rFonts w:asciiTheme="minorHAnsi" w:hAnsiTheme="minorHAnsi" w:cstheme="minorBidi"/>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1850</Words>
  <Characters>10550</Characters>
  <Application>Microsoft Office Word</Application>
  <DocSecurity>0</DocSecurity>
  <Lines>87</Lines>
  <Paragraphs>24</Paragraphs>
  <ScaleCrop>false</ScaleCrop>
  <LinksUpToDate>false</LinksUpToDate>
  <CharactersWithSpaces>12376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2021-06-20T05:01:00Z</dcterms:created>
  <dcterms:modified xsi:type="dcterms:W3CDTF">2021-07-14T06:06:00Z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