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B9C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Name of Journal: </w:t>
      </w:r>
      <w:r w:rsidRPr="003448EB">
        <w:rPr>
          <w:rFonts w:ascii="Book Antiqua" w:eastAsia="Book Antiqua" w:hAnsi="Book Antiqua" w:cs="Book Antiqua"/>
          <w:i/>
          <w:color w:val="000000"/>
        </w:rPr>
        <w:t>World Journal of Gastroenterology</w:t>
      </w:r>
    </w:p>
    <w:p w14:paraId="7234C8A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Manuscript NO: </w:t>
      </w:r>
      <w:r w:rsidRPr="003448EB">
        <w:rPr>
          <w:rFonts w:ascii="Book Antiqua" w:eastAsia="Book Antiqua" w:hAnsi="Book Antiqua" w:cs="Book Antiqua"/>
          <w:color w:val="000000"/>
        </w:rPr>
        <w:t>66701</w:t>
      </w:r>
    </w:p>
    <w:p w14:paraId="6E01B14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Manuscript Type: </w:t>
      </w:r>
      <w:r w:rsidRPr="003448EB">
        <w:rPr>
          <w:rFonts w:ascii="Book Antiqua" w:eastAsia="Book Antiqua" w:hAnsi="Book Antiqua" w:cs="Book Antiqua"/>
          <w:color w:val="000000"/>
        </w:rPr>
        <w:t>ORIGINAL ARTICLE</w:t>
      </w:r>
    </w:p>
    <w:p w14:paraId="51FC2865" w14:textId="77777777" w:rsidR="00A77B3E" w:rsidRPr="003448EB" w:rsidRDefault="00A77B3E" w:rsidP="00B50B39">
      <w:pPr>
        <w:spacing w:line="360" w:lineRule="auto"/>
        <w:jc w:val="both"/>
        <w:rPr>
          <w:rFonts w:ascii="Book Antiqua" w:hAnsi="Book Antiqua"/>
        </w:rPr>
      </w:pPr>
    </w:p>
    <w:p w14:paraId="51A69EE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Retrospective Study</w:t>
      </w:r>
    </w:p>
    <w:p w14:paraId="002AF98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Prolonged survival in patients with hand-foot skin reaction secondary to cooperative sorafenib treatment</w:t>
      </w:r>
    </w:p>
    <w:p w14:paraId="0BB49D2C" w14:textId="77777777" w:rsidR="00A77B3E" w:rsidRPr="003448EB" w:rsidRDefault="00A77B3E" w:rsidP="00B50B39">
      <w:pPr>
        <w:spacing w:line="360" w:lineRule="auto"/>
        <w:jc w:val="both"/>
        <w:rPr>
          <w:rFonts w:ascii="Book Antiqua" w:hAnsi="Book Antiqua"/>
        </w:rPr>
      </w:pPr>
    </w:p>
    <w:p w14:paraId="2AFE59A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Ochi </w:t>
      </w:r>
      <w:r w:rsidRPr="003448EB">
        <w:rPr>
          <w:rFonts w:ascii="Book Antiqua" w:hAnsi="Book Antiqua" w:cs="Book Antiqua"/>
          <w:color w:val="000000"/>
          <w:lang w:eastAsia="zh-CN"/>
        </w:rPr>
        <w:t xml:space="preserve">M </w:t>
      </w:r>
      <w:r w:rsidRPr="003448EB">
        <w:rPr>
          <w:rFonts w:ascii="Book Antiqua" w:hAnsi="Book Antiqua" w:cs="Book Antiqua"/>
          <w:i/>
          <w:color w:val="000000"/>
          <w:lang w:eastAsia="zh-CN"/>
        </w:rPr>
        <w:t>et al</w:t>
      </w:r>
      <w:r w:rsidRPr="003448EB">
        <w:rPr>
          <w:rFonts w:ascii="Book Antiqua" w:hAnsi="Book Antiqua" w:cs="Book Antiqua"/>
          <w:color w:val="000000"/>
          <w:lang w:eastAsia="zh-CN"/>
        </w:rPr>
        <w:t xml:space="preserve">. </w:t>
      </w:r>
      <w:r w:rsidRPr="003448EB">
        <w:rPr>
          <w:rFonts w:ascii="Book Antiqua" w:eastAsia="Book Antiqua" w:hAnsi="Book Antiqua" w:cs="Book Antiqua"/>
          <w:color w:val="000000"/>
        </w:rPr>
        <w:t>HFSR effect in cooperative sorafenib treatment</w:t>
      </w:r>
    </w:p>
    <w:p w14:paraId="7AC169FD" w14:textId="77777777" w:rsidR="00A77B3E" w:rsidRPr="003448EB" w:rsidRDefault="00A77B3E" w:rsidP="00B50B39">
      <w:pPr>
        <w:spacing w:line="360" w:lineRule="auto"/>
        <w:jc w:val="both"/>
        <w:rPr>
          <w:rFonts w:ascii="Book Antiqua" w:hAnsi="Book Antiqua"/>
        </w:rPr>
      </w:pPr>
    </w:p>
    <w:p w14:paraId="690C112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Masanori Ochi, Toshiro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Masahiro Araki, Tadashi Ikegami</w:t>
      </w:r>
    </w:p>
    <w:p w14:paraId="0EFBA9C4" w14:textId="77777777" w:rsidR="00A77B3E" w:rsidRPr="003448EB" w:rsidRDefault="00A77B3E" w:rsidP="00B50B39">
      <w:pPr>
        <w:spacing w:line="360" w:lineRule="auto"/>
        <w:jc w:val="both"/>
        <w:rPr>
          <w:rFonts w:ascii="Book Antiqua" w:hAnsi="Book Antiqua"/>
        </w:rPr>
      </w:pPr>
    </w:p>
    <w:p w14:paraId="67AC837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Masanori Ochi, Toshiro </w:t>
      </w:r>
      <w:proofErr w:type="spellStart"/>
      <w:r w:rsidRPr="003448EB">
        <w:rPr>
          <w:rFonts w:ascii="Book Antiqua" w:eastAsia="Book Antiqua" w:hAnsi="Book Antiqua" w:cs="Book Antiqua"/>
          <w:b/>
          <w:bCs/>
          <w:color w:val="000000"/>
        </w:rPr>
        <w:t>Kamoshida</w:t>
      </w:r>
      <w:proofErr w:type="spellEnd"/>
      <w:r w:rsidRPr="003448EB">
        <w:rPr>
          <w:rFonts w:ascii="Book Antiqua" w:eastAsia="Book Antiqua" w:hAnsi="Book Antiqua" w:cs="Book Antiqua"/>
          <w:b/>
          <w:bCs/>
          <w:color w:val="000000"/>
        </w:rPr>
        <w:t xml:space="preserve">, </w:t>
      </w:r>
      <w:r w:rsidRPr="003448EB">
        <w:rPr>
          <w:rFonts w:ascii="Book Antiqua" w:eastAsia="Book Antiqua" w:hAnsi="Book Antiqua" w:cs="Book Antiqua"/>
          <w:color w:val="000000"/>
        </w:rPr>
        <w:t>Department of Gastroenterology, Hitachi General Hospital, Ibaraki 317–0077, Japan</w:t>
      </w:r>
    </w:p>
    <w:p w14:paraId="603B6B94" w14:textId="77777777" w:rsidR="00A77B3E" w:rsidRPr="003448EB" w:rsidRDefault="00A77B3E" w:rsidP="00B50B39">
      <w:pPr>
        <w:spacing w:line="360" w:lineRule="auto"/>
        <w:jc w:val="both"/>
        <w:rPr>
          <w:rFonts w:ascii="Book Antiqua" w:hAnsi="Book Antiqua"/>
        </w:rPr>
      </w:pPr>
    </w:p>
    <w:p w14:paraId="629AEB5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Masahiro Araki, </w:t>
      </w:r>
      <w:r w:rsidRPr="003448EB">
        <w:rPr>
          <w:rFonts w:ascii="Book Antiqua" w:eastAsia="Book Antiqua" w:hAnsi="Book Antiqua" w:cs="Book Antiqua"/>
          <w:color w:val="000000"/>
        </w:rPr>
        <w:t>Department of Gastroenterology and Hepatology, Ibaraki Prefectural Central Hospital, Ibaraki Cancer Center, Ibaraki 309-1793, Japan</w:t>
      </w:r>
    </w:p>
    <w:p w14:paraId="6C42B1D5" w14:textId="77777777" w:rsidR="00A77B3E" w:rsidRPr="003448EB" w:rsidRDefault="00A77B3E" w:rsidP="00B50B39">
      <w:pPr>
        <w:spacing w:line="360" w:lineRule="auto"/>
        <w:jc w:val="both"/>
        <w:rPr>
          <w:rFonts w:ascii="Book Antiqua" w:hAnsi="Book Antiqua"/>
        </w:rPr>
      </w:pPr>
    </w:p>
    <w:p w14:paraId="55AD1AA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Tadashi Ikegami, </w:t>
      </w:r>
      <w:r w:rsidRPr="003448EB">
        <w:rPr>
          <w:rFonts w:ascii="Book Antiqua" w:eastAsia="Book Antiqua" w:hAnsi="Book Antiqua" w:cs="Book Antiqua"/>
          <w:color w:val="000000"/>
        </w:rPr>
        <w:t>Division of Gastroenterology and Hepatology, Tokyo Medical University Ibaraki Medical Center, Ibaraki 309-1793, Japan</w:t>
      </w:r>
    </w:p>
    <w:p w14:paraId="6CE59166" w14:textId="77777777" w:rsidR="00A77B3E" w:rsidRPr="003448EB" w:rsidRDefault="00A77B3E" w:rsidP="00B50B39">
      <w:pPr>
        <w:spacing w:line="360" w:lineRule="auto"/>
        <w:jc w:val="both"/>
        <w:rPr>
          <w:rFonts w:ascii="Book Antiqua" w:hAnsi="Book Antiqua"/>
        </w:rPr>
      </w:pPr>
    </w:p>
    <w:p w14:paraId="3E07F07D" w14:textId="1BF10D4F"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Author contributions: </w:t>
      </w:r>
      <w:r w:rsidRPr="003448EB">
        <w:rPr>
          <w:rFonts w:ascii="Book Antiqua" w:eastAsia="Book Antiqua" w:hAnsi="Book Antiqua" w:cs="Book Antiqua"/>
          <w:color w:val="000000"/>
        </w:rPr>
        <w:t xml:space="preserve">Ochi M,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xml:space="preserve"> T, Araki M, and Ikegami T contributed equally to this work; Ochi M and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xml:space="preserve"> T collected and analyzed the data; Ochi M and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xml:space="preserve"> T drafted the manuscript; Ochi M and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xml:space="preserve"> T designed and supervised the study; Araki M and Ikegami T offered technical or material support; </w:t>
      </w:r>
      <w:r w:rsidR="00B50B39">
        <w:rPr>
          <w:rFonts w:ascii="Book Antiqua" w:eastAsia="Book Antiqua" w:hAnsi="Book Antiqua" w:cs="Book Antiqua"/>
          <w:color w:val="000000"/>
        </w:rPr>
        <w:t>a</w:t>
      </w:r>
      <w:r w:rsidRPr="003448EB">
        <w:rPr>
          <w:rFonts w:ascii="Book Antiqua" w:eastAsia="Book Antiqua" w:hAnsi="Book Antiqua" w:cs="Book Antiqua"/>
          <w:color w:val="000000"/>
        </w:rPr>
        <w:t>ll authors have read and approved the final version to be published.</w:t>
      </w:r>
    </w:p>
    <w:p w14:paraId="51A1BDC1" w14:textId="77777777" w:rsidR="00A77B3E" w:rsidRPr="003448EB" w:rsidRDefault="00A77B3E" w:rsidP="00B50B39">
      <w:pPr>
        <w:spacing w:line="360" w:lineRule="auto"/>
        <w:jc w:val="both"/>
        <w:rPr>
          <w:rFonts w:ascii="Book Antiqua" w:hAnsi="Book Antiqua"/>
        </w:rPr>
      </w:pPr>
    </w:p>
    <w:p w14:paraId="44F986D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lastRenderedPageBreak/>
        <w:t xml:space="preserve">Corresponding author: Masanori Ochi, MD, Doctor, </w:t>
      </w:r>
      <w:r w:rsidRPr="003448EB">
        <w:rPr>
          <w:rFonts w:ascii="Book Antiqua" w:eastAsia="Book Antiqua" w:hAnsi="Book Antiqua" w:cs="Book Antiqua"/>
          <w:color w:val="000000"/>
        </w:rPr>
        <w:t xml:space="preserve">Department of Gastroenterology, Hitachi General Hospital, Chome-1-1 </w:t>
      </w:r>
      <w:proofErr w:type="spellStart"/>
      <w:r w:rsidRPr="003448EB">
        <w:rPr>
          <w:rFonts w:ascii="Book Antiqua" w:eastAsia="Book Antiqua" w:hAnsi="Book Antiqua" w:cs="Book Antiqua"/>
          <w:color w:val="000000"/>
        </w:rPr>
        <w:t>Jonancho</w:t>
      </w:r>
      <w:proofErr w:type="spellEnd"/>
      <w:r w:rsidRPr="003448EB">
        <w:rPr>
          <w:rFonts w:ascii="Book Antiqua" w:eastAsia="Book Antiqua" w:hAnsi="Book Antiqua" w:cs="Book Antiqua"/>
          <w:color w:val="000000"/>
        </w:rPr>
        <w:t>, Ibaraki 317–0077, Japan. maochi-tei@umin.ac.jp</w:t>
      </w:r>
    </w:p>
    <w:p w14:paraId="33B74F0F" w14:textId="77777777" w:rsidR="00A77B3E" w:rsidRPr="003448EB" w:rsidRDefault="00A77B3E" w:rsidP="00B50B39">
      <w:pPr>
        <w:spacing w:line="360" w:lineRule="auto"/>
        <w:jc w:val="both"/>
        <w:rPr>
          <w:rFonts w:ascii="Book Antiqua" w:hAnsi="Book Antiqua"/>
        </w:rPr>
      </w:pPr>
    </w:p>
    <w:p w14:paraId="1A60C19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Received: </w:t>
      </w:r>
      <w:r w:rsidRPr="003448EB">
        <w:rPr>
          <w:rFonts w:ascii="Book Antiqua" w:eastAsia="Book Antiqua" w:hAnsi="Book Antiqua" w:cs="Book Antiqua"/>
          <w:color w:val="000000"/>
        </w:rPr>
        <w:t>April 9, 2021</w:t>
      </w:r>
    </w:p>
    <w:p w14:paraId="0CEEF70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Revised: </w:t>
      </w:r>
      <w:r w:rsidRPr="003448EB">
        <w:rPr>
          <w:rFonts w:ascii="Book Antiqua" w:eastAsia="Book Antiqua" w:hAnsi="Book Antiqua" w:cs="Book Antiqua"/>
          <w:color w:val="000000"/>
        </w:rPr>
        <w:t>June 22, 2021</w:t>
      </w:r>
    </w:p>
    <w:p w14:paraId="46886E9C" w14:textId="6BDEE1AF"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Accepted: </w:t>
      </w:r>
      <w:bookmarkStart w:id="0" w:name="OLE_LINK15"/>
      <w:bookmarkStart w:id="1" w:name="OLE_LINK33"/>
      <w:bookmarkStart w:id="2" w:name="OLE_LINK48"/>
      <w:r w:rsidR="00F81B92">
        <w:rPr>
          <w:rFonts w:ascii="Book Antiqua" w:eastAsia="宋体" w:hAnsi="Book Antiqua" w:hint="eastAsia"/>
          <w:color w:val="000000" w:themeColor="text1"/>
        </w:rPr>
        <w:t>Au</w:t>
      </w:r>
      <w:r w:rsidR="00F81B92">
        <w:rPr>
          <w:rFonts w:ascii="Book Antiqua" w:eastAsia="宋体" w:hAnsi="Book Antiqua"/>
          <w:color w:val="000000" w:themeColor="text1"/>
        </w:rPr>
        <w:t>gust</w:t>
      </w:r>
      <w:r w:rsidR="00F81B92" w:rsidRPr="00F06907">
        <w:rPr>
          <w:rFonts w:ascii="Book Antiqua" w:eastAsia="宋体" w:hAnsi="Book Antiqua"/>
          <w:color w:val="000000" w:themeColor="text1"/>
        </w:rPr>
        <w:t xml:space="preserve"> </w:t>
      </w:r>
      <w:r w:rsidR="00F81B92">
        <w:rPr>
          <w:rFonts w:ascii="Book Antiqua" w:eastAsia="宋体" w:hAnsi="Book Antiqua"/>
          <w:color w:val="000000" w:themeColor="text1"/>
        </w:rPr>
        <w:t>10</w:t>
      </w:r>
      <w:r w:rsidR="00F81B92" w:rsidRPr="00F06907">
        <w:rPr>
          <w:rFonts w:ascii="Book Antiqua" w:eastAsia="宋体" w:hAnsi="Book Antiqua"/>
          <w:color w:val="000000" w:themeColor="text1"/>
        </w:rPr>
        <w:t>, 2021</w:t>
      </w:r>
      <w:bookmarkEnd w:id="0"/>
      <w:bookmarkEnd w:id="1"/>
      <w:bookmarkEnd w:id="2"/>
    </w:p>
    <w:p w14:paraId="7B083C0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Published online: </w:t>
      </w:r>
    </w:p>
    <w:p w14:paraId="05F48F59" w14:textId="77777777" w:rsidR="00A77B3E" w:rsidRPr="003448EB" w:rsidRDefault="00A77B3E" w:rsidP="00B50B39">
      <w:pPr>
        <w:spacing w:line="360" w:lineRule="auto"/>
        <w:jc w:val="both"/>
        <w:rPr>
          <w:rFonts w:ascii="Book Antiqua" w:hAnsi="Book Antiqua"/>
        </w:rPr>
        <w:sectPr w:rsidR="00A77B3E" w:rsidRPr="003448EB">
          <w:footerReference w:type="default" r:id="rId6"/>
          <w:pgSz w:w="12240" w:h="15840"/>
          <w:pgMar w:top="1440" w:right="1440" w:bottom="1440" w:left="1440" w:header="720" w:footer="720" w:gutter="0"/>
          <w:cols w:space="720"/>
          <w:docGrid w:linePitch="360"/>
        </w:sectPr>
      </w:pPr>
    </w:p>
    <w:p w14:paraId="122C0DE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lastRenderedPageBreak/>
        <w:t>Abstract</w:t>
      </w:r>
    </w:p>
    <w:p w14:paraId="3F1DC56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BACKGROUND</w:t>
      </w:r>
    </w:p>
    <w:p w14:paraId="742A2D7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Sorafenib is an oral drug that prolongs overall survival (OS) in patients with hepatocellular carcinoma. Adverse events, including hand-foot skin reaction (HFSR), lead to permanent sorafenib discontinuation.</w:t>
      </w:r>
    </w:p>
    <w:p w14:paraId="111F51E1" w14:textId="77777777" w:rsidR="00A77B3E" w:rsidRPr="003448EB" w:rsidRDefault="00A77B3E" w:rsidP="00B50B39">
      <w:pPr>
        <w:spacing w:line="360" w:lineRule="auto"/>
        <w:jc w:val="both"/>
        <w:rPr>
          <w:rFonts w:ascii="Book Antiqua" w:hAnsi="Book Antiqua"/>
        </w:rPr>
      </w:pPr>
    </w:p>
    <w:p w14:paraId="7994CCD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AIM</w:t>
      </w:r>
    </w:p>
    <w:p w14:paraId="5C829B4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aps/>
          <w:color w:val="000000"/>
        </w:rPr>
        <w:t>t</w:t>
      </w:r>
      <w:r w:rsidRPr="003448EB">
        <w:rPr>
          <w:rFonts w:ascii="Book Antiqua" w:eastAsia="Book Antiqua" w:hAnsi="Book Antiqua" w:cs="Book Antiqua"/>
          <w:color w:val="000000"/>
        </w:rPr>
        <w:t>o clarify the association between interventions for adverse events and patient prognosis.</w:t>
      </w:r>
    </w:p>
    <w:p w14:paraId="198D0BD4" w14:textId="77777777" w:rsidR="00A77B3E" w:rsidRPr="003448EB" w:rsidRDefault="00A77B3E" w:rsidP="00B50B39">
      <w:pPr>
        <w:spacing w:line="360" w:lineRule="auto"/>
        <w:jc w:val="both"/>
        <w:rPr>
          <w:rFonts w:ascii="Book Antiqua" w:hAnsi="Book Antiqua"/>
        </w:rPr>
      </w:pPr>
    </w:p>
    <w:p w14:paraId="530B8D9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METHODS</w:t>
      </w:r>
    </w:p>
    <w:p w14:paraId="7D43E84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We performed a retrospective, multicenter study of patients treated with sorafenib monotherapy between May 2009 and March 2018. We developed a mutual cooperation system that was initiated at the start of sorafenib treatment to effectively manage adverse events. The mutual cooperation system entailed patients receiving consultations during which pharmacists provided accurate information about sorafenib to alleviate the fear and anxiety related to adverse events. We stratified the patients into three groups: Group A, patients without HFSR but with pharmacist intervention; Group B, patients with HFSR and pharmacist interventions unreported to oncologists (nonmutual cooperation system); and Group C, patients with HFSR and pharmacist interventions known to oncologists (mutual cooperation system). OS and time to treatment failure (TTF) were evaluated using the Kaplan-Meier method.</w:t>
      </w:r>
    </w:p>
    <w:p w14:paraId="31336A8D" w14:textId="77777777" w:rsidR="00A77B3E" w:rsidRPr="003448EB" w:rsidRDefault="00A77B3E" w:rsidP="00B50B39">
      <w:pPr>
        <w:spacing w:line="360" w:lineRule="auto"/>
        <w:jc w:val="both"/>
        <w:rPr>
          <w:rFonts w:ascii="Book Antiqua" w:hAnsi="Book Antiqua"/>
        </w:rPr>
      </w:pPr>
    </w:p>
    <w:p w14:paraId="1C8B6CE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RESULTS</w:t>
      </w:r>
    </w:p>
    <w:p w14:paraId="2BDCBC6C" w14:textId="20ADFD45"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enrolled 134 patients (Group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41; Group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30; Group C,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63). The median OS was significantly different between Groups A and C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13.9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p &lt; 0.01) but not between Groups A and B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7.7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0.62).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was an independent OS predictor (HR, 0.41;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0.25</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0.66;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Group B alone, TTF was significantly lower and the nonadherence rate was higher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addition, </w:t>
      </w:r>
      <w:r w:rsidRPr="003448EB">
        <w:rPr>
          <w:rFonts w:ascii="Book Antiqua" w:eastAsia="Book Antiqua" w:hAnsi="Book Antiqua" w:cs="Book Antiqua"/>
          <w:color w:val="000000"/>
        </w:rPr>
        <w:lastRenderedPageBreak/>
        <w:t xml:space="preserve">the Spearman’s rank correlation coefficients between OS and TTF in each group were 0.41 (Group A;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0.13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0.51), and 0.58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There was a highly significant correlation between OS and TTF in Group C. However, there was no correlation between OS and TTF in Group B.</w:t>
      </w:r>
    </w:p>
    <w:p w14:paraId="4E35360D" w14:textId="77777777" w:rsidR="00A77B3E" w:rsidRPr="003448EB" w:rsidRDefault="00A77B3E" w:rsidP="00B50B39">
      <w:pPr>
        <w:spacing w:line="360" w:lineRule="auto"/>
        <w:jc w:val="both"/>
        <w:rPr>
          <w:rFonts w:ascii="Book Antiqua" w:hAnsi="Book Antiqua"/>
        </w:rPr>
      </w:pPr>
    </w:p>
    <w:p w14:paraId="6A67811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CONCLUSION</w:t>
      </w:r>
    </w:p>
    <w:p w14:paraId="1FD1210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mutual cooperation system increased treatment duration and improved prognosis in patients with HFSR. Future prospective studies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randomized controlled trials) and improved adherence could help prevent OS underestimation.</w:t>
      </w:r>
    </w:p>
    <w:p w14:paraId="34EE0907" w14:textId="77777777" w:rsidR="00A77B3E" w:rsidRPr="003448EB" w:rsidRDefault="00A77B3E" w:rsidP="00B50B39">
      <w:pPr>
        <w:spacing w:line="360" w:lineRule="auto"/>
        <w:jc w:val="both"/>
        <w:rPr>
          <w:rFonts w:ascii="Book Antiqua" w:hAnsi="Book Antiqua"/>
        </w:rPr>
      </w:pPr>
    </w:p>
    <w:p w14:paraId="2ADD1D7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Key Words: </w:t>
      </w:r>
      <w:r w:rsidRPr="003448EB">
        <w:rPr>
          <w:rFonts w:ascii="Book Antiqua" w:eastAsia="Book Antiqua" w:hAnsi="Book Antiqua" w:cs="Book Antiqua"/>
          <w:color w:val="000000"/>
        </w:rPr>
        <w:t>Hepatocellular carcinoma; Sorafenib; Pharmacists; Oncologists; Prognosis; Duration of therapy</w:t>
      </w:r>
    </w:p>
    <w:p w14:paraId="7FBF7853" w14:textId="77777777" w:rsidR="00A77B3E" w:rsidRPr="003448EB" w:rsidRDefault="00A77B3E" w:rsidP="00B50B39">
      <w:pPr>
        <w:spacing w:line="360" w:lineRule="auto"/>
        <w:jc w:val="both"/>
        <w:rPr>
          <w:rFonts w:ascii="Book Antiqua" w:hAnsi="Book Antiqua"/>
        </w:rPr>
      </w:pPr>
    </w:p>
    <w:p w14:paraId="6F78072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Ochi M,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xml:space="preserve"> T, Araki M, Ikegami T. Prolonged survival in patients with hand-foot skin reaction secondary to cooperative sorafenib treatment. </w:t>
      </w:r>
      <w:r w:rsidRPr="003448EB">
        <w:rPr>
          <w:rFonts w:ascii="Book Antiqua" w:eastAsia="Book Antiqua" w:hAnsi="Book Antiqua" w:cs="Book Antiqua"/>
          <w:i/>
          <w:iCs/>
          <w:color w:val="000000"/>
        </w:rPr>
        <w:t>World J Gastroenterol</w:t>
      </w:r>
      <w:r w:rsidRPr="003448EB">
        <w:rPr>
          <w:rFonts w:ascii="Book Antiqua" w:eastAsia="Book Antiqua" w:hAnsi="Book Antiqua" w:cs="Book Antiqua"/>
          <w:color w:val="000000"/>
        </w:rPr>
        <w:t xml:space="preserve"> 2021; In press</w:t>
      </w:r>
    </w:p>
    <w:p w14:paraId="6AB75EDF" w14:textId="77777777" w:rsidR="00A77B3E" w:rsidRPr="003448EB" w:rsidRDefault="00A77B3E" w:rsidP="00B50B39">
      <w:pPr>
        <w:spacing w:line="360" w:lineRule="auto"/>
        <w:jc w:val="both"/>
        <w:rPr>
          <w:rFonts w:ascii="Book Antiqua" w:hAnsi="Book Antiqua"/>
        </w:rPr>
      </w:pPr>
    </w:p>
    <w:p w14:paraId="17BF8D0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Core Tip: </w:t>
      </w:r>
      <w:r w:rsidRPr="003448EB">
        <w:rPr>
          <w:rFonts w:ascii="Book Antiqua" w:eastAsia="Book Antiqua" w:hAnsi="Book Antiqua" w:cs="Book Antiqua"/>
          <w:color w:val="000000"/>
        </w:rPr>
        <w:t xml:space="preserve">We investigated the effect of cooperation between oncologists and pharmacists (mutual cooperation system) on the prognosis of patients with advanced hepatocellular carcinoma treated with sorafenib and found that cooperation increased medication adherence. Prolonged adherence was correlated with overall survival and time to treatment failure in patients with sorafenib-related hand-foot skin reactions. Our mutual cooperation system could be used to manage patients treated with various </w:t>
      </w:r>
      <w:proofErr w:type="spellStart"/>
      <w:r w:rsidRPr="003448EB">
        <w:rPr>
          <w:rFonts w:ascii="Book Antiqua" w:eastAsia="Book Antiqua" w:hAnsi="Book Antiqua" w:cs="Book Antiqua"/>
          <w:color w:val="000000"/>
        </w:rPr>
        <w:t>multikinase</w:t>
      </w:r>
      <w:proofErr w:type="spellEnd"/>
      <w:r w:rsidRPr="003448EB">
        <w:rPr>
          <w:rFonts w:ascii="Book Antiqua" w:eastAsia="Book Antiqua" w:hAnsi="Book Antiqua" w:cs="Book Antiqua"/>
          <w:color w:val="000000"/>
        </w:rPr>
        <w:t xml:space="preserve"> inhibitors and improve overall survival in studies that use sorafenib as the control drug. Future clinical investigations that include measures to improve medication adherence could eliminate the underestimation of medication efficacy that may otherwise occur due to preventable nonadherence.</w:t>
      </w:r>
    </w:p>
    <w:p w14:paraId="2A91C3E5" w14:textId="77777777" w:rsidR="00A77B3E" w:rsidRPr="003448EB" w:rsidRDefault="00A77B3E" w:rsidP="00B50B39">
      <w:pPr>
        <w:spacing w:line="360" w:lineRule="auto"/>
        <w:jc w:val="both"/>
        <w:rPr>
          <w:rFonts w:ascii="Book Antiqua" w:hAnsi="Book Antiqua"/>
        </w:rPr>
      </w:pPr>
    </w:p>
    <w:p w14:paraId="3515022E"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INTRODUCTION</w:t>
      </w:r>
    </w:p>
    <w:p w14:paraId="02017E5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 xml:space="preserve">Sorafenib is a </w:t>
      </w:r>
      <w:proofErr w:type="spellStart"/>
      <w:r w:rsidRPr="003448EB">
        <w:rPr>
          <w:rFonts w:ascii="Book Antiqua" w:eastAsia="Book Antiqua" w:hAnsi="Book Antiqua" w:cs="Book Antiqua"/>
          <w:color w:val="000000"/>
        </w:rPr>
        <w:t>multikinase</w:t>
      </w:r>
      <w:proofErr w:type="spellEnd"/>
      <w:r w:rsidRPr="003448EB">
        <w:rPr>
          <w:rFonts w:ascii="Book Antiqua" w:eastAsia="Book Antiqua" w:hAnsi="Book Antiqua" w:cs="Book Antiqua"/>
          <w:color w:val="000000"/>
        </w:rPr>
        <w:t xml:space="preserve"> inhibitor used to treat advanced hepatocellular carcinoma (HCC</w:t>
      </w:r>
      <w:proofErr w:type="gramStart"/>
      <w:r w:rsidRPr="003448EB">
        <w:rPr>
          <w:rFonts w:ascii="Book Antiqua" w:eastAsia="Book Antiqua" w:hAnsi="Book Antiqua" w:cs="Book Antiqua"/>
          <w:color w:val="000000"/>
        </w:rPr>
        <w:t>)</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1,2]</w:t>
      </w:r>
      <w:r w:rsidRPr="003448EB">
        <w:rPr>
          <w:rFonts w:ascii="Book Antiqua" w:eastAsia="Book Antiqua" w:hAnsi="Book Antiqua" w:cs="Book Antiqua"/>
          <w:color w:val="000000"/>
        </w:rPr>
        <w:t xml:space="preserve">. Although sorafenib prolongs overall survival (OS) in patients with HCC, it is associated with various adverse events (AEs) that may lead to permanent </w:t>
      </w:r>
      <w:proofErr w:type="gramStart"/>
      <w:r w:rsidRPr="003448EB">
        <w:rPr>
          <w:rFonts w:ascii="Book Antiqua" w:eastAsia="Book Antiqua" w:hAnsi="Book Antiqua" w:cs="Book Antiqua"/>
          <w:color w:val="000000"/>
        </w:rPr>
        <w:t>discontinuation</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3]</w:t>
      </w:r>
      <w:r w:rsidRPr="003448EB">
        <w:rPr>
          <w:rFonts w:ascii="Book Antiqua" w:eastAsia="Book Antiqua" w:hAnsi="Book Antiqua" w:cs="Book Antiqua"/>
          <w:color w:val="000000"/>
        </w:rPr>
        <w:t>.</w:t>
      </w:r>
    </w:p>
    <w:p w14:paraId="0E57E0F1"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Previous studies found that hand-foot skin reaction (HFSR) was a prognostic marker of longer </w:t>
      </w:r>
      <w:proofErr w:type="gramStart"/>
      <w:r w:rsidRPr="003448EB">
        <w:rPr>
          <w:rFonts w:ascii="Book Antiqua" w:eastAsia="Book Antiqua" w:hAnsi="Book Antiqua" w:cs="Book Antiqua"/>
          <w:color w:val="000000"/>
        </w:rPr>
        <w:t>survival</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4-6]</w:t>
      </w:r>
      <w:r w:rsidRPr="003448EB">
        <w:rPr>
          <w:rFonts w:ascii="Book Antiqua" w:eastAsia="Book Antiqua" w:hAnsi="Book Antiqua" w:cs="Book Antiqua"/>
          <w:color w:val="000000"/>
        </w:rPr>
        <w:t xml:space="preserve">. While HFSR is an important predictor of survival outcomes in clinical practice and clinical sorafenib trials, AE management could influence the efficacy of HFSR as a prognostic factor. A recent study showed that increased clinician experience with AEs reduced the potential for discontinuing sorafenib therapy, resulting in a longer OS in patients with </w:t>
      </w:r>
      <w:proofErr w:type="gramStart"/>
      <w:r w:rsidRPr="003448EB">
        <w:rPr>
          <w:rFonts w:ascii="Book Antiqua" w:eastAsia="Book Antiqua" w:hAnsi="Book Antiqua" w:cs="Book Antiqua"/>
          <w:color w:val="000000"/>
        </w:rPr>
        <w:t>HCC</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7]</w:t>
      </w:r>
      <w:r w:rsidRPr="003448EB">
        <w:rPr>
          <w:rFonts w:ascii="Book Antiqua" w:eastAsia="Book Antiqua" w:hAnsi="Book Antiqua" w:cs="Book Antiqua"/>
          <w:color w:val="000000"/>
        </w:rPr>
        <w:t>. Nevertheless, it takes a long time for clinicians to develop the necessary experience for the management of AEs, and even with experience, it takes a substantial amount of time to provide a system of adequate follow-up after sorafenib initiation.</w:t>
      </w:r>
    </w:p>
    <w:p w14:paraId="5C5D262A"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As sorafenib is administered orally, its successful use for HCC treatment relies on patient medication adherence. However, many studies indicate that patients with cancer are sometimes nonadherent when prescribed oral </w:t>
      </w:r>
      <w:proofErr w:type="gramStart"/>
      <w:r w:rsidRPr="003448EB">
        <w:rPr>
          <w:rFonts w:ascii="Book Antiqua" w:eastAsia="Book Antiqua" w:hAnsi="Book Antiqua" w:cs="Book Antiqua"/>
          <w:color w:val="000000"/>
        </w:rPr>
        <w:t>drugs</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8,9]</w:t>
      </w:r>
      <w:r w:rsidRPr="003448EB">
        <w:rPr>
          <w:rFonts w:ascii="Book Antiqua" w:eastAsia="Book Antiqua" w:hAnsi="Book Antiqua" w:cs="Book Antiqua"/>
          <w:color w:val="000000"/>
        </w:rPr>
        <w:t>, and AEs are the main cause of poor adherence</w:t>
      </w:r>
      <w:r w:rsidRPr="003448EB">
        <w:rPr>
          <w:rFonts w:ascii="Book Antiqua" w:eastAsia="Book Antiqua" w:hAnsi="Book Antiqua" w:cs="Book Antiqua"/>
          <w:color w:val="000000"/>
          <w:vertAlign w:val="superscript"/>
        </w:rPr>
        <w:t>[10]</w:t>
      </w:r>
      <w:r w:rsidRPr="003448EB">
        <w:rPr>
          <w:rFonts w:ascii="Book Antiqua" w:eastAsia="Book Antiqua" w:hAnsi="Book Antiqua" w:cs="Book Antiqua"/>
          <w:color w:val="000000"/>
        </w:rPr>
        <w:t xml:space="preserve">. Poor adherence can lead to poor outcomes, and clinicians may wrongly conclude that a drug is ineffective because the response to treatment is </w:t>
      </w:r>
      <w:proofErr w:type="gramStart"/>
      <w:r w:rsidRPr="003448EB">
        <w:rPr>
          <w:rFonts w:ascii="Book Antiqua" w:eastAsia="Book Antiqua" w:hAnsi="Book Antiqua" w:cs="Book Antiqua"/>
          <w:color w:val="000000"/>
        </w:rPr>
        <w:t>insufficient</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11]</w:t>
      </w:r>
      <w:r w:rsidRPr="003448EB">
        <w:rPr>
          <w:rFonts w:ascii="Book Antiqua" w:eastAsia="Book Antiqua" w:hAnsi="Book Antiqua" w:cs="Book Antiqua"/>
          <w:color w:val="000000"/>
        </w:rPr>
        <w:t>.</w:t>
      </w:r>
    </w:p>
    <w:p w14:paraId="7C8DF4F7"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It is important for patients to actively participate in making treatment decisions and then receive treatment according to their decisions to improve </w:t>
      </w:r>
      <w:proofErr w:type="gramStart"/>
      <w:r w:rsidRPr="003448EB">
        <w:rPr>
          <w:rFonts w:ascii="Book Antiqua" w:eastAsia="Book Antiqua" w:hAnsi="Book Antiqua" w:cs="Book Antiqua"/>
          <w:color w:val="000000"/>
        </w:rPr>
        <w:t>adherence</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12]</w:t>
      </w:r>
      <w:r w:rsidRPr="003448EB">
        <w:rPr>
          <w:rFonts w:ascii="Book Antiqua" w:eastAsia="Book Antiqua" w:hAnsi="Book Antiqua" w:cs="Book Antiqua"/>
          <w:color w:val="000000"/>
        </w:rPr>
        <w:t xml:space="preserve">. We introduced behavior change techniques (patient education, medication regimen management, pharmacist-led </w:t>
      </w:r>
      <w:proofErr w:type="gramStart"/>
      <w:r w:rsidRPr="003448EB">
        <w:rPr>
          <w:rFonts w:ascii="Book Antiqua" w:eastAsia="Book Antiqua" w:hAnsi="Book Antiqua" w:cs="Book Antiqua"/>
          <w:color w:val="000000"/>
        </w:rPr>
        <w:t>interventions)</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13,14]</w:t>
      </w:r>
      <w:r w:rsidRPr="003448EB">
        <w:rPr>
          <w:rFonts w:ascii="Book Antiqua" w:eastAsia="Book Antiqua" w:hAnsi="Book Antiqua" w:cs="Book Antiqua"/>
          <w:color w:val="000000"/>
        </w:rPr>
        <w:t xml:space="preserve"> in our facilities as interventions to promote adherence. Using a preliminary simulation, we estimated that collecting patient information takes at least 20 min. From this, we concluded that it is difficult for oncologists to manage drugs that cause various AEs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xml:space="preserve">, sorafenib) without assistance due to their obligations to many patients. Thus, we developed a mutual cooperation system involving collaboration between oncologists and pharmacists to ensure effective AE management. This mutual cooperation system consisted of the initial intervention </w:t>
      </w:r>
      <w:r w:rsidRPr="003448EB">
        <w:rPr>
          <w:rFonts w:ascii="Book Antiqua" w:eastAsia="Book Antiqua" w:hAnsi="Book Antiqua" w:cs="Book Antiqua"/>
          <w:color w:val="000000"/>
        </w:rPr>
        <w:lastRenderedPageBreak/>
        <w:t>by a pharmacist followed by a medical examination by an oncologist. However, this system was affected by the patient’s behavior because patients were not obliged to follow the system. Some patients received intervention from a pharmacist after a medical examination by an oncologist.</w:t>
      </w:r>
    </w:p>
    <w:p w14:paraId="6CFBB485"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Effective AE management that improves medication adherence has a considerable impact on survival outcomes. Previous single-center studies suggest that healthcare provider interventions improve adherence, and the onset of HFSR was a favorable prognostic factor of OS in patients with </w:t>
      </w:r>
      <w:proofErr w:type="gramStart"/>
      <w:r w:rsidRPr="003448EB">
        <w:rPr>
          <w:rFonts w:ascii="Book Antiqua" w:eastAsia="Book Antiqua" w:hAnsi="Book Antiqua" w:cs="Book Antiqua"/>
          <w:color w:val="000000"/>
        </w:rPr>
        <w:t>HCC</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15,16]</w:t>
      </w:r>
      <w:r w:rsidRPr="003448EB">
        <w:rPr>
          <w:rFonts w:ascii="Book Antiqua" w:eastAsia="Book Antiqua" w:hAnsi="Book Antiqua" w:cs="Book Antiqua"/>
          <w:color w:val="000000"/>
        </w:rPr>
        <w:t>. However, little is known about the association between prognosis and medication adherence in patients with HCC, and multicenter studies on this relationship are lacking. Therefore, we aimed to compare the impact of different AE interventions on patient prognosis.</w:t>
      </w:r>
    </w:p>
    <w:p w14:paraId="0F4937D9" w14:textId="77777777" w:rsidR="00A77B3E" w:rsidRPr="003448EB" w:rsidRDefault="00A77B3E" w:rsidP="00B50B39">
      <w:pPr>
        <w:spacing w:line="360" w:lineRule="auto"/>
        <w:ind w:firstLine="480"/>
        <w:jc w:val="both"/>
        <w:rPr>
          <w:rFonts w:ascii="Book Antiqua" w:hAnsi="Book Antiqua"/>
        </w:rPr>
      </w:pPr>
    </w:p>
    <w:p w14:paraId="06F0381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MATERIALS AND METHODS</w:t>
      </w:r>
    </w:p>
    <w:p w14:paraId="48A5271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Study design</w:t>
      </w:r>
    </w:p>
    <w:p w14:paraId="02D9A1E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We retrospectively evaluated patients with advanced HCC treated with sorafenib monotherapy and no subsequent chemotherapeutic agent between May 2009 and March 2018 using the medical records of the following core hospitals in Japan: Hitachi General Hospital, Ibaraki Prefectural Central Hospital, Ibaraki Cancer Center, and Tokyo Medical University Ibaraki Medical Center. These hospitals are core hospitals that were designated by the government to provide specialized cancer medical care. The patients were separated into three groups: Group A, patients without HFSR but with pharmacist intervention (this intervention was performed by pharmacists who did not share interview information with the oncologist; it is called nonmutual cooperation system); Group B, patients with HFSR and nonmutual cooperation system; and Group C, patients with HFSR and intervention by pharmacists who shared interview information with the oncologist (mutual cooperation system).</w:t>
      </w:r>
    </w:p>
    <w:p w14:paraId="7225011E" w14:textId="77777777" w:rsidR="00A77B3E" w:rsidRPr="003448EB" w:rsidRDefault="00A77B3E" w:rsidP="00B50B39">
      <w:pPr>
        <w:spacing w:line="360" w:lineRule="auto"/>
        <w:jc w:val="both"/>
        <w:rPr>
          <w:rFonts w:ascii="Book Antiqua" w:hAnsi="Book Antiqua"/>
        </w:rPr>
      </w:pPr>
    </w:p>
    <w:p w14:paraId="10A8D2D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Patient selection</w:t>
      </w:r>
    </w:p>
    <w:p w14:paraId="37AC4A2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We included patients with stage B or C HCC according to the Barcelona Clinic Liver Cancer (BCLC) staging system. The indication criteria for sorafenib administration were as follows: Child-Pugh grade A or B; Eastern Cooperative Oncology Group (ECOG) performance status 0 or 1; alanine aminotransferase &lt; 5-fold the upper limit of the normal range; total bilirubin level &lt; 2.0 mg/dL; neutrophil count &gt; 1500/µL; hemoglobin level ≥ 8.5 g/dL; platelet count &gt; 75000/µL; and no dialysis requirement. The study exclusion criteria were as follows: patients with a history of thrombosis or ischemic heart disease, pregnant women and those who could become pregnant, and patients with brain metastases. Our study protocol was approved by the ethics committee of each hospital and was performed according to the ethical guidelines of the 1975 Declaration of Helsinki. We obtained informed consent using an opt-out option on each facility’s website (see Institution website uniform resource locators). This study was registered with the University Hospital Medical Information Network (UMIN) (ID: UMIN000038701).</w:t>
      </w:r>
    </w:p>
    <w:p w14:paraId="67A5BD24" w14:textId="77777777" w:rsidR="00A77B3E" w:rsidRPr="003448EB" w:rsidRDefault="00A77B3E" w:rsidP="00B50B39">
      <w:pPr>
        <w:spacing w:line="360" w:lineRule="auto"/>
        <w:jc w:val="both"/>
        <w:rPr>
          <w:rFonts w:ascii="Book Antiqua" w:hAnsi="Book Antiqua"/>
        </w:rPr>
      </w:pPr>
    </w:p>
    <w:p w14:paraId="5C55FB6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Data collection</w:t>
      </w:r>
    </w:p>
    <w:p w14:paraId="699A526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collected patient data from the start of sorafenib, including age, sex, etiology of underlying liver disease, Child-Pugh score, history of present illness, medical history, tumor marker level [alpha-fetoprotein (AFP)], ECOG performance status, and relevant laboratory tests, including total bilirubin, albumin, and international normalized ratio (INR). Laboratory tests and tumor marker levels were obtained every 8–10 </w:t>
      </w:r>
      <w:proofErr w:type="spellStart"/>
      <w:r w:rsidRPr="003448EB">
        <w:rPr>
          <w:rFonts w:ascii="Book Antiqua" w:eastAsia="Book Antiqua" w:hAnsi="Book Antiqua" w:cs="Book Antiqua"/>
          <w:color w:val="000000"/>
        </w:rPr>
        <w:t>wk</w:t>
      </w:r>
      <w:proofErr w:type="spellEnd"/>
      <w:r w:rsidRPr="003448EB">
        <w:rPr>
          <w:rFonts w:ascii="Book Antiqua" w:eastAsia="Book Antiqua" w:hAnsi="Book Antiqua" w:cs="Book Antiqua"/>
          <w:color w:val="000000"/>
        </w:rPr>
        <w:t xml:space="preserve"> until permanent sorafenib discontinuation.</w:t>
      </w:r>
    </w:p>
    <w:p w14:paraId="6058AEF5" w14:textId="77777777" w:rsidR="00A77B3E" w:rsidRPr="003448EB" w:rsidRDefault="00A77B3E" w:rsidP="00B50B39">
      <w:pPr>
        <w:spacing w:line="360" w:lineRule="auto"/>
        <w:jc w:val="both"/>
        <w:rPr>
          <w:rFonts w:ascii="Book Antiqua" w:hAnsi="Book Antiqua"/>
        </w:rPr>
      </w:pPr>
    </w:p>
    <w:p w14:paraId="453CCFE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Computed tomography evaluations</w:t>
      </w:r>
    </w:p>
    <w:p w14:paraId="4900EE7E"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Sorafenib response evaluations on computed tomography (CT) were scheduled for 8 </w:t>
      </w:r>
      <w:proofErr w:type="spellStart"/>
      <w:r w:rsidRPr="003448EB">
        <w:rPr>
          <w:rFonts w:ascii="Book Antiqua" w:eastAsia="Book Antiqua" w:hAnsi="Book Antiqua" w:cs="Book Antiqua"/>
          <w:color w:val="000000"/>
        </w:rPr>
        <w:t>wk</w:t>
      </w:r>
      <w:proofErr w:type="spellEnd"/>
      <w:r w:rsidRPr="003448EB">
        <w:rPr>
          <w:rFonts w:ascii="Book Antiqua" w:eastAsia="Book Antiqua" w:hAnsi="Book Antiqua" w:cs="Book Antiqua"/>
          <w:color w:val="000000"/>
        </w:rPr>
        <w:t xml:space="preserve"> after the first treatment, and subsequent evaluations were planned every 8 wk. Thoracic, abdominal, and pelvic CT scans were performed with intravenous iodinated contrast media. CT evaluations were conducted based on the modified Response Evaluation Criteria in Solid Tumors (</w:t>
      </w:r>
      <w:proofErr w:type="spellStart"/>
      <w:r w:rsidRPr="003448EB">
        <w:rPr>
          <w:rFonts w:ascii="Book Antiqua" w:eastAsia="Book Antiqua" w:hAnsi="Book Antiqua" w:cs="Book Antiqua"/>
          <w:color w:val="000000"/>
        </w:rPr>
        <w:t>mRECIST</w:t>
      </w:r>
      <w:proofErr w:type="spellEnd"/>
      <w:proofErr w:type="gramStart"/>
      <w:r w:rsidRPr="003448EB">
        <w:rPr>
          <w:rFonts w:ascii="Book Antiqua" w:eastAsia="Book Antiqua" w:hAnsi="Book Antiqua" w:cs="Book Antiqua"/>
          <w:color w:val="000000"/>
        </w:rPr>
        <w:t>)</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17]</w:t>
      </w:r>
      <w:r w:rsidRPr="003448EB">
        <w:rPr>
          <w:rFonts w:ascii="Book Antiqua" w:eastAsia="Book Antiqua" w:hAnsi="Book Antiqua" w:cs="Book Antiqua"/>
          <w:color w:val="000000"/>
        </w:rPr>
        <w:t xml:space="preserve"> by an oncologist.</w:t>
      </w:r>
    </w:p>
    <w:p w14:paraId="43CA313D" w14:textId="77777777" w:rsidR="00A77B3E" w:rsidRPr="003448EB" w:rsidRDefault="00A77B3E" w:rsidP="00B50B39">
      <w:pPr>
        <w:spacing w:line="360" w:lineRule="auto"/>
        <w:jc w:val="both"/>
        <w:rPr>
          <w:rFonts w:ascii="Book Antiqua" w:hAnsi="Book Antiqua"/>
        </w:rPr>
      </w:pPr>
    </w:p>
    <w:p w14:paraId="3ECFC65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Intervention</w:t>
      </w:r>
    </w:p>
    <w:p w14:paraId="43F958B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Pharmacists with special expertise provided medical care at the pharmacist’s outpatient clinic before or after a patient was medically examined by an oncologist. Every 8 </w:t>
      </w:r>
      <w:proofErr w:type="spellStart"/>
      <w:r w:rsidRPr="003448EB">
        <w:rPr>
          <w:rFonts w:ascii="Book Antiqua" w:eastAsia="Book Antiqua" w:hAnsi="Book Antiqua" w:cs="Book Antiqua"/>
          <w:color w:val="000000"/>
        </w:rPr>
        <w:t>wk</w:t>
      </w:r>
      <w:proofErr w:type="spellEnd"/>
      <w:r w:rsidRPr="003448EB">
        <w:rPr>
          <w:rFonts w:ascii="Book Antiqua" w:eastAsia="Book Antiqua" w:hAnsi="Book Antiqua" w:cs="Book Antiqua"/>
          <w:color w:val="000000"/>
        </w:rPr>
        <w:t xml:space="preserve"> at each visit, an AE evaluation, a residual drug count, self-management advice, and patient education, including descriptions of successful cases of AE management, pharmacist support, and advice for relieving patient anxiety and misunderstanding, were conducted. AEs were evaluated according to the National Cancer Institute Common Toxicity Criteria for Adverse Events (NCI-CTCAE) version 5.0. Pharmacists recommended that all patients use heparinoids before sorafenib treatment to prevent AEs. Additionally, the prophylactic use of urea cream to prevent dermatologic AEs was recommended after beginning sorafenib treatment. Pharmacist intervention began at the start of sorafenib treatment and continued until treatment ended.</w:t>
      </w:r>
    </w:p>
    <w:p w14:paraId="4FCC4AA7" w14:textId="77777777" w:rsidR="00A77B3E" w:rsidRPr="003448EB" w:rsidRDefault="00A77B3E" w:rsidP="00B50B39">
      <w:pPr>
        <w:spacing w:line="360" w:lineRule="auto"/>
        <w:jc w:val="both"/>
        <w:rPr>
          <w:rFonts w:ascii="Book Antiqua" w:hAnsi="Book Antiqua"/>
        </w:rPr>
      </w:pPr>
    </w:p>
    <w:p w14:paraId="6B58C60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Mutual cooperation system</w:t>
      </w:r>
    </w:p>
    <w:p w14:paraId="47B1E0D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We developed a mutual cooperation system that was initiated at the start of sorafenib treatment to manage AEs effectively. Although patients in Groups B and C received medical advice from oncologists and pharmacists, the systems differed. Group C received 20- to 30-min consultations during which pharmacists provided accurate information about sorafenib to alleviate fear and anxiety related to AEs. After each visit, the pharmacist summarized the consultation results in a report and discussed their findings with an oncologist. Group B patients received a 5- to 10-min session during which pharmacists provided the same information about sorafenib that Group C had received. These pharmacist consultations were brief because a thorough medical examination by an oncologist had already been completed. Furthermore, the pharmacist did not record the consultation content in the medical chart because the visit involved verbal intervention only, and a detailed report was unnecessary.</w:t>
      </w:r>
    </w:p>
    <w:p w14:paraId="0E0AAFE2" w14:textId="77777777" w:rsidR="00A77B3E" w:rsidRPr="003448EB" w:rsidRDefault="00A77B3E" w:rsidP="00B50B39">
      <w:pPr>
        <w:spacing w:line="360" w:lineRule="auto"/>
        <w:jc w:val="both"/>
        <w:rPr>
          <w:rFonts w:ascii="Book Antiqua" w:hAnsi="Book Antiqua"/>
        </w:rPr>
      </w:pPr>
    </w:p>
    <w:p w14:paraId="4B0A318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Sorafenib therapy and AE management</w:t>
      </w:r>
    </w:p>
    <w:p w14:paraId="611B5D1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Sorafenib was administered at a dose of 400 or 800 mg/d. The initial dose of sorafenib was determined by an oncologist. At the start of sorafenib treatment, all patients received information about AEs from a pharmacist and an oncologist. Patients who developed an AE could confer with their consulting pharmacist or prescribing oncologist. Pharmacists collected and recorded patient data, including the AE grade (according to NCI-CTCAE version 5.0), AE time of onset, and emotional response of the patient to the AE. Oncologists performed dose modifications throughout treatment, including reductions, interruptions, and reintroductions, according to the drug manufacturer’s package insert for sorafenib.</w:t>
      </w:r>
    </w:p>
    <w:p w14:paraId="71CE1829" w14:textId="77777777" w:rsidR="00A77B3E" w:rsidRPr="003448EB" w:rsidRDefault="00A77B3E" w:rsidP="00B50B39">
      <w:pPr>
        <w:spacing w:line="360" w:lineRule="auto"/>
        <w:jc w:val="both"/>
        <w:rPr>
          <w:rFonts w:ascii="Book Antiqua" w:hAnsi="Book Antiqua"/>
        </w:rPr>
      </w:pPr>
    </w:p>
    <w:p w14:paraId="0A81C59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Criteria for permanent sorafenib discontinuation</w:t>
      </w:r>
    </w:p>
    <w:p w14:paraId="2F85427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Sorafenib was permanently discontinued when any of the following events occurred: (1) </w:t>
      </w:r>
      <w:r w:rsidRPr="003448EB">
        <w:rPr>
          <w:rFonts w:ascii="Book Antiqua" w:eastAsia="Book Antiqua" w:hAnsi="Book Antiqua" w:cs="Book Antiqua"/>
          <w:caps/>
          <w:color w:val="000000"/>
        </w:rPr>
        <w:t>t</w:t>
      </w:r>
      <w:r w:rsidRPr="003448EB">
        <w:rPr>
          <w:rFonts w:ascii="Book Antiqua" w:eastAsia="Book Antiqua" w:hAnsi="Book Antiqua" w:cs="Book Antiqua"/>
          <w:color w:val="000000"/>
        </w:rPr>
        <w:t xml:space="preserve">umor progression, defined as either radiologic (by the </w:t>
      </w:r>
      <w:proofErr w:type="spellStart"/>
      <w:r w:rsidRPr="003448EB">
        <w:rPr>
          <w:rFonts w:ascii="Book Antiqua" w:eastAsia="Book Antiqua" w:hAnsi="Book Antiqua" w:cs="Book Antiqua"/>
          <w:color w:val="000000"/>
        </w:rPr>
        <w:t>mRECIST</w:t>
      </w:r>
      <w:proofErr w:type="spellEnd"/>
      <w:r w:rsidRPr="003448EB">
        <w:rPr>
          <w:rFonts w:ascii="Book Antiqua" w:eastAsia="Book Antiqua" w:hAnsi="Book Antiqua" w:cs="Book Antiqua"/>
          <w:color w:val="000000"/>
        </w:rPr>
        <w:t xml:space="preserve"> criteria) or clinically progressive disease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xml:space="preserve">, ECOG performance status decline or onset of severe symptoms with no connection to liver failure); (2) </w:t>
      </w:r>
      <w:r w:rsidRPr="003448EB">
        <w:rPr>
          <w:rFonts w:ascii="Book Antiqua" w:eastAsia="Book Antiqua" w:hAnsi="Book Antiqua" w:cs="Book Antiqua"/>
          <w:caps/>
          <w:color w:val="000000"/>
        </w:rPr>
        <w:t>u</w:t>
      </w:r>
      <w:r w:rsidRPr="003448EB">
        <w:rPr>
          <w:rFonts w:ascii="Book Antiqua" w:eastAsia="Book Antiqua" w:hAnsi="Book Antiqua" w:cs="Book Antiqua"/>
          <w:color w:val="000000"/>
        </w:rPr>
        <w:t>nacceptable AEs, defined as moderate to severe AEs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xml:space="preserve">, grades 2–4) that persisted after dose reduction or temporary treatment interruption; or (3) </w:t>
      </w:r>
      <w:r w:rsidRPr="003448EB">
        <w:rPr>
          <w:rFonts w:ascii="Book Antiqua" w:eastAsia="Book Antiqua" w:hAnsi="Book Antiqua" w:cs="Book Antiqua"/>
          <w:caps/>
          <w:color w:val="000000"/>
        </w:rPr>
        <w:t>l</w:t>
      </w:r>
      <w:r w:rsidRPr="003448EB">
        <w:rPr>
          <w:rFonts w:ascii="Book Antiqua" w:eastAsia="Book Antiqua" w:hAnsi="Book Antiqua" w:cs="Book Antiqua"/>
          <w:color w:val="000000"/>
        </w:rPr>
        <w:t>iver decompensation, defined as gastrointestinal bleeding, ascites, jaundice, or encephalopathy</w:t>
      </w:r>
      <w:r w:rsidRPr="003448EB">
        <w:rPr>
          <w:rFonts w:ascii="Book Antiqua" w:eastAsia="Book Antiqua" w:hAnsi="Book Antiqua" w:cs="Book Antiqua"/>
          <w:color w:val="000000"/>
          <w:vertAlign w:val="superscript"/>
        </w:rPr>
        <w:t>[3]</w:t>
      </w:r>
      <w:r w:rsidRPr="003448EB">
        <w:rPr>
          <w:rFonts w:ascii="Book Antiqua" w:eastAsia="Book Antiqua" w:hAnsi="Book Antiqua" w:cs="Book Antiqua"/>
          <w:color w:val="000000"/>
        </w:rPr>
        <w:t xml:space="preserve">. All patients were managed by an oncologist and received excellent supportive care after sorafenib was permanently discontinued. Time to treatment failure (TTF) was defined as the duration from the start of sorafenib treatment to permanent discontinuation. The proportion of days covered (PDC) was defined as the TTF divided by the time to radiologic progressive disease after </w:t>
      </w:r>
      <w:proofErr w:type="gramStart"/>
      <w:r w:rsidRPr="003448EB">
        <w:rPr>
          <w:rFonts w:ascii="Book Antiqua" w:eastAsia="Book Antiqua" w:hAnsi="Book Antiqua" w:cs="Book Antiqua"/>
          <w:color w:val="000000"/>
        </w:rPr>
        <w:t>sorafenib</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18]</w:t>
      </w:r>
      <w:r w:rsidRPr="003448EB">
        <w:rPr>
          <w:rFonts w:ascii="Book Antiqua" w:eastAsia="Book Antiqua" w:hAnsi="Book Antiqua" w:cs="Book Antiqua"/>
          <w:color w:val="000000"/>
        </w:rPr>
        <w:t>. Nonadherence was defined as a PDC of ≤ 80</w:t>
      </w:r>
      <w:proofErr w:type="gramStart"/>
      <w:r w:rsidRPr="003448EB">
        <w:rPr>
          <w:rFonts w:ascii="Book Antiqua" w:eastAsia="Book Antiqua" w:hAnsi="Book Antiqua" w:cs="Book Antiqua"/>
          <w:color w:val="000000"/>
        </w:rPr>
        <w:t>%</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19]</w:t>
      </w:r>
      <w:r w:rsidRPr="003448EB">
        <w:rPr>
          <w:rFonts w:ascii="Book Antiqua" w:eastAsia="Book Antiqua" w:hAnsi="Book Antiqua" w:cs="Book Antiqua"/>
          <w:color w:val="000000"/>
        </w:rPr>
        <w:t>.</w:t>
      </w:r>
    </w:p>
    <w:p w14:paraId="265298B5" w14:textId="77777777" w:rsidR="00A77B3E" w:rsidRPr="003448EB" w:rsidRDefault="00A77B3E" w:rsidP="00B50B39">
      <w:pPr>
        <w:spacing w:line="360" w:lineRule="auto"/>
        <w:jc w:val="both"/>
        <w:rPr>
          <w:rFonts w:ascii="Book Antiqua" w:hAnsi="Book Antiqua"/>
        </w:rPr>
      </w:pPr>
    </w:p>
    <w:p w14:paraId="49B91F4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Statistical analysis</w:t>
      </w:r>
    </w:p>
    <w:p w14:paraId="5DF3057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Categorical variables were assessed using the chi-square test and are presented as frequencies or percentages. Continuous variables were analyzed using the Mann-Whitney </w:t>
      </w:r>
      <w:r w:rsidRPr="003448EB">
        <w:rPr>
          <w:rFonts w:ascii="Book Antiqua" w:eastAsia="Book Antiqua" w:hAnsi="Book Antiqua" w:cs="Book Antiqua"/>
          <w:i/>
          <w:iCs/>
          <w:color w:val="000000"/>
        </w:rPr>
        <w:t>U</w:t>
      </w:r>
      <w:r w:rsidRPr="003448EB">
        <w:rPr>
          <w:rFonts w:ascii="Book Antiqua" w:eastAsia="Book Antiqua" w:hAnsi="Book Antiqua" w:cs="Book Antiqua"/>
          <w:color w:val="000000"/>
        </w:rPr>
        <w:t xml:space="preserve"> test and are expressed as the mean ± SD. OS and TTF were evaluated using the Kaplan-Meier method. A landmark </w:t>
      </w:r>
      <w:proofErr w:type="gramStart"/>
      <w:r w:rsidRPr="003448EB">
        <w:rPr>
          <w:rFonts w:ascii="Book Antiqua" w:eastAsia="Book Antiqua" w:hAnsi="Book Antiqua" w:cs="Book Antiqua"/>
          <w:color w:val="000000"/>
        </w:rPr>
        <w:t>analysis</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20]</w:t>
      </w:r>
      <w:r w:rsidRPr="003448EB">
        <w:rPr>
          <w:rFonts w:ascii="Book Antiqua" w:eastAsia="Book Antiqua" w:hAnsi="Book Antiqua" w:cs="Book Antiqua"/>
          <w:color w:val="000000"/>
        </w:rPr>
        <w:t xml:space="preserve"> was performed to consider HFSR </w:t>
      </w:r>
      <w:r w:rsidRPr="003448EB">
        <w:rPr>
          <w:rFonts w:ascii="Book Antiqua" w:eastAsia="Book Antiqua" w:hAnsi="Book Antiqua" w:cs="Book Antiqua"/>
          <w:color w:val="000000"/>
        </w:rPr>
        <w:lastRenderedPageBreak/>
        <w:t>cases that might have occurred if a patient with HCC had not died as a guarantee-time bias. The analysis was performed using the time when the highest-grade HFSR occurred in 50% or more of the patients as a landmark (here, 30 d). The log-rank test was used to estimate differences in survival curves. Additionally, we used Cox regression analyses to evaluate the relationship between the time to the occurrence of an event and explanatory variables. Logistic regression analyses were used to evaluate the relationship between nonadherence and explanatory variables.</w:t>
      </w:r>
    </w:p>
    <w:p w14:paraId="4F24C7E5"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We included the following baseline characteristics as variables in our univariate analysis: age, sex, etiology of liver disease, bilirubin level, albumin level, INR, BCLC stage, ECOG performance status, macrovascular invasion, extrahepatic spread, serum AFP level, and number of previous </w:t>
      </w:r>
      <w:proofErr w:type="spellStart"/>
      <w:r w:rsidRPr="003448EB">
        <w:rPr>
          <w:rFonts w:ascii="Book Antiqua" w:eastAsia="Book Antiqua" w:hAnsi="Book Antiqua" w:cs="Book Antiqua"/>
          <w:color w:val="000000"/>
        </w:rPr>
        <w:t>transarterial</w:t>
      </w:r>
      <w:proofErr w:type="spellEnd"/>
      <w:r w:rsidRPr="003448EB">
        <w:rPr>
          <w:rFonts w:ascii="Book Antiqua" w:eastAsia="Book Antiqua" w:hAnsi="Book Antiqua" w:cs="Book Antiqua"/>
          <w:color w:val="000000"/>
        </w:rPr>
        <w:t xml:space="preserve"> chemoembolization (TACE) procedures for liver cancer. Variables identified as significant in the univariate analysis were included in the multivariate analysis. The correlations between OS and TTF were assessed by Spearman’s rank correlation coefficient. A p-value less than 0.05 was considered statistically significant. We used the Bonferroni correction for multiple comparisons to adjust the familywise error rate when comparing differences between the three groups. The statistical methods of this study were reviewed by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xml:space="preserve"> T from the Department of Gastroenterology, Hitachi General Hospital, Japan. All statistical analyses were performed using SPSS software, version 22 (IBM Corp., Armonk, NY, United States).</w:t>
      </w:r>
    </w:p>
    <w:p w14:paraId="51158218" w14:textId="77777777" w:rsidR="00A77B3E" w:rsidRPr="003448EB" w:rsidRDefault="00A77B3E" w:rsidP="00B50B39">
      <w:pPr>
        <w:spacing w:line="360" w:lineRule="auto"/>
        <w:ind w:firstLine="480"/>
        <w:jc w:val="both"/>
        <w:rPr>
          <w:rFonts w:ascii="Book Antiqua" w:hAnsi="Book Antiqua"/>
        </w:rPr>
      </w:pPr>
    </w:p>
    <w:p w14:paraId="412CADC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RESULTS</w:t>
      </w:r>
    </w:p>
    <w:p w14:paraId="6A12B98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Patients</w:t>
      </w:r>
    </w:p>
    <w:p w14:paraId="6B653A6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included 134 patients [median age, 69 years (range, 41–89 years); male,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99; female,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35] with advanced HCC who received sorafenib monotherapy without posttreatment (Group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41; Group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30; Group C,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63). The main etiological factor was hepatitis C virus (HCV) (77/134 patients, 57.5%), followed by hepatitis B virus (HBV) (30/134 patients, 22.4%).</w:t>
      </w:r>
    </w:p>
    <w:p w14:paraId="257E55A4" w14:textId="77777777" w:rsidR="00A77B3E" w:rsidRPr="003448EB" w:rsidRDefault="00A77B3E" w:rsidP="00B50B39">
      <w:pPr>
        <w:spacing w:line="360" w:lineRule="auto"/>
        <w:jc w:val="both"/>
        <w:rPr>
          <w:rFonts w:ascii="Book Antiqua" w:hAnsi="Book Antiqua"/>
        </w:rPr>
      </w:pPr>
    </w:p>
    <w:p w14:paraId="7AA82E5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lastRenderedPageBreak/>
        <w:t>Baseline characteristics</w:t>
      </w:r>
    </w:p>
    <w:p w14:paraId="2106E7E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All patients had cirrhosis [Child-Pugh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117 (87.3%); Child-Pugh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17 (12.7%)]. HCC was BCLC stage B in 55 patients (41.0%) and BCLC stage C in 79 patients (59.0%). None of the patients had a second primary cancer. Portal vein thrombosis was present in 35 patients (26.1%), and extrahepatic metastases were found in 67 patients (50.0%) (Table 1).</w:t>
      </w:r>
    </w:p>
    <w:p w14:paraId="20FB14D5" w14:textId="77777777" w:rsidR="00A77B3E" w:rsidRPr="003448EB" w:rsidRDefault="00A77B3E" w:rsidP="00B50B39">
      <w:pPr>
        <w:spacing w:line="360" w:lineRule="auto"/>
        <w:jc w:val="both"/>
        <w:rPr>
          <w:rFonts w:ascii="Book Antiqua" w:hAnsi="Book Antiqua"/>
        </w:rPr>
      </w:pPr>
    </w:p>
    <w:p w14:paraId="5B5B04A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AEs</w:t>
      </w:r>
    </w:p>
    <w:p w14:paraId="4DCE22E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An AE of at least grade 1 was observed in all patients after sorafenib administration. However, none of the patients experienced any grade 4 AEs. The main AEs in all groups were fatigue (30.6%), diarrhea (39.6%), hypertension (31.3%), anorexia (29.9%), and thrombocytopenia (38.8%) (Table 2). Many patients required temporary sorafenib interruption because of AEs (Group A, 19.5%; Group B, 6.7%; Group C, 41.3%). Of patients who temporarily stopped taking sorafenib, the rate of those who resumed treatment at a reduced dose was the highest in Group C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0.70;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0.11; Group B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(Table 3).</w:t>
      </w:r>
    </w:p>
    <w:p w14:paraId="781DE682" w14:textId="77777777" w:rsidR="00A77B3E" w:rsidRPr="003448EB" w:rsidRDefault="00A77B3E" w:rsidP="00B50B39">
      <w:pPr>
        <w:spacing w:line="360" w:lineRule="auto"/>
        <w:jc w:val="both"/>
        <w:rPr>
          <w:rFonts w:ascii="Book Antiqua" w:hAnsi="Book Antiqua"/>
        </w:rPr>
      </w:pPr>
    </w:p>
    <w:p w14:paraId="2E210D5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Radiological response evaluations</w:t>
      </w:r>
    </w:p>
    <w:p w14:paraId="45090BF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CT examinations performed every 2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showed that the disease control rate (DCR) gradually decreased in all groups. The response rate (RR) and DCR 8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after the start of sorafenib treatment were the highest in Group C (RR, 9.5%; DCR, 65.1%) (Table 4).</w:t>
      </w:r>
    </w:p>
    <w:p w14:paraId="071D8C6E" w14:textId="77777777" w:rsidR="00A77B3E" w:rsidRPr="003448EB" w:rsidRDefault="00A77B3E" w:rsidP="00B50B39">
      <w:pPr>
        <w:spacing w:line="360" w:lineRule="auto"/>
        <w:jc w:val="both"/>
        <w:rPr>
          <w:rFonts w:ascii="Book Antiqua" w:hAnsi="Book Antiqua"/>
        </w:rPr>
      </w:pPr>
    </w:p>
    <w:p w14:paraId="13A10F3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Permanent sorafenib discontinuation</w:t>
      </w:r>
    </w:p>
    <w:p w14:paraId="24D052E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The main causes of permanent drug discontinuation were HCC progression and sorafenib-related AE intolerance. Permanent discontinuation due to AE intolerance occurred most frequently in Group B (Group A (17.1%)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(60.0%),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Group A (17.1%)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(20.6%),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1.00; Group B (60.0%)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(20.6%),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0.05) (Table 5).</w:t>
      </w:r>
    </w:p>
    <w:p w14:paraId="6708E658" w14:textId="77777777" w:rsidR="00A77B3E" w:rsidRPr="003448EB" w:rsidRDefault="00A77B3E" w:rsidP="00B50B39">
      <w:pPr>
        <w:spacing w:line="360" w:lineRule="auto"/>
        <w:jc w:val="both"/>
        <w:rPr>
          <w:rFonts w:ascii="Book Antiqua" w:hAnsi="Book Antiqua"/>
        </w:rPr>
      </w:pPr>
    </w:p>
    <w:p w14:paraId="5B799EE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lastRenderedPageBreak/>
        <w:t>OS after sorafenib therapy</w:t>
      </w:r>
    </w:p>
    <w:p w14:paraId="63D2C595" w14:textId="7C1C162E"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The median OS was 6.2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in Group A, 7.7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in Group B, and 13.9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in Group C. The difference in the median OS was significant between Groups A and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multivariate analysis,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(HR, 0.41;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0.25–0.66;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and BCLC-B (HR, 0.60,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0.41–0.89;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0.01) were independent predictors of survival (Figures 1 and 2, Table 6).</w:t>
      </w:r>
    </w:p>
    <w:p w14:paraId="27F2DD04" w14:textId="77777777" w:rsidR="00A77B3E" w:rsidRPr="003448EB" w:rsidRDefault="00A77B3E" w:rsidP="00B50B39">
      <w:pPr>
        <w:spacing w:line="360" w:lineRule="auto"/>
        <w:jc w:val="both"/>
        <w:rPr>
          <w:rFonts w:ascii="Book Antiqua" w:hAnsi="Book Antiqua"/>
        </w:rPr>
      </w:pPr>
    </w:p>
    <w:p w14:paraId="2B15ADE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Mutual cooperation system evaluation</w:t>
      </w:r>
    </w:p>
    <w:p w14:paraId="79BD73BF" w14:textId="4AD619E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The median TTF in Group C was 5.0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3.8–6.5), which was the highest of all the groups [Group C (5.0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A (2.1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Group C (5.0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(0.5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multivariable Cox regression analysis,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B (HR, 1.69, 95%CI, 1.04–2.75;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0.03) and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(HR, 0.53;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0.35–0.81;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were significant predictors of TTF (Table 7). The proportions of patients with a PDC of &lt; 0.8 were 29.3% in Group A, 73.3% in Group B, and 23.8% in Group C. Group B had a significantly higher sorafenib PDC than Groups A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and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Adjusted logistic regression analysis showed that nonadherence (PDC ≤ 0.8) was associated with Group B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A (OR, 0.11;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0.04–0.36;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and Group B </w:t>
      </w:r>
      <w:r w:rsidRPr="003448EB">
        <w:rPr>
          <w:rFonts w:ascii="Book Antiqua" w:eastAsia="Book Antiqua" w:hAnsi="Book Antiqua" w:cs="Book Antiqua"/>
          <w:i/>
          <w:iCs/>
          <w:color w:val="000000"/>
        </w:rPr>
        <w:t xml:space="preserve">vs </w:t>
      </w:r>
      <w:r w:rsidRPr="003448EB">
        <w:rPr>
          <w:rFonts w:ascii="Book Antiqua" w:eastAsia="Book Antiqua" w:hAnsi="Book Antiqua" w:cs="Book Antiqua"/>
          <w:color w:val="000000"/>
        </w:rPr>
        <w:t xml:space="preserve">Group C (OR, 0.09; 95%CI: 0.03–0.27;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(Figure 3, Table 8).</w:t>
      </w:r>
    </w:p>
    <w:p w14:paraId="740E57C0" w14:textId="77777777" w:rsidR="00A77B3E" w:rsidRPr="003448EB" w:rsidRDefault="00A77B3E" w:rsidP="00B50B39">
      <w:pPr>
        <w:spacing w:line="360" w:lineRule="auto"/>
        <w:jc w:val="both"/>
        <w:rPr>
          <w:rFonts w:ascii="Book Antiqua" w:hAnsi="Book Antiqua"/>
        </w:rPr>
      </w:pPr>
    </w:p>
    <w:p w14:paraId="65495A3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i/>
          <w:iCs/>
          <w:color w:val="000000"/>
        </w:rPr>
        <w:t>Correlation between OS and TTF</w:t>
      </w:r>
    </w:p>
    <w:p w14:paraId="4A168E0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The Spearman's rank correlation coefficients between OS and TTF in each group were 0.41 (Group A;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0.13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0.51), and 0.58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&lt;0.01). There was a highly significant correlation between OS and TTF in Group C. However, there was no correlation between OS and TTF in Group B.</w:t>
      </w:r>
    </w:p>
    <w:p w14:paraId="5E537629" w14:textId="77777777" w:rsidR="00A77B3E" w:rsidRPr="003448EB" w:rsidRDefault="00A77B3E" w:rsidP="00B50B39">
      <w:pPr>
        <w:spacing w:line="360" w:lineRule="auto"/>
        <w:jc w:val="both"/>
        <w:rPr>
          <w:rFonts w:ascii="Book Antiqua" w:hAnsi="Book Antiqua"/>
        </w:rPr>
      </w:pPr>
    </w:p>
    <w:p w14:paraId="42E8F80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DISCUSSION</w:t>
      </w:r>
    </w:p>
    <w:p w14:paraId="7E7F3AE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We investigated the effect of cooperation between oncologists and pharmacists on the prognosis of patients with advanced HCC treated with sorafenib monotherapy. In the present study, the occurrence of HFSR was associated with improved patient prognosis, </w:t>
      </w:r>
      <w:r w:rsidRPr="003448EB">
        <w:rPr>
          <w:rFonts w:ascii="Book Antiqua" w:eastAsia="Book Antiqua" w:hAnsi="Book Antiqua" w:cs="Book Antiqua"/>
          <w:color w:val="000000"/>
        </w:rPr>
        <w:lastRenderedPageBreak/>
        <w:t>and this improvement was significantly enhanced by appropriate medication adherence. Close cooperation between oncologists and pharmacists increased adherence, and a strong correlation was observed between OS and TTF.</w:t>
      </w:r>
    </w:p>
    <w:p w14:paraId="720338AF"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Several studies have indicated that the emergence of HFSR is associated with prolonged survival in patients with advanced HCC treated with </w:t>
      </w:r>
      <w:proofErr w:type="gramStart"/>
      <w:r w:rsidRPr="003448EB">
        <w:rPr>
          <w:rFonts w:ascii="Book Antiqua" w:eastAsia="Book Antiqua" w:hAnsi="Book Antiqua" w:cs="Book Antiqua"/>
          <w:color w:val="000000"/>
        </w:rPr>
        <w:t>sorafenib</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5,6,21]</w:t>
      </w:r>
      <w:r w:rsidRPr="003448EB">
        <w:rPr>
          <w:rFonts w:ascii="Book Antiqua" w:eastAsia="Book Antiqua" w:hAnsi="Book Antiqua" w:cs="Book Antiqua"/>
          <w:color w:val="000000"/>
        </w:rPr>
        <w:t xml:space="preserve">. However, these studies did not evaluate the correlation between medication adherence and survival after the appearance of an AE, including HFSR. Targeted therapies, including sorafenib, can result in unexpected AEs that do not occur after the administration of earlier chemotherapy </w:t>
      </w:r>
      <w:proofErr w:type="gramStart"/>
      <w:r w:rsidRPr="003448EB">
        <w:rPr>
          <w:rFonts w:ascii="Book Antiqua" w:eastAsia="Book Antiqua" w:hAnsi="Book Antiqua" w:cs="Book Antiqua"/>
          <w:color w:val="000000"/>
        </w:rPr>
        <w:t>drugs</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22]</w:t>
      </w:r>
      <w:r w:rsidRPr="003448EB">
        <w:rPr>
          <w:rFonts w:ascii="Book Antiqua" w:eastAsia="Book Antiqua" w:hAnsi="Book Antiqua" w:cs="Book Antiqua"/>
          <w:color w:val="000000"/>
        </w:rPr>
        <w:t xml:space="preserve">. Oncologists must recognize these novel AEs at an early stage and provide appropriate treatment to the extent possible. However, previous studies revealed that optimal AE management requires considerable experience and </w:t>
      </w:r>
      <w:proofErr w:type="gramStart"/>
      <w:r w:rsidRPr="003448EB">
        <w:rPr>
          <w:rFonts w:ascii="Book Antiqua" w:eastAsia="Book Antiqua" w:hAnsi="Book Antiqua" w:cs="Book Antiqua"/>
          <w:color w:val="000000"/>
        </w:rPr>
        <w:t>time</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7,23]</w:t>
      </w:r>
      <w:r w:rsidRPr="003448EB">
        <w:rPr>
          <w:rFonts w:ascii="Book Antiqua" w:eastAsia="Book Antiqua" w:hAnsi="Book Antiqua" w:cs="Book Antiqua"/>
          <w:color w:val="000000"/>
        </w:rPr>
        <w:t xml:space="preserve">. Management of sorafenib-related AEs includes data collection for AE grading, patient education, and determination of the appropriate sorafenib dose by an </w:t>
      </w:r>
      <w:proofErr w:type="gramStart"/>
      <w:r w:rsidRPr="003448EB">
        <w:rPr>
          <w:rFonts w:ascii="Book Antiqua" w:eastAsia="Book Antiqua" w:hAnsi="Book Antiqua" w:cs="Book Antiqua"/>
          <w:color w:val="000000"/>
        </w:rPr>
        <w:t>oncologist</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15]</w:t>
      </w:r>
      <w:r w:rsidRPr="003448EB">
        <w:rPr>
          <w:rFonts w:ascii="Book Antiqua" w:eastAsia="Book Antiqua" w:hAnsi="Book Antiqua" w:cs="Book Antiqua"/>
          <w:color w:val="000000"/>
        </w:rPr>
        <w:t>.</w:t>
      </w:r>
    </w:p>
    <w:p w14:paraId="00A27528"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The use of sorafenib is associated with various AEs, including gastrointestinal, constitutional, or dermatologic </w:t>
      </w:r>
      <w:proofErr w:type="gramStart"/>
      <w:r w:rsidRPr="003448EB">
        <w:rPr>
          <w:rFonts w:ascii="Book Antiqua" w:eastAsia="Book Antiqua" w:hAnsi="Book Antiqua" w:cs="Book Antiqua"/>
          <w:color w:val="000000"/>
        </w:rPr>
        <w:t>events</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1,2]</w:t>
      </w:r>
      <w:r w:rsidRPr="003448EB">
        <w:rPr>
          <w:rFonts w:ascii="Book Antiqua" w:eastAsia="Book Antiqua" w:hAnsi="Book Antiqua" w:cs="Book Antiqua"/>
          <w:color w:val="000000"/>
        </w:rPr>
        <w:t xml:space="preserve">, and their management may require dose reduction or temporary discontinuation to avoid sorafenib treatment cessation. For example, an appropriate sorafenib dose reduction yielded a decreased rate of permanent discontinuation due to </w:t>
      </w:r>
      <w:proofErr w:type="gramStart"/>
      <w:r w:rsidRPr="003448EB">
        <w:rPr>
          <w:rFonts w:ascii="Book Antiqua" w:eastAsia="Book Antiqua" w:hAnsi="Book Antiqua" w:cs="Book Antiqua"/>
          <w:color w:val="000000"/>
        </w:rPr>
        <w:t>AEs</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7]</w:t>
      </w:r>
      <w:r w:rsidRPr="003448EB">
        <w:rPr>
          <w:rFonts w:ascii="Book Antiqua" w:eastAsia="Book Antiqua" w:hAnsi="Book Antiqua" w:cs="Book Antiqua"/>
          <w:color w:val="000000"/>
        </w:rPr>
        <w:t xml:space="preserve">. However, in many patients, these dose changes do not mitigate intolerable or severe AEs, and permanent sorafenib discontinuation is </w:t>
      </w:r>
      <w:proofErr w:type="gramStart"/>
      <w:r w:rsidRPr="003448EB">
        <w:rPr>
          <w:rFonts w:ascii="Book Antiqua" w:eastAsia="Book Antiqua" w:hAnsi="Book Antiqua" w:cs="Book Antiqua"/>
          <w:color w:val="000000"/>
        </w:rPr>
        <w:t>required</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24]</w:t>
      </w:r>
      <w:r w:rsidRPr="003448EB">
        <w:rPr>
          <w:rFonts w:ascii="Book Antiqua" w:eastAsia="Book Antiqua" w:hAnsi="Book Antiqua" w:cs="Book Antiqua"/>
          <w:color w:val="000000"/>
        </w:rPr>
        <w:t>.</w:t>
      </w:r>
    </w:p>
    <w:p w14:paraId="73754270"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In our study, only the mutual cooperation system promoted dose reduction after an AE and extended the TTF. In the mutual cooperation system, pharmacists were responsible for collecting data on AE grades, educating patients, and managing any leftover medicine. Furthermore, they documented their findings in a report for the oncologist. On the other hand, in the nonmutual cooperation system, an oncologist examined the patient before pharmacists were involved in patient management. Oncologists were required to evaluate AE grading data, educate patients, and determine the appropriate sorafenib dose. Only after the medical examination did a </w:t>
      </w:r>
      <w:r w:rsidRPr="003448EB">
        <w:rPr>
          <w:rFonts w:ascii="Book Antiqua" w:eastAsia="Book Antiqua" w:hAnsi="Book Antiqua" w:cs="Book Antiqua"/>
          <w:color w:val="000000"/>
        </w:rPr>
        <w:lastRenderedPageBreak/>
        <w:t>pharmacist provide additional patient management, and their findings were not reported to the oncologist. In the nonmutual cooperation system, the oncologist had to obtain a substantial amount of information to maintain or revise the sorafenib treatment regimen within 5 to 10 min.</w:t>
      </w:r>
    </w:p>
    <w:p w14:paraId="7482CAC1"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Given these differences between the systems, our results suggest that the mutual cooperation system led to appropriate dose reductions, as reflected by the extended TTF. However, we do not recommend starting sorafenib at half the standard dose (800 mg/d). Dose reductions were guided by the results obtained by the mutual cooperation system. Additionally, we demonstrated that the best outcomes occur when optimal dosing and good medication adherence are achieved early in the course of sorafenib treatment. In our study, only the mutual cooperation system ensured good adherence in patients who experienced HFSR secondary to sorafenib treatment and prevented unnecessary permanent medication discontinuation.</w:t>
      </w:r>
    </w:p>
    <w:p w14:paraId="58A95475"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A previous study showed that despite dramatic improvements in adjuvant hormonal therapy for breast cancer, nonadherence, early discontinuation, and effective cancer treatment are affected by treatment-related toxicity, and appropriate interventions are needed to improve breast cancer </w:t>
      </w:r>
      <w:proofErr w:type="gramStart"/>
      <w:r w:rsidRPr="003448EB">
        <w:rPr>
          <w:rFonts w:ascii="Book Antiqua" w:eastAsia="Book Antiqua" w:hAnsi="Book Antiqua" w:cs="Book Antiqua"/>
          <w:color w:val="000000"/>
        </w:rPr>
        <w:t>survival</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25]</w:t>
      </w:r>
      <w:r w:rsidRPr="003448EB">
        <w:rPr>
          <w:rFonts w:ascii="Book Antiqua" w:eastAsia="Book Antiqua" w:hAnsi="Book Antiqua" w:cs="Book Antiqua"/>
          <w:color w:val="000000"/>
        </w:rPr>
        <w:t xml:space="preserve">. Another cohort study indicated that long-term tamoxifen therapy for breast cancer reduced the risk of death, while the risk of death increased with a low adherence </w:t>
      </w:r>
      <w:proofErr w:type="gramStart"/>
      <w:r w:rsidRPr="003448EB">
        <w:rPr>
          <w:rFonts w:ascii="Book Antiqua" w:eastAsia="Book Antiqua" w:hAnsi="Book Antiqua" w:cs="Book Antiqua"/>
          <w:color w:val="000000"/>
        </w:rPr>
        <w:t>rate</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26]</w:t>
      </w:r>
      <w:r w:rsidRPr="003448EB">
        <w:rPr>
          <w:rFonts w:ascii="Book Antiqua" w:eastAsia="Book Antiqua" w:hAnsi="Book Antiqua" w:cs="Book Antiqua"/>
          <w:color w:val="000000"/>
        </w:rPr>
        <w:t>. In our study, the medical team continued sharing patient information after the patient started taking sorafenib; therefore, the mutual cooperation system enabled the medical team to prevent HFSR or promptly provide patient management, as appropriate. In contrast, the nonmutual cooperation system did not allow patient information to be shared at an early stage; thus, the medical team was not able to take measures to prevent HFSR or plan palliation care in a timely manner. The differences in the effectiveness of HFSR prevention and palliation between the two systems highlight the importance of the various hurdles that can affect medication adherence.</w:t>
      </w:r>
    </w:p>
    <w:p w14:paraId="731A0091"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Hurdles to medication adherence are complex and include patient-, clinician-, and healthcare system-related factors. Patient-related factors, such as limited involvement in </w:t>
      </w:r>
      <w:r w:rsidRPr="003448EB">
        <w:rPr>
          <w:rFonts w:ascii="Book Antiqua" w:eastAsia="Book Antiqua" w:hAnsi="Book Antiqua" w:cs="Book Antiqua"/>
          <w:color w:val="000000"/>
        </w:rPr>
        <w:lastRenderedPageBreak/>
        <w:t xml:space="preserve">the treatment decision-making process, poor health literacy, doubts about medication effectiveness, and previous adverse effects, influence adherence. Clinician-related factors include failure to recognize nonadherence, poor patient communication, and inadequate multidisciplinary communication between oncologists and pharmacists. Healthcare system-related factors include relationships with clinicians and clinicians’ satisfaction with patient </w:t>
      </w:r>
      <w:proofErr w:type="gramStart"/>
      <w:r w:rsidRPr="003448EB">
        <w:rPr>
          <w:rFonts w:ascii="Book Antiqua" w:eastAsia="Book Antiqua" w:hAnsi="Book Antiqua" w:cs="Book Antiqua"/>
          <w:color w:val="000000"/>
        </w:rPr>
        <w:t>care</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27,28]</w:t>
      </w:r>
      <w:r w:rsidRPr="003448EB">
        <w:rPr>
          <w:rFonts w:ascii="Book Antiqua" w:eastAsia="Book Antiqua" w:hAnsi="Book Antiqua" w:cs="Book Antiqua"/>
          <w:color w:val="000000"/>
        </w:rPr>
        <w:t>. Thus, multiple factors may become hurdles to improving adherence. The mutual cooperation system coordinates interactions among patients, clinicians, and the health system, thereby minimizing barriers to adherence.</w:t>
      </w:r>
    </w:p>
    <w:p w14:paraId="4794A260" w14:textId="77777777" w:rsidR="00A77B3E" w:rsidRPr="003448EB" w:rsidRDefault="00372E57" w:rsidP="00B50B39">
      <w:pPr>
        <w:spacing w:line="360" w:lineRule="auto"/>
        <w:ind w:firstLine="840"/>
        <w:jc w:val="both"/>
        <w:rPr>
          <w:rFonts w:ascii="Book Antiqua" w:hAnsi="Book Antiqua"/>
        </w:rPr>
      </w:pPr>
      <w:r w:rsidRPr="003448EB">
        <w:rPr>
          <w:rFonts w:ascii="Book Antiqua" w:eastAsia="Book Antiqua" w:hAnsi="Book Antiqua" w:cs="Book Antiqua"/>
          <w:color w:val="000000"/>
        </w:rPr>
        <w:t xml:space="preserve">Surprisingly, this study revealed that the prognostic value of HFSR was enhanced by appropriate medication adherence. On the other hand, BCLC-B HCC was an independent predictor of improved </w:t>
      </w:r>
      <w:proofErr w:type="gramStart"/>
      <w:r w:rsidRPr="003448EB">
        <w:rPr>
          <w:rFonts w:ascii="Book Antiqua" w:eastAsia="Book Antiqua" w:hAnsi="Book Antiqua" w:cs="Book Antiqua"/>
          <w:color w:val="000000"/>
        </w:rPr>
        <w:t>OS</w:t>
      </w:r>
      <w:r w:rsidRPr="003448EB">
        <w:rPr>
          <w:rFonts w:ascii="Book Antiqua" w:eastAsia="Book Antiqua" w:hAnsi="Book Antiqua" w:cs="Book Antiqua"/>
          <w:color w:val="000000"/>
          <w:vertAlign w:val="superscript"/>
        </w:rPr>
        <w:t>[</w:t>
      </w:r>
      <w:proofErr w:type="gramEnd"/>
      <w:r w:rsidRPr="003448EB">
        <w:rPr>
          <w:rFonts w:ascii="Book Antiqua" w:eastAsia="Book Antiqua" w:hAnsi="Book Antiqua" w:cs="Book Antiqua"/>
          <w:color w:val="000000"/>
          <w:vertAlign w:val="superscript"/>
        </w:rPr>
        <w:t>29]</w:t>
      </w:r>
      <w:r w:rsidRPr="003448EB">
        <w:rPr>
          <w:rFonts w:ascii="Book Antiqua" w:eastAsia="Book Antiqua" w:hAnsi="Book Antiqua" w:cs="Book Antiqua"/>
          <w:color w:val="000000"/>
        </w:rPr>
        <w:t>. BCLC stage did not affect the difference in OS between Groups A and C, as there was no significant between-group difference in the baseline stage distribution.</w:t>
      </w:r>
    </w:p>
    <w:p w14:paraId="2C2625B4"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We have reasonable evidence to confirm the validity of our results. First, variables such as age, sex, etiology, ECOG performance status, liver function, comorbidities, and TACE procedure count were not significantly different between the groups. Second, we verified that all patients had received sorafenib monotherapy and no subsequent chemotherapy; therefore, neither our patients’ prognoses nor the prolonged OS we observed was affected by other chemotherapeutic agents.</w:t>
      </w:r>
    </w:p>
    <w:p w14:paraId="4E812249" w14:textId="77777777" w:rsidR="00A77B3E" w:rsidRPr="003448EB" w:rsidRDefault="00372E57" w:rsidP="00B50B39">
      <w:pPr>
        <w:spacing w:line="360" w:lineRule="auto"/>
        <w:ind w:firstLine="480"/>
        <w:jc w:val="both"/>
        <w:rPr>
          <w:rFonts w:ascii="Book Antiqua" w:hAnsi="Book Antiqua"/>
        </w:rPr>
      </w:pPr>
      <w:r w:rsidRPr="003448EB">
        <w:rPr>
          <w:rFonts w:ascii="Book Antiqua" w:eastAsia="Book Antiqua" w:hAnsi="Book Antiqua" w:cs="Book Antiqua"/>
          <w:color w:val="000000"/>
        </w:rPr>
        <w:t xml:space="preserve">Nevertheless, our study has a few limitations. First, our study design was based on the mutual cooperation system. After a patient was first checked by a specialized pharmacist, the oncologist determined whether to prescribe sorafenib based on the pharmacist’s report. However, patients were not required to participate in the mutual cooperation system, and involvement was subject to the patient's wish. After the patients underwent a medical examination by an oncologist, a specialized pharmacist could also provide patient guidance about sorafenib. While patients who were unwilling to participate in the mutual cooperation system may have been included in Group A or B, it is unknown whether this enrollment could have affected the adherence rate. Second, OS and TTF were higher in the mutual cooperation system group (Group </w:t>
      </w:r>
      <w:r w:rsidRPr="003448EB">
        <w:rPr>
          <w:rFonts w:ascii="Book Antiqua" w:eastAsia="Book Antiqua" w:hAnsi="Book Antiqua" w:cs="Book Antiqua"/>
          <w:color w:val="000000"/>
        </w:rPr>
        <w:lastRenderedPageBreak/>
        <w:t>C) than in Group A and Group B. It is difficult to determine whether these results were caused by improved adherence or the mechanism underlying the prognostic efficacy of HFSR.</w:t>
      </w:r>
    </w:p>
    <w:p w14:paraId="4B0D37B1" w14:textId="77777777" w:rsidR="00A77B3E" w:rsidRPr="003448EB" w:rsidRDefault="00A77B3E" w:rsidP="00B50B39">
      <w:pPr>
        <w:spacing w:line="360" w:lineRule="auto"/>
        <w:ind w:firstLine="480"/>
        <w:jc w:val="both"/>
        <w:rPr>
          <w:rFonts w:ascii="Book Antiqua" w:hAnsi="Book Antiqua"/>
        </w:rPr>
      </w:pPr>
    </w:p>
    <w:p w14:paraId="551E4DB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CONCLUSION</w:t>
      </w:r>
    </w:p>
    <w:p w14:paraId="0698BCE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The mutual cooperation system increased treatment duration and improved prognosis in patients with HFSR secondary to sorafenib treatment. Additionally, the mutual cooperation system allowed us to promptly initiate sorafenib treatment. Our study clearly demonstrates the clinical and research benefits of this system. The mutual cooperation system for sorafenib treatment management described in this study could be applied to the management of patients treated with other </w:t>
      </w:r>
      <w:proofErr w:type="spellStart"/>
      <w:r w:rsidRPr="003448EB">
        <w:rPr>
          <w:rFonts w:ascii="Book Antiqua" w:eastAsia="Book Antiqua" w:hAnsi="Book Antiqua" w:cs="Book Antiqua"/>
          <w:color w:val="000000"/>
        </w:rPr>
        <w:t>multikinase</w:t>
      </w:r>
      <w:proofErr w:type="spellEnd"/>
      <w:r w:rsidRPr="003448EB">
        <w:rPr>
          <w:rFonts w:ascii="Book Antiqua" w:eastAsia="Book Antiqua" w:hAnsi="Book Antiqua" w:cs="Book Antiqua"/>
          <w:color w:val="000000"/>
        </w:rPr>
        <w:t xml:space="preserve"> inhibitors to extend OS. The increased OS resulting from the mutual cooperation system could have a substantial impact on the design of clinical studies in which sorafenib is used as the control drug. Additionally, nonadherence may have adversely affected OS in previous studies, leading researchers to underestimate drug efficacy. We propose that future clinical investigations designed to improve medication adherence could eliminate OS underestimation.</w:t>
      </w:r>
    </w:p>
    <w:p w14:paraId="2C93A5B6" w14:textId="77777777" w:rsidR="00A77B3E" w:rsidRPr="003448EB" w:rsidRDefault="00A77B3E" w:rsidP="00B50B39">
      <w:pPr>
        <w:spacing w:line="360" w:lineRule="auto"/>
        <w:jc w:val="both"/>
        <w:rPr>
          <w:rFonts w:ascii="Book Antiqua" w:hAnsi="Book Antiqua"/>
        </w:rPr>
      </w:pPr>
    </w:p>
    <w:p w14:paraId="37490F0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aps/>
          <w:color w:val="000000"/>
          <w:u w:val="single"/>
        </w:rPr>
        <w:t>ARTICLE HIGHLIGHTS</w:t>
      </w:r>
    </w:p>
    <w:p w14:paraId="08D19C0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background</w:t>
      </w:r>
    </w:p>
    <w:p w14:paraId="6C5BFD1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Although sorafenib prolongs overall survival (OS) in patients with hepatocellular carcinoma (HCC), the drug is associated with various adverse events (AEs) that may lead to permanent discontinuation.</w:t>
      </w:r>
    </w:p>
    <w:p w14:paraId="2008D31E" w14:textId="77777777" w:rsidR="00A77B3E" w:rsidRPr="003448EB" w:rsidRDefault="00A77B3E" w:rsidP="00B50B39">
      <w:pPr>
        <w:spacing w:line="360" w:lineRule="auto"/>
        <w:jc w:val="both"/>
        <w:rPr>
          <w:rFonts w:ascii="Book Antiqua" w:hAnsi="Book Antiqua"/>
        </w:rPr>
      </w:pPr>
    </w:p>
    <w:p w14:paraId="0D97DA4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motivation</w:t>
      </w:r>
    </w:p>
    <w:p w14:paraId="159D87F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authors postulated that mutual cooperative intervention for AEs could improve OS in patients with HCC.</w:t>
      </w:r>
    </w:p>
    <w:p w14:paraId="57770FF0" w14:textId="77777777" w:rsidR="00A77B3E" w:rsidRPr="003448EB" w:rsidRDefault="00A77B3E" w:rsidP="00B50B39">
      <w:pPr>
        <w:spacing w:line="360" w:lineRule="auto"/>
        <w:jc w:val="both"/>
        <w:rPr>
          <w:rFonts w:ascii="Book Antiqua" w:hAnsi="Book Antiqua"/>
        </w:rPr>
      </w:pPr>
    </w:p>
    <w:p w14:paraId="0DAB3CE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objectives</w:t>
      </w:r>
    </w:p>
    <w:p w14:paraId="7D4C7E7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The aim of this study is to clarify the association between AE interventions and patient prognosis.</w:t>
      </w:r>
    </w:p>
    <w:p w14:paraId="7A9DD5C1" w14:textId="77777777" w:rsidR="00A77B3E" w:rsidRPr="003448EB" w:rsidRDefault="00A77B3E" w:rsidP="00B50B39">
      <w:pPr>
        <w:spacing w:line="360" w:lineRule="auto"/>
        <w:jc w:val="both"/>
        <w:rPr>
          <w:rFonts w:ascii="Book Antiqua" w:hAnsi="Book Antiqua"/>
        </w:rPr>
      </w:pPr>
    </w:p>
    <w:p w14:paraId="141E44A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methods</w:t>
      </w:r>
    </w:p>
    <w:p w14:paraId="683B7D2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authors developed a mutual cooperation system that was initiated at the start of sorafenib treatment to manage AEs effectively. The system entailed pharmacist consultations during which patients were provided accurate information about sorafenib to alleviate fear and anxiety related to AEs. We stratified patients into three groups: Group A, patients without hand-foot skin reaction (HFSR) but with pharmacist intervention; Group B, patients with HFSR and pharmacist interventions unreported to oncologists (nonmutual cooperation system); and Group C, patients with HFSR and pharmacist interventions known to oncologists (mutual cooperation system).</w:t>
      </w:r>
    </w:p>
    <w:p w14:paraId="4D3DF306" w14:textId="77777777" w:rsidR="00A77B3E" w:rsidRPr="003448EB" w:rsidRDefault="00A77B3E" w:rsidP="00B50B39">
      <w:pPr>
        <w:spacing w:line="360" w:lineRule="auto"/>
        <w:jc w:val="both"/>
        <w:rPr>
          <w:rFonts w:ascii="Book Antiqua" w:hAnsi="Book Antiqua"/>
        </w:rPr>
      </w:pPr>
    </w:p>
    <w:p w14:paraId="5CA1188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results</w:t>
      </w:r>
    </w:p>
    <w:p w14:paraId="2B37BE3A" w14:textId="005323A5"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The authors enrolled 134 patients (Group A,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41; Group B,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30; Group C, </w:t>
      </w:r>
      <w:r w:rsidRPr="003448EB">
        <w:rPr>
          <w:rFonts w:ascii="Book Antiqua" w:eastAsia="Book Antiqua" w:hAnsi="Book Antiqua" w:cs="Book Antiqua"/>
          <w:i/>
          <w:iCs/>
          <w:color w:val="000000"/>
        </w:rPr>
        <w:t>n</w:t>
      </w:r>
      <w:r w:rsidRPr="003448EB">
        <w:rPr>
          <w:rFonts w:ascii="Book Antiqua" w:eastAsia="Book Antiqua" w:hAnsi="Book Antiqua" w:cs="Book Antiqua"/>
          <w:color w:val="000000"/>
        </w:rPr>
        <w:t xml:space="preserve"> = 63). The median OS significantly differed between Groups A and C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13.9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but not between Groups A and B (6.2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7.7 </w:t>
      </w:r>
      <w:proofErr w:type="spellStart"/>
      <w:r w:rsidRPr="003448EB">
        <w:rPr>
          <w:rFonts w:ascii="Book Antiqua" w:eastAsia="Book Antiqua" w:hAnsi="Book Antiqua" w:cs="Book Antiqua"/>
          <w:color w:val="000000"/>
        </w:rPr>
        <w:t>mo</w:t>
      </w:r>
      <w:proofErr w:type="spellEnd"/>
      <w:r w:rsidRPr="003448EB">
        <w:rPr>
          <w:rFonts w:ascii="Book Antiqua" w:eastAsia="Book Antiqua" w:hAnsi="Book Antiqua" w:cs="Book Antiqua"/>
          <w:color w:val="000000"/>
        </w:rPr>
        <w:t xml:space="preserve">,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0.62). Group A </w:t>
      </w:r>
      <w:r w:rsidRPr="003448EB">
        <w:rPr>
          <w:rFonts w:ascii="Book Antiqua" w:eastAsia="Book Antiqua" w:hAnsi="Book Antiqua" w:cs="Book Antiqua"/>
          <w:i/>
          <w:iCs/>
          <w:color w:val="000000"/>
        </w:rPr>
        <w:t>vs</w:t>
      </w:r>
      <w:r w:rsidRPr="003448EB">
        <w:rPr>
          <w:rFonts w:ascii="Book Antiqua" w:eastAsia="Book Antiqua" w:hAnsi="Book Antiqua" w:cs="Book Antiqua"/>
          <w:color w:val="000000"/>
        </w:rPr>
        <w:t xml:space="preserve"> Group C was an independent OS predictor (HR, 0.41; 95%CI</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0.25–0.66;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In Group B alone, the time to treatment failure (TTF) was significantly shorter, while the nonadherence rate was higher (</w:t>
      </w:r>
      <w:r w:rsidRPr="003448EB">
        <w:rPr>
          <w:rFonts w:ascii="Book Antiqua" w:eastAsia="Book Antiqua" w:hAnsi="Book Antiqua" w:cs="Book Antiqua"/>
          <w:i/>
          <w:iCs/>
          <w:caps/>
          <w:color w:val="000000"/>
        </w:rPr>
        <w:t xml:space="preserve">p </w:t>
      </w:r>
      <w:r w:rsidRPr="003448EB">
        <w:rPr>
          <w:rFonts w:ascii="Book Antiqua" w:eastAsia="Book Antiqua" w:hAnsi="Book Antiqua" w:cs="Book Antiqua"/>
          <w:color w:val="000000"/>
        </w:rPr>
        <w:t xml:space="preserve">&lt; 0.01). Additionally, Spearman's rank correlation coefficients between OS and TTF in each group were 0.41 (Group A; </w:t>
      </w:r>
      <w:r w:rsidRPr="003448EB">
        <w:rPr>
          <w:rFonts w:ascii="Book Antiqua" w:eastAsia="Book Antiqua" w:hAnsi="Book Antiqua" w:cs="Book Antiqua"/>
          <w:i/>
          <w:iCs/>
          <w:caps/>
          <w:color w:val="000000"/>
        </w:rPr>
        <w:t xml:space="preserve">p </w:t>
      </w:r>
      <w:r w:rsidRPr="003448EB">
        <w:rPr>
          <w:rFonts w:ascii="Book Antiqua" w:eastAsia="Book Antiqua" w:hAnsi="Book Antiqua" w:cs="Book Antiqua"/>
          <w:color w:val="000000"/>
        </w:rPr>
        <w:t xml:space="preserve">&lt; 0.01), 0.13 (Group B;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 0.51), and 0.58 (Group C; </w:t>
      </w:r>
      <w:r w:rsidRPr="003448EB">
        <w:rPr>
          <w:rFonts w:ascii="Book Antiqua" w:eastAsia="Book Antiqua" w:hAnsi="Book Antiqua" w:cs="Book Antiqua"/>
          <w:i/>
          <w:iCs/>
          <w:caps/>
          <w:color w:val="000000"/>
        </w:rPr>
        <w:t>p</w:t>
      </w:r>
      <w:r w:rsidRPr="003448EB">
        <w:rPr>
          <w:rFonts w:ascii="Book Antiqua" w:eastAsia="Book Antiqua" w:hAnsi="Book Antiqua" w:cs="Book Antiqua"/>
          <w:color w:val="000000"/>
        </w:rPr>
        <w:t xml:space="preserve"> &lt; 0.01). There was a highly significant correlation between OS and TTF in Group C. However, there was no correlation between OS and TTF in Group B.</w:t>
      </w:r>
    </w:p>
    <w:p w14:paraId="14898B38" w14:textId="77777777" w:rsidR="00A77B3E" w:rsidRPr="003448EB" w:rsidRDefault="00A77B3E" w:rsidP="00B50B39">
      <w:pPr>
        <w:spacing w:line="360" w:lineRule="auto"/>
        <w:jc w:val="both"/>
        <w:rPr>
          <w:rFonts w:ascii="Book Antiqua" w:hAnsi="Book Antiqua"/>
        </w:rPr>
      </w:pPr>
    </w:p>
    <w:p w14:paraId="7BAE962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conclusions</w:t>
      </w:r>
    </w:p>
    <w:p w14:paraId="73C2E91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The mutual cooperation system increased the treatment duration and improved the prognosis of patients with HFSR.</w:t>
      </w:r>
    </w:p>
    <w:p w14:paraId="177648D2" w14:textId="77777777" w:rsidR="00A77B3E" w:rsidRPr="003448EB" w:rsidRDefault="00A77B3E" w:rsidP="00B50B39">
      <w:pPr>
        <w:spacing w:line="360" w:lineRule="auto"/>
        <w:jc w:val="both"/>
        <w:rPr>
          <w:rFonts w:ascii="Book Antiqua" w:hAnsi="Book Antiqua"/>
        </w:rPr>
      </w:pPr>
    </w:p>
    <w:p w14:paraId="2FD44BD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i/>
          <w:color w:val="000000"/>
        </w:rPr>
        <w:t>Research perspectives</w:t>
      </w:r>
    </w:p>
    <w:p w14:paraId="7E6DA59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Future prospective studies (</w:t>
      </w:r>
      <w:r w:rsidRPr="003448EB">
        <w:rPr>
          <w:rFonts w:ascii="Book Antiqua" w:eastAsia="Book Antiqua" w:hAnsi="Book Antiqua" w:cs="Book Antiqua"/>
          <w:i/>
          <w:iCs/>
          <w:color w:val="000000"/>
        </w:rPr>
        <w:t>e.g.</w:t>
      </w:r>
      <w:r w:rsidRPr="003448EB">
        <w:rPr>
          <w:rFonts w:ascii="Book Antiqua" w:eastAsia="Book Antiqua" w:hAnsi="Book Antiqua" w:cs="Book Antiqua"/>
          <w:color w:val="000000"/>
        </w:rPr>
        <w:t>, randomized controlled trials) and improved adherence could help avoid OS underestimation.</w:t>
      </w:r>
    </w:p>
    <w:p w14:paraId="4F762D5B" w14:textId="77777777" w:rsidR="00A77B3E" w:rsidRPr="003448EB" w:rsidRDefault="00A77B3E" w:rsidP="00B50B39">
      <w:pPr>
        <w:spacing w:line="360" w:lineRule="auto"/>
        <w:jc w:val="both"/>
        <w:rPr>
          <w:rFonts w:ascii="Book Antiqua" w:hAnsi="Book Antiqua"/>
        </w:rPr>
      </w:pPr>
    </w:p>
    <w:p w14:paraId="03B6C90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REFERENCES</w:t>
      </w:r>
    </w:p>
    <w:p w14:paraId="164A4079" w14:textId="77777777" w:rsidR="00A77B3E" w:rsidRPr="003448EB" w:rsidRDefault="00372E57" w:rsidP="00B50B39">
      <w:pPr>
        <w:spacing w:line="360" w:lineRule="auto"/>
        <w:jc w:val="both"/>
        <w:rPr>
          <w:rFonts w:ascii="Book Antiqua" w:hAnsi="Book Antiqua"/>
        </w:rPr>
      </w:pPr>
      <w:bookmarkStart w:id="3" w:name="OLE_LINK22"/>
      <w:r w:rsidRPr="003448EB">
        <w:rPr>
          <w:rFonts w:ascii="Book Antiqua" w:eastAsia="Book Antiqua" w:hAnsi="Book Antiqua" w:cs="Book Antiqua"/>
          <w:color w:val="000000"/>
        </w:rPr>
        <w:t xml:space="preserve">1 </w:t>
      </w:r>
      <w:proofErr w:type="spellStart"/>
      <w:r w:rsidRPr="003448EB">
        <w:rPr>
          <w:rFonts w:ascii="Book Antiqua" w:eastAsia="Book Antiqua" w:hAnsi="Book Antiqua" w:cs="Book Antiqua"/>
          <w:b/>
          <w:bCs/>
          <w:color w:val="000000"/>
        </w:rPr>
        <w:t>Llovet</w:t>
      </w:r>
      <w:proofErr w:type="spellEnd"/>
      <w:r w:rsidRPr="003448EB">
        <w:rPr>
          <w:rFonts w:ascii="Book Antiqua" w:eastAsia="Book Antiqua" w:hAnsi="Book Antiqua" w:cs="Book Antiqua"/>
          <w:b/>
          <w:bCs/>
          <w:color w:val="000000"/>
        </w:rPr>
        <w:t xml:space="preserve"> JM</w:t>
      </w:r>
      <w:r w:rsidRPr="003448EB">
        <w:rPr>
          <w:rFonts w:ascii="Book Antiqua" w:eastAsia="Book Antiqua" w:hAnsi="Book Antiqua" w:cs="Book Antiqua"/>
          <w:color w:val="000000"/>
        </w:rPr>
        <w:t xml:space="preserve">, Ricci S, Mazzaferro V, Hilgard P, </w:t>
      </w:r>
      <w:proofErr w:type="spellStart"/>
      <w:r w:rsidRPr="003448EB">
        <w:rPr>
          <w:rFonts w:ascii="Book Antiqua" w:eastAsia="Book Antiqua" w:hAnsi="Book Antiqua" w:cs="Book Antiqua"/>
          <w:color w:val="000000"/>
        </w:rPr>
        <w:t>Gane</w:t>
      </w:r>
      <w:proofErr w:type="spellEnd"/>
      <w:r w:rsidRPr="003448EB">
        <w:rPr>
          <w:rFonts w:ascii="Book Antiqua" w:eastAsia="Book Antiqua" w:hAnsi="Book Antiqua" w:cs="Book Antiqua"/>
          <w:color w:val="000000"/>
        </w:rPr>
        <w:t xml:space="preserve"> E, Blanc JF, de Oliveira AC, Santoro A, Raoul JL, </w:t>
      </w:r>
      <w:proofErr w:type="spellStart"/>
      <w:r w:rsidRPr="003448EB">
        <w:rPr>
          <w:rFonts w:ascii="Book Antiqua" w:eastAsia="Book Antiqua" w:hAnsi="Book Antiqua" w:cs="Book Antiqua"/>
          <w:color w:val="000000"/>
        </w:rPr>
        <w:t>Forner</w:t>
      </w:r>
      <w:proofErr w:type="spellEnd"/>
      <w:r w:rsidRPr="003448EB">
        <w:rPr>
          <w:rFonts w:ascii="Book Antiqua" w:eastAsia="Book Antiqua" w:hAnsi="Book Antiqua" w:cs="Book Antiqua"/>
          <w:color w:val="000000"/>
        </w:rPr>
        <w:t xml:space="preserve"> A, Schwartz M, Porta C, </w:t>
      </w:r>
      <w:proofErr w:type="spellStart"/>
      <w:r w:rsidRPr="003448EB">
        <w:rPr>
          <w:rFonts w:ascii="Book Antiqua" w:eastAsia="Book Antiqua" w:hAnsi="Book Antiqua" w:cs="Book Antiqua"/>
          <w:color w:val="000000"/>
        </w:rPr>
        <w:t>Zeuzem</w:t>
      </w:r>
      <w:proofErr w:type="spellEnd"/>
      <w:r w:rsidRPr="003448EB">
        <w:rPr>
          <w:rFonts w:ascii="Book Antiqua" w:eastAsia="Book Antiqua" w:hAnsi="Book Antiqua" w:cs="Book Antiqua"/>
          <w:color w:val="000000"/>
        </w:rPr>
        <w:t xml:space="preserve"> S, </w:t>
      </w:r>
      <w:proofErr w:type="spellStart"/>
      <w:r w:rsidRPr="003448EB">
        <w:rPr>
          <w:rFonts w:ascii="Book Antiqua" w:eastAsia="Book Antiqua" w:hAnsi="Book Antiqua" w:cs="Book Antiqua"/>
          <w:color w:val="000000"/>
        </w:rPr>
        <w:t>Bolondi</w:t>
      </w:r>
      <w:proofErr w:type="spellEnd"/>
      <w:r w:rsidRPr="003448EB">
        <w:rPr>
          <w:rFonts w:ascii="Book Antiqua" w:eastAsia="Book Antiqua" w:hAnsi="Book Antiqua" w:cs="Book Antiqua"/>
          <w:color w:val="000000"/>
        </w:rPr>
        <w:t xml:space="preserve"> L, </w:t>
      </w:r>
      <w:proofErr w:type="spellStart"/>
      <w:r w:rsidRPr="003448EB">
        <w:rPr>
          <w:rFonts w:ascii="Book Antiqua" w:eastAsia="Book Antiqua" w:hAnsi="Book Antiqua" w:cs="Book Antiqua"/>
          <w:color w:val="000000"/>
        </w:rPr>
        <w:t>Greten</w:t>
      </w:r>
      <w:proofErr w:type="spellEnd"/>
      <w:r w:rsidRPr="003448EB">
        <w:rPr>
          <w:rFonts w:ascii="Book Antiqua" w:eastAsia="Book Antiqua" w:hAnsi="Book Antiqua" w:cs="Book Antiqua"/>
          <w:color w:val="000000"/>
        </w:rPr>
        <w:t xml:space="preserve"> TF, Galle PR, Seitz JF, </w:t>
      </w:r>
      <w:proofErr w:type="spellStart"/>
      <w:r w:rsidRPr="003448EB">
        <w:rPr>
          <w:rFonts w:ascii="Book Antiqua" w:eastAsia="Book Antiqua" w:hAnsi="Book Antiqua" w:cs="Book Antiqua"/>
          <w:color w:val="000000"/>
        </w:rPr>
        <w:t>Borbath</w:t>
      </w:r>
      <w:proofErr w:type="spellEnd"/>
      <w:r w:rsidRPr="003448EB">
        <w:rPr>
          <w:rFonts w:ascii="Book Antiqua" w:eastAsia="Book Antiqua" w:hAnsi="Book Antiqua" w:cs="Book Antiqua"/>
          <w:color w:val="000000"/>
        </w:rPr>
        <w:t xml:space="preserve"> I, </w:t>
      </w:r>
      <w:proofErr w:type="spellStart"/>
      <w:r w:rsidRPr="003448EB">
        <w:rPr>
          <w:rFonts w:ascii="Book Antiqua" w:eastAsia="Book Antiqua" w:hAnsi="Book Antiqua" w:cs="Book Antiqua"/>
          <w:color w:val="000000"/>
        </w:rPr>
        <w:t>Häussinger</w:t>
      </w:r>
      <w:proofErr w:type="spellEnd"/>
      <w:r w:rsidRPr="003448EB">
        <w:rPr>
          <w:rFonts w:ascii="Book Antiqua" w:eastAsia="Book Antiqua" w:hAnsi="Book Antiqua" w:cs="Book Antiqua"/>
          <w:color w:val="000000"/>
        </w:rPr>
        <w:t xml:space="preserve"> D, </w:t>
      </w:r>
      <w:proofErr w:type="spellStart"/>
      <w:r w:rsidRPr="003448EB">
        <w:rPr>
          <w:rFonts w:ascii="Book Antiqua" w:eastAsia="Book Antiqua" w:hAnsi="Book Antiqua" w:cs="Book Antiqua"/>
          <w:color w:val="000000"/>
        </w:rPr>
        <w:t>Giannaris</w:t>
      </w:r>
      <w:proofErr w:type="spellEnd"/>
      <w:r w:rsidRPr="003448EB">
        <w:rPr>
          <w:rFonts w:ascii="Book Antiqua" w:eastAsia="Book Antiqua" w:hAnsi="Book Antiqua" w:cs="Book Antiqua"/>
          <w:color w:val="000000"/>
        </w:rPr>
        <w:t xml:space="preserve"> T, Shan M, Moscovici M, </w:t>
      </w:r>
      <w:proofErr w:type="spellStart"/>
      <w:r w:rsidRPr="003448EB">
        <w:rPr>
          <w:rFonts w:ascii="Book Antiqua" w:eastAsia="Book Antiqua" w:hAnsi="Book Antiqua" w:cs="Book Antiqua"/>
          <w:color w:val="000000"/>
        </w:rPr>
        <w:t>Voliotis</w:t>
      </w:r>
      <w:proofErr w:type="spellEnd"/>
      <w:r w:rsidRPr="003448EB">
        <w:rPr>
          <w:rFonts w:ascii="Book Antiqua" w:eastAsia="Book Antiqua" w:hAnsi="Book Antiqua" w:cs="Book Antiqua"/>
          <w:color w:val="000000"/>
        </w:rPr>
        <w:t xml:space="preserve"> D, </w:t>
      </w:r>
      <w:proofErr w:type="spellStart"/>
      <w:r w:rsidRPr="003448EB">
        <w:rPr>
          <w:rFonts w:ascii="Book Antiqua" w:eastAsia="Book Antiqua" w:hAnsi="Book Antiqua" w:cs="Book Antiqua"/>
          <w:color w:val="000000"/>
        </w:rPr>
        <w:t>Bruix</w:t>
      </w:r>
      <w:proofErr w:type="spellEnd"/>
      <w:r w:rsidRPr="003448EB">
        <w:rPr>
          <w:rFonts w:ascii="Book Antiqua" w:eastAsia="Book Antiqua" w:hAnsi="Book Antiqua" w:cs="Book Antiqua"/>
          <w:color w:val="000000"/>
        </w:rPr>
        <w:t xml:space="preserve"> J; SHARP Investigators Study Group. Sorafenib in advanced hepatocellular carcinoma. </w:t>
      </w:r>
      <w:r w:rsidRPr="003448EB">
        <w:rPr>
          <w:rFonts w:ascii="Book Antiqua" w:eastAsia="Book Antiqua" w:hAnsi="Book Antiqua" w:cs="Book Antiqua"/>
          <w:i/>
          <w:iCs/>
          <w:color w:val="000000"/>
        </w:rPr>
        <w:t xml:space="preserve">N </w:t>
      </w:r>
      <w:proofErr w:type="spellStart"/>
      <w:r w:rsidRPr="003448EB">
        <w:rPr>
          <w:rFonts w:ascii="Book Antiqua" w:eastAsia="Book Antiqua" w:hAnsi="Book Antiqua" w:cs="Book Antiqua"/>
          <w:i/>
          <w:iCs/>
          <w:color w:val="000000"/>
        </w:rPr>
        <w:t>Engl</w:t>
      </w:r>
      <w:proofErr w:type="spellEnd"/>
      <w:r w:rsidRPr="003448EB">
        <w:rPr>
          <w:rFonts w:ascii="Book Antiqua" w:eastAsia="Book Antiqua" w:hAnsi="Book Antiqua" w:cs="Book Antiqua"/>
          <w:i/>
          <w:iCs/>
          <w:color w:val="000000"/>
        </w:rPr>
        <w:t xml:space="preserve"> J Med</w:t>
      </w:r>
      <w:r w:rsidRPr="003448EB">
        <w:rPr>
          <w:rFonts w:ascii="Book Antiqua" w:eastAsia="Book Antiqua" w:hAnsi="Book Antiqua" w:cs="Book Antiqua"/>
          <w:color w:val="000000"/>
        </w:rPr>
        <w:t xml:space="preserve"> 2008; </w:t>
      </w:r>
      <w:r w:rsidRPr="003448EB">
        <w:rPr>
          <w:rFonts w:ascii="Book Antiqua" w:eastAsia="Book Antiqua" w:hAnsi="Book Antiqua" w:cs="Book Antiqua"/>
          <w:b/>
          <w:bCs/>
          <w:color w:val="000000"/>
        </w:rPr>
        <w:t>359</w:t>
      </w:r>
      <w:r w:rsidRPr="003448EB">
        <w:rPr>
          <w:rFonts w:ascii="Book Antiqua" w:eastAsia="Book Antiqua" w:hAnsi="Book Antiqua" w:cs="Book Antiqua"/>
          <w:color w:val="000000"/>
        </w:rPr>
        <w:t>: 378-390 [PMID: 18650514 DOI: 10.1056/NEJMoa0708857]</w:t>
      </w:r>
    </w:p>
    <w:p w14:paraId="3998274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 </w:t>
      </w:r>
      <w:r w:rsidRPr="003448EB">
        <w:rPr>
          <w:rFonts w:ascii="Book Antiqua" w:eastAsia="Book Antiqua" w:hAnsi="Book Antiqua" w:cs="Book Antiqua"/>
          <w:b/>
          <w:bCs/>
          <w:color w:val="000000"/>
        </w:rPr>
        <w:t>Cheng AL</w:t>
      </w:r>
      <w:r w:rsidRPr="003448EB">
        <w:rPr>
          <w:rFonts w:ascii="Book Antiqua" w:eastAsia="Book Antiqua" w:hAnsi="Book Antiqua" w:cs="Book Antiqua"/>
          <w:color w:val="000000"/>
        </w:rPr>
        <w:t xml:space="preserve">, Kang YK, Chen Z, Tsao CJ, Qin S, Kim JS, Luo R, Feng J, Ye S, Yang TS, Xu J, Sun Y, Liang H, Liu J, Wang J, </w:t>
      </w:r>
      <w:proofErr w:type="spellStart"/>
      <w:r w:rsidRPr="003448EB">
        <w:rPr>
          <w:rFonts w:ascii="Book Antiqua" w:eastAsia="Book Antiqua" w:hAnsi="Book Antiqua" w:cs="Book Antiqua"/>
          <w:color w:val="000000"/>
        </w:rPr>
        <w:t>Tak</w:t>
      </w:r>
      <w:proofErr w:type="spellEnd"/>
      <w:r w:rsidRPr="003448EB">
        <w:rPr>
          <w:rFonts w:ascii="Book Antiqua" w:eastAsia="Book Antiqua" w:hAnsi="Book Antiqua" w:cs="Book Antiqua"/>
          <w:color w:val="000000"/>
        </w:rPr>
        <w:t xml:space="preserve"> WY, Pan H, </w:t>
      </w:r>
      <w:proofErr w:type="spellStart"/>
      <w:r w:rsidRPr="003448EB">
        <w:rPr>
          <w:rFonts w:ascii="Book Antiqua" w:eastAsia="Book Antiqua" w:hAnsi="Book Antiqua" w:cs="Book Antiqua"/>
          <w:color w:val="000000"/>
        </w:rPr>
        <w:t>Burock</w:t>
      </w:r>
      <w:proofErr w:type="spellEnd"/>
      <w:r w:rsidRPr="003448EB">
        <w:rPr>
          <w:rFonts w:ascii="Book Antiqua" w:eastAsia="Book Antiqua" w:hAnsi="Book Antiqua" w:cs="Book Antiqua"/>
          <w:color w:val="000000"/>
        </w:rPr>
        <w:t xml:space="preserve"> K, Zou J, </w:t>
      </w:r>
      <w:proofErr w:type="spellStart"/>
      <w:r w:rsidRPr="003448EB">
        <w:rPr>
          <w:rFonts w:ascii="Book Antiqua" w:eastAsia="Book Antiqua" w:hAnsi="Book Antiqua" w:cs="Book Antiqua"/>
          <w:color w:val="000000"/>
        </w:rPr>
        <w:t>Voliotis</w:t>
      </w:r>
      <w:proofErr w:type="spellEnd"/>
      <w:r w:rsidRPr="003448EB">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sidRPr="003448EB">
        <w:rPr>
          <w:rFonts w:ascii="Book Antiqua" w:eastAsia="Book Antiqua" w:hAnsi="Book Antiqua" w:cs="Book Antiqua"/>
          <w:color w:val="000000"/>
        </w:rPr>
        <w:t>randomised</w:t>
      </w:r>
      <w:proofErr w:type="spellEnd"/>
      <w:r w:rsidRPr="003448EB">
        <w:rPr>
          <w:rFonts w:ascii="Book Antiqua" w:eastAsia="Book Antiqua" w:hAnsi="Book Antiqua" w:cs="Book Antiqua"/>
          <w:color w:val="000000"/>
        </w:rPr>
        <w:t xml:space="preserve">, double-blind, placebo-controlled trial. </w:t>
      </w:r>
      <w:r w:rsidRPr="003448EB">
        <w:rPr>
          <w:rFonts w:ascii="Book Antiqua" w:eastAsia="Book Antiqua" w:hAnsi="Book Antiqua" w:cs="Book Antiqua"/>
          <w:i/>
          <w:iCs/>
          <w:color w:val="000000"/>
        </w:rPr>
        <w:t>Lancet Oncol</w:t>
      </w:r>
      <w:r w:rsidRPr="003448EB">
        <w:rPr>
          <w:rFonts w:ascii="Book Antiqua" w:eastAsia="Book Antiqua" w:hAnsi="Book Antiqua" w:cs="Book Antiqua"/>
          <w:color w:val="000000"/>
        </w:rPr>
        <w:t xml:space="preserve"> 2009; </w:t>
      </w:r>
      <w:r w:rsidRPr="003448EB">
        <w:rPr>
          <w:rFonts w:ascii="Book Antiqua" w:eastAsia="Book Antiqua" w:hAnsi="Book Antiqua" w:cs="Book Antiqua"/>
          <w:b/>
          <w:bCs/>
          <w:color w:val="000000"/>
        </w:rPr>
        <w:t>10</w:t>
      </w:r>
      <w:r w:rsidRPr="003448EB">
        <w:rPr>
          <w:rFonts w:ascii="Book Antiqua" w:eastAsia="Book Antiqua" w:hAnsi="Book Antiqua" w:cs="Book Antiqua"/>
          <w:color w:val="000000"/>
        </w:rPr>
        <w:t>: 25-34 [PMID: 19095497 DOI: 10.1016/S1470-2045(08)70285-7]</w:t>
      </w:r>
    </w:p>
    <w:p w14:paraId="1D27363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3 </w:t>
      </w:r>
      <w:proofErr w:type="spellStart"/>
      <w:r w:rsidRPr="003448EB">
        <w:rPr>
          <w:rFonts w:ascii="Book Antiqua" w:eastAsia="Book Antiqua" w:hAnsi="Book Antiqua" w:cs="Book Antiqua"/>
          <w:b/>
          <w:bCs/>
          <w:color w:val="000000"/>
        </w:rPr>
        <w:t>Iavarone</w:t>
      </w:r>
      <w:proofErr w:type="spellEnd"/>
      <w:r w:rsidRPr="003448EB">
        <w:rPr>
          <w:rFonts w:ascii="Book Antiqua" w:eastAsia="Book Antiqua" w:hAnsi="Book Antiqua" w:cs="Book Antiqua"/>
          <w:b/>
          <w:bCs/>
          <w:color w:val="000000"/>
        </w:rPr>
        <w:t xml:space="preserve"> M</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Cabibbo</w:t>
      </w:r>
      <w:proofErr w:type="spellEnd"/>
      <w:r w:rsidRPr="003448EB">
        <w:rPr>
          <w:rFonts w:ascii="Book Antiqua" w:eastAsia="Book Antiqua" w:hAnsi="Book Antiqua" w:cs="Book Antiqua"/>
          <w:color w:val="000000"/>
        </w:rPr>
        <w:t xml:space="preserve"> G, </w:t>
      </w:r>
      <w:proofErr w:type="spellStart"/>
      <w:r w:rsidRPr="003448EB">
        <w:rPr>
          <w:rFonts w:ascii="Book Antiqua" w:eastAsia="Book Antiqua" w:hAnsi="Book Antiqua" w:cs="Book Antiqua"/>
          <w:color w:val="000000"/>
        </w:rPr>
        <w:t>Biolato</w:t>
      </w:r>
      <w:proofErr w:type="spellEnd"/>
      <w:r w:rsidRPr="003448EB">
        <w:rPr>
          <w:rFonts w:ascii="Book Antiqua" w:eastAsia="Book Antiqua" w:hAnsi="Book Antiqua" w:cs="Book Antiqua"/>
          <w:color w:val="000000"/>
        </w:rPr>
        <w:t xml:space="preserve"> M, Della Corte C, Maida M, Barbara M, Basso M, </w:t>
      </w:r>
      <w:proofErr w:type="spellStart"/>
      <w:r w:rsidRPr="003448EB">
        <w:rPr>
          <w:rFonts w:ascii="Book Antiqua" w:eastAsia="Book Antiqua" w:hAnsi="Book Antiqua" w:cs="Book Antiqua"/>
          <w:color w:val="000000"/>
        </w:rPr>
        <w:t>Vavassori</w:t>
      </w:r>
      <w:proofErr w:type="spellEnd"/>
      <w:r w:rsidRPr="003448EB">
        <w:rPr>
          <w:rFonts w:ascii="Book Antiqua" w:eastAsia="Book Antiqua" w:hAnsi="Book Antiqua" w:cs="Book Antiqua"/>
          <w:color w:val="000000"/>
        </w:rPr>
        <w:t xml:space="preserve"> S, </w:t>
      </w:r>
      <w:proofErr w:type="spellStart"/>
      <w:r w:rsidRPr="003448EB">
        <w:rPr>
          <w:rFonts w:ascii="Book Antiqua" w:eastAsia="Book Antiqua" w:hAnsi="Book Antiqua" w:cs="Book Antiqua"/>
          <w:color w:val="000000"/>
        </w:rPr>
        <w:t>Craxì</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Grieco</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Cammà</w:t>
      </w:r>
      <w:proofErr w:type="spellEnd"/>
      <w:r w:rsidRPr="003448EB">
        <w:rPr>
          <w:rFonts w:ascii="Book Antiqua" w:eastAsia="Book Antiqua" w:hAnsi="Book Antiqua" w:cs="Book Antiqua"/>
          <w:color w:val="000000"/>
        </w:rPr>
        <w:t xml:space="preserve"> C, Colombo M. Predictors of survival in patients with advanced hepatocellular carcinoma who permanently discontinued sorafenib. </w:t>
      </w:r>
      <w:r w:rsidRPr="003448EB">
        <w:rPr>
          <w:rFonts w:ascii="Book Antiqua" w:eastAsia="Book Antiqua" w:hAnsi="Book Antiqua" w:cs="Book Antiqua"/>
          <w:i/>
          <w:iCs/>
          <w:color w:val="000000"/>
        </w:rPr>
        <w:t>Hepatology</w:t>
      </w:r>
      <w:r w:rsidRPr="003448EB">
        <w:rPr>
          <w:rFonts w:ascii="Book Antiqua" w:eastAsia="Book Antiqua" w:hAnsi="Book Antiqua" w:cs="Book Antiqua"/>
          <w:color w:val="000000"/>
        </w:rPr>
        <w:t xml:space="preserve"> 2015; </w:t>
      </w:r>
      <w:r w:rsidRPr="003448EB">
        <w:rPr>
          <w:rFonts w:ascii="Book Antiqua" w:eastAsia="Book Antiqua" w:hAnsi="Book Antiqua" w:cs="Book Antiqua"/>
          <w:b/>
          <w:bCs/>
          <w:color w:val="000000"/>
        </w:rPr>
        <w:t>62</w:t>
      </w:r>
      <w:r w:rsidRPr="003448EB">
        <w:rPr>
          <w:rFonts w:ascii="Book Antiqua" w:eastAsia="Book Antiqua" w:hAnsi="Book Antiqua" w:cs="Book Antiqua"/>
          <w:color w:val="000000"/>
        </w:rPr>
        <w:t>: 784-791 [PMID: 25645399 DOI: 10.1002/hep.27729]</w:t>
      </w:r>
    </w:p>
    <w:p w14:paraId="0457C60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4 </w:t>
      </w:r>
      <w:proofErr w:type="spellStart"/>
      <w:r w:rsidRPr="003448EB">
        <w:rPr>
          <w:rFonts w:ascii="Book Antiqua" w:eastAsia="Book Antiqua" w:hAnsi="Book Antiqua" w:cs="Book Antiqua"/>
          <w:b/>
          <w:bCs/>
          <w:color w:val="000000"/>
        </w:rPr>
        <w:t>Vincenzi</w:t>
      </w:r>
      <w:proofErr w:type="spellEnd"/>
      <w:r w:rsidRPr="003448EB">
        <w:rPr>
          <w:rFonts w:ascii="Book Antiqua" w:eastAsia="Book Antiqua" w:hAnsi="Book Antiqua" w:cs="Book Antiqua"/>
          <w:b/>
          <w:bCs/>
          <w:color w:val="000000"/>
        </w:rPr>
        <w:t xml:space="preserve"> B</w:t>
      </w:r>
      <w:r w:rsidRPr="003448EB">
        <w:rPr>
          <w:rFonts w:ascii="Book Antiqua" w:eastAsia="Book Antiqua" w:hAnsi="Book Antiqua" w:cs="Book Antiqua"/>
          <w:color w:val="000000"/>
        </w:rPr>
        <w:t xml:space="preserve">, Santini D, Russo A, </w:t>
      </w:r>
      <w:proofErr w:type="spellStart"/>
      <w:r w:rsidRPr="003448EB">
        <w:rPr>
          <w:rFonts w:ascii="Book Antiqua" w:eastAsia="Book Antiqua" w:hAnsi="Book Antiqua" w:cs="Book Antiqua"/>
          <w:color w:val="000000"/>
        </w:rPr>
        <w:t>Addeo</w:t>
      </w:r>
      <w:proofErr w:type="spellEnd"/>
      <w:r w:rsidRPr="003448EB">
        <w:rPr>
          <w:rFonts w:ascii="Book Antiqua" w:eastAsia="Book Antiqua" w:hAnsi="Book Antiqua" w:cs="Book Antiqua"/>
          <w:color w:val="000000"/>
        </w:rPr>
        <w:t xml:space="preserve"> R, Giuliani F, </w:t>
      </w:r>
      <w:proofErr w:type="spellStart"/>
      <w:r w:rsidRPr="003448EB">
        <w:rPr>
          <w:rFonts w:ascii="Book Antiqua" w:eastAsia="Book Antiqua" w:hAnsi="Book Antiqua" w:cs="Book Antiqua"/>
          <w:color w:val="000000"/>
        </w:rPr>
        <w:t>Montella</w:t>
      </w:r>
      <w:proofErr w:type="spellEnd"/>
      <w:r w:rsidRPr="003448EB">
        <w:rPr>
          <w:rFonts w:ascii="Book Antiqua" w:eastAsia="Book Antiqua" w:hAnsi="Book Antiqua" w:cs="Book Antiqua"/>
          <w:color w:val="000000"/>
        </w:rPr>
        <w:t xml:space="preserve"> L, Rizzo S, </w:t>
      </w:r>
      <w:proofErr w:type="spellStart"/>
      <w:r w:rsidRPr="003448EB">
        <w:rPr>
          <w:rFonts w:ascii="Book Antiqua" w:eastAsia="Book Antiqua" w:hAnsi="Book Antiqua" w:cs="Book Antiqua"/>
          <w:color w:val="000000"/>
        </w:rPr>
        <w:t>Venditti</w:t>
      </w:r>
      <w:proofErr w:type="spellEnd"/>
      <w:r w:rsidRPr="003448EB">
        <w:rPr>
          <w:rFonts w:ascii="Book Antiqua" w:eastAsia="Book Antiqua" w:hAnsi="Book Antiqua" w:cs="Book Antiqua"/>
          <w:color w:val="000000"/>
        </w:rPr>
        <w:t xml:space="preserve"> O, </w:t>
      </w:r>
      <w:proofErr w:type="spellStart"/>
      <w:r w:rsidRPr="003448EB">
        <w:rPr>
          <w:rFonts w:ascii="Book Antiqua" w:eastAsia="Book Antiqua" w:hAnsi="Book Antiqua" w:cs="Book Antiqua"/>
          <w:color w:val="000000"/>
        </w:rPr>
        <w:t>Frezza</w:t>
      </w:r>
      <w:proofErr w:type="spellEnd"/>
      <w:r w:rsidRPr="003448EB">
        <w:rPr>
          <w:rFonts w:ascii="Book Antiqua" w:eastAsia="Book Antiqua" w:hAnsi="Book Antiqua" w:cs="Book Antiqua"/>
          <w:color w:val="000000"/>
        </w:rPr>
        <w:t xml:space="preserve"> AM, </w:t>
      </w:r>
      <w:proofErr w:type="spellStart"/>
      <w:r w:rsidRPr="003448EB">
        <w:rPr>
          <w:rFonts w:ascii="Book Antiqua" w:eastAsia="Book Antiqua" w:hAnsi="Book Antiqua" w:cs="Book Antiqua"/>
          <w:color w:val="000000"/>
        </w:rPr>
        <w:t>Caraglia</w:t>
      </w:r>
      <w:proofErr w:type="spellEnd"/>
      <w:r w:rsidRPr="003448EB">
        <w:rPr>
          <w:rFonts w:ascii="Book Antiqua" w:eastAsia="Book Antiqua" w:hAnsi="Book Antiqua" w:cs="Book Antiqua"/>
          <w:color w:val="000000"/>
        </w:rPr>
        <w:t xml:space="preserve"> M, Colucci G, Del </w:t>
      </w:r>
      <w:proofErr w:type="spellStart"/>
      <w:r w:rsidRPr="003448EB">
        <w:rPr>
          <w:rFonts w:ascii="Book Antiqua" w:eastAsia="Book Antiqua" w:hAnsi="Book Antiqua" w:cs="Book Antiqua"/>
          <w:color w:val="000000"/>
        </w:rPr>
        <w:t>Prete</w:t>
      </w:r>
      <w:proofErr w:type="spellEnd"/>
      <w:r w:rsidRPr="003448EB">
        <w:rPr>
          <w:rFonts w:ascii="Book Antiqua" w:eastAsia="Book Antiqua" w:hAnsi="Book Antiqua" w:cs="Book Antiqua"/>
          <w:color w:val="000000"/>
        </w:rPr>
        <w:t xml:space="preserve"> S, </w:t>
      </w:r>
      <w:proofErr w:type="spellStart"/>
      <w:r w:rsidRPr="003448EB">
        <w:rPr>
          <w:rFonts w:ascii="Book Antiqua" w:eastAsia="Book Antiqua" w:hAnsi="Book Antiqua" w:cs="Book Antiqua"/>
          <w:color w:val="000000"/>
        </w:rPr>
        <w:t>Tonini</w:t>
      </w:r>
      <w:proofErr w:type="spellEnd"/>
      <w:r w:rsidRPr="003448EB">
        <w:rPr>
          <w:rFonts w:ascii="Book Antiqua" w:eastAsia="Book Antiqua" w:hAnsi="Book Antiqua" w:cs="Book Antiqua"/>
          <w:color w:val="000000"/>
        </w:rPr>
        <w:t xml:space="preserve"> G. Early skin toxicity as a predictive factor for tumor control in hepatocellular carcinoma patients treated with sorafenib. </w:t>
      </w:r>
      <w:r w:rsidRPr="003448EB">
        <w:rPr>
          <w:rFonts w:ascii="Book Antiqua" w:eastAsia="Book Antiqua" w:hAnsi="Book Antiqua" w:cs="Book Antiqua"/>
          <w:i/>
          <w:iCs/>
          <w:color w:val="000000"/>
        </w:rPr>
        <w:t>Oncologist</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15</w:t>
      </w:r>
      <w:r w:rsidRPr="003448EB">
        <w:rPr>
          <w:rFonts w:ascii="Book Antiqua" w:eastAsia="Book Antiqua" w:hAnsi="Book Antiqua" w:cs="Book Antiqua"/>
          <w:color w:val="000000"/>
        </w:rPr>
        <w:t>: 85-92 [PMID: 20051477 DOI: 10.1634/theoncologist.2009-0143]</w:t>
      </w:r>
    </w:p>
    <w:p w14:paraId="3653EF0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5 </w:t>
      </w:r>
      <w:proofErr w:type="spellStart"/>
      <w:r w:rsidRPr="003448EB">
        <w:rPr>
          <w:rFonts w:ascii="Book Antiqua" w:eastAsia="Book Antiqua" w:hAnsi="Book Antiqua" w:cs="Book Antiqua"/>
          <w:b/>
          <w:bCs/>
          <w:color w:val="000000"/>
        </w:rPr>
        <w:t>Reig</w:t>
      </w:r>
      <w:proofErr w:type="spellEnd"/>
      <w:r w:rsidRPr="003448EB">
        <w:rPr>
          <w:rFonts w:ascii="Book Antiqua" w:eastAsia="Book Antiqua" w:hAnsi="Book Antiqua" w:cs="Book Antiqua"/>
          <w:b/>
          <w:bCs/>
          <w:color w:val="000000"/>
        </w:rPr>
        <w:t xml:space="preserve"> M</w:t>
      </w:r>
      <w:r w:rsidRPr="003448EB">
        <w:rPr>
          <w:rFonts w:ascii="Book Antiqua" w:eastAsia="Book Antiqua" w:hAnsi="Book Antiqua" w:cs="Book Antiqua"/>
          <w:color w:val="000000"/>
        </w:rPr>
        <w:t xml:space="preserve">, Torres F, Rodriguez-Lope C, </w:t>
      </w:r>
      <w:proofErr w:type="spellStart"/>
      <w:r w:rsidRPr="003448EB">
        <w:rPr>
          <w:rFonts w:ascii="Book Antiqua" w:eastAsia="Book Antiqua" w:hAnsi="Book Antiqua" w:cs="Book Antiqua"/>
          <w:color w:val="000000"/>
        </w:rPr>
        <w:t>Forner</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LLarch</w:t>
      </w:r>
      <w:proofErr w:type="spellEnd"/>
      <w:r w:rsidRPr="003448EB">
        <w:rPr>
          <w:rFonts w:ascii="Book Antiqua" w:eastAsia="Book Antiqua" w:hAnsi="Book Antiqua" w:cs="Book Antiqua"/>
          <w:color w:val="000000"/>
        </w:rPr>
        <w:t xml:space="preserve"> N, </w:t>
      </w:r>
      <w:proofErr w:type="spellStart"/>
      <w:r w:rsidRPr="003448EB">
        <w:rPr>
          <w:rFonts w:ascii="Book Antiqua" w:eastAsia="Book Antiqua" w:hAnsi="Book Antiqua" w:cs="Book Antiqua"/>
          <w:color w:val="000000"/>
        </w:rPr>
        <w:t>Rimola</w:t>
      </w:r>
      <w:proofErr w:type="spellEnd"/>
      <w:r w:rsidRPr="003448EB">
        <w:rPr>
          <w:rFonts w:ascii="Book Antiqua" w:eastAsia="Book Antiqua" w:hAnsi="Book Antiqua" w:cs="Book Antiqua"/>
          <w:color w:val="000000"/>
        </w:rPr>
        <w:t xml:space="preserve"> J, Darnell A, Ríos J, </w:t>
      </w:r>
      <w:proofErr w:type="spellStart"/>
      <w:r w:rsidRPr="003448EB">
        <w:rPr>
          <w:rFonts w:ascii="Book Antiqua" w:eastAsia="Book Antiqua" w:hAnsi="Book Antiqua" w:cs="Book Antiqua"/>
          <w:color w:val="000000"/>
        </w:rPr>
        <w:t>Ayuso</w:t>
      </w:r>
      <w:proofErr w:type="spellEnd"/>
      <w:r w:rsidRPr="003448EB">
        <w:rPr>
          <w:rFonts w:ascii="Book Antiqua" w:eastAsia="Book Antiqua" w:hAnsi="Book Antiqua" w:cs="Book Antiqua"/>
          <w:color w:val="000000"/>
        </w:rPr>
        <w:t xml:space="preserve"> C, </w:t>
      </w:r>
      <w:proofErr w:type="spellStart"/>
      <w:r w:rsidRPr="003448EB">
        <w:rPr>
          <w:rFonts w:ascii="Book Antiqua" w:eastAsia="Book Antiqua" w:hAnsi="Book Antiqua" w:cs="Book Antiqua"/>
          <w:color w:val="000000"/>
        </w:rPr>
        <w:t>Bruix</w:t>
      </w:r>
      <w:proofErr w:type="spellEnd"/>
      <w:r w:rsidRPr="003448EB">
        <w:rPr>
          <w:rFonts w:ascii="Book Antiqua" w:eastAsia="Book Antiqua" w:hAnsi="Book Antiqua" w:cs="Book Antiqua"/>
          <w:color w:val="000000"/>
        </w:rPr>
        <w:t xml:space="preserve"> J. Early dermatologic adverse events predict better outcome in HCC patients treated with sorafenib. </w:t>
      </w:r>
      <w:r w:rsidRPr="003448EB">
        <w:rPr>
          <w:rFonts w:ascii="Book Antiqua" w:eastAsia="Book Antiqua" w:hAnsi="Book Antiqua" w:cs="Book Antiqua"/>
          <w:i/>
          <w:iCs/>
          <w:color w:val="000000"/>
        </w:rPr>
        <w:t>J Hepatol</w:t>
      </w:r>
      <w:r w:rsidRPr="003448EB">
        <w:rPr>
          <w:rFonts w:ascii="Book Antiqua" w:eastAsia="Book Antiqua" w:hAnsi="Book Antiqua" w:cs="Book Antiqua"/>
          <w:color w:val="000000"/>
        </w:rPr>
        <w:t xml:space="preserve"> 2014; </w:t>
      </w:r>
      <w:r w:rsidRPr="003448EB">
        <w:rPr>
          <w:rFonts w:ascii="Book Antiqua" w:eastAsia="Book Antiqua" w:hAnsi="Book Antiqua" w:cs="Book Antiqua"/>
          <w:b/>
          <w:bCs/>
          <w:color w:val="000000"/>
        </w:rPr>
        <w:t>61</w:t>
      </w:r>
      <w:r w:rsidRPr="003448EB">
        <w:rPr>
          <w:rFonts w:ascii="Book Antiqua" w:eastAsia="Book Antiqua" w:hAnsi="Book Antiqua" w:cs="Book Antiqua"/>
          <w:color w:val="000000"/>
        </w:rPr>
        <w:t>: 318-324 [PMID: 24703956 DOI: 10.1016/j.jhep.2014.03.030]</w:t>
      </w:r>
    </w:p>
    <w:p w14:paraId="4D05B12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6 </w:t>
      </w:r>
      <w:r w:rsidRPr="003448EB">
        <w:rPr>
          <w:rFonts w:ascii="Book Antiqua" w:eastAsia="Book Antiqua" w:hAnsi="Book Antiqua" w:cs="Book Antiqua"/>
          <w:b/>
          <w:bCs/>
          <w:color w:val="000000"/>
        </w:rPr>
        <w:t>Díaz-González Á</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Sanduzzi</w:t>
      </w:r>
      <w:proofErr w:type="spellEnd"/>
      <w:r w:rsidRPr="003448EB">
        <w:rPr>
          <w:rFonts w:ascii="Book Antiqua" w:eastAsia="Book Antiqua" w:hAnsi="Book Antiqua" w:cs="Book Antiqua"/>
          <w:color w:val="000000"/>
        </w:rPr>
        <w:t xml:space="preserve">-Zamparelli M, </w:t>
      </w:r>
      <w:proofErr w:type="spellStart"/>
      <w:r w:rsidRPr="003448EB">
        <w:rPr>
          <w:rFonts w:ascii="Book Antiqua" w:eastAsia="Book Antiqua" w:hAnsi="Book Antiqua" w:cs="Book Antiqua"/>
          <w:color w:val="000000"/>
        </w:rPr>
        <w:t>Sapena</w:t>
      </w:r>
      <w:proofErr w:type="spellEnd"/>
      <w:r w:rsidRPr="003448EB">
        <w:rPr>
          <w:rFonts w:ascii="Book Antiqua" w:eastAsia="Book Antiqua" w:hAnsi="Book Antiqua" w:cs="Book Antiqua"/>
          <w:color w:val="000000"/>
        </w:rPr>
        <w:t xml:space="preserve"> V, Torres F, </w:t>
      </w:r>
      <w:proofErr w:type="spellStart"/>
      <w:r w:rsidRPr="003448EB">
        <w:rPr>
          <w:rFonts w:ascii="Book Antiqua" w:eastAsia="Book Antiqua" w:hAnsi="Book Antiqua" w:cs="Book Antiqua"/>
          <w:color w:val="000000"/>
        </w:rPr>
        <w:t>LLarch</w:t>
      </w:r>
      <w:proofErr w:type="spellEnd"/>
      <w:r w:rsidRPr="003448EB">
        <w:rPr>
          <w:rFonts w:ascii="Book Antiqua" w:eastAsia="Book Antiqua" w:hAnsi="Book Antiqua" w:cs="Book Antiqua"/>
          <w:color w:val="000000"/>
        </w:rPr>
        <w:t xml:space="preserve"> N, </w:t>
      </w:r>
      <w:proofErr w:type="spellStart"/>
      <w:r w:rsidRPr="003448EB">
        <w:rPr>
          <w:rFonts w:ascii="Book Antiqua" w:eastAsia="Book Antiqua" w:hAnsi="Book Antiqua" w:cs="Book Antiqua"/>
          <w:color w:val="000000"/>
        </w:rPr>
        <w:t>Iserte</w:t>
      </w:r>
      <w:proofErr w:type="spellEnd"/>
      <w:r w:rsidRPr="003448EB">
        <w:rPr>
          <w:rFonts w:ascii="Book Antiqua" w:eastAsia="Book Antiqua" w:hAnsi="Book Antiqua" w:cs="Book Antiqua"/>
          <w:color w:val="000000"/>
        </w:rPr>
        <w:t xml:space="preserve"> G, </w:t>
      </w:r>
      <w:proofErr w:type="spellStart"/>
      <w:r w:rsidRPr="003448EB">
        <w:rPr>
          <w:rFonts w:ascii="Book Antiqua" w:eastAsia="Book Antiqua" w:hAnsi="Book Antiqua" w:cs="Book Antiqua"/>
          <w:color w:val="000000"/>
        </w:rPr>
        <w:t>Forner</w:t>
      </w:r>
      <w:proofErr w:type="spellEnd"/>
      <w:r w:rsidRPr="003448EB">
        <w:rPr>
          <w:rFonts w:ascii="Book Antiqua" w:eastAsia="Book Antiqua" w:hAnsi="Book Antiqua" w:cs="Book Antiqua"/>
          <w:color w:val="000000"/>
        </w:rPr>
        <w:t xml:space="preserve"> A, da Fonseca L, Ríos J, </w:t>
      </w:r>
      <w:proofErr w:type="spellStart"/>
      <w:r w:rsidRPr="003448EB">
        <w:rPr>
          <w:rFonts w:ascii="Book Antiqua" w:eastAsia="Book Antiqua" w:hAnsi="Book Antiqua" w:cs="Book Antiqua"/>
          <w:color w:val="000000"/>
        </w:rPr>
        <w:t>Bruix</w:t>
      </w:r>
      <w:proofErr w:type="spellEnd"/>
      <w:r w:rsidRPr="003448EB">
        <w:rPr>
          <w:rFonts w:ascii="Book Antiqua" w:eastAsia="Book Antiqua" w:hAnsi="Book Antiqua" w:cs="Book Antiqua"/>
          <w:color w:val="000000"/>
        </w:rPr>
        <w:t xml:space="preserve"> J, </w:t>
      </w:r>
      <w:proofErr w:type="spellStart"/>
      <w:r w:rsidRPr="003448EB">
        <w:rPr>
          <w:rFonts w:ascii="Book Antiqua" w:eastAsia="Book Antiqua" w:hAnsi="Book Antiqua" w:cs="Book Antiqua"/>
          <w:color w:val="000000"/>
        </w:rPr>
        <w:t>Reig</w:t>
      </w:r>
      <w:proofErr w:type="spellEnd"/>
      <w:r w:rsidRPr="003448EB">
        <w:rPr>
          <w:rFonts w:ascii="Book Antiqua" w:eastAsia="Book Antiqua" w:hAnsi="Book Antiqua" w:cs="Book Antiqua"/>
          <w:color w:val="000000"/>
        </w:rPr>
        <w:t xml:space="preserve"> M. Systematic review with meta-analysis: </w:t>
      </w:r>
      <w:r w:rsidRPr="003448EB">
        <w:rPr>
          <w:rFonts w:ascii="Book Antiqua" w:eastAsia="Book Antiqua" w:hAnsi="Book Antiqua" w:cs="Book Antiqua"/>
          <w:color w:val="000000"/>
        </w:rPr>
        <w:lastRenderedPageBreak/>
        <w:t xml:space="preserve">the critical role of dermatological events in patients with hepatocellular carcinoma treated with sorafenib. </w:t>
      </w:r>
      <w:r w:rsidRPr="003448EB">
        <w:rPr>
          <w:rFonts w:ascii="Book Antiqua" w:eastAsia="Book Antiqua" w:hAnsi="Book Antiqua" w:cs="Book Antiqua"/>
          <w:i/>
          <w:iCs/>
          <w:color w:val="000000"/>
        </w:rPr>
        <w:t xml:space="preserve">Aliment </w:t>
      </w:r>
      <w:proofErr w:type="spellStart"/>
      <w:r w:rsidRPr="003448EB">
        <w:rPr>
          <w:rFonts w:ascii="Book Antiqua" w:eastAsia="Book Antiqua" w:hAnsi="Book Antiqua" w:cs="Book Antiqua"/>
          <w:i/>
          <w:iCs/>
          <w:color w:val="000000"/>
        </w:rPr>
        <w:t>Pharmacol</w:t>
      </w:r>
      <w:proofErr w:type="spellEnd"/>
      <w:r w:rsidRPr="003448EB">
        <w:rPr>
          <w:rFonts w:ascii="Book Antiqua" w:eastAsia="Book Antiqua" w:hAnsi="Book Antiqua" w:cs="Book Antiqua"/>
          <w:i/>
          <w:iCs/>
          <w:color w:val="000000"/>
        </w:rPr>
        <w:t xml:space="preserve"> </w:t>
      </w:r>
      <w:proofErr w:type="spellStart"/>
      <w:r w:rsidRPr="003448EB">
        <w:rPr>
          <w:rFonts w:ascii="Book Antiqua" w:eastAsia="Book Antiqua" w:hAnsi="Book Antiqua" w:cs="Book Antiqua"/>
          <w:i/>
          <w:iCs/>
          <w:color w:val="000000"/>
        </w:rPr>
        <w:t>Ther</w:t>
      </w:r>
      <w:proofErr w:type="spellEnd"/>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49</w:t>
      </w:r>
      <w:r w:rsidRPr="003448EB">
        <w:rPr>
          <w:rFonts w:ascii="Book Antiqua" w:eastAsia="Book Antiqua" w:hAnsi="Book Antiqua" w:cs="Book Antiqua"/>
          <w:color w:val="000000"/>
        </w:rPr>
        <w:t>: 482-491 [PMID: 30695819 DOI: 10.1111/apt.15088]</w:t>
      </w:r>
    </w:p>
    <w:p w14:paraId="6E69847F"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7 </w:t>
      </w:r>
      <w:proofErr w:type="spellStart"/>
      <w:r w:rsidRPr="003448EB">
        <w:rPr>
          <w:rFonts w:ascii="Book Antiqua" w:eastAsia="Book Antiqua" w:hAnsi="Book Antiqua" w:cs="Book Antiqua"/>
          <w:b/>
          <w:bCs/>
          <w:color w:val="000000"/>
        </w:rPr>
        <w:t>Tovoli</w:t>
      </w:r>
      <w:proofErr w:type="spellEnd"/>
      <w:r w:rsidRPr="003448EB">
        <w:rPr>
          <w:rFonts w:ascii="Book Antiqua" w:eastAsia="Book Antiqua" w:hAnsi="Book Antiqua" w:cs="Book Antiqua"/>
          <w:b/>
          <w:bCs/>
          <w:color w:val="000000"/>
        </w:rPr>
        <w:t xml:space="preserve"> F</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Ielasi</w:t>
      </w:r>
      <w:proofErr w:type="spellEnd"/>
      <w:r w:rsidRPr="003448EB">
        <w:rPr>
          <w:rFonts w:ascii="Book Antiqua" w:eastAsia="Book Antiqua" w:hAnsi="Book Antiqua" w:cs="Book Antiqua"/>
          <w:color w:val="000000"/>
        </w:rPr>
        <w:t xml:space="preserve"> L, </w:t>
      </w:r>
      <w:proofErr w:type="spellStart"/>
      <w:r w:rsidRPr="003448EB">
        <w:rPr>
          <w:rFonts w:ascii="Book Antiqua" w:eastAsia="Book Antiqua" w:hAnsi="Book Antiqua" w:cs="Book Antiqua"/>
          <w:color w:val="000000"/>
        </w:rPr>
        <w:t>Casadei-Gardini</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Granito</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Foschi</w:t>
      </w:r>
      <w:proofErr w:type="spellEnd"/>
      <w:r w:rsidRPr="003448EB">
        <w:rPr>
          <w:rFonts w:ascii="Book Antiqua" w:eastAsia="Book Antiqua" w:hAnsi="Book Antiqua" w:cs="Book Antiqua"/>
          <w:color w:val="000000"/>
        </w:rPr>
        <w:t xml:space="preserve"> FG, </w:t>
      </w:r>
      <w:proofErr w:type="spellStart"/>
      <w:r w:rsidRPr="003448EB">
        <w:rPr>
          <w:rFonts w:ascii="Book Antiqua" w:eastAsia="Book Antiqua" w:hAnsi="Book Antiqua" w:cs="Book Antiqua"/>
          <w:color w:val="000000"/>
        </w:rPr>
        <w:t>Rovesti</w:t>
      </w:r>
      <w:proofErr w:type="spellEnd"/>
      <w:r w:rsidRPr="003448EB">
        <w:rPr>
          <w:rFonts w:ascii="Book Antiqua" w:eastAsia="Book Antiqua" w:hAnsi="Book Antiqua" w:cs="Book Antiqua"/>
          <w:color w:val="000000"/>
        </w:rPr>
        <w:t xml:space="preserve"> G, </w:t>
      </w:r>
      <w:proofErr w:type="spellStart"/>
      <w:r w:rsidRPr="003448EB">
        <w:rPr>
          <w:rFonts w:ascii="Book Antiqua" w:eastAsia="Book Antiqua" w:hAnsi="Book Antiqua" w:cs="Book Antiqua"/>
          <w:color w:val="000000"/>
        </w:rPr>
        <w:t>Negrini</w:t>
      </w:r>
      <w:proofErr w:type="spellEnd"/>
      <w:r w:rsidRPr="003448EB">
        <w:rPr>
          <w:rFonts w:ascii="Book Antiqua" w:eastAsia="Book Antiqua" w:hAnsi="Book Antiqua" w:cs="Book Antiqua"/>
          <w:color w:val="000000"/>
        </w:rPr>
        <w:t xml:space="preserve"> G, </w:t>
      </w:r>
      <w:proofErr w:type="spellStart"/>
      <w:r w:rsidRPr="003448EB">
        <w:rPr>
          <w:rFonts w:ascii="Book Antiqua" w:eastAsia="Book Antiqua" w:hAnsi="Book Antiqua" w:cs="Book Antiqua"/>
          <w:color w:val="000000"/>
        </w:rPr>
        <w:t>Orsi</w:t>
      </w:r>
      <w:proofErr w:type="spellEnd"/>
      <w:r w:rsidRPr="003448EB">
        <w:rPr>
          <w:rFonts w:ascii="Book Antiqua" w:eastAsia="Book Antiqua" w:hAnsi="Book Antiqua" w:cs="Book Antiqua"/>
          <w:color w:val="000000"/>
        </w:rPr>
        <w:t xml:space="preserve"> G, </w:t>
      </w:r>
      <w:proofErr w:type="spellStart"/>
      <w:r w:rsidRPr="003448EB">
        <w:rPr>
          <w:rFonts w:ascii="Book Antiqua" w:eastAsia="Book Antiqua" w:hAnsi="Book Antiqua" w:cs="Book Antiqua"/>
          <w:color w:val="000000"/>
        </w:rPr>
        <w:t>Renzulli</w:t>
      </w:r>
      <w:proofErr w:type="spellEnd"/>
      <w:r w:rsidRPr="003448EB">
        <w:rPr>
          <w:rFonts w:ascii="Book Antiqua" w:eastAsia="Book Antiqua" w:hAnsi="Book Antiqua" w:cs="Book Antiqua"/>
          <w:color w:val="000000"/>
        </w:rPr>
        <w:t xml:space="preserve"> M, </w:t>
      </w:r>
      <w:proofErr w:type="spellStart"/>
      <w:r w:rsidRPr="003448EB">
        <w:rPr>
          <w:rFonts w:ascii="Book Antiqua" w:eastAsia="Book Antiqua" w:hAnsi="Book Antiqua" w:cs="Book Antiqua"/>
          <w:color w:val="000000"/>
        </w:rPr>
        <w:t>Piscaglia</w:t>
      </w:r>
      <w:proofErr w:type="spellEnd"/>
      <w:r w:rsidRPr="003448EB">
        <w:rPr>
          <w:rFonts w:ascii="Book Antiqua" w:eastAsia="Book Antiqua" w:hAnsi="Book Antiqua" w:cs="Book Antiqua"/>
          <w:color w:val="000000"/>
        </w:rPr>
        <w:t xml:space="preserve"> F. Management of adverse events with tailored sorafenib dosing prolongs survival of hepatocellular carcinoma patients. </w:t>
      </w:r>
      <w:r w:rsidRPr="003448EB">
        <w:rPr>
          <w:rFonts w:ascii="Book Antiqua" w:eastAsia="Book Antiqua" w:hAnsi="Book Antiqua" w:cs="Book Antiqua"/>
          <w:i/>
          <w:iCs/>
          <w:color w:val="000000"/>
        </w:rPr>
        <w:t>J Hepatol</w:t>
      </w:r>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71</w:t>
      </w:r>
      <w:r w:rsidRPr="003448EB">
        <w:rPr>
          <w:rFonts w:ascii="Book Antiqua" w:eastAsia="Book Antiqua" w:hAnsi="Book Antiqua" w:cs="Book Antiqua"/>
          <w:color w:val="000000"/>
        </w:rPr>
        <w:t>: 1175-1183 [PMID: 31449860 DOI: 10.1016/j.jhep.2019.08.015]</w:t>
      </w:r>
    </w:p>
    <w:p w14:paraId="610CF4D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8 </w:t>
      </w:r>
      <w:r w:rsidRPr="003448EB">
        <w:rPr>
          <w:rFonts w:ascii="Book Antiqua" w:eastAsia="Book Antiqua" w:hAnsi="Book Antiqua" w:cs="Book Antiqua"/>
          <w:b/>
          <w:bCs/>
          <w:color w:val="000000"/>
        </w:rPr>
        <w:t>Marin D</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Bazeos</w:t>
      </w:r>
      <w:proofErr w:type="spellEnd"/>
      <w:r w:rsidRPr="003448EB">
        <w:rPr>
          <w:rFonts w:ascii="Book Antiqua" w:eastAsia="Book Antiqua" w:hAnsi="Book Antiqua" w:cs="Book Antiqua"/>
          <w:color w:val="000000"/>
        </w:rPr>
        <w:t xml:space="preserve"> A, Mahon FX, Eliasson L, </w:t>
      </w:r>
      <w:proofErr w:type="spellStart"/>
      <w:r w:rsidRPr="003448EB">
        <w:rPr>
          <w:rFonts w:ascii="Book Antiqua" w:eastAsia="Book Antiqua" w:hAnsi="Book Antiqua" w:cs="Book Antiqua"/>
          <w:color w:val="000000"/>
        </w:rPr>
        <w:t>Milojkovic</w:t>
      </w:r>
      <w:proofErr w:type="spellEnd"/>
      <w:r w:rsidRPr="003448EB">
        <w:rPr>
          <w:rFonts w:ascii="Book Antiqua" w:eastAsia="Book Antiqua" w:hAnsi="Book Antiqua" w:cs="Book Antiqua"/>
          <w:color w:val="000000"/>
        </w:rPr>
        <w:t xml:space="preserve"> D, Bua M, </w:t>
      </w:r>
      <w:proofErr w:type="spellStart"/>
      <w:r w:rsidRPr="003448EB">
        <w:rPr>
          <w:rFonts w:ascii="Book Antiqua" w:eastAsia="Book Antiqua" w:hAnsi="Book Antiqua" w:cs="Book Antiqua"/>
          <w:color w:val="000000"/>
        </w:rPr>
        <w:t>Apperley</w:t>
      </w:r>
      <w:proofErr w:type="spellEnd"/>
      <w:r w:rsidRPr="003448EB">
        <w:rPr>
          <w:rFonts w:ascii="Book Antiqua" w:eastAsia="Book Antiqua" w:hAnsi="Book Antiqua" w:cs="Book Antiqua"/>
          <w:color w:val="000000"/>
        </w:rPr>
        <w:t xml:space="preserve"> JF, </w:t>
      </w:r>
      <w:proofErr w:type="spellStart"/>
      <w:r w:rsidRPr="003448EB">
        <w:rPr>
          <w:rFonts w:ascii="Book Antiqua" w:eastAsia="Book Antiqua" w:hAnsi="Book Antiqua" w:cs="Book Antiqua"/>
          <w:color w:val="000000"/>
        </w:rPr>
        <w:t>Szydlo</w:t>
      </w:r>
      <w:proofErr w:type="spellEnd"/>
      <w:r w:rsidRPr="003448EB">
        <w:rPr>
          <w:rFonts w:ascii="Book Antiqua" w:eastAsia="Book Antiqua" w:hAnsi="Book Antiqua" w:cs="Book Antiqua"/>
          <w:color w:val="000000"/>
        </w:rPr>
        <w:t xml:space="preserve"> R, Desai R, Kozlowski K, </w:t>
      </w:r>
      <w:proofErr w:type="spellStart"/>
      <w:r w:rsidRPr="003448EB">
        <w:rPr>
          <w:rFonts w:ascii="Book Antiqua" w:eastAsia="Book Antiqua" w:hAnsi="Book Antiqua" w:cs="Book Antiqua"/>
          <w:color w:val="000000"/>
        </w:rPr>
        <w:t>Paliompeis</w:t>
      </w:r>
      <w:proofErr w:type="spellEnd"/>
      <w:r w:rsidRPr="003448EB">
        <w:rPr>
          <w:rFonts w:ascii="Book Antiqua" w:eastAsia="Book Antiqua" w:hAnsi="Book Antiqua" w:cs="Book Antiqua"/>
          <w:color w:val="000000"/>
        </w:rPr>
        <w:t xml:space="preserve"> C, Latham V, </w:t>
      </w:r>
      <w:proofErr w:type="spellStart"/>
      <w:r w:rsidRPr="003448EB">
        <w:rPr>
          <w:rFonts w:ascii="Book Antiqua" w:eastAsia="Book Antiqua" w:hAnsi="Book Antiqua" w:cs="Book Antiqua"/>
          <w:color w:val="000000"/>
        </w:rPr>
        <w:t>Foroni</w:t>
      </w:r>
      <w:proofErr w:type="spellEnd"/>
      <w:r w:rsidRPr="003448EB">
        <w:rPr>
          <w:rFonts w:ascii="Book Antiqua" w:eastAsia="Book Antiqua" w:hAnsi="Book Antiqua" w:cs="Book Antiqua"/>
          <w:color w:val="000000"/>
        </w:rPr>
        <w:t xml:space="preserve"> L, </w:t>
      </w:r>
      <w:proofErr w:type="spellStart"/>
      <w:r w:rsidRPr="003448EB">
        <w:rPr>
          <w:rFonts w:ascii="Book Antiqua" w:eastAsia="Book Antiqua" w:hAnsi="Book Antiqua" w:cs="Book Antiqua"/>
          <w:color w:val="000000"/>
        </w:rPr>
        <w:t>Molimard</w:t>
      </w:r>
      <w:proofErr w:type="spellEnd"/>
      <w:r w:rsidRPr="003448EB">
        <w:rPr>
          <w:rFonts w:ascii="Book Antiqua" w:eastAsia="Book Antiqua" w:hAnsi="Book Antiqua" w:cs="Book Antiqua"/>
          <w:color w:val="000000"/>
        </w:rPr>
        <w:t xml:space="preserve"> M, Reid A, </w:t>
      </w:r>
      <w:proofErr w:type="spellStart"/>
      <w:r w:rsidRPr="003448EB">
        <w:rPr>
          <w:rFonts w:ascii="Book Antiqua" w:eastAsia="Book Antiqua" w:hAnsi="Book Antiqua" w:cs="Book Antiqua"/>
          <w:color w:val="000000"/>
        </w:rPr>
        <w:t>Rezvani</w:t>
      </w:r>
      <w:proofErr w:type="spellEnd"/>
      <w:r w:rsidRPr="003448EB">
        <w:rPr>
          <w:rFonts w:ascii="Book Antiqua" w:eastAsia="Book Antiqua" w:hAnsi="Book Antiqua" w:cs="Book Antiqua"/>
          <w:color w:val="000000"/>
        </w:rPr>
        <w:t xml:space="preserve"> K, de Lavallade H, </w:t>
      </w:r>
      <w:proofErr w:type="spellStart"/>
      <w:r w:rsidRPr="003448EB">
        <w:rPr>
          <w:rFonts w:ascii="Book Antiqua" w:eastAsia="Book Antiqua" w:hAnsi="Book Antiqua" w:cs="Book Antiqua"/>
          <w:color w:val="000000"/>
        </w:rPr>
        <w:t>Guallar</w:t>
      </w:r>
      <w:proofErr w:type="spellEnd"/>
      <w:r w:rsidRPr="003448EB">
        <w:rPr>
          <w:rFonts w:ascii="Book Antiqua" w:eastAsia="Book Antiqua" w:hAnsi="Book Antiqua" w:cs="Book Antiqua"/>
          <w:color w:val="000000"/>
        </w:rPr>
        <w:t xml:space="preserve"> C, Goldman J, </w:t>
      </w:r>
      <w:proofErr w:type="spellStart"/>
      <w:r w:rsidRPr="003448EB">
        <w:rPr>
          <w:rFonts w:ascii="Book Antiqua" w:eastAsia="Book Antiqua" w:hAnsi="Book Antiqua" w:cs="Book Antiqua"/>
          <w:color w:val="000000"/>
        </w:rPr>
        <w:t>Khorashad</w:t>
      </w:r>
      <w:proofErr w:type="spellEnd"/>
      <w:r w:rsidRPr="003448EB">
        <w:rPr>
          <w:rFonts w:ascii="Book Antiqua" w:eastAsia="Book Antiqua" w:hAnsi="Book Antiqua" w:cs="Book Antiqua"/>
          <w:color w:val="000000"/>
        </w:rPr>
        <w:t xml:space="preserve"> JS. Adherence is the critical factor for achieving molecular responses in patients with chronic myeloid leukemia who achieve complete cytogenetic responses on imatinib.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28</w:t>
      </w:r>
      <w:r w:rsidRPr="003448EB">
        <w:rPr>
          <w:rFonts w:ascii="Book Antiqua" w:eastAsia="Book Antiqua" w:hAnsi="Book Antiqua" w:cs="Book Antiqua"/>
          <w:color w:val="000000"/>
        </w:rPr>
        <w:t>: 2381-2388 [PMID: 20385986 DOI: 10.1200/JCO.2009.26.3087]</w:t>
      </w:r>
    </w:p>
    <w:p w14:paraId="4919F44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9 </w:t>
      </w:r>
      <w:r w:rsidRPr="003448EB">
        <w:rPr>
          <w:rFonts w:ascii="Book Antiqua" w:eastAsia="Book Antiqua" w:hAnsi="Book Antiqua" w:cs="Book Antiqua"/>
          <w:b/>
          <w:bCs/>
          <w:color w:val="000000"/>
        </w:rPr>
        <w:t>Partridge AH</w:t>
      </w:r>
      <w:r w:rsidRPr="003448EB">
        <w:rPr>
          <w:rFonts w:ascii="Book Antiqua" w:eastAsia="Book Antiqua" w:hAnsi="Book Antiqua" w:cs="Book Antiqua"/>
          <w:color w:val="000000"/>
        </w:rPr>
        <w:t xml:space="preserve">, Archer L, </w:t>
      </w:r>
      <w:proofErr w:type="spellStart"/>
      <w:r w:rsidRPr="003448EB">
        <w:rPr>
          <w:rFonts w:ascii="Book Antiqua" w:eastAsia="Book Antiqua" w:hAnsi="Book Antiqua" w:cs="Book Antiqua"/>
          <w:color w:val="000000"/>
        </w:rPr>
        <w:t>Kornblith</w:t>
      </w:r>
      <w:proofErr w:type="spellEnd"/>
      <w:r w:rsidRPr="003448EB">
        <w:rPr>
          <w:rFonts w:ascii="Book Antiqua" w:eastAsia="Book Antiqua" w:hAnsi="Book Antiqua" w:cs="Book Antiqua"/>
          <w:color w:val="000000"/>
        </w:rPr>
        <w:t xml:space="preserve"> AB, </w:t>
      </w:r>
      <w:proofErr w:type="spellStart"/>
      <w:r w:rsidRPr="003448EB">
        <w:rPr>
          <w:rFonts w:ascii="Book Antiqua" w:eastAsia="Book Antiqua" w:hAnsi="Book Antiqua" w:cs="Book Antiqua"/>
          <w:color w:val="000000"/>
        </w:rPr>
        <w:t>Gralow</w:t>
      </w:r>
      <w:proofErr w:type="spellEnd"/>
      <w:r w:rsidRPr="003448EB">
        <w:rPr>
          <w:rFonts w:ascii="Book Antiqua" w:eastAsia="Book Antiqua" w:hAnsi="Book Antiqua" w:cs="Book Antiqua"/>
          <w:color w:val="000000"/>
        </w:rPr>
        <w:t xml:space="preserve"> J, </w:t>
      </w:r>
      <w:proofErr w:type="spellStart"/>
      <w:r w:rsidRPr="003448EB">
        <w:rPr>
          <w:rFonts w:ascii="Book Antiqua" w:eastAsia="Book Antiqua" w:hAnsi="Book Antiqua" w:cs="Book Antiqua"/>
          <w:color w:val="000000"/>
        </w:rPr>
        <w:t>Grenier</w:t>
      </w:r>
      <w:proofErr w:type="spellEnd"/>
      <w:r w:rsidRPr="003448EB">
        <w:rPr>
          <w:rFonts w:ascii="Book Antiqua" w:eastAsia="Book Antiqua" w:hAnsi="Book Antiqua" w:cs="Book Antiqua"/>
          <w:color w:val="000000"/>
        </w:rPr>
        <w:t xml:space="preserve"> D, Perez E, Wolff AC, Wang X, </w:t>
      </w:r>
      <w:proofErr w:type="spellStart"/>
      <w:r w:rsidRPr="003448EB">
        <w:rPr>
          <w:rFonts w:ascii="Book Antiqua" w:eastAsia="Book Antiqua" w:hAnsi="Book Antiqua" w:cs="Book Antiqua"/>
          <w:color w:val="000000"/>
        </w:rPr>
        <w:t>Kastrissios</w:t>
      </w:r>
      <w:proofErr w:type="spellEnd"/>
      <w:r w:rsidRPr="003448EB">
        <w:rPr>
          <w:rFonts w:ascii="Book Antiqua" w:eastAsia="Book Antiqua" w:hAnsi="Book Antiqua" w:cs="Book Antiqua"/>
          <w:color w:val="000000"/>
        </w:rPr>
        <w:t xml:space="preserve"> H, Berry D, </w:t>
      </w:r>
      <w:proofErr w:type="spellStart"/>
      <w:r w:rsidRPr="003448EB">
        <w:rPr>
          <w:rFonts w:ascii="Book Antiqua" w:eastAsia="Book Antiqua" w:hAnsi="Book Antiqua" w:cs="Book Antiqua"/>
          <w:color w:val="000000"/>
        </w:rPr>
        <w:t>Hudis</w:t>
      </w:r>
      <w:proofErr w:type="spellEnd"/>
      <w:r w:rsidRPr="003448EB">
        <w:rPr>
          <w:rFonts w:ascii="Book Antiqua" w:eastAsia="Book Antiqua" w:hAnsi="Book Antiqua" w:cs="Book Antiqua"/>
          <w:color w:val="000000"/>
        </w:rPr>
        <w:t xml:space="preserve"> C, Winer E, Muss H. Adherence and persistence with oral adjuvant chemotherapy in older women with early-stage breast cancer in CALGB 49907: adherence companion study 60104.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28</w:t>
      </w:r>
      <w:r w:rsidRPr="003448EB">
        <w:rPr>
          <w:rFonts w:ascii="Book Antiqua" w:eastAsia="Book Antiqua" w:hAnsi="Book Antiqua" w:cs="Book Antiqua"/>
          <w:color w:val="000000"/>
        </w:rPr>
        <w:t>: 2418-2422 [PMID: 20368559 DOI: 10.1200/JCO.2009.26.4671]</w:t>
      </w:r>
    </w:p>
    <w:p w14:paraId="03BD6AFE"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10 </w:t>
      </w:r>
      <w:r w:rsidRPr="003448EB">
        <w:rPr>
          <w:rFonts w:ascii="Book Antiqua" w:eastAsia="Book Antiqua" w:hAnsi="Book Antiqua" w:cs="Book Antiqua"/>
          <w:b/>
          <w:bCs/>
          <w:color w:val="000000"/>
        </w:rPr>
        <w:t>Greer JA</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Amoyal</w:t>
      </w:r>
      <w:proofErr w:type="spellEnd"/>
      <w:r w:rsidRPr="003448EB">
        <w:rPr>
          <w:rFonts w:ascii="Book Antiqua" w:eastAsia="Book Antiqua" w:hAnsi="Book Antiqua" w:cs="Book Antiqua"/>
          <w:color w:val="000000"/>
        </w:rPr>
        <w:t xml:space="preserve"> N, </w:t>
      </w:r>
      <w:proofErr w:type="spellStart"/>
      <w:r w:rsidRPr="003448EB">
        <w:rPr>
          <w:rFonts w:ascii="Book Antiqua" w:eastAsia="Book Antiqua" w:hAnsi="Book Antiqua" w:cs="Book Antiqua"/>
          <w:color w:val="000000"/>
        </w:rPr>
        <w:t>Nisotel</w:t>
      </w:r>
      <w:proofErr w:type="spellEnd"/>
      <w:r w:rsidRPr="003448EB">
        <w:rPr>
          <w:rFonts w:ascii="Book Antiqua" w:eastAsia="Book Antiqua" w:hAnsi="Book Antiqua" w:cs="Book Antiqua"/>
          <w:color w:val="000000"/>
        </w:rPr>
        <w:t xml:space="preserve"> L, Fishbein JN, MacDonald J, </w:t>
      </w:r>
      <w:proofErr w:type="spellStart"/>
      <w:r w:rsidRPr="003448EB">
        <w:rPr>
          <w:rFonts w:ascii="Book Antiqua" w:eastAsia="Book Antiqua" w:hAnsi="Book Antiqua" w:cs="Book Antiqua"/>
          <w:color w:val="000000"/>
        </w:rPr>
        <w:t>Stagl</w:t>
      </w:r>
      <w:proofErr w:type="spellEnd"/>
      <w:r w:rsidRPr="003448EB">
        <w:rPr>
          <w:rFonts w:ascii="Book Antiqua" w:eastAsia="Book Antiqua" w:hAnsi="Book Antiqua" w:cs="Book Antiqua"/>
          <w:color w:val="000000"/>
        </w:rPr>
        <w:t xml:space="preserve"> J, </w:t>
      </w:r>
      <w:proofErr w:type="spellStart"/>
      <w:r w:rsidRPr="003448EB">
        <w:rPr>
          <w:rFonts w:ascii="Book Antiqua" w:eastAsia="Book Antiqua" w:hAnsi="Book Antiqua" w:cs="Book Antiqua"/>
          <w:color w:val="000000"/>
        </w:rPr>
        <w:t>Lennes</w:t>
      </w:r>
      <w:proofErr w:type="spellEnd"/>
      <w:r w:rsidRPr="003448EB">
        <w:rPr>
          <w:rFonts w:ascii="Book Antiqua" w:eastAsia="Book Antiqua" w:hAnsi="Book Antiqua" w:cs="Book Antiqua"/>
          <w:color w:val="000000"/>
        </w:rPr>
        <w:t xml:space="preserve"> I, </w:t>
      </w:r>
      <w:proofErr w:type="spellStart"/>
      <w:r w:rsidRPr="003448EB">
        <w:rPr>
          <w:rFonts w:ascii="Book Antiqua" w:eastAsia="Book Antiqua" w:hAnsi="Book Antiqua" w:cs="Book Antiqua"/>
          <w:color w:val="000000"/>
        </w:rPr>
        <w:t>Temel</w:t>
      </w:r>
      <w:proofErr w:type="spellEnd"/>
      <w:r w:rsidRPr="003448EB">
        <w:rPr>
          <w:rFonts w:ascii="Book Antiqua" w:eastAsia="Book Antiqua" w:hAnsi="Book Antiqua" w:cs="Book Antiqua"/>
          <w:color w:val="000000"/>
        </w:rPr>
        <w:t xml:space="preserve"> JS, </w:t>
      </w:r>
      <w:proofErr w:type="spellStart"/>
      <w:r w:rsidRPr="003448EB">
        <w:rPr>
          <w:rFonts w:ascii="Book Antiqua" w:eastAsia="Book Antiqua" w:hAnsi="Book Antiqua" w:cs="Book Antiqua"/>
          <w:color w:val="000000"/>
        </w:rPr>
        <w:t>Safren</w:t>
      </w:r>
      <w:proofErr w:type="spellEnd"/>
      <w:r w:rsidRPr="003448EB">
        <w:rPr>
          <w:rFonts w:ascii="Book Antiqua" w:eastAsia="Book Antiqua" w:hAnsi="Book Antiqua" w:cs="Book Antiqua"/>
          <w:color w:val="000000"/>
        </w:rPr>
        <w:t xml:space="preserve"> SA, </w:t>
      </w:r>
      <w:proofErr w:type="spellStart"/>
      <w:r w:rsidRPr="003448EB">
        <w:rPr>
          <w:rFonts w:ascii="Book Antiqua" w:eastAsia="Book Antiqua" w:hAnsi="Book Antiqua" w:cs="Book Antiqua"/>
          <w:color w:val="000000"/>
        </w:rPr>
        <w:t>Pirl</w:t>
      </w:r>
      <w:proofErr w:type="spellEnd"/>
      <w:r w:rsidRPr="003448EB">
        <w:rPr>
          <w:rFonts w:ascii="Book Antiqua" w:eastAsia="Book Antiqua" w:hAnsi="Book Antiqua" w:cs="Book Antiqua"/>
          <w:color w:val="000000"/>
        </w:rPr>
        <w:t xml:space="preserve"> WF. A Systematic Review of Adherence to Oral Antineoplastic Therapies. </w:t>
      </w:r>
      <w:r w:rsidRPr="003448EB">
        <w:rPr>
          <w:rFonts w:ascii="Book Antiqua" w:eastAsia="Book Antiqua" w:hAnsi="Book Antiqua" w:cs="Book Antiqua"/>
          <w:i/>
          <w:iCs/>
          <w:color w:val="000000"/>
        </w:rPr>
        <w:t>Oncologist</w:t>
      </w:r>
      <w:r w:rsidRPr="003448EB">
        <w:rPr>
          <w:rFonts w:ascii="Book Antiqua" w:eastAsia="Book Antiqua" w:hAnsi="Book Antiqua" w:cs="Book Antiqua"/>
          <w:color w:val="000000"/>
        </w:rPr>
        <w:t xml:space="preserve"> 2016; </w:t>
      </w:r>
      <w:r w:rsidRPr="003448EB">
        <w:rPr>
          <w:rFonts w:ascii="Book Antiqua" w:eastAsia="Book Antiqua" w:hAnsi="Book Antiqua" w:cs="Book Antiqua"/>
          <w:b/>
          <w:bCs/>
          <w:color w:val="000000"/>
        </w:rPr>
        <w:t>21</w:t>
      </w:r>
      <w:r w:rsidRPr="003448EB">
        <w:rPr>
          <w:rFonts w:ascii="Book Antiqua" w:eastAsia="Book Antiqua" w:hAnsi="Book Antiqua" w:cs="Book Antiqua"/>
          <w:color w:val="000000"/>
        </w:rPr>
        <w:t>: 354-376 [PMID: 26921292 DOI: 10.1634/theoncologist.2015-0405]</w:t>
      </w:r>
    </w:p>
    <w:p w14:paraId="14BE36EB"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11 </w:t>
      </w:r>
      <w:r w:rsidRPr="003448EB">
        <w:rPr>
          <w:rFonts w:ascii="Book Antiqua" w:eastAsia="Book Antiqua" w:hAnsi="Book Antiqua" w:cs="Book Antiqua"/>
          <w:b/>
          <w:bCs/>
          <w:color w:val="000000"/>
        </w:rPr>
        <w:t>Ibrahim AR</w:t>
      </w:r>
      <w:r w:rsidRPr="003448EB">
        <w:rPr>
          <w:rFonts w:ascii="Book Antiqua" w:eastAsia="Book Antiqua" w:hAnsi="Book Antiqua" w:cs="Book Antiqua"/>
          <w:color w:val="000000"/>
        </w:rPr>
        <w:t xml:space="preserve">, Eliasson L, </w:t>
      </w:r>
      <w:proofErr w:type="spellStart"/>
      <w:r w:rsidRPr="003448EB">
        <w:rPr>
          <w:rFonts w:ascii="Book Antiqua" w:eastAsia="Book Antiqua" w:hAnsi="Book Antiqua" w:cs="Book Antiqua"/>
          <w:color w:val="000000"/>
        </w:rPr>
        <w:t>Apperley</w:t>
      </w:r>
      <w:proofErr w:type="spellEnd"/>
      <w:r w:rsidRPr="003448EB">
        <w:rPr>
          <w:rFonts w:ascii="Book Antiqua" w:eastAsia="Book Antiqua" w:hAnsi="Book Antiqua" w:cs="Book Antiqua"/>
          <w:color w:val="000000"/>
        </w:rPr>
        <w:t xml:space="preserve"> JF, </w:t>
      </w:r>
      <w:proofErr w:type="spellStart"/>
      <w:r w:rsidRPr="003448EB">
        <w:rPr>
          <w:rFonts w:ascii="Book Antiqua" w:eastAsia="Book Antiqua" w:hAnsi="Book Antiqua" w:cs="Book Antiqua"/>
          <w:color w:val="000000"/>
        </w:rPr>
        <w:t>Milojkovic</w:t>
      </w:r>
      <w:proofErr w:type="spellEnd"/>
      <w:r w:rsidRPr="003448EB">
        <w:rPr>
          <w:rFonts w:ascii="Book Antiqua" w:eastAsia="Book Antiqua" w:hAnsi="Book Antiqua" w:cs="Book Antiqua"/>
          <w:color w:val="000000"/>
        </w:rPr>
        <w:t xml:space="preserve"> D, Bua M, </w:t>
      </w:r>
      <w:proofErr w:type="spellStart"/>
      <w:r w:rsidRPr="003448EB">
        <w:rPr>
          <w:rFonts w:ascii="Book Antiqua" w:eastAsia="Book Antiqua" w:hAnsi="Book Antiqua" w:cs="Book Antiqua"/>
          <w:color w:val="000000"/>
        </w:rPr>
        <w:t>Szydlo</w:t>
      </w:r>
      <w:proofErr w:type="spellEnd"/>
      <w:r w:rsidRPr="003448EB">
        <w:rPr>
          <w:rFonts w:ascii="Book Antiqua" w:eastAsia="Book Antiqua" w:hAnsi="Book Antiqua" w:cs="Book Antiqua"/>
          <w:color w:val="000000"/>
        </w:rPr>
        <w:t xml:space="preserve"> R, Mahon FX, Kozlowski K, </w:t>
      </w:r>
      <w:proofErr w:type="spellStart"/>
      <w:r w:rsidRPr="003448EB">
        <w:rPr>
          <w:rFonts w:ascii="Book Antiqua" w:eastAsia="Book Antiqua" w:hAnsi="Book Antiqua" w:cs="Book Antiqua"/>
          <w:color w:val="000000"/>
        </w:rPr>
        <w:t>Paliompeis</w:t>
      </w:r>
      <w:proofErr w:type="spellEnd"/>
      <w:r w:rsidRPr="003448EB">
        <w:rPr>
          <w:rFonts w:ascii="Book Antiqua" w:eastAsia="Book Antiqua" w:hAnsi="Book Antiqua" w:cs="Book Antiqua"/>
          <w:color w:val="000000"/>
        </w:rPr>
        <w:t xml:space="preserve"> C, </w:t>
      </w:r>
      <w:proofErr w:type="spellStart"/>
      <w:r w:rsidRPr="003448EB">
        <w:rPr>
          <w:rFonts w:ascii="Book Antiqua" w:eastAsia="Book Antiqua" w:hAnsi="Book Antiqua" w:cs="Book Antiqua"/>
          <w:color w:val="000000"/>
        </w:rPr>
        <w:t>Foroni</w:t>
      </w:r>
      <w:proofErr w:type="spellEnd"/>
      <w:r w:rsidRPr="003448EB">
        <w:rPr>
          <w:rFonts w:ascii="Book Antiqua" w:eastAsia="Book Antiqua" w:hAnsi="Book Antiqua" w:cs="Book Antiqua"/>
          <w:color w:val="000000"/>
        </w:rPr>
        <w:t xml:space="preserve"> L, </w:t>
      </w:r>
      <w:proofErr w:type="spellStart"/>
      <w:r w:rsidRPr="003448EB">
        <w:rPr>
          <w:rFonts w:ascii="Book Antiqua" w:eastAsia="Book Antiqua" w:hAnsi="Book Antiqua" w:cs="Book Antiqua"/>
          <w:color w:val="000000"/>
        </w:rPr>
        <w:t>Khorashad</w:t>
      </w:r>
      <w:proofErr w:type="spellEnd"/>
      <w:r w:rsidRPr="003448EB">
        <w:rPr>
          <w:rFonts w:ascii="Book Antiqua" w:eastAsia="Book Antiqua" w:hAnsi="Book Antiqua" w:cs="Book Antiqua"/>
          <w:color w:val="000000"/>
        </w:rPr>
        <w:t xml:space="preserve"> JS, </w:t>
      </w:r>
      <w:proofErr w:type="spellStart"/>
      <w:r w:rsidRPr="003448EB">
        <w:rPr>
          <w:rFonts w:ascii="Book Antiqua" w:eastAsia="Book Antiqua" w:hAnsi="Book Antiqua" w:cs="Book Antiqua"/>
          <w:color w:val="000000"/>
        </w:rPr>
        <w:t>Bazeos</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Molimard</w:t>
      </w:r>
      <w:proofErr w:type="spellEnd"/>
      <w:r w:rsidRPr="003448EB">
        <w:rPr>
          <w:rFonts w:ascii="Book Antiqua" w:eastAsia="Book Antiqua" w:hAnsi="Book Antiqua" w:cs="Book Antiqua"/>
          <w:color w:val="000000"/>
        </w:rPr>
        <w:t xml:space="preserve"> M, Reid A, </w:t>
      </w:r>
      <w:proofErr w:type="spellStart"/>
      <w:r w:rsidRPr="003448EB">
        <w:rPr>
          <w:rFonts w:ascii="Book Antiqua" w:eastAsia="Book Antiqua" w:hAnsi="Book Antiqua" w:cs="Book Antiqua"/>
          <w:color w:val="000000"/>
        </w:rPr>
        <w:t>Rezvani</w:t>
      </w:r>
      <w:proofErr w:type="spellEnd"/>
      <w:r w:rsidRPr="003448EB">
        <w:rPr>
          <w:rFonts w:ascii="Book Antiqua" w:eastAsia="Book Antiqua" w:hAnsi="Book Antiqua" w:cs="Book Antiqua"/>
          <w:color w:val="000000"/>
        </w:rPr>
        <w:t xml:space="preserve"> K, Gerrard G, Goldman J, Marin D. Poor adherence is the main reason for loss of </w:t>
      </w:r>
      <w:proofErr w:type="spellStart"/>
      <w:r w:rsidRPr="003448EB">
        <w:rPr>
          <w:rFonts w:ascii="Book Antiqua" w:eastAsia="Book Antiqua" w:hAnsi="Book Antiqua" w:cs="Book Antiqua"/>
          <w:color w:val="000000"/>
        </w:rPr>
        <w:t>CCyR</w:t>
      </w:r>
      <w:proofErr w:type="spellEnd"/>
      <w:r w:rsidRPr="003448EB">
        <w:rPr>
          <w:rFonts w:ascii="Book Antiqua" w:eastAsia="Book Antiqua" w:hAnsi="Book Antiqua" w:cs="Book Antiqua"/>
          <w:color w:val="000000"/>
        </w:rPr>
        <w:t xml:space="preserve"> and imatinib failure for chronic myeloid leukemia patients on long-term therapy. </w:t>
      </w:r>
      <w:r w:rsidRPr="003448EB">
        <w:rPr>
          <w:rFonts w:ascii="Book Antiqua" w:eastAsia="Book Antiqua" w:hAnsi="Book Antiqua" w:cs="Book Antiqua"/>
          <w:i/>
          <w:iCs/>
          <w:color w:val="000000"/>
        </w:rPr>
        <w:t>Blood</w:t>
      </w:r>
      <w:r w:rsidRPr="003448EB">
        <w:rPr>
          <w:rFonts w:ascii="Book Antiqua" w:eastAsia="Book Antiqua" w:hAnsi="Book Antiqua" w:cs="Book Antiqua"/>
          <w:color w:val="000000"/>
        </w:rPr>
        <w:t xml:space="preserve"> 2011; </w:t>
      </w:r>
      <w:r w:rsidRPr="003448EB">
        <w:rPr>
          <w:rFonts w:ascii="Book Antiqua" w:eastAsia="Book Antiqua" w:hAnsi="Book Antiqua" w:cs="Book Antiqua"/>
          <w:b/>
          <w:bCs/>
          <w:color w:val="000000"/>
        </w:rPr>
        <w:t>117</w:t>
      </w:r>
      <w:r w:rsidRPr="003448EB">
        <w:rPr>
          <w:rFonts w:ascii="Book Antiqua" w:eastAsia="Book Antiqua" w:hAnsi="Book Antiqua" w:cs="Book Antiqua"/>
          <w:color w:val="000000"/>
        </w:rPr>
        <w:t>: 3733-3736 [PMID: 21346253 DOI: 10.1182/blood-2010-10-309807]</w:t>
      </w:r>
    </w:p>
    <w:p w14:paraId="604D820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12 </w:t>
      </w:r>
      <w:r w:rsidRPr="003448EB">
        <w:rPr>
          <w:rFonts w:ascii="Book Antiqua" w:eastAsia="Book Antiqua" w:hAnsi="Book Antiqua" w:cs="Book Antiqua"/>
          <w:b/>
          <w:bCs/>
          <w:color w:val="000000"/>
        </w:rPr>
        <w:t xml:space="preserve">De </w:t>
      </w:r>
      <w:proofErr w:type="spellStart"/>
      <w:r w:rsidRPr="003448EB">
        <w:rPr>
          <w:rFonts w:ascii="Book Antiqua" w:eastAsia="Book Antiqua" w:hAnsi="Book Antiqua" w:cs="Book Antiqua"/>
          <w:b/>
          <w:bCs/>
          <w:color w:val="000000"/>
        </w:rPr>
        <w:t>Geest</w:t>
      </w:r>
      <w:proofErr w:type="spellEnd"/>
      <w:r w:rsidRPr="003448EB">
        <w:rPr>
          <w:rFonts w:ascii="Book Antiqua" w:eastAsia="Book Antiqua" w:hAnsi="Book Antiqua" w:cs="Book Antiqua"/>
          <w:b/>
          <w:bCs/>
          <w:color w:val="000000"/>
        </w:rPr>
        <w:t xml:space="preserve"> S</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Sabaté</w:t>
      </w:r>
      <w:proofErr w:type="spellEnd"/>
      <w:r w:rsidRPr="003448EB">
        <w:rPr>
          <w:rFonts w:ascii="Book Antiqua" w:eastAsia="Book Antiqua" w:hAnsi="Book Antiqua" w:cs="Book Antiqua"/>
          <w:color w:val="000000"/>
        </w:rPr>
        <w:t xml:space="preserve"> E. Adherence to long-term therapies: evidence for action. </w:t>
      </w:r>
      <w:r w:rsidRPr="003448EB">
        <w:rPr>
          <w:rFonts w:ascii="Book Antiqua" w:eastAsia="Book Antiqua" w:hAnsi="Book Antiqua" w:cs="Book Antiqua"/>
          <w:i/>
          <w:iCs/>
          <w:color w:val="000000"/>
        </w:rPr>
        <w:t xml:space="preserve">Eur J Cardiovasc </w:t>
      </w:r>
      <w:proofErr w:type="spellStart"/>
      <w:r w:rsidRPr="003448EB">
        <w:rPr>
          <w:rFonts w:ascii="Book Antiqua" w:eastAsia="Book Antiqua" w:hAnsi="Book Antiqua" w:cs="Book Antiqua"/>
          <w:i/>
          <w:iCs/>
          <w:color w:val="000000"/>
        </w:rPr>
        <w:t>Nurs</w:t>
      </w:r>
      <w:proofErr w:type="spellEnd"/>
      <w:r w:rsidRPr="003448EB">
        <w:rPr>
          <w:rFonts w:ascii="Book Antiqua" w:eastAsia="Book Antiqua" w:hAnsi="Book Antiqua" w:cs="Book Antiqua"/>
          <w:color w:val="000000"/>
        </w:rPr>
        <w:t xml:space="preserve"> 2003; </w:t>
      </w:r>
      <w:r w:rsidRPr="003448EB">
        <w:rPr>
          <w:rFonts w:ascii="Book Antiqua" w:eastAsia="Book Antiqua" w:hAnsi="Book Antiqua" w:cs="Book Antiqua"/>
          <w:b/>
          <w:bCs/>
          <w:color w:val="000000"/>
        </w:rPr>
        <w:t>2</w:t>
      </w:r>
      <w:r w:rsidRPr="003448EB">
        <w:rPr>
          <w:rFonts w:ascii="Book Antiqua" w:eastAsia="Book Antiqua" w:hAnsi="Book Antiqua" w:cs="Book Antiqua"/>
          <w:color w:val="000000"/>
        </w:rPr>
        <w:t>: 323 [PMID: 14667488 DOI: 10.1016/S1474-5151(03)00091-4]</w:t>
      </w:r>
    </w:p>
    <w:p w14:paraId="18822A4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lastRenderedPageBreak/>
        <w:t xml:space="preserve">13 </w:t>
      </w:r>
      <w:r w:rsidRPr="003448EB">
        <w:rPr>
          <w:rFonts w:ascii="Book Antiqua" w:eastAsia="Book Antiqua" w:hAnsi="Book Antiqua" w:cs="Book Antiqua"/>
          <w:b/>
          <w:bCs/>
          <w:color w:val="000000"/>
        </w:rPr>
        <w:t>Abraham C</w:t>
      </w:r>
      <w:r w:rsidRPr="003448EB">
        <w:rPr>
          <w:rFonts w:ascii="Book Antiqua" w:eastAsia="Book Antiqua" w:hAnsi="Book Antiqua" w:cs="Book Antiqua"/>
          <w:color w:val="000000"/>
        </w:rPr>
        <w:t xml:space="preserve">, Michie S. A taxonomy of behavior change techniques used in interventions. </w:t>
      </w:r>
      <w:r w:rsidRPr="003448EB">
        <w:rPr>
          <w:rFonts w:ascii="Book Antiqua" w:eastAsia="Book Antiqua" w:hAnsi="Book Antiqua" w:cs="Book Antiqua"/>
          <w:i/>
          <w:iCs/>
          <w:color w:val="000000"/>
        </w:rPr>
        <w:t>Health Psychol</w:t>
      </w:r>
      <w:r w:rsidRPr="003448EB">
        <w:rPr>
          <w:rFonts w:ascii="Book Antiqua" w:eastAsia="Book Antiqua" w:hAnsi="Book Antiqua" w:cs="Book Antiqua"/>
          <w:color w:val="000000"/>
        </w:rPr>
        <w:t xml:space="preserve"> 2008; </w:t>
      </w:r>
      <w:r w:rsidRPr="003448EB">
        <w:rPr>
          <w:rFonts w:ascii="Book Antiqua" w:eastAsia="Book Antiqua" w:hAnsi="Book Antiqua" w:cs="Book Antiqua"/>
          <w:b/>
          <w:bCs/>
          <w:color w:val="000000"/>
        </w:rPr>
        <w:t>27</w:t>
      </w:r>
      <w:r w:rsidRPr="003448EB">
        <w:rPr>
          <w:rFonts w:ascii="Book Antiqua" w:eastAsia="Book Antiqua" w:hAnsi="Book Antiqua" w:cs="Book Antiqua"/>
          <w:color w:val="000000"/>
        </w:rPr>
        <w:t>: 379-387 [PMID: 18624603 DOI: 10.1037/0278-6133.27.3.379]</w:t>
      </w:r>
    </w:p>
    <w:p w14:paraId="549C903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14 </w:t>
      </w:r>
      <w:r w:rsidRPr="003448EB">
        <w:rPr>
          <w:rFonts w:ascii="Book Antiqua" w:eastAsia="Book Antiqua" w:hAnsi="Book Antiqua" w:cs="Book Antiqua"/>
          <w:b/>
          <w:bCs/>
          <w:color w:val="000000"/>
        </w:rPr>
        <w:t>Viswanathan M</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Golin</w:t>
      </w:r>
      <w:proofErr w:type="spellEnd"/>
      <w:r w:rsidRPr="003448EB">
        <w:rPr>
          <w:rFonts w:ascii="Book Antiqua" w:eastAsia="Book Antiqua" w:hAnsi="Book Antiqua" w:cs="Book Antiqua"/>
          <w:color w:val="000000"/>
        </w:rPr>
        <w:t xml:space="preserve"> CE, Jones CD, Ashok M, Blalock SJ, Wines RC, Coker-Schwimmer EJ, Rosen DL, Sista P, </w:t>
      </w:r>
      <w:proofErr w:type="spellStart"/>
      <w:r w:rsidRPr="003448EB">
        <w:rPr>
          <w:rFonts w:ascii="Book Antiqua" w:eastAsia="Book Antiqua" w:hAnsi="Book Antiqua" w:cs="Book Antiqua"/>
          <w:color w:val="000000"/>
        </w:rPr>
        <w:t>Lohr</w:t>
      </w:r>
      <w:proofErr w:type="spellEnd"/>
      <w:r w:rsidRPr="003448EB">
        <w:rPr>
          <w:rFonts w:ascii="Book Antiqua" w:eastAsia="Book Antiqua" w:hAnsi="Book Antiqua" w:cs="Book Antiqua"/>
          <w:color w:val="000000"/>
        </w:rPr>
        <w:t xml:space="preserve"> KN. Interventions to improve adherence to self-administered medications for chronic diseases in the United States: a systematic review. </w:t>
      </w:r>
      <w:r w:rsidRPr="003448EB">
        <w:rPr>
          <w:rFonts w:ascii="Book Antiqua" w:eastAsia="Book Antiqua" w:hAnsi="Book Antiqua" w:cs="Book Antiqua"/>
          <w:i/>
          <w:iCs/>
          <w:color w:val="000000"/>
        </w:rPr>
        <w:t>Ann Intern Med</w:t>
      </w:r>
      <w:r w:rsidRPr="003448EB">
        <w:rPr>
          <w:rFonts w:ascii="Book Antiqua" w:eastAsia="Book Antiqua" w:hAnsi="Book Antiqua" w:cs="Book Antiqua"/>
          <w:color w:val="000000"/>
        </w:rPr>
        <w:t xml:space="preserve"> 2012; </w:t>
      </w:r>
      <w:r w:rsidRPr="003448EB">
        <w:rPr>
          <w:rFonts w:ascii="Book Antiqua" w:eastAsia="Book Antiqua" w:hAnsi="Book Antiqua" w:cs="Book Antiqua"/>
          <w:b/>
          <w:bCs/>
          <w:color w:val="000000"/>
        </w:rPr>
        <w:t>157</w:t>
      </w:r>
      <w:r w:rsidRPr="003448EB">
        <w:rPr>
          <w:rFonts w:ascii="Book Antiqua" w:eastAsia="Book Antiqua" w:hAnsi="Book Antiqua" w:cs="Book Antiqua"/>
          <w:color w:val="000000"/>
        </w:rPr>
        <w:t>: 785-795 [PMID: 22964778 DOI: 10.7326/0003-4819-157-11-201212040-00538]</w:t>
      </w:r>
    </w:p>
    <w:p w14:paraId="1554ED6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15 </w:t>
      </w:r>
      <w:r w:rsidRPr="003448EB">
        <w:rPr>
          <w:rFonts w:ascii="Book Antiqua" w:eastAsia="Book Antiqua" w:hAnsi="Book Antiqua" w:cs="Book Antiqua"/>
          <w:b/>
          <w:bCs/>
          <w:color w:val="000000"/>
        </w:rPr>
        <w:t>Ochi M</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Kamoshida</w:t>
      </w:r>
      <w:proofErr w:type="spellEnd"/>
      <w:r w:rsidRPr="003448EB">
        <w:rPr>
          <w:rFonts w:ascii="Book Antiqua" w:eastAsia="Book Antiqua" w:hAnsi="Book Antiqua" w:cs="Book Antiqua"/>
          <w:color w:val="000000"/>
        </w:rPr>
        <w:t xml:space="preserve"> T, </w:t>
      </w:r>
      <w:proofErr w:type="spellStart"/>
      <w:r w:rsidRPr="003448EB">
        <w:rPr>
          <w:rFonts w:ascii="Book Antiqua" w:eastAsia="Book Antiqua" w:hAnsi="Book Antiqua" w:cs="Book Antiqua"/>
          <w:color w:val="000000"/>
        </w:rPr>
        <w:t>Ohkawara</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Ohkawara</w:t>
      </w:r>
      <w:proofErr w:type="spellEnd"/>
      <w:r w:rsidRPr="003448EB">
        <w:rPr>
          <w:rFonts w:ascii="Book Antiqua" w:eastAsia="Book Antiqua" w:hAnsi="Book Antiqua" w:cs="Book Antiqua"/>
          <w:color w:val="000000"/>
        </w:rPr>
        <w:t xml:space="preserve"> H, </w:t>
      </w:r>
      <w:proofErr w:type="spellStart"/>
      <w:r w:rsidRPr="003448EB">
        <w:rPr>
          <w:rFonts w:ascii="Book Antiqua" w:eastAsia="Book Antiqua" w:hAnsi="Book Antiqua" w:cs="Book Antiqua"/>
          <w:color w:val="000000"/>
        </w:rPr>
        <w:t>Kakinoki</w:t>
      </w:r>
      <w:proofErr w:type="spellEnd"/>
      <w:r w:rsidRPr="003448EB">
        <w:rPr>
          <w:rFonts w:ascii="Book Antiqua" w:eastAsia="Book Antiqua" w:hAnsi="Book Antiqua" w:cs="Book Antiqua"/>
          <w:color w:val="000000"/>
        </w:rPr>
        <w:t xml:space="preserve"> N, Hirai S, </w:t>
      </w:r>
      <w:proofErr w:type="spellStart"/>
      <w:r w:rsidRPr="003448EB">
        <w:rPr>
          <w:rFonts w:ascii="Book Antiqua" w:eastAsia="Book Antiqua" w:hAnsi="Book Antiqua" w:cs="Book Antiqua"/>
          <w:color w:val="000000"/>
        </w:rPr>
        <w:t>Yanaka</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Multikinase</w:t>
      </w:r>
      <w:proofErr w:type="spellEnd"/>
      <w:r w:rsidRPr="003448EB">
        <w:rPr>
          <w:rFonts w:ascii="Book Antiqua" w:eastAsia="Book Antiqua" w:hAnsi="Book Antiqua" w:cs="Book Antiqua"/>
          <w:color w:val="000000"/>
        </w:rPr>
        <w:t xml:space="preserve"> inhibitor-associated hand-foot skin reaction as a predictor of outcomes in patients with hepatocellular carcinoma treated with sorafenib. </w:t>
      </w:r>
      <w:r w:rsidRPr="003448EB">
        <w:rPr>
          <w:rFonts w:ascii="Book Antiqua" w:eastAsia="Book Antiqua" w:hAnsi="Book Antiqua" w:cs="Book Antiqua"/>
          <w:i/>
          <w:iCs/>
          <w:color w:val="000000"/>
        </w:rPr>
        <w:t>World J Gastroenterol</w:t>
      </w:r>
      <w:r w:rsidRPr="003448EB">
        <w:rPr>
          <w:rFonts w:ascii="Book Antiqua" w:eastAsia="Book Antiqua" w:hAnsi="Book Antiqua" w:cs="Book Antiqua"/>
          <w:color w:val="000000"/>
        </w:rPr>
        <w:t xml:space="preserve"> 2018; </w:t>
      </w:r>
      <w:r w:rsidRPr="003448EB">
        <w:rPr>
          <w:rFonts w:ascii="Book Antiqua" w:eastAsia="Book Antiqua" w:hAnsi="Book Antiqua" w:cs="Book Antiqua"/>
          <w:b/>
          <w:bCs/>
          <w:color w:val="000000"/>
        </w:rPr>
        <w:t>24</w:t>
      </w:r>
      <w:r w:rsidRPr="003448EB">
        <w:rPr>
          <w:rFonts w:ascii="Book Antiqua" w:eastAsia="Book Antiqua" w:hAnsi="Book Antiqua" w:cs="Book Antiqua"/>
          <w:color w:val="000000"/>
        </w:rPr>
        <w:t>: 3155-3162 [PMID: 30065561 DOI: 10.3748/wjg.v24.i28.3155]</w:t>
      </w:r>
    </w:p>
    <w:p w14:paraId="7623C84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16 </w:t>
      </w:r>
      <w:proofErr w:type="spellStart"/>
      <w:r w:rsidRPr="003448EB">
        <w:rPr>
          <w:rFonts w:ascii="Book Antiqua" w:eastAsia="Book Antiqua" w:hAnsi="Book Antiqua" w:cs="Book Antiqua"/>
          <w:b/>
          <w:bCs/>
          <w:color w:val="000000"/>
        </w:rPr>
        <w:t>Shomura</w:t>
      </w:r>
      <w:proofErr w:type="spellEnd"/>
      <w:r w:rsidRPr="003448EB">
        <w:rPr>
          <w:rFonts w:ascii="Book Antiqua" w:eastAsia="Book Antiqua" w:hAnsi="Book Antiqua" w:cs="Book Antiqua"/>
          <w:b/>
          <w:bCs/>
          <w:color w:val="000000"/>
        </w:rPr>
        <w:t xml:space="preserve"> M</w:t>
      </w:r>
      <w:r w:rsidRPr="003448EB">
        <w:rPr>
          <w:rFonts w:ascii="Book Antiqua" w:eastAsia="Book Antiqua" w:hAnsi="Book Antiqua" w:cs="Book Antiqua"/>
          <w:color w:val="000000"/>
        </w:rPr>
        <w:t xml:space="preserve">, Kagawa T, </w:t>
      </w:r>
      <w:proofErr w:type="spellStart"/>
      <w:r w:rsidRPr="003448EB">
        <w:rPr>
          <w:rFonts w:ascii="Book Antiqua" w:eastAsia="Book Antiqua" w:hAnsi="Book Antiqua" w:cs="Book Antiqua"/>
          <w:color w:val="000000"/>
        </w:rPr>
        <w:t>Shiraishi</w:t>
      </w:r>
      <w:proofErr w:type="spellEnd"/>
      <w:r w:rsidRPr="003448EB">
        <w:rPr>
          <w:rFonts w:ascii="Book Antiqua" w:eastAsia="Book Antiqua" w:hAnsi="Book Antiqua" w:cs="Book Antiqua"/>
          <w:color w:val="000000"/>
        </w:rPr>
        <w:t xml:space="preserve"> K, Hirose S, Arase Y, Koizumi J, Mine T. Skin toxicity predicts efficacy to sorafenib in patients with advanced hepatocellular carcinoma. </w:t>
      </w:r>
      <w:r w:rsidRPr="003448EB">
        <w:rPr>
          <w:rFonts w:ascii="Book Antiqua" w:eastAsia="Book Antiqua" w:hAnsi="Book Antiqua" w:cs="Book Antiqua"/>
          <w:i/>
          <w:iCs/>
          <w:color w:val="000000"/>
        </w:rPr>
        <w:t>World J Hepatol</w:t>
      </w:r>
      <w:r w:rsidRPr="003448EB">
        <w:rPr>
          <w:rFonts w:ascii="Book Antiqua" w:eastAsia="Book Antiqua" w:hAnsi="Book Antiqua" w:cs="Book Antiqua"/>
          <w:color w:val="000000"/>
        </w:rPr>
        <w:t xml:space="preserve"> 2014; </w:t>
      </w:r>
      <w:r w:rsidRPr="003448EB">
        <w:rPr>
          <w:rFonts w:ascii="Book Antiqua" w:eastAsia="Book Antiqua" w:hAnsi="Book Antiqua" w:cs="Book Antiqua"/>
          <w:b/>
          <w:bCs/>
          <w:color w:val="000000"/>
        </w:rPr>
        <w:t>6</w:t>
      </w:r>
      <w:r w:rsidRPr="003448EB">
        <w:rPr>
          <w:rFonts w:ascii="Book Antiqua" w:eastAsia="Book Antiqua" w:hAnsi="Book Antiqua" w:cs="Book Antiqua"/>
          <w:color w:val="000000"/>
        </w:rPr>
        <w:t>: 670-676 [PMID: 25276283 DOI: 10.4254/wjh.v6.i9.670]</w:t>
      </w:r>
    </w:p>
    <w:p w14:paraId="55C7396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17 </w:t>
      </w:r>
      <w:r w:rsidRPr="003448EB">
        <w:rPr>
          <w:rFonts w:ascii="Book Antiqua" w:eastAsia="Book Antiqua" w:hAnsi="Book Antiqua" w:cs="Book Antiqua"/>
          <w:b/>
          <w:bCs/>
          <w:color w:val="000000"/>
        </w:rPr>
        <w:t>Lencioni R</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Llovet</w:t>
      </w:r>
      <w:proofErr w:type="spellEnd"/>
      <w:r w:rsidRPr="003448EB">
        <w:rPr>
          <w:rFonts w:ascii="Book Antiqua" w:eastAsia="Book Antiqua" w:hAnsi="Book Antiqua" w:cs="Book Antiqua"/>
          <w:color w:val="000000"/>
        </w:rPr>
        <w:t xml:space="preserve"> JM. Modified RECIST (</w:t>
      </w:r>
      <w:proofErr w:type="spellStart"/>
      <w:r w:rsidRPr="003448EB">
        <w:rPr>
          <w:rFonts w:ascii="Book Antiqua" w:eastAsia="Book Antiqua" w:hAnsi="Book Antiqua" w:cs="Book Antiqua"/>
          <w:color w:val="000000"/>
        </w:rPr>
        <w:t>mRECIST</w:t>
      </w:r>
      <w:proofErr w:type="spellEnd"/>
      <w:r w:rsidRPr="003448EB">
        <w:rPr>
          <w:rFonts w:ascii="Book Antiqua" w:eastAsia="Book Antiqua" w:hAnsi="Book Antiqua" w:cs="Book Antiqua"/>
          <w:color w:val="000000"/>
        </w:rPr>
        <w:t xml:space="preserve">) assessment for hepatocellular carcinoma. </w:t>
      </w:r>
      <w:r w:rsidRPr="003448EB">
        <w:rPr>
          <w:rFonts w:ascii="Book Antiqua" w:eastAsia="Book Antiqua" w:hAnsi="Book Antiqua" w:cs="Book Antiqua"/>
          <w:i/>
          <w:iCs/>
          <w:color w:val="000000"/>
        </w:rPr>
        <w:t>Semin Liver Dis</w:t>
      </w:r>
      <w:r w:rsidRPr="003448EB">
        <w:rPr>
          <w:rFonts w:ascii="Book Antiqua" w:eastAsia="Book Antiqua" w:hAnsi="Book Antiqua" w:cs="Book Antiqua"/>
          <w:color w:val="000000"/>
        </w:rPr>
        <w:t xml:space="preserve"> 2010; </w:t>
      </w:r>
      <w:r w:rsidRPr="003448EB">
        <w:rPr>
          <w:rFonts w:ascii="Book Antiqua" w:eastAsia="Book Antiqua" w:hAnsi="Book Antiqua" w:cs="Book Antiqua"/>
          <w:b/>
          <w:bCs/>
          <w:color w:val="000000"/>
        </w:rPr>
        <w:t>30</w:t>
      </w:r>
      <w:r w:rsidRPr="003448EB">
        <w:rPr>
          <w:rFonts w:ascii="Book Antiqua" w:eastAsia="Book Antiqua" w:hAnsi="Book Antiqua" w:cs="Book Antiqua"/>
          <w:color w:val="000000"/>
        </w:rPr>
        <w:t>: 52-60 [PMID: 20175033 DOI: 10.1055/s-0030-1247132]</w:t>
      </w:r>
    </w:p>
    <w:p w14:paraId="56F2677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18 </w:t>
      </w:r>
      <w:r w:rsidRPr="003448EB">
        <w:rPr>
          <w:rFonts w:ascii="Book Antiqua" w:eastAsia="Book Antiqua" w:hAnsi="Book Antiqua" w:cs="Book Antiqua"/>
          <w:b/>
          <w:bCs/>
          <w:color w:val="000000"/>
        </w:rPr>
        <w:t>Benner JS</w:t>
      </w:r>
      <w:r w:rsidRPr="003448EB">
        <w:rPr>
          <w:rFonts w:ascii="Book Antiqua" w:eastAsia="Book Antiqua" w:hAnsi="Book Antiqua" w:cs="Book Antiqua"/>
          <w:color w:val="000000"/>
        </w:rPr>
        <w:t xml:space="preserve">, Glynn RJ, </w:t>
      </w:r>
      <w:proofErr w:type="spellStart"/>
      <w:r w:rsidRPr="003448EB">
        <w:rPr>
          <w:rFonts w:ascii="Book Antiqua" w:eastAsia="Book Antiqua" w:hAnsi="Book Antiqua" w:cs="Book Antiqua"/>
          <w:color w:val="000000"/>
        </w:rPr>
        <w:t>Mogun</w:t>
      </w:r>
      <w:proofErr w:type="spellEnd"/>
      <w:r w:rsidRPr="003448EB">
        <w:rPr>
          <w:rFonts w:ascii="Book Antiqua" w:eastAsia="Book Antiqua" w:hAnsi="Book Antiqua" w:cs="Book Antiqua"/>
          <w:color w:val="000000"/>
        </w:rPr>
        <w:t xml:space="preserve"> H, Neumann PJ, Weinstein MC, </w:t>
      </w:r>
      <w:proofErr w:type="spellStart"/>
      <w:r w:rsidRPr="003448EB">
        <w:rPr>
          <w:rFonts w:ascii="Book Antiqua" w:eastAsia="Book Antiqua" w:hAnsi="Book Antiqua" w:cs="Book Antiqua"/>
          <w:color w:val="000000"/>
        </w:rPr>
        <w:t>Avorn</w:t>
      </w:r>
      <w:proofErr w:type="spellEnd"/>
      <w:r w:rsidRPr="003448EB">
        <w:rPr>
          <w:rFonts w:ascii="Book Antiqua" w:eastAsia="Book Antiqua" w:hAnsi="Book Antiqua" w:cs="Book Antiqua"/>
          <w:color w:val="000000"/>
        </w:rPr>
        <w:t xml:space="preserve"> J. Long-term persistence in use of statin therapy in elderly patients. </w:t>
      </w:r>
      <w:r w:rsidRPr="003448EB">
        <w:rPr>
          <w:rFonts w:ascii="Book Antiqua" w:eastAsia="Book Antiqua" w:hAnsi="Book Antiqua" w:cs="Book Antiqua"/>
          <w:i/>
          <w:iCs/>
          <w:color w:val="000000"/>
        </w:rPr>
        <w:t>JAMA</w:t>
      </w:r>
      <w:r w:rsidRPr="003448EB">
        <w:rPr>
          <w:rFonts w:ascii="Book Antiqua" w:eastAsia="Book Antiqua" w:hAnsi="Book Antiqua" w:cs="Book Antiqua"/>
          <w:color w:val="000000"/>
        </w:rPr>
        <w:t xml:space="preserve"> 2002; </w:t>
      </w:r>
      <w:r w:rsidRPr="003448EB">
        <w:rPr>
          <w:rFonts w:ascii="Book Antiqua" w:eastAsia="Book Antiqua" w:hAnsi="Book Antiqua" w:cs="Book Antiqua"/>
          <w:b/>
          <w:bCs/>
          <w:color w:val="000000"/>
        </w:rPr>
        <w:t>288</w:t>
      </w:r>
      <w:r w:rsidRPr="003448EB">
        <w:rPr>
          <w:rFonts w:ascii="Book Antiqua" w:eastAsia="Book Antiqua" w:hAnsi="Book Antiqua" w:cs="Book Antiqua"/>
          <w:color w:val="000000"/>
        </w:rPr>
        <w:t>: 455-461 [PMID: 12132975 DOI: 10.1001/jama.288.4.455]</w:t>
      </w:r>
    </w:p>
    <w:p w14:paraId="2C77C61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19 </w:t>
      </w:r>
      <w:r w:rsidRPr="003448EB">
        <w:rPr>
          <w:rFonts w:ascii="Book Antiqua" w:eastAsia="Book Antiqua" w:hAnsi="Book Antiqua" w:cs="Book Antiqua"/>
          <w:b/>
          <w:bCs/>
          <w:color w:val="000000"/>
        </w:rPr>
        <w:t>Partridge AH</w:t>
      </w:r>
      <w:r w:rsidRPr="003448EB">
        <w:rPr>
          <w:rFonts w:ascii="Book Antiqua" w:eastAsia="Book Antiqua" w:hAnsi="Book Antiqua" w:cs="Book Antiqua"/>
          <w:color w:val="000000"/>
        </w:rPr>
        <w:t xml:space="preserve">, Wang PS, Winer EP, </w:t>
      </w:r>
      <w:proofErr w:type="spellStart"/>
      <w:r w:rsidRPr="003448EB">
        <w:rPr>
          <w:rFonts w:ascii="Book Antiqua" w:eastAsia="Book Antiqua" w:hAnsi="Book Antiqua" w:cs="Book Antiqua"/>
          <w:color w:val="000000"/>
        </w:rPr>
        <w:t>Avorn</w:t>
      </w:r>
      <w:proofErr w:type="spellEnd"/>
      <w:r w:rsidRPr="003448EB">
        <w:rPr>
          <w:rFonts w:ascii="Book Antiqua" w:eastAsia="Book Antiqua" w:hAnsi="Book Antiqua" w:cs="Book Antiqua"/>
          <w:color w:val="000000"/>
        </w:rPr>
        <w:t xml:space="preserve"> J. Nonadherence to adjuvant tamoxifen therapy in women with primary breast cancer.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2003; </w:t>
      </w:r>
      <w:r w:rsidRPr="003448EB">
        <w:rPr>
          <w:rFonts w:ascii="Book Antiqua" w:eastAsia="Book Antiqua" w:hAnsi="Book Antiqua" w:cs="Book Antiqua"/>
          <w:b/>
          <w:bCs/>
          <w:color w:val="000000"/>
        </w:rPr>
        <w:t>21</w:t>
      </w:r>
      <w:r w:rsidRPr="003448EB">
        <w:rPr>
          <w:rFonts w:ascii="Book Antiqua" w:eastAsia="Book Antiqua" w:hAnsi="Book Antiqua" w:cs="Book Antiqua"/>
          <w:color w:val="000000"/>
        </w:rPr>
        <w:t>: 602-606 [PMID: 12586795 DOI: 10.1200/JCO.2003.07.071]</w:t>
      </w:r>
    </w:p>
    <w:p w14:paraId="09F6A73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20 </w:t>
      </w:r>
      <w:r w:rsidRPr="003448EB">
        <w:rPr>
          <w:rFonts w:ascii="Book Antiqua" w:eastAsia="Book Antiqua" w:hAnsi="Book Antiqua" w:cs="Book Antiqua"/>
          <w:b/>
          <w:bCs/>
          <w:color w:val="000000"/>
        </w:rPr>
        <w:t>Anderson JR</w:t>
      </w:r>
      <w:r w:rsidRPr="003448EB">
        <w:rPr>
          <w:rFonts w:ascii="Book Antiqua" w:eastAsia="Book Antiqua" w:hAnsi="Book Antiqua" w:cs="Book Antiqua"/>
          <w:color w:val="000000"/>
        </w:rPr>
        <w:t xml:space="preserve">, Cain KC, </w:t>
      </w:r>
      <w:proofErr w:type="spellStart"/>
      <w:r w:rsidRPr="003448EB">
        <w:rPr>
          <w:rFonts w:ascii="Book Antiqua" w:eastAsia="Book Antiqua" w:hAnsi="Book Antiqua" w:cs="Book Antiqua"/>
          <w:color w:val="000000"/>
        </w:rPr>
        <w:t>Gelber</w:t>
      </w:r>
      <w:proofErr w:type="spellEnd"/>
      <w:r w:rsidRPr="003448EB">
        <w:rPr>
          <w:rFonts w:ascii="Book Antiqua" w:eastAsia="Book Antiqua" w:hAnsi="Book Antiqua" w:cs="Book Antiqua"/>
          <w:color w:val="000000"/>
        </w:rPr>
        <w:t xml:space="preserve"> RD. Analysis of survival by tumor response.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1983; </w:t>
      </w:r>
      <w:r w:rsidRPr="003448EB">
        <w:rPr>
          <w:rFonts w:ascii="Book Antiqua" w:eastAsia="Book Antiqua" w:hAnsi="Book Antiqua" w:cs="Book Antiqua"/>
          <w:b/>
          <w:bCs/>
          <w:color w:val="000000"/>
        </w:rPr>
        <w:t>1</w:t>
      </w:r>
      <w:r w:rsidRPr="003448EB">
        <w:rPr>
          <w:rFonts w:ascii="Book Antiqua" w:eastAsia="Book Antiqua" w:hAnsi="Book Antiqua" w:cs="Book Antiqua"/>
          <w:color w:val="000000"/>
        </w:rPr>
        <w:t>: 710-719 [PMID: 6668489 DOI: 10.1200/JCO.1983.1.11.710]</w:t>
      </w:r>
    </w:p>
    <w:p w14:paraId="56789F9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21 </w:t>
      </w:r>
      <w:r w:rsidRPr="003448EB">
        <w:rPr>
          <w:rFonts w:ascii="Book Antiqua" w:eastAsia="Book Antiqua" w:hAnsi="Book Antiqua" w:cs="Book Antiqua"/>
          <w:b/>
          <w:bCs/>
          <w:color w:val="000000"/>
        </w:rPr>
        <w:t>Howell J</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Pinato</w:t>
      </w:r>
      <w:proofErr w:type="spellEnd"/>
      <w:r w:rsidRPr="003448EB">
        <w:rPr>
          <w:rFonts w:ascii="Book Antiqua" w:eastAsia="Book Antiqua" w:hAnsi="Book Antiqua" w:cs="Book Antiqua"/>
          <w:color w:val="000000"/>
        </w:rPr>
        <w:t xml:space="preserve"> DJ, </w:t>
      </w:r>
      <w:proofErr w:type="spellStart"/>
      <w:r w:rsidRPr="003448EB">
        <w:rPr>
          <w:rFonts w:ascii="Book Antiqua" w:eastAsia="Book Antiqua" w:hAnsi="Book Antiqua" w:cs="Book Antiqua"/>
          <w:color w:val="000000"/>
        </w:rPr>
        <w:t>Ramaswami</w:t>
      </w:r>
      <w:proofErr w:type="spellEnd"/>
      <w:r w:rsidRPr="003448EB">
        <w:rPr>
          <w:rFonts w:ascii="Book Antiqua" w:eastAsia="Book Antiqua" w:hAnsi="Book Antiqua" w:cs="Book Antiqua"/>
          <w:color w:val="000000"/>
        </w:rPr>
        <w:t xml:space="preserve"> R, </w:t>
      </w:r>
      <w:proofErr w:type="spellStart"/>
      <w:r w:rsidRPr="003448EB">
        <w:rPr>
          <w:rFonts w:ascii="Book Antiqua" w:eastAsia="Book Antiqua" w:hAnsi="Book Antiqua" w:cs="Book Antiqua"/>
          <w:color w:val="000000"/>
        </w:rPr>
        <w:t>Bettinger</w:t>
      </w:r>
      <w:proofErr w:type="spellEnd"/>
      <w:r w:rsidRPr="003448EB">
        <w:rPr>
          <w:rFonts w:ascii="Book Antiqua" w:eastAsia="Book Antiqua" w:hAnsi="Book Antiqua" w:cs="Book Antiqua"/>
          <w:color w:val="000000"/>
        </w:rPr>
        <w:t xml:space="preserve"> D, </w:t>
      </w:r>
      <w:proofErr w:type="spellStart"/>
      <w:r w:rsidRPr="003448EB">
        <w:rPr>
          <w:rFonts w:ascii="Book Antiqua" w:eastAsia="Book Antiqua" w:hAnsi="Book Antiqua" w:cs="Book Antiqua"/>
          <w:color w:val="000000"/>
        </w:rPr>
        <w:t>Arizumi</w:t>
      </w:r>
      <w:proofErr w:type="spellEnd"/>
      <w:r w:rsidRPr="003448EB">
        <w:rPr>
          <w:rFonts w:ascii="Book Antiqua" w:eastAsia="Book Antiqua" w:hAnsi="Book Antiqua" w:cs="Book Antiqua"/>
          <w:color w:val="000000"/>
        </w:rPr>
        <w:t xml:space="preserve"> T, Ferrari C, Yen C, </w:t>
      </w:r>
      <w:proofErr w:type="spellStart"/>
      <w:r w:rsidRPr="003448EB">
        <w:rPr>
          <w:rFonts w:ascii="Book Antiqua" w:eastAsia="Book Antiqua" w:hAnsi="Book Antiqua" w:cs="Book Antiqua"/>
          <w:color w:val="000000"/>
        </w:rPr>
        <w:t>Gibbin</w:t>
      </w:r>
      <w:proofErr w:type="spellEnd"/>
      <w:r w:rsidRPr="003448EB">
        <w:rPr>
          <w:rFonts w:ascii="Book Antiqua" w:eastAsia="Book Antiqua" w:hAnsi="Book Antiqua" w:cs="Book Antiqua"/>
          <w:color w:val="000000"/>
        </w:rPr>
        <w:t xml:space="preserve"> A, </w:t>
      </w:r>
      <w:proofErr w:type="spellStart"/>
      <w:r w:rsidRPr="003448EB">
        <w:rPr>
          <w:rFonts w:ascii="Book Antiqua" w:eastAsia="Book Antiqua" w:hAnsi="Book Antiqua" w:cs="Book Antiqua"/>
          <w:color w:val="000000"/>
        </w:rPr>
        <w:t>Burlone</w:t>
      </w:r>
      <w:proofErr w:type="spellEnd"/>
      <w:r w:rsidRPr="003448EB">
        <w:rPr>
          <w:rFonts w:ascii="Book Antiqua" w:eastAsia="Book Antiqua" w:hAnsi="Book Antiqua" w:cs="Book Antiqua"/>
          <w:color w:val="000000"/>
        </w:rPr>
        <w:t xml:space="preserve"> ME, </w:t>
      </w:r>
      <w:proofErr w:type="spellStart"/>
      <w:r w:rsidRPr="003448EB">
        <w:rPr>
          <w:rFonts w:ascii="Book Antiqua" w:eastAsia="Book Antiqua" w:hAnsi="Book Antiqua" w:cs="Book Antiqua"/>
          <w:color w:val="000000"/>
        </w:rPr>
        <w:t>Guaschino</w:t>
      </w:r>
      <w:proofErr w:type="spellEnd"/>
      <w:r w:rsidRPr="003448EB">
        <w:rPr>
          <w:rFonts w:ascii="Book Antiqua" w:eastAsia="Book Antiqua" w:hAnsi="Book Antiqua" w:cs="Book Antiqua"/>
          <w:color w:val="000000"/>
        </w:rPr>
        <w:t xml:space="preserve"> G, Sellers L, Black J, </w:t>
      </w:r>
      <w:proofErr w:type="spellStart"/>
      <w:r w:rsidRPr="003448EB">
        <w:rPr>
          <w:rFonts w:ascii="Book Antiqua" w:eastAsia="Book Antiqua" w:hAnsi="Book Antiqua" w:cs="Book Antiqua"/>
          <w:color w:val="000000"/>
        </w:rPr>
        <w:t>Pirisi</w:t>
      </w:r>
      <w:proofErr w:type="spellEnd"/>
      <w:r w:rsidRPr="003448EB">
        <w:rPr>
          <w:rFonts w:ascii="Book Antiqua" w:eastAsia="Book Antiqua" w:hAnsi="Book Antiqua" w:cs="Book Antiqua"/>
          <w:color w:val="000000"/>
        </w:rPr>
        <w:t xml:space="preserve"> M, Kudo M, </w:t>
      </w:r>
      <w:proofErr w:type="spellStart"/>
      <w:r w:rsidRPr="003448EB">
        <w:rPr>
          <w:rFonts w:ascii="Book Antiqua" w:eastAsia="Book Antiqua" w:hAnsi="Book Antiqua" w:cs="Book Antiqua"/>
          <w:color w:val="000000"/>
        </w:rPr>
        <w:t>Thimme</w:t>
      </w:r>
      <w:proofErr w:type="spellEnd"/>
      <w:r w:rsidRPr="003448EB">
        <w:rPr>
          <w:rFonts w:ascii="Book Antiqua" w:eastAsia="Book Antiqua" w:hAnsi="Book Antiqua" w:cs="Book Antiqua"/>
          <w:color w:val="000000"/>
        </w:rPr>
        <w:t xml:space="preserve"> R, Park JW, Sharma R. On-target sorafenib toxicity predicts improved survival in hepatocellular </w:t>
      </w:r>
      <w:r w:rsidRPr="003448EB">
        <w:rPr>
          <w:rFonts w:ascii="Book Antiqua" w:eastAsia="Book Antiqua" w:hAnsi="Book Antiqua" w:cs="Book Antiqua"/>
          <w:color w:val="000000"/>
        </w:rPr>
        <w:lastRenderedPageBreak/>
        <w:t>carcinoma: a multi-</w:t>
      </w:r>
      <w:proofErr w:type="spellStart"/>
      <w:r w:rsidRPr="003448EB">
        <w:rPr>
          <w:rFonts w:ascii="Book Antiqua" w:eastAsia="Book Antiqua" w:hAnsi="Book Antiqua" w:cs="Book Antiqua"/>
          <w:color w:val="000000"/>
        </w:rPr>
        <w:t>centre</w:t>
      </w:r>
      <w:proofErr w:type="spellEnd"/>
      <w:r w:rsidRPr="003448EB">
        <w:rPr>
          <w:rFonts w:ascii="Book Antiqua" w:eastAsia="Book Antiqua" w:hAnsi="Book Antiqua" w:cs="Book Antiqua"/>
          <w:color w:val="000000"/>
        </w:rPr>
        <w:t xml:space="preserve">, prospective study. </w:t>
      </w:r>
      <w:r w:rsidRPr="003448EB">
        <w:rPr>
          <w:rFonts w:ascii="Book Antiqua" w:eastAsia="Book Antiqua" w:hAnsi="Book Antiqua" w:cs="Book Antiqua"/>
          <w:i/>
          <w:iCs/>
          <w:color w:val="000000"/>
        </w:rPr>
        <w:t xml:space="preserve">Aliment </w:t>
      </w:r>
      <w:proofErr w:type="spellStart"/>
      <w:r w:rsidRPr="003448EB">
        <w:rPr>
          <w:rFonts w:ascii="Book Antiqua" w:eastAsia="Book Antiqua" w:hAnsi="Book Antiqua" w:cs="Book Antiqua"/>
          <w:i/>
          <w:iCs/>
          <w:color w:val="000000"/>
        </w:rPr>
        <w:t>Pharmacol</w:t>
      </w:r>
      <w:proofErr w:type="spellEnd"/>
      <w:r w:rsidRPr="003448EB">
        <w:rPr>
          <w:rFonts w:ascii="Book Antiqua" w:eastAsia="Book Antiqua" w:hAnsi="Book Antiqua" w:cs="Book Antiqua"/>
          <w:i/>
          <w:iCs/>
          <w:color w:val="000000"/>
        </w:rPr>
        <w:t xml:space="preserve"> </w:t>
      </w:r>
      <w:proofErr w:type="spellStart"/>
      <w:r w:rsidRPr="003448EB">
        <w:rPr>
          <w:rFonts w:ascii="Book Antiqua" w:eastAsia="Book Antiqua" w:hAnsi="Book Antiqua" w:cs="Book Antiqua"/>
          <w:i/>
          <w:iCs/>
          <w:color w:val="000000"/>
        </w:rPr>
        <w:t>Ther</w:t>
      </w:r>
      <w:proofErr w:type="spellEnd"/>
      <w:r w:rsidRPr="003448EB">
        <w:rPr>
          <w:rFonts w:ascii="Book Antiqua" w:eastAsia="Book Antiqua" w:hAnsi="Book Antiqua" w:cs="Book Antiqua"/>
          <w:color w:val="000000"/>
        </w:rPr>
        <w:t xml:space="preserve"> 2017; </w:t>
      </w:r>
      <w:r w:rsidRPr="003448EB">
        <w:rPr>
          <w:rFonts w:ascii="Book Antiqua" w:eastAsia="Book Antiqua" w:hAnsi="Book Antiqua" w:cs="Book Antiqua"/>
          <w:b/>
          <w:bCs/>
          <w:color w:val="000000"/>
        </w:rPr>
        <w:t>45</w:t>
      </w:r>
      <w:r w:rsidRPr="003448EB">
        <w:rPr>
          <w:rFonts w:ascii="Book Antiqua" w:eastAsia="Book Antiqua" w:hAnsi="Book Antiqua" w:cs="Book Antiqua"/>
          <w:color w:val="000000"/>
        </w:rPr>
        <w:t>: 1146-1155 [PMID: 28252185 DOI: 10.1111/apt.13977]</w:t>
      </w:r>
    </w:p>
    <w:p w14:paraId="6C8E9AA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22 </w:t>
      </w:r>
      <w:r w:rsidRPr="003448EB">
        <w:rPr>
          <w:rFonts w:ascii="Book Antiqua" w:eastAsia="Book Antiqua" w:hAnsi="Book Antiqua" w:cs="Book Antiqua"/>
          <w:b/>
          <w:bCs/>
          <w:color w:val="000000"/>
        </w:rPr>
        <w:t>Gangadhar TC</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Vonderheide</w:t>
      </w:r>
      <w:proofErr w:type="spellEnd"/>
      <w:r w:rsidRPr="003448EB">
        <w:rPr>
          <w:rFonts w:ascii="Book Antiqua" w:eastAsia="Book Antiqua" w:hAnsi="Book Antiqua" w:cs="Book Antiqua"/>
          <w:color w:val="000000"/>
        </w:rPr>
        <w:t xml:space="preserve"> RH. Mitigating the toxic effects of anticancer immunotherapy. </w:t>
      </w:r>
      <w:r w:rsidRPr="003448EB">
        <w:rPr>
          <w:rFonts w:ascii="Book Antiqua" w:eastAsia="Book Antiqua" w:hAnsi="Book Antiqua" w:cs="Book Antiqua"/>
          <w:i/>
          <w:iCs/>
          <w:color w:val="000000"/>
        </w:rPr>
        <w:t>Nat Rev Clin Oncol</w:t>
      </w:r>
      <w:r w:rsidRPr="003448EB">
        <w:rPr>
          <w:rFonts w:ascii="Book Antiqua" w:eastAsia="Book Antiqua" w:hAnsi="Book Antiqua" w:cs="Book Antiqua"/>
          <w:color w:val="000000"/>
        </w:rPr>
        <w:t xml:space="preserve"> 2014; </w:t>
      </w:r>
      <w:r w:rsidRPr="003448EB">
        <w:rPr>
          <w:rFonts w:ascii="Book Antiqua" w:eastAsia="Book Antiqua" w:hAnsi="Book Antiqua" w:cs="Book Antiqua"/>
          <w:b/>
          <w:bCs/>
          <w:color w:val="000000"/>
        </w:rPr>
        <w:t>11</w:t>
      </w:r>
      <w:r w:rsidRPr="003448EB">
        <w:rPr>
          <w:rFonts w:ascii="Book Antiqua" w:eastAsia="Book Antiqua" w:hAnsi="Book Antiqua" w:cs="Book Antiqua"/>
          <w:color w:val="000000"/>
        </w:rPr>
        <w:t>: 91-99 [PMID: 24445516 DOI: 10.1038/nrclinonc.2013.245]</w:t>
      </w:r>
    </w:p>
    <w:p w14:paraId="35CFC0C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23 </w:t>
      </w:r>
      <w:r w:rsidRPr="003448EB">
        <w:rPr>
          <w:rFonts w:ascii="Book Antiqua" w:eastAsia="Book Antiqua" w:hAnsi="Book Antiqua" w:cs="Book Antiqua"/>
          <w:b/>
          <w:bCs/>
          <w:color w:val="000000"/>
        </w:rPr>
        <w:t>Raoul JL</w:t>
      </w:r>
      <w:r w:rsidRPr="003448EB">
        <w:rPr>
          <w:rFonts w:ascii="Book Antiqua" w:eastAsia="Book Antiqua" w:hAnsi="Book Antiqua" w:cs="Book Antiqua"/>
          <w:color w:val="000000"/>
        </w:rPr>
        <w:t xml:space="preserve">, </w:t>
      </w:r>
      <w:proofErr w:type="spellStart"/>
      <w:r w:rsidRPr="003448EB">
        <w:rPr>
          <w:rFonts w:ascii="Book Antiqua" w:eastAsia="Book Antiqua" w:hAnsi="Book Antiqua" w:cs="Book Antiqua"/>
          <w:color w:val="000000"/>
        </w:rPr>
        <w:t>Adhoute</w:t>
      </w:r>
      <w:proofErr w:type="spellEnd"/>
      <w:r w:rsidRPr="003448EB">
        <w:rPr>
          <w:rFonts w:ascii="Book Antiqua" w:eastAsia="Book Antiqua" w:hAnsi="Book Antiqua" w:cs="Book Antiqua"/>
          <w:color w:val="000000"/>
        </w:rPr>
        <w:t xml:space="preserve"> X, </w:t>
      </w:r>
      <w:proofErr w:type="spellStart"/>
      <w:r w:rsidRPr="003448EB">
        <w:rPr>
          <w:rFonts w:ascii="Book Antiqua" w:eastAsia="Book Antiqua" w:hAnsi="Book Antiqua" w:cs="Book Antiqua"/>
          <w:color w:val="000000"/>
        </w:rPr>
        <w:t>Penaranda</w:t>
      </w:r>
      <w:proofErr w:type="spellEnd"/>
      <w:r w:rsidRPr="003448EB">
        <w:rPr>
          <w:rFonts w:ascii="Book Antiqua" w:eastAsia="Book Antiqua" w:hAnsi="Book Antiqua" w:cs="Book Antiqua"/>
          <w:color w:val="000000"/>
        </w:rPr>
        <w:t xml:space="preserve"> G, Perrier H, Castellani P, </w:t>
      </w:r>
      <w:proofErr w:type="spellStart"/>
      <w:r w:rsidRPr="003448EB">
        <w:rPr>
          <w:rFonts w:ascii="Book Antiqua" w:eastAsia="Book Antiqua" w:hAnsi="Book Antiqua" w:cs="Book Antiqua"/>
          <w:color w:val="000000"/>
        </w:rPr>
        <w:t>Oules</w:t>
      </w:r>
      <w:proofErr w:type="spellEnd"/>
      <w:r w:rsidRPr="003448EB">
        <w:rPr>
          <w:rFonts w:ascii="Book Antiqua" w:eastAsia="Book Antiqua" w:hAnsi="Book Antiqua" w:cs="Book Antiqua"/>
          <w:color w:val="000000"/>
        </w:rPr>
        <w:t xml:space="preserve"> V, </w:t>
      </w:r>
      <w:proofErr w:type="spellStart"/>
      <w:r w:rsidRPr="003448EB">
        <w:rPr>
          <w:rFonts w:ascii="Book Antiqua" w:eastAsia="Book Antiqua" w:hAnsi="Book Antiqua" w:cs="Book Antiqua"/>
          <w:color w:val="000000"/>
        </w:rPr>
        <w:t>Bourlière</w:t>
      </w:r>
      <w:proofErr w:type="spellEnd"/>
      <w:r w:rsidRPr="003448EB">
        <w:rPr>
          <w:rFonts w:ascii="Book Antiqua" w:eastAsia="Book Antiqua" w:hAnsi="Book Antiqua" w:cs="Book Antiqua"/>
          <w:color w:val="000000"/>
        </w:rPr>
        <w:t xml:space="preserve"> M. Sorafenib: Experience and Better Manage-</w:t>
      </w:r>
      <w:proofErr w:type="spellStart"/>
      <w:r w:rsidRPr="003448EB">
        <w:rPr>
          <w:rFonts w:ascii="Book Antiqua" w:eastAsia="Book Antiqua" w:hAnsi="Book Antiqua" w:cs="Book Antiqua"/>
          <w:color w:val="000000"/>
        </w:rPr>
        <w:t>ment</w:t>
      </w:r>
      <w:proofErr w:type="spellEnd"/>
      <w:r w:rsidRPr="003448EB">
        <w:rPr>
          <w:rFonts w:ascii="Book Antiqua" w:eastAsia="Book Antiqua" w:hAnsi="Book Antiqua" w:cs="Book Antiqua"/>
          <w:color w:val="000000"/>
        </w:rPr>
        <w:t xml:space="preserve"> of Side Effects Improve Overall Survival in Hepatocellular Carcinoma Patients: A Real-Life Retrospective Analysis. </w:t>
      </w:r>
      <w:r w:rsidRPr="003448EB">
        <w:rPr>
          <w:rFonts w:ascii="Book Antiqua" w:eastAsia="Book Antiqua" w:hAnsi="Book Antiqua" w:cs="Book Antiqua"/>
          <w:i/>
          <w:iCs/>
          <w:color w:val="000000"/>
        </w:rPr>
        <w:t>Liver Cancer</w:t>
      </w:r>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8</w:t>
      </w:r>
      <w:r w:rsidRPr="003448EB">
        <w:rPr>
          <w:rFonts w:ascii="Book Antiqua" w:eastAsia="Book Antiqua" w:hAnsi="Book Antiqua" w:cs="Book Antiqua"/>
          <w:color w:val="000000"/>
        </w:rPr>
        <w:t>: 457-467 [PMID: 31799203 DOI: 10.1159/000497161]</w:t>
      </w:r>
    </w:p>
    <w:p w14:paraId="7E2255B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24 </w:t>
      </w:r>
      <w:proofErr w:type="spellStart"/>
      <w:r w:rsidRPr="003448EB">
        <w:rPr>
          <w:rFonts w:ascii="Book Antiqua" w:eastAsia="Book Antiqua" w:hAnsi="Book Antiqua" w:cs="Book Antiqua"/>
          <w:b/>
          <w:bCs/>
          <w:color w:val="000000"/>
        </w:rPr>
        <w:t>Forner</w:t>
      </w:r>
      <w:proofErr w:type="spellEnd"/>
      <w:r w:rsidRPr="003448EB">
        <w:rPr>
          <w:rFonts w:ascii="Book Antiqua" w:eastAsia="Book Antiqua" w:hAnsi="Book Antiqua" w:cs="Book Antiqua"/>
          <w:b/>
          <w:bCs/>
          <w:color w:val="000000"/>
        </w:rPr>
        <w:t xml:space="preserve"> A</w:t>
      </w:r>
      <w:r w:rsidRPr="003448EB">
        <w:rPr>
          <w:rFonts w:ascii="Book Antiqua" w:eastAsia="Book Antiqua" w:hAnsi="Book Antiqua" w:cs="Book Antiqua"/>
          <w:color w:val="000000"/>
        </w:rPr>
        <w:t xml:space="preserve">, Da Fonseca LG, Díaz-González Á, </w:t>
      </w:r>
      <w:proofErr w:type="spellStart"/>
      <w:r w:rsidRPr="003448EB">
        <w:rPr>
          <w:rFonts w:ascii="Book Antiqua" w:eastAsia="Book Antiqua" w:hAnsi="Book Antiqua" w:cs="Book Antiqua"/>
          <w:color w:val="000000"/>
        </w:rPr>
        <w:t>Sanduzzi</w:t>
      </w:r>
      <w:proofErr w:type="spellEnd"/>
      <w:r w:rsidRPr="003448EB">
        <w:rPr>
          <w:rFonts w:ascii="Book Antiqua" w:eastAsia="Book Antiqua" w:hAnsi="Book Antiqua" w:cs="Book Antiqua"/>
          <w:color w:val="000000"/>
        </w:rPr>
        <w:t xml:space="preserve">-Zamparelli M, </w:t>
      </w:r>
      <w:proofErr w:type="spellStart"/>
      <w:r w:rsidRPr="003448EB">
        <w:rPr>
          <w:rFonts w:ascii="Book Antiqua" w:eastAsia="Book Antiqua" w:hAnsi="Book Antiqua" w:cs="Book Antiqua"/>
          <w:color w:val="000000"/>
        </w:rPr>
        <w:t>Reig</w:t>
      </w:r>
      <w:proofErr w:type="spellEnd"/>
      <w:r w:rsidRPr="003448EB">
        <w:rPr>
          <w:rFonts w:ascii="Book Antiqua" w:eastAsia="Book Antiqua" w:hAnsi="Book Antiqua" w:cs="Book Antiqua"/>
          <w:color w:val="000000"/>
        </w:rPr>
        <w:t xml:space="preserve"> M, </w:t>
      </w:r>
      <w:proofErr w:type="spellStart"/>
      <w:r w:rsidRPr="003448EB">
        <w:rPr>
          <w:rFonts w:ascii="Book Antiqua" w:eastAsia="Book Antiqua" w:hAnsi="Book Antiqua" w:cs="Book Antiqua"/>
          <w:color w:val="000000"/>
        </w:rPr>
        <w:t>Bruix</w:t>
      </w:r>
      <w:proofErr w:type="spellEnd"/>
      <w:r w:rsidRPr="003448EB">
        <w:rPr>
          <w:rFonts w:ascii="Book Antiqua" w:eastAsia="Book Antiqua" w:hAnsi="Book Antiqua" w:cs="Book Antiqua"/>
          <w:color w:val="000000"/>
        </w:rPr>
        <w:t xml:space="preserve"> J. Controversies in the management of hepatocellular carcinoma. </w:t>
      </w:r>
      <w:r w:rsidRPr="003448EB">
        <w:rPr>
          <w:rFonts w:ascii="Book Antiqua" w:eastAsia="Book Antiqua" w:hAnsi="Book Antiqua" w:cs="Book Antiqua"/>
          <w:i/>
          <w:iCs/>
          <w:color w:val="000000"/>
        </w:rPr>
        <w:t>JHEP Rep</w:t>
      </w:r>
      <w:r w:rsidRPr="003448EB">
        <w:rPr>
          <w:rFonts w:ascii="Book Antiqua" w:eastAsia="Book Antiqua" w:hAnsi="Book Antiqua" w:cs="Book Antiqua"/>
          <w:color w:val="000000"/>
        </w:rPr>
        <w:t xml:space="preserve"> 2019; </w:t>
      </w:r>
      <w:r w:rsidRPr="003448EB">
        <w:rPr>
          <w:rFonts w:ascii="Book Antiqua" w:eastAsia="Book Antiqua" w:hAnsi="Book Antiqua" w:cs="Book Antiqua"/>
          <w:b/>
          <w:bCs/>
          <w:color w:val="000000"/>
        </w:rPr>
        <w:t>1</w:t>
      </w:r>
      <w:r w:rsidRPr="003448EB">
        <w:rPr>
          <w:rFonts w:ascii="Book Antiqua" w:eastAsia="Book Antiqua" w:hAnsi="Book Antiqua" w:cs="Book Antiqua"/>
          <w:color w:val="000000"/>
        </w:rPr>
        <w:t>: 17-29 [PMID: 32039350 DOI: 10.1016/j.jhepr.2019.02.003]</w:t>
      </w:r>
    </w:p>
    <w:p w14:paraId="063E869A"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25 </w:t>
      </w:r>
      <w:r w:rsidRPr="003448EB">
        <w:rPr>
          <w:rFonts w:ascii="Book Antiqua" w:eastAsia="Book Antiqua" w:hAnsi="Book Antiqua" w:cs="Book Antiqua"/>
          <w:b/>
          <w:bCs/>
          <w:color w:val="000000"/>
        </w:rPr>
        <w:t>Hershman DL</w:t>
      </w:r>
      <w:r w:rsidRPr="003448EB">
        <w:rPr>
          <w:rFonts w:ascii="Book Antiqua" w:eastAsia="Book Antiqua" w:hAnsi="Book Antiqua" w:cs="Book Antiqua"/>
          <w:color w:val="000000"/>
        </w:rPr>
        <w:t xml:space="preserve">. Sticking to It: Improving Outcomes by Increasing Adherence. </w:t>
      </w:r>
      <w:r w:rsidRPr="003448EB">
        <w:rPr>
          <w:rFonts w:ascii="Book Antiqua" w:eastAsia="Book Antiqua" w:hAnsi="Book Antiqua" w:cs="Book Antiqua"/>
          <w:i/>
          <w:iCs/>
          <w:color w:val="000000"/>
        </w:rPr>
        <w:t>J Clin Oncol</w:t>
      </w:r>
      <w:r w:rsidRPr="003448EB">
        <w:rPr>
          <w:rFonts w:ascii="Book Antiqua" w:eastAsia="Book Antiqua" w:hAnsi="Book Antiqua" w:cs="Book Antiqua"/>
          <w:color w:val="000000"/>
        </w:rPr>
        <w:t xml:space="preserve"> 2016; </w:t>
      </w:r>
      <w:r w:rsidRPr="003448EB">
        <w:rPr>
          <w:rFonts w:ascii="Book Antiqua" w:eastAsia="Book Antiqua" w:hAnsi="Book Antiqua" w:cs="Book Antiqua"/>
          <w:b/>
          <w:bCs/>
          <w:color w:val="000000"/>
        </w:rPr>
        <w:t>34</w:t>
      </w:r>
      <w:r w:rsidRPr="003448EB">
        <w:rPr>
          <w:rFonts w:ascii="Book Antiqua" w:eastAsia="Book Antiqua" w:hAnsi="Book Antiqua" w:cs="Book Antiqua"/>
          <w:color w:val="000000"/>
        </w:rPr>
        <w:t>: 2440-2442 [PMID: 27217447 DOI: 10.1200/JCO.2016.67.7336]</w:t>
      </w:r>
    </w:p>
    <w:p w14:paraId="27BE7C0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26 </w:t>
      </w:r>
      <w:r w:rsidRPr="003448EB">
        <w:rPr>
          <w:rFonts w:ascii="Book Antiqua" w:eastAsia="Book Antiqua" w:hAnsi="Book Antiqua" w:cs="Book Antiqua"/>
          <w:b/>
          <w:bCs/>
          <w:color w:val="000000"/>
        </w:rPr>
        <w:t>McCowan C</w:t>
      </w:r>
      <w:r w:rsidRPr="003448EB">
        <w:rPr>
          <w:rFonts w:ascii="Book Antiqua" w:eastAsia="Book Antiqua" w:hAnsi="Book Antiqua" w:cs="Book Antiqua"/>
          <w:color w:val="000000"/>
        </w:rPr>
        <w:t xml:space="preserve">, Shearer J, </w:t>
      </w:r>
      <w:proofErr w:type="spellStart"/>
      <w:r w:rsidRPr="003448EB">
        <w:rPr>
          <w:rFonts w:ascii="Book Antiqua" w:eastAsia="Book Antiqua" w:hAnsi="Book Antiqua" w:cs="Book Antiqua"/>
          <w:color w:val="000000"/>
        </w:rPr>
        <w:t>Donnan</w:t>
      </w:r>
      <w:proofErr w:type="spellEnd"/>
      <w:r w:rsidRPr="003448EB">
        <w:rPr>
          <w:rFonts w:ascii="Book Antiqua" w:eastAsia="Book Antiqua" w:hAnsi="Book Antiqua" w:cs="Book Antiqua"/>
          <w:color w:val="000000"/>
        </w:rPr>
        <w:t xml:space="preserve"> PT, Dewar JA, Crilly M, Thompson AM, Fahey TP. Cohort study examining tamoxifen adherence and its relationship to mortality in women with breast cancer. </w:t>
      </w:r>
      <w:r w:rsidRPr="003448EB">
        <w:rPr>
          <w:rFonts w:ascii="Book Antiqua" w:eastAsia="Book Antiqua" w:hAnsi="Book Antiqua" w:cs="Book Antiqua"/>
          <w:i/>
          <w:iCs/>
          <w:color w:val="000000"/>
        </w:rPr>
        <w:t>Br J Cancer</w:t>
      </w:r>
      <w:r w:rsidRPr="003448EB">
        <w:rPr>
          <w:rFonts w:ascii="Book Antiqua" w:eastAsia="Book Antiqua" w:hAnsi="Book Antiqua" w:cs="Book Antiqua"/>
          <w:color w:val="000000"/>
        </w:rPr>
        <w:t xml:space="preserve"> 2008; </w:t>
      </w:r>
      <w:r w:rsidRPr="003448EB">
        <w:rPr>
          <w:rFonts w:ascii="Book Antiqua" w:eastAsia="Book Antiqua" w:hAnsi="Book Antiqua" w:cs="Book Antiqua"/>
          <w:b/>
          <w:bCs/>
          <w:color w:val="000000"/>
        </w:rPr>
        <w:t>99</w:t>
      </w:r>
      <w:r w:rsidRPr="003448EB">
        <w:rPr>
          <w:rFonts w:ascii="Book Antiqua" w:eastAsia="Book Antiqua" w:hAnsi="Book Antiqua" w:cs="Book Antiqua"/>
          <w:color w:val="000000"/>
        </w:rPr>
        <w:t>: 1763-1768 [PMID: 18985046 DOI: 10.1038/sj.bjc.6604758]</w:t>
      </w:r>
    </w:p>
    <w:p w14:paraId="51A8768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27 </w:t>
      </w:r>
      <w:proofErr w:type="spellStart"/>
      <w:r w:rsidRPr="003448EB">
        <w:rPr>
          <w:rFonts w:ascii="Book Antiqua" w:eastAsia="Book Antiqua" w:hAnsi="Book Antiqua" w:cs="Book Antiqua"/>
          <w:b/>
          <w:bCs/>
          <w:color w:val="000000"/>
        </w:rPr>
        <w:t>Kini</w:t>
      </w:r>
      <w:proofErr w:type="spellEnd"/>
      <w:r w:rsidRPr="003448EB">
        <w:rPr>
          <w:rFonts w:ascii="Book Antiqua" w:eastAsia="Book Antiqua" w:hAnsi="Book Antiqua" w:cs="Book Antiqua"/>
          <w:b/>
          <w:bCs/>
          <w:color w:val="000000"/>
        </w:rPr>
        <w:t xml:space="preserve"> V</w:t>
      </w:r>
      <w:r w:rsidRPr="003448EB">
        <w:rPr>
          <w:rFonts w:ascii="Book Antiqua" w:eastAsia="Book Antiqua" w:hAnsi="Book Antiqua" w:cs="Book Antiqua"/>
          <w:color w:val="000000"/>
        </w:rPr>
        <w:t xml:space="preserve">, Ho PM. Interventions to Improve Medication Adherence: A Review. </w:t>
      </w:r>
      <w:r w:rsidRPr="003448EB">
        <w:rPr>
          <w:rFonts w:ascii="Book Antiqua" w:eastAsia="Book Antiqua" w:hAnsi="Book Antiqua" w:cs="Book Antiqua"/>
          <w:i/>
          <w:iCs/>
          <w:color w:val="000000"/>
        </w:rPr>
        <w:t>JAMA</w:t>
      </w:r>
      <w:r w:rsidRPr="003448EB">
        <w:rPr>
          <w:rFonts w:ascii="Book Antiqua" w:eastAsia="Book Antiqua" w:hAnsi="Book Antiqua" w:cs="Book Antiqua"/>
          <w:color w:val="000000"/>
        </w:rPr>
        <w:t xml:space="preserve"> 2018; </w:t>
      </w:r>
      <w:r w:rsidRPr="003448EB">
        <w:rPr>
          <w:rFonts w:ascii="Book Antiqua" w:eastAsia="Book Antiqua" w:hAnsi="Book Antiqua" w:cs="Book Antiqua"/>
          <w:b/>
          <w:bCs/>
          <w:color w:val="000000"/>
        </w:rPr>
        <w:t>320</w:t>
      </w:r>
      <w:r w:rsidRPr="003448EB">
        <w:rPr>
          <w:rFonts w:ascii="Book Antiqua" w:eastAsia="Book Antiqua" w:hAnsi="Book Antiqua" w:cs="Book Antiqua"/>
          <w:color w:val="000000"/>
        </w:rPr>
        <w:t>: 2461-2473 [PMID: 30561486 DOI: 10.1001/jama.2018.19271]</w:t>
      </w:r>
    </w:p>
    <w:p w14:paraId="46D7E10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28 </w:t>
      </w:r>
      <w:r w:rsidRPr="003448EB">
        <w:rPr>
          <w:rFonts w:ascii="Book Antiqua" w:eastAsia="Book Antiqua" w:hAnsi="Book Antiqua" w:cs="Book Antiqua"/>
          <w:b/>
          <w:bCs/>
          <w:color w:val="000000"/>
        </w:rPr>
        <w:t>Ruddy K</w:t>
      </w:r>
      <w:r w:rsidRPr="003448EB">
        <w:rPr>
          <w:rFonts w:ascii="Book Antiqua" w:eastAsia="Book Antiqua" w:hAnsi="Book Antiqua" w:cs="Book Antiqua"/>
          <w:color w:val="000000"/>
        </w:rPr>
        <w:t xml:space="preserve">, Mayer E, Partridge A. Patient adherence and persistence with oral anticancer treatment. </w:t>
      </w:r>
      <w:r w:rsidRPr="003448EB">
        <w:rPr>
          <w:rFonts w:ascii="Book Antiqua" w:eastAsia="Book Antiqua" w:hAnsi="Book Antiqua" w:cs="Book Antiqua"/>
          <w:i/>
          <w:iCs/>
          <w:color w:val="000000"/>
        </w:rPr>
        <w:t>CA Cancer J Clin</w:t>
      </w:r>
      <w:r w:rsidRPr="003448EB">
        <w:rPr>
          <w:rFonts w:ascii="Book Antiqua" w:eastAsia="Book Antiqua" w:hAnsi="Book Antiqua" w:cs="Book Antiqua"/>
          <w:color w:val="000000"/>
        </w:rPr>
        <w:t xml:space="preserve"> 2009; </w:t>
      </w:r>
      <w:r w:rsidRPr="003448EB">
        <w:rPr>
          <w:rFonts w:ascii="Book Antiqua" w:eastAsia="Book Antiqua" w:hAnsi="Book Antiqua" w:cs="Book Antiqua"/>
          <w:b/>
          <w:bCs/>
          <w:color w:val="000000"/>
        </w:rPr>
        <w:t>59</w:t>
      </w:r>
      <w:r w:rsidRPr="003448EB">
        <w:rPr>
          <w:rFonts w:ascii="Book Antiqua" w:eastAsia="Book Antiqua" w:hAnsi="Book Antiqua" w:cs="Book Antiqua"/>
          <w:color w:val="000000"/>
        </w:rPr>
        <w:t>: 56-66 [PMID: 19147869 DOI: 10.3322/caac.20004]</w:t>
      </w:r>
    </w:p>
    <w:p w14:paraId="62E1788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 xml:space="preserve">29 </w:t>
      </w:r>
      <w:proofErr w:type="spellStart"/>
      <w:r w:rsidRPr="003448EB">
        <w:rPr>
          <w:rFonts w:ascii="Book Antiqua" w:eastAsia="Book Antiqua" w:hAnsi="Book Antiqua" w:cs="Book Antiqua"/>
          <w:b/>
          <w:bCs/>
          <w:color w:val="000000"/>
        </w:rPr>
        <w:t>Bruix</w:t>
      </w:r>
      <w:proofErr w:type="spellEnd"/>
      <w:r w:rsidRPr="003448EB">
        <w:rPr>
          <w:rFonts w:ascii="Book Antiqua" w:eastAsia="Book Antiqua" w:hAnsi="Book Antiqua" w:cs="Book Antiqua"/>
          <w:b/>
          <w:bCs/>
          <w:color w:val="000000"/>
        </w:rPr>
        <w:t xml:space="preserve"> J</w:t>
      </w:r>
      <w:r w:rsidRPr="003448EB">
        <w:rPr>
          <w:rFonts w:ascii="Book Antiqua" w:eastAsia="Book Antiqua" w:hAnsi="Book Antiqua" w:cs="Book Antiqua"/>
          <w:color w:val="000000"/>
        </w:rPr>
        <w:t xml:space="preserve">, Cheng AL, Meinhardt G, Nakajima K, De </w:t>
      </w:r>
      <w:proofErr w:type="spellStart"/>
      <w:r w:rsidRPr="003448EB">
        <w:rPr>
          <w:rFonts w:ascii="Book Antiqua" w:eastAsia="Book Antiqua" w:hAnsi="Book Antiqua" w:cs="Book Antiqua"/>
          <w:color w:val="000000"/>
        </w:rPr>
        <w:t>Sanctis</w:t>
      </w:r>
      <w:proofErr w:type="spellEnd"/>
      <w:r w:rsidRPr="003448EB">
        <w:rPr>
          <w:rFonts w:ascii="Book Antiqua" w:eastAsia="Book Antiqua" w:hAnsi="Book Antiqua" w:cs="Book Antiqua"/>
          <w:color w:val="000000"/>
        </w:rPr>
        <w:t xml:space="preserve"> Y, </w:t>
      </w:r>
      <w:proofErr w:type="spellStart"/>
      <w:r w:rsidRPr="003448EB">
        <w:rPr>
          <w:rFonts w:ascii="Book Antiqua" w:eastAsia="Book Antiqua" w:hAnsi="Book Antiqua" w:cs="Book Antiqua"/>
          <w:color w:val="000000"/>
        </w:rPr>
        <w:t>Llovet</w:t>
      </w:r>
      <w:proofErr w:type="spellEnd"/>
      <w:r w:rsidRPr="003448EB">
        <w:rPr>
          <w:rFonts w:ascii="Book Antiqua" w:eastAsia="Book Antiqua" w:hAnsi="Book Antiqua" w:cs="Book Antiqua"/>
          <w:color w:val="000000"/>
        </w:rPr>
        <w:t xml:space="preserve"> J. Prognostic factors and predictors of sorafenib benefit in patients with hepatocellular carcinoma: Analysis of two phase III studies. </w:t>
      </w:r>
      <w:r w:rsidRPr="003448EB">
        <w:rPr>
          <w:rFonts w:ascii="Book Antiqua" w:eastAsia="Book Antiqua" w:hAnsi="Book Antiqua" w:cs="Book Antiqua"/>
          <w:i/>
          <w:iCs/>
          <w:color w:val="000000"/>
        </w:rPr>
        <w:t>J Hepatol</w:t>
      </w:r>
      <w:r w:rsidRPr="003448EB">
        <w:rPr>
          <w:rFonts w:ascii="Book Antiqua" w:eastAsia="Book Antiqua" w:hAnsi="Book Antiqua" w:cs="Book Antiqua"/>
          <w:color w:val="000000"/>
        </w:rPr>
        <w:t xml:space="preserve"> 2017; </w:t>
      </w:r>
      <w:r w:rsidRPr="003448EB">
        <w:rPr>
          <w:rFonts w:ascii="Book Antiqua" w:eastAsia="Book Antiqua" w:hAnsi="Book Antiqua" w:cs="Book Antiqua"/>
          <w:b/>
          <w:bCs/>
          <w:color w:val="000000"/>
        </w:rPr>
        <w:t>67</w:t>
      </w:r>
      <w:r w:rsidRPr="003448EB">
        <w:rPr>
          <w:rFonts w:ascii="Book Antiqua" w:eastAsia="Book Antiqua" w:hAnsi="Book Antiqua" w:cs="Book Antiqua"/>
          <w:color w:val="000000"/>
        </w:rPr>
        <w:t>: 999-1008 [PMID: 28687477 DOI: 10.1016/j.jhep.2017.06.026]</w:t>
      </w:r>
      <w:bookmarkEnd w:id="3"/>
    </w:p>
    <w:p w14:paraId="7EDAA856" w14:textId="77777777" w:rsidR="00A77B3E" w:rsidRPr="003448EB" w:rsidRDefault="00A77B3E" w:rsidP="00B50B39">
      <w:pPr>
        <w:spacing w:line="360" w:lineRule="auto"/>
        <w:jc w:val="both"/>
        <w:rPr>
          <w:rFonts w:ascii="Book Antiqua" w:hAnsi="Book Antiqua"/>
        </w:rPr>
        <w:sectPr w:rsidR="00A77B3E" w:rsidRPr="003448EB">
          <w:pgSz w:w="12240" w:h="15840"/>
          <w:pgMar w:top="1440" w:right="1440" w:bottom="1440" w:left="1440" w:header="720" w:footer="720" w:gutter="0"/>
          <w:cols w:space="720"/>
          <w:docGrid w:linePitch="360"/>
        </w:sectPr>
      </w:pPr>
    </w:p>
    <w:p w14:paraId="2578F9C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lastRenderedPageBreak/>
        <w:t>Footnotes</w:t>
      </w:r>
    </w:p>
    <w:p w14:paraId="2D124D8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Institutional review board statement: </w:t>
      </w:r>
      <w:r w:rsidRPr="003448EB">
        <w:rPr>
          <w:rFonts w:ascii="Book Antiqua" w:eastAsia="Book Antiqua" w:hAnsi="Book Antiqua" w:cs="Book Antiqua"/>
          <w:color w:val="000000"/>
        </w:rPr>
        <w:t>The study protocol was approved by the ethics committee of each hospital and was performed according to the ethical standards of the 1975 Declaration of Helsinki.</w:t>
      </w:r>
    </w:p>
    <w:p w14:paraId="3235543E" w14:textId="77777777" w:rsidR="00A77B3E" w:rsidRPr="003448EB" w:rsidRDefault="00A77B3E" w:rsidP="00B50B39">
      <w:pPr>
        <w:spacing w:line="360" w:lineRule="auto"/>
        <w:jc w:val="both"/>
        <w:rPr>
          <w:rFonts w:ascii="Book Antiqua" w:hAnsi="Book Antiqua"/>
        </w:rPr>
      </w:pPr>
    </w:p>
    <w:p w14:paraId="42ED8F56"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Informed consent statement: </w:t>
      </w:r>
      <w:r w:rsidRPr="003448EB">
        <w:rPr>
          <w:rFonts w:ascii="Book Antiqua" w:eastAsia="Book Antiqua" w:hAnsi="Book Antiqua" w:cs="Book Antiqua"/>
          <w:color w:val="000000"/>
        </w:rPr>
        <w:t>Informed consent was obtained using an opt-out option on each facility’s website (see Institution website uniform resource locators).</w:t>
      </w:r>
    </w:p>
    <w:p w14:paraId="2EA0B4A7" w14:textId="77777777" w:rsidR="00A77B3E" w:rsidRPr="003448EB" w:rsidRDefault="00A77B3E" w:rsidP="00B50B39">
      <w:pPr>
        <w:spacing w:line="360" w:lineRule="auto"/>
        <w:jc w:val="both"/>
        <w:rPr>
          <w:rFonts w:ascii="Book Antiqua" w:hAnsi="Book Antiqua"/>
        </w:rPr>
      </w:pPr>
    </w:p>
    <w:p w14:paraId="663F3F69"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Conflict-of-interest statement: </w:t>
      </w:r>
      <w:r w:rsidRPr="003448EB">
        <w:rPr>
          <w:rFonts w:ascii="Book Antiqua" w:eastAsia="Book Antiqua" w:hAnsi="Book Antiqua" w:cs="Book Antiqua"/>
          <w:color w:val="000000"/>
        </w:rPr>
        <w:t>None of the authors have any conflicts of interest related to the manuscript.</w:t>
      </w:r>
    </w:p>
    <w:p w14:paraId="237089B2" w14:textId="77777777" w:rsidR="00A77B3E" w:rsidRPr="003448EB" w:rsidRDefault="00A77B3E" w:rsidP="00B50B39">
      <w:pPr>
        <w:spacing w:line="360" w:lineRule="auto"/>
        <w:jc w:val="both"/>
        <w:rPr>
          <w:rFonts w:ascii="Book Antiqua" w:hAnsi="Book Antiqua"/>
        </w:rPr>
      </w:pPr>
    </w:p>
    <w:p w14:paraId="2F5F3061" w14:textId="445D15EB"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Data sharing statement: </w:t>
      </w:r>
      <w:r w:rsidRPr="003448EB">
        <w:rPr>
          <w:rFonts w:ascii="Book Antiqua" w:eastAsia="Book Antiqua" w:hAnsi="Book Antiqua" w:cs="Book Antiqua"/>
          <w:color w:val="000000"/>
        </w:rPr>
        <w:t xml:space="preserve">The original anonymous dataset is available on request from the corresponding author at </w:t>
      </w:r>
      <w:r w:rsidRPr="00B50B39">
        <w:rPr>
          <w:rFonts w:ascii="Book Antiqua" w:eastAsia="Book Antiqua" w:hAnsi="Book Antiqua" w:cs="Book Antiqua"/>
          <w:color w:val="000000"/>
        </w:rPr>
        <w:t>maochi-tei@umin.ac.jp.</w:t>
      </w:r>
    </w:p>
    <w:p w14:paraId="71CFD459" w14:textId="77777777" w:rsidR="00A77B3E" w:rsidRPr="003448EB" w:rsidRDefault="00A77B3E" w:rsidP="00B50B39">
      <w:pPr>
        <w:spacing w:line="360" w:lineRule="auto"/>
        <w:jc w:val="both"/>
        <w:rPr>
          <w:rFonts w:ascii="Book Antiqua" w:hAnsi="Book Antiqua"/>
        </w:rPr>
      </w:pPr>
    </w:p>
    <w:p w14:paraId="4D1255BD"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Open-Access: </w:t>
      </w:r>
      <w:r w:rsidRPr="003448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448EB">
        <w:rPr>
          <w:rFonts w:ascii="Book Antiqua" w:eastAsia="Book Antiqua" w:hAnsi="Book Antiqua" w:cs="Book Antiqua"/>
          <w:color w:val="000000"/>
        </w:rPr>
        <w:t>NonCommercial</w:t>
      </w:r>
      <w:proofErr w:type="spellEnd"/>
      <w:r w:rsidRPr="003448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013CB" w14:textId="77777777" w:rsidR="00A77B3E" w:rsidRPr="003448EB" w:rsidRDefault="00A77B3E" w:rsidP="00B50B39">
      <w:pPr>
        <w:spacing w:line="360" w:lineRule="auto"/>
        <w:jc w:val="both"/>
        <w:rPr>
          <w:rFonts w:ascii="Book Antiqua" w:hAnsi="Book Antiqua"/>
        </w:rPr>
      </w:pPr>
    </w:p>
    <w:p w14:paraId="0DB42E50"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Manuscript source: </w:t>
      </w:r>
      <w:r w:rsidRPr="003448EB">
        <w:rPr>
          <w:rFonts w:ascii="Book Antiqua" w:eastAsia="Book Antiqua" w:hAnsi="Book Antiqua" w:cs="Book Antiqua"/>
          <w:color w:val="000000"/>
        </w:rPr>
        <w:t xml:space="preserve">Unsolicited </w:t>
      </w:r>
      <w:r w:rsidR="00FB45BD" w:rsidRPr="003448EB">
        <w:rPr>
          <w:rFonts w:ascii="Book Antiqua" w:eastAsia="Book Antiqua" w:hAnsi="Book Antiqua" w:cs="Book Antiqua"/>
          <w:color w:val="000000"/>
        </w:rPr>
        <w:t>m</w:t>
      </w:r>
      <w:r w:rsidRPr="003448EB">
        <w:rPr>
          <w:rFonts w:ascii="Book Antiqua" w:eastAsia="Book Antiqua" w:hAnsi="Book Antiqua" w:cs="Book Antiqua"/>
          <w:color w:val="000000"/>
        </w:rPr>
        <w:t>anuscript</w:t>
      </w:r>
    </w:p>
    <w:p w14:paraId="54616530" w14:textId="77777777" w:rsidR="00A77B3E" w:rsidRPr="003448EB" w:rsidRDefault="00A77B3E" w:rsidP="00B50B39">
      <w:pPr>
        <w:spacing w:line="360" w:lineRule="auto"/>
        <w:jc w:val="both"/>
        <w:rPr>
          <w:rFonts w:ascii="Book Antiqua" w:hAnsi="Book Antiqua"/>
        </w:rPr>
      </w:pPr>
    </w:p>
    <w:p w14:paraId="3773D02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Peer-review started: </w:t>
      </w:r>
      <w:r w:rsidRPr="003448EB">
        <w:rPr>
          <w:rFonts w:ascii="Book Antiqua" w:eastAsia="Book Antiqua" w:hAnsi="Book Antiqua" w:cs="Book Antiqua"/>
          <w:color w:val="000000"/>
        </w:rPr>
        <w:t>April 9, 2021</w:t>
      </w:r>
    </w:p>
    <w:p w14:paraId="71047F31"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First decision: </w:t>
      </w:r>
      <w:r w:rsidRPr="003448EB">
        <w:rPr>
          <w:rFonts w:ascii="Book Antiqua" w:eastAsia="Book Antiqua" w:hAnsi="Book Antiqua" w:cs="Book Antiqua"/>
          <w:color w:val="000000"/>
        </w:rPr>
        <w:t>May 27, 2021</w:t>
      </w:r>
    </w:p>
    <w:p w14:paraId="549068A5"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Article in press: </w:t>
      </w:r>
    </w:p>
    <w:p w14:paraId="430B66DF" w14:textId="77777777" w:rsidR="00A77B3E" w:rsidRPr="003448EB" w:rsidRDefault="00A77B3E" w:rsidP="00B50B39">
      <w:pPr>
        <w:spacing w:line="360" w:lineRule="auto"/>
        <w:jc w:val="both"/>
        <w:rPr>
          <w:rFonts w:ascii="Book Antiqua" w:hAnsi="Book Antiqua"/>
        </w:rPr>
      </w:pPr>
    </w:p>
    <w:p w14:paraId="27764631" w14:textId="55E3D46D"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 xml:space="preserve">Specialty type: </w:t>
      </w:r>
      <w:r w:rsidR="00B50B39" w:rsidRPr="00B50B39">
        <w:rPr>
          <w:rFonts w:ascii="Book Antiqua" w:eastAsia="Book Antiqua" w:hAnsi="Book Antiqua" w:cs="Book Antiqua"/>
          <w:color w:val="000000"/>
        </w:rPr>
        <w:t xml:space="preserve">Gastroenterology and </w:t>
      </w:r>
      <w:r w:rsidR="00B50B39">
        <w:rPr>
          <w:rFonts w:ascii="Book Antiqua" w:eastAsia="Book Antiqua" w:hAnsi="Book Antiqua" w:cs="Book Antiqua"/>
          <w:color w:val="000000"/>
        </w:rPr>
        <w:t>h</w:t>
      </w:r>
      <w:r w:rsidR="00B50B39" w:rsidRPr="00B50B39">
        <w:rPr>
          <w:rFonts w:ascii="Book Antiqua" w:eastAsia="Book Antiqua" w:hAnsi="Book Antiqua" w:cs="Book Antiqua"/>
          <w:color w:val="000000"/>
        </w:rPr>
        <w:t>epatology</w:t>
      </w:r>
    </w:p>
    <w:p w14:paraId="7F6F7CB8"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lastRenderedPageBreak/>
        <w:t xml:space="preserve">Country/Territory of origin: </w:t>
      </w:r>
      <w:r w:rsidRPr="003448EB">
        <w:rPr>
          <w:rFonts w:ascii="Book Antiqua" w:eastAsia="Book Antiqua" w:hAnsi="Book Antiqua" w:cs="Book Antiqua"/>
          <w:color w:val="000000"/>
        </w:rPr>
        <w:t>Japan</w:t>
      </w:r>
    </w:p>
    <w:p w14:paraId="7310A48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color w:val="000000"/>
        </w:rPr>
        <w:t>Peer-review report’s scientific quality classification</w:t>
      </w:r>
    </w:p>
    <w:p w14:paraId="60843797"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A (Excellent): 0</w:t>
      </w:r>
    </w:p>
    <w:p w14:paraId="4B557B64"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B (Very good): B</w:t>
      </w:r>
    </w:p>
    <w:p w14:paraId="296B7582"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C (Good): 0</w:t>
      </w:r>
    </w:p>
    <w:p w14:paraId="1A87CF53"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D (Fair): 0</w:t>
      </w:r>
    </w:p>
    <w:p w14:paraId="6729677C" w14:textId="77777777"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color w:val="000000"/>
        </w:rPr>
        <w:t>Grade E (Poor): 0</w:t>
      </w:r>
    </w:p>
    <w:p w14:paraId="3A73F310" w14:textId="77777777" w:rsidR="00A77B3E" w:rsidRPr="003448EB" w:rsidRDefault="00A77B3E" w:rsidP="00B50B39">
      <w:pPr>
        <w:spacing w:line="360" w:lineRule="auto"/>
        <w:jc w:val="both"/>
        <w:rPr>
          <w:rFonts w:ascii="Book Antiqua" w:hAnsi="Book Antiqua"/>
        </w:rPr>
      </w:pPr>
    </w:p>
    <w:p w14:paraId="0D407FB0" w14:textId="77777777" w:rsidR="00A77B3E" w:rsidRPr="003448EB" w:rsidRDefault="00372E57" w:rsidP="00B50B39">
      <w:pPr>
        <w:spacing w:line="360" w:lineRule="auto"/>
        <w:jc w:val="both"/>
        <w:rPr>
          <w:rFonts w:ascii="Book Antiqua" w:hAnsi="Book Antiqua"/>
        </w:rPr>
        <w:sectPr w:rsidR="00A77B3E" w:rsidRPr="003448EB">
          <w:pgSz w:w="12240" w:h="15840"/>
          <w:pgMar w:top="1440" w:right="1440" w:bottom="1440" w:left="1440" w:header="720" w:footer="720" w:gutter="0"/>
          <w:cols w:space="720"/>
          <w:docGrid w:linePitch="360"/>
        </w:sectPr>
      </w:pPr>
      <w:r w:rsidRPr="003448EB">
        <w:rPr>
          <w:rFonts w:ascii="Book Antiqua" w:eastAsia="Book Antiqua" w:hAnsi="Book Antiqua" w:cs="Book Antiqua"/>
          <w:b/>
          <w:color w:val="000000"/>
        </w:rPr>
        <w:t xml:space="preserve">P-Reviewer: </w:t>
      </w:r>
      <w:r w:rsidRPr="003448EB">
        <w:rPr>
          <w:rFonts w:ascii="Book Antiqua" w:eastAsia="Book Antiqua" w:hAnsi="Book Antiqua" w:cs="Book Antiqua"/>
          <w:color w:val="000000"/>
        </w:rPr>
        <w:t>Yu F</w:t>
      </w:r>
      <w:r w:rsidRPr="003448EB">
        <w:rPr>
          <w:rFonts w:ascii="Book Antiqua" w:eastAsia="Book Antiqua" w:hAnsi="Book Antiqua" w:cs="Book Antiqua"/>
          <w:b/>
          <w:color w:val="000000"/>
        </w:rPr>
        <w:t xml:space="preserve"> S-Editor: </w:t>
      </w:r>
      <w:r w:rsidRPr="003448EB">
        <w:rPr>
          <w:rFonts w:ascii="Book Antiqua" w:eastAsia="Book Antiqua" w:hAnsi="Book Antiqua" w:cs="Book Antiqua"/>
          <w:color w:val="000000"/>
        </w:rPr>
        <w:t>Ma YJ</w:t>
      </w:r>
      <w:r w:rsidRPr="003448EB">
        <w:rPr>
          <w:rFonts w:ascii="Book Antiqua" w:eastAsia="Book Antiqua" w:hAnsi="Book Antiqua" w:cs="Book Antiqua"/>
          <w:b/>
          <w:color w:val="000000"/>
        </w:rPr>
        <w:t xml:space="preserve"> L-Editor:  P-Editor: </w:t>
      </w:r>
    </w:p>
    <w:p w14:paraId="7E6F325D" w14:textId="77777777" w:rsidR="00A77B3E" w:rsidRPr="003448EB" w:rsidRDefault="00372E57" w:rsidP="00B50B39">
      <w:pPr>
        <w:spacing w:line="360" w:lineRule="auto"/>
        <w:jc w:val="both"/>
        <w:rPr>
          <w:rFonts w:ascii="Book Antiqua" w:hAnsi="Book Antiqua" w:cs="Book Antiqua"/>
          <w:b/>
          <w:color w:val="000000"/>
          <w:lang w:eastAsia="zh-CN"/>
        </w:rPr>
      </w:pPr>
      <w:r w:rsidRPr="003448EB">
        <w:rPr>
          <w:rFonts w:ascii="Book Antiqua" w:eastAsia="Book Antiqua" w:hAnsi="Book Antiqua" w:cs="Book Antiqua"/>
          <w:b/>
          <w:color w:val="000000"/>
        </w:rPr>
        <w:lastRenderedPageBreak/>
        <w:t>Figure Legends</w:t>
      </w:r>
    </w:p>
    <w:p w14:paraId="0AEC192B" w14:textId="77777777" w:rsidR="00372E57" w:rsidRPr="003448EB" w:rsidRDefault="00372E57" w:rsidP="00B50B39">
      <w:pPr>
        <w:spacing w:line="360" w:lineRule="auto"/>
        <w:jc w:val="both"/>
        <w:rPr>
          <w:rFonts w:ascii="Book Antiqua" w:hAnsi="Book Antiqua"/>
          <w:lang w:eastAsia="zh-CN"/>
        </w:rPr>
      </w:pPr>
      <w:r w:rsidRPr="003448EB">
        <w:rPr>
          <w:rFonts w:ascii="Book Antiqua" w:hAnsi="Book Antiqua"/>
          <w:noProof/>
          <w:lang w:eastAsia="zh-CN"/>
        </w:rPr>
        <w:drawing>
          <wp:inline distT="0" distB="0" distL="0" distR="0" wp14:anchorId="7B1F6E2E" wp14:editId="12F2F728">
            <wp:extent cx="4405746" cy="455243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0672" cy="4557529"/>
                    </a:xfrm>
                    <a:prstGeom prst="rect">
                      <a:avLst/>
                    </a:prstGeom>
                  </pic:spPr>
                </pic:pic>
              </a:graphicData>
            </a:graphic>
          </wp:inline>
        </w:drawing>
      </w:r>
    </w:p>
    <w:p w14:paraId="1E8E3202" w14:textId="6A70C8AC"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lastRenderedPageBreak/>
        <w:t xml:space="preserve">Figure 1 Kaplan-Meier estimates and prognostic factors of overall survival (comparison between each group). </w:t>
      </w:r>
      <w:r w:rsidRPr="003448EB">
        <w:rPr>
          <w:rFonts w:ascii="Book Antiqua" w:eastAsia="Book Antiqua" w:hAnsi="Book Antiqua" w:cs="Book Antiqua"/>
          <w:color w:val="000000"/>
        </w:rPr>
        <w:t xml:space="preserve">Group A, patients without </w:t>
      </w:r>
      <w:r w:rsidR="00B50B39">
        <w:rPr>
          <w:rFonts w:ascii="Book Antiqua" w:eastAsia="Book Antiqua" w:hAnsi="Book Antiqua" w:cs="Book Antiqua"/>
          <w:color w:val="000000"/>
        </w:rPr>
        <w:t>h</w:t>
      </w:r>
      <w:r w:rsidR="00B50B39" w:rsidRPr="003448EB">
        <w:rPr>
          <w:rFonts w:ascii="Book Antiqua" w:eastAsia="Book Antiqua" w:hAnsi="Book Antiqua" w:cs="Book Antiqua"/>
          <w:color w:val="000000"/>
        </w:rPr>
        <w:t>and-foot skin reaction</w:t>
      </w:r>
      <w:r w:rsidR="00B50B39" w:rsidRPr="003448EB">
        <w:rPr>
          <w:rFonts w:ascii="Book Antiqua" w:eastAsia="Book Antiqua" w:hAnsi="Book Antiqua" w:cs="Book Antiqua"/>
          <w:color w:val="000000"/>
        </w:rPr>
        <w:t xml:space="preserve"> </w:t>
      </w:r>
      <w:r w:rsidR="00B50B39">
        <w:rPr>
          <w:rFonts w:ascii="Book Antiqua" w:eastAsia="Book Antiqua" w:hAnsi="Book Antiqua" w:cs="Book Antiqua"/>
          <w:color w:val="000000"/>
        </w:rPr>
        <w:t>(</w:t>
      </w:r>
      <w:r w:rsidRPr="003448EB">
        <w:rPr>
          <w:rFonts w:ascii="Book Antiqua" w:eastAsia="Book Antiqua" w:hAnsi="Book Antiqua" w:cs="Book Antiqua"/>
          <w:color w:val="000000"/>
        </w:rPr>
        <w:t>HFSR</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but with pharmacist intervention; Group B, patients with HFSR and the nonmutual cooperation system; Group C, patients with HFSR and intervention by pharmacists who shared interview information with the oncologist (mutual cooperation system). </w:t>
      </w:r>
    </w:p>
    <w:p w14:paraId="502130B8" w14:textId="77777777" w:rsidR="00A77B3E" w:rsidRPr="003448EB" w:rsidRDefault="00372E57" w:rsidP="00B50B39">
      <w:pPr>
        <w:spacing w:line="360" w:lineRule="auto"/>
        <w:jc w:val="both"/>
        <w:rPr>
          <w:rFonts w:ascii="Book Antiqua" w:hAnsi="Book Antiqua"/>
        </w:rPr>
      </w:pPr>
      <w:r w:rsidRPr="003448EB">
        <w:rPr>
          <w:rFonts w:ascii="Book Antiqua" w:hAnsi="Book Antiqua"/>
        </w:rPr>
        <w:br w:type="page"/>
      </w:r>
      <w:r w:rsidRPr="003448EB">
        <w:rPr>
          <w:rFonts w:ascii="Book Antiqua" w:hAnsi="Book Antiqua"/>
          <w:noProof/>
          <w:lang w:eastAsia="zh-CN"/>
        </w:rPr>
        <w:lastRenderedPageBreak/>
        <w:drawing>
          <wp:inline distT="0" distB="0" distL="0" distR="0" wp14:anchorId="57DA2CAE" wp14:editId="7A73FE62">
            <wp:extent cx="4376057" cy="4365927"/>
            <wp:effectExtent l="0" t="0" r="0" b="0"/>
            <wp:docPr id="5" name="図 4" descr="図形&#10;&#10;中程度の精度で自動的に生成された説明">
              <a:extLst xmlns:a="http://schemas.openxmlformats.org/drawingml/2006/main">
                <a:ext uri="{FF2B5EF4-FFF2-40B4-BE49-F238E27FC236}">
                  <a16:creationId xmlns:a16="http://schemas.microsoft.com/office/drawing/2014/main" id="{FB78EF60-6235-4C3B-83D2-17031AAF2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図形&#10;&#10;中程度の精度で自動的に生成された説明">
                      <a:extLst>
                        <a:ext uri="{FF2B5EF4-FFF2-40B4-BE49-F238E27FC236}">
                          <a16:creationId xmlns:a16="http://schemas.microsoft.com/office/drawing/2014/main" id="{FB78EF60-6235-4C3B-83D2-17031AAF20F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8211" cy="4368076"/>
                    </a:xfrm>
                    <a:prstGeom prst="rect">
                      <a:avLst/>
                    </a:prstGeom>
                  </pic:spPr>
                </pic:pic>
              </a:graphicData>
            </a:graphic>
          </wp:inline>
        </w:drawing>
      </w:r>
    </w:p>
    <w:p w14:paraId="2456F350" w14:textId="2FEDB00D" w:rsidR="00A77B3E" w:rsidRPr="003448EB" w:rsidRDefault="00372E57" w:rsidP="00B50B39">
      <w:pPr>
        <w:spacing w:line="360" w:lineRule="auto"/>
        <w:jc w:val="both"/>
        <w:rPr>
          <w:rFonts w:ascii="Book Antiqua" w:hAnsi="Book Antiqua"/>
        </w:rPr>
      </w:pPr>
      <w:r w:rsidRPr="003448EB">
        <w:rPr>
          <w:rFonts w:ascii="Book Antiqua" w:eastAsia="Book Antiqua" w:hAnsi="Book Antiqua" w:cs="Book Antiqua"/>
          <w:b/>
          <w:bCs/>
          <w:color w:val="000000"/>
        </w:rPr>
        <w:t xml:space="preserve">Figure 2 Kaplan-Meier estimates and prognostic factors of overall survival </w:t>
      </w:r>
      <w:r w:rsidRPr="00B50B39">
        <w:rPr>
          <w:rFonts w:ascii="Book Antiqua" w:eastAsia="Book Antiqua" w:hAnsi="Book Antiqua" w:cs="Book Antiqua"/>
          <w:b/>
          <w:bCs/>
          <w:color w:val="000000"/>
        </w:rPr>
        <w:t>(</w:t>
      </w:r>
      <w:r w:rsidR="00B50B39" w:rsidRPr="00B50B39">
        <w:rPr>
          <w:rFonts w:ascii="Book Antiqua" w:eastAsia="Book Antiqua" w:hAnsi="Book Antiqua" w:cs="Book Antiqua"/>
          <w:b/>
          <w:bCs/>
          <w:color w:val="000000"/>
        </w:rPr>
        <w:t>Barcelona Clinic Liver Cancer</w:t>
      </w:r>
      <w:r w:rsidR="00B50B39" w:rsidRPr="00B50B39">
        <w:rPr>
          <w:rFonts w:ascii="Book Antiqua" w:eastAsia="Book Antiqua" w:hAnsi="Book Antiqua" w:cs="Book Antiqua"/>
          <w:b/>
          <w:bCs/>
          <w:color w:val="000000"/>
        </w:rPr>
        <w:t xml:space="preserve"> </w:t>
      </w:r>
      <w:r w:rsidRPr="00B50B39">
        <w:rPr>
          <w:rFonts w:ascii="Book Antiqua" w:eastAsia="Book Antiqua" w:hAnsi="Book Antiqua" w:cs="Book Antiqua"/>
          <w:b/>
          <w:bCs/>
          <w:color w:val="000000"/>
        </w:rPr>
        <w:t xml:space="preserve">B </w:t>
      </w:r>
      <w:r w:rsidRPr="00B50B39">
        <w:rPr>
          <w:rFonts w:ascii="Book Antiqua" w:eastAsia="Book Antiqua" w:hAnsi="Book Antiqua" w:cs="Book Antiqua"/>
          <w:b/>
          <w:bCs/>
          <w:i/>
          <w:iCs/>
          <w:color w:val="000000"/>
        </w:rPr>
        <w:t>vs</w:t>
      </w:r>
      <w:r w:rsidRPr="00B50B39">
        <w:rPr>
          <w:rFonts w:ascii="Book Antiqua" w:eastAsia="Book Antiqua" w:hAnsi="Book Antiqua" w:cs="Book Antiqua"/>
          <w:b/>
          <w:bCs/>
          <w:color w:val="000000"/>
        </w:rPr>
        <w:t xml:space="preserve"> </w:t>
      </w:r>
      <w:r w:rsidR="00B50B39" w:rsidRPr="00B50B39">
        <w:rPr>
          <w:rFonts w:ascii="Book Antiqua" w:eastAsia="Book Antiqua" w:hAnsi="Book Antiqua" w:cs="Book Antiqua"/>
          <w:b/>
          <w:bCs/>
          <w:color w:val="000000"/>
        </w:rPr>
        <w:t>Barcelona Clinic Liver Cancer</w:t>
      </w:r>
      <w:r w:rsidR="00B50B39" w:rsidRPr="00B50B39">
        <w:rPr>
          <w:rFonts w:ascii="Book Antiqua" w:eastAsia="Book Antiqua" w:hAnsi="Book Antiqua" w:cs="Book Antiqua"/>
          <w:b/>
          <w:bCs/>
          <w:color w:val="000000"/>
        </w:rPr>
        <w:t xml:space="preserve"> </w:t>
      </w:r>
      <w:r w:rsidRPr="00B50B39">
        <w:rPr>
          <w:rFonts w:ascii="Book Antiqua" w:eastAsia="Book Antiqua" w:hAnsi="Book Antiqua" w:cs="Book Antiqua"/>
          <w:b/>
          <w:bCs/>
          <w:color w:val="000000"/>
        </w:rPr>
        <w:t>C)</w:t>
      </w:r>
      <w:r w:rsidRPr="003448EB">
        <w:rPr>
          <w:rFonts w:ascii="Book Antiqua" w:eastAsia="Book Antiqua" w:hAnsi="Book Antiqua" w:cs="Book Antiqua"/>
          <w:b/>
          <w:bCs/>
          <w:color w:val="000000"/>
        </w:rPr>
        <w:t xml:space="preserve">. </w:t>
      </w:r>
      <w:r w:rsidRPr="003448EB">
        <w:rPr>
          <w:rFonts w:ascii="Book Antiqua" w:eastAsia="Book Antiqua" w:hAnsi="Book Antiqua" w:cs="Book Antiqua"/>
          <w:color w:val="000000"/>
        </w:rPr>
        <w:t>BCLC: Barcelona Clinic Liver Cancer.</w:t>
      </w:r>
    </w:p>
    <w:p w14:paraId="36C11031" w14:textId="77777777" w:rsidR="00A77B3E" w:rsidRPr="003448EB" w:rsidRDefault="00372E57" w:rsidP="00B50B39">
      <w:pPr>
        <w:spacing w:line="360" w:lineRule="auto"/>
        <w:jc w:val="both"/>
        <w:rPr>
          <w:rFonts w:ascii="Book Antiqua" w:hAnsi="Book Antiqua"/>
        </w:rPr>
      </w:pPr>
      <w:r w:rsidRPr="003448EB">
        <w:rPr>
          <w:rFonts w:ascii="Book Antiqua" w:hAnsi="Book Antiqua"/>
        </w:rPr>
        <w:br w:type="page"/>
      </w:r>
      <w:r w:rsidRPr="003448EB">
        <w:rPr>
          <w:rFonts w:ascii="Book Antiqua" w:hAnsi="Book Antiqua"/>
          <w:noProof/>
          <w:lang w:eastAsia="zh-CN"/>
        </w:rPr>
        <w:lastRenderedPageBreak/>
        <w:drawing>
          <wp:inline distT="0" distB="0" distL="0" distR="0" wp14:anchorId="2387C299" wp14:editId="2A413848">
            <wp:extent cx="4064209" cy="22861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64209" cy="2286117"/>
                    </a:xfrm>
                    <a:prstGeom prst="rect">
                      <a:avLst/>
                    </a:prstGeom>
                  </pic:spPr>
                </pic:pic>
              </a:graphicData>
            </a:graphic>
          </wp:inline>
        </w:drawing>
      </w:r>
    </w:p>
    <w:p w14:paraId="2796F042" w14:textId="6318A2C5" w:rsidR="00A77B3E" w:rsidRPr="003448EB" w:rsidRDefault="00372E57" w:rsidP="00B50B39">
      <w:pPr>
        <w:spacing w:line="360" w:lineRule="auto"/>
        <w:jc w:val="both"/>
        <w:rPr>
          <w:rFonts w:ascii="Book Antiqua" w:hAnsi="Book Antiqua" w:cs="Book Antiqua"/>
          <w:color w:val="000000"/>
          <w:lang w:eastAsia="zh-CN"/>
        </w:rPr>
      </w:pPr>
      <w:r w:rsidRPr="003448EB">
        <w:rPr>
          <w:rFonts w:ascii="Book Antiqua" w:eastAsia="Book Antiqua" w:hAnsi="Book Antiqua" w:cs="Book Antiqua"/>
          <w:b/>
          <w:bCs/>
          <w:color w:val="000000"/>
        </w:rPr>
        <w:t xml:space="preserve">Figure 3 Proportion and prognostic factors of nonadherence. </w:t>
      </w:r>
      <w:r w:rsidRPr="003448EB">
        <w:rPr>
          <w:rFonts w:ascii="Book Antiqua" w:eastAsia="Book Antiqua" w:hAnsi="Book Antiqua" w:cs="Book Antiqua"/>
          <w:color w:val="000000"/>
        </w:rPr>
        <w:t xml:space="preserve">Group A, patients without </w:t>
      </w:r>
      <w:r w:rsidR="00B50B39">
        <w:rPr>
          <w:rFonts w:ascii="Book Antiqua" w:eastAsia="Book Antiqua" w:hAnsi="Book Antiqua" w:cs="Book Antiqua"/>
          <w:color w:val="000000"/>
        </w:rPr>
        <w:t>h</w:t>
      </w:r>
      <w:r w:rsidR="00B50B39" w:rsidRPr="003448EB">
        <w:rPr>
          <w:rFonts w:ascii="Book Antiqua" w:eastAsia="Book Antiqua" w:hAnsi="Book Antiqua" w:cs="Book Antiqua"/>
          <w:color w:val="000000"/>
        </w:rPr>
        <w:t>and-foot skin reaction</w:t>
      </w:r>
      <w:r w:rsidR="00B50B39" w:rsidRPr="003448EB">
        <w:rPr>
          <w:rFonts w:ascii="Book Antiqua" w:eastAsia="Book Antiqua" w:hAnsi="Book Antiqua" w:cs="Book Antiqua"/>
          <w:color w:val="000000"/>
        </w:rPr>
        <w:t xml:space="preserve"> </w:t>
      </w:r>
      <w:r w:rsidR="00B50B39">
        <w:rPr>
          <w:rFonts w:ascii="Book Antiqua" w:eastAsia="Book Antiqua" w:hAnsi="Book Antiqua" w:cs="Book Antiqua"/>
          <w:color w:val="000000"/>
        </w:rPr>
        <w:t>(</w:t>
      </w:r>
      <w:r w:rsidRPr="003448EB">
        <w:rPr>
          <w:rFonts w:ascii="Book Antiqua" w:eastAsia="Book Antiqua" w:hAnsi="Book Antiqua" w:cs="Book Antiqua"/>
          <w:color w:val="000000"/>
        </w:rPr>
        <w:t>HFSR</w:t>
      </w:r>
      <w:r w:rsidR="00B50B39">
        <w:rPr>
          <w:rFonts w:ascii="Book Antiqua" w:eastAsia="Book Antiqua" w:hAnsi="Book Antiqua" w:cs="Book Antiqua"/>
          <w:color w:val="000000"/>
        </w:rPr>
        <w:t>)</w:t>
      </w:r>
      <w:r w:rsidRPr="003448EB">
        <w:rPr>
          <w:rFonts w:ascii="Book Antiqua" w:eastAsia="Book Antiqua" w:hAnsi="Book Antiqua" w:cs="Book Antiqua"/>
          <w:color w:val="000000"/>
        </w:rPr>
        <w:t xml:space="preserve"> but with pharmacist intervention; Group B, patients with HFSR and the nonmutual cooperation system; Group C, patients with HFSR and intervention by pharmacists who shared interview information with the oncologist (mutual cooperation system). </w:t>
      </w:r>
    </w:p>
    <w:p w14:paraId="648BE040" w14:textId="3C50250B" w:rsidR="00372E57" w:rsidRPr="003448EB" w:rsidRDefault="00372E57" w:rsidP="00B50B39">
      <w:pPr>
        <w:adjustRightInd w:val="0"/>
        <w:snapToGrid w:val="0"/>
        <w:spacing w:line="360" w:lineRule="auto"/>
        <w:contextualSpacing/>
        <w:jc w:val="both"/>
        <w:rPr>
          <w:rFonts w:ascii="Book Antiqua" w:eastAsia="MS Mincho" w:hAnsi="Book Antiqua"/>
        </w:rPr>
      </w:pPr>
      <w:r w:rsidRPr="003448EB">
        <w:rPr>
          <w:rFonts w:ascii="Book Antiqua" w:hAnsi="Book Antiqua" w:cs="Book Antiqua"/>
          <w:color w:val="000000"/>
          <w:lang w:eastAsia="zh-CN"/>
        </w:rPr>
        <w:br w:type="page"/>
      </w:r>
      <w:r w:rsidRPr="003448EB">
        <w:rPr>
          <w:rFonts w:ascii="Book Antiqua" w:eastAsia="Yu Gothic" w:hAnsi="Book Antiqua"/>
          <w:b/>
          <w:bCs/>
        </w:rPr>
        <w:lastRenderedPageBreak/>
        <w:t>Table 1 Baseline characteristics of patients in Groups A, B, and C</w:t>
      </w:r>
    </w:p>
    <w:tbl>
      <w:tblPr>
        <w:tblStyle w:val="21"/>
        <w:tblW w:w="5000" w:type="pct"/>
        <w:tblLook w:val="04A0" w:firstRow="1" w:lastRow="0" w:firstColumn="1" w:lastColumn="0" w:noHBand="0" w:noVBand="1"/>
      </w:tblPr>
      <w:tblGrid>
        <w:gridCol w:w="3158"/>
        <w:gridCol w:w="2887"/>
        <w:gridCol w:w="2885"/>
        <w:gridCol w:w="2842"/>
        <w:gridCol w:w="1596"/>
      </w:tblGrid>
      <w:tr w:rsidR="00372E57" w:rsidRPr="003448EB" w14:paraId="1EF8F9AE" w14:textId="77777777" w:rsidTr="00372E57">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81" w:type="pct"/>
            <w:hideMark/>
          </w:tcPr>
          <w:p w14:paraId="6526F401" w14:textId="77777777" w:rsidR="00372E57" w:rsidRPr="003448EB" w:rsidRDefault="00372E57" w:rsidP="00B50B39">
            <w:pPr>
              <w:snapToGrid w:val="0"/>
              <w:spacing w:line="360" w:lineRule="auto"/>
              <w:contextualSpacing/>
              <w:jc w:val="both"/>
              <w:rPr>
                <w:rFonts w:ascii="Book Antiqua" w:eastAsia="Yu Gothic" w:hAnsi="Book Antiqua"/>
                <w:b w:val="0"/>
                <w:bCs w:val="0"/>
              </w:rPr>
            </w:pPr>
          </w:p>
        </w:tc>
        <w:tc>
          <w:tcPr>
            <w:tcW w:w="1080" w:type="pct"/>
            <w:hideMark/>
          </w:tcPr>
          <w:p w14:paraId="190273FC" w14:textId="2BAE5039"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A (</w:t>
            </w:r>
            <w:r w:rsidRPr="003448EB">
              <w:rPr>
                <w:rFonts w:ascii="Book Antiqua" w:eastAsia="Yu Gothic" w:hAnsi="Book Antiqua"/>
                <w:i/>
              </w:rPr>
              <w:t>n</w:t>
            </w:r>
            <w:r w:rsidRPr="003448EB">
              <w:rPr>
                <w:rFonts w:ascii="Book Antiqua" w:eastAsia="Yu Gothic" w:hAnsi="Book Antiqua"/>
              </w:rPr>
              <w:t xml:space="preserve"> = 41)</w:t>
            </w:r>
          </w:p>
        </w:tc>
        <w:tc>
          <w:tcPr>
            <w:tcW w:w="1079" w:type="pct"/>
            <w:hideMark/>
          </w:tcPr>
          <w:p w14:paraId="3A4D4D6E" w14:textId="554B1130"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1063" w:type="pct"/>
            <w:hideMark/>
          </w:tcPr>
          <w:p w14:paraId="1738EB79" w14:textId="3BDF390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c>
          <w:tcPr>
            <w:tcW w:w="598" w:type="pct"/>
            <w:noWrap/>
            <w:hideMark/>
          </w:tcPr>
          <w:p w14:paraId="7DAE3375" w14:textId="211E8A5A"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i/>
                <w:caps/>
              </w:rPr>
              <w:t>p</w:t>
            </w:r>
            <w:r w:rsidR="00B50B39">
              <w:rPr>
                <w:rFonts w:ascii="Book Antiqua" w:eastAsia="Yu Gothic" w:hAnsi="Book Antiqua"/>
                <w:i/>
                <w:caps/>
              </w:rPr>
              <w:t xml:space="preserve"> </w:t>
            </w:r>
            <w:r w:rsidRPr="003448EB">
              <w:rPr>
                <w:rFonts w:ascii="Book Antiqua" w:eastAsia="Yu Gothic" w:hAnsi="Book Antiqua"/>
              </w:rPr>
              <w:t>value</w:t>
            </w:r>
          </w:p>
        </w:tc>
      </w:tr>
      <w:tr w:rsidR="00372E57" w:rsidRPr="003448EB" w14:paraId="6283366A"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bottom w:val="nil"/>
            </w:tcBorders>
            <w:hideMark/>
          </w:tcPr>
          <w:p w14:paraId="508F4A86"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Age (</w:t>
            </w:r>
            <w:proofErr w:type="spellStart"/>
            <w:r w:rsidRPr="003448EB">
              <w:rPr>
                <w:rFonts w:ascii="Book Antiqua" w:eastAsia="Yu Gothic" w:hAnsi="Book Antiqua"/>
              </w:rPr>
              <w:t>yr</w:t>
            </w:r>
            <w:proofErr w:type="spellEnd"/>
            <w:r w:rsidRPr="003448EB">
              <w:rPr>
                <w:rFonts w:ascii="Book Antiqua" w:eastAsia="Yu Gothic" w:hAnsi="Book Antiqua"/>
              </w:rPr>
              <w:t>)</w:t>
            </w:r>
          </w:p>
        </w:tc>
        <w:tc>
          <w:tcPr>
            <w:tcW w:w="1080" w:type="pct"/>
            <w:tcBorders>
              <w:bottom w:val="nil"/>
            </w:tcBorders>
            <w:hideMark/>
          </w:tcPr>
          <w:p w14:paraId="242AC70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70 (43</w:t>
            </w:r>
            <w:r w:rsidRPr="003448EB">
              <w:rPr>
                <w:rFonts w:ascii="Book Antiqua" w:eastAsia="MS Mincho" w:hAnsi="Book Antiqua"/>
                <w:bCs/>
                <w:iCs/>
              </w:rPr>
              <w:t>–</w:t>
            </w:r>
            <w:r w:rsidRPr="003448EB">
              <w:rPr>
                <w:rFonts w:ascii="Book Antiqua" w:eastAsia="Yu Gothic" w:hAnsi="Book Antiqua"/>
              </w:rPr>
              <w:t>89)</w:t>
            </w:r>
          </w:p>
        </w:tc>
        <w:tc>
          <w:tcPr>
            <w:tcW w:w="1079" w:type="pct"/>
            <w:tcBorders>
              <w:bottom w:val="nil"/>
            </w:tcBorders>
            <w:hideMark/>
          </w:tcPr>
          <w:p w14:paraId="1821406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3448EB">
              <w:rPr>
                <w:rFonts w:ascii="Book Antiqua" w:eastAsia="Times New Roman" w:hAnsi="Book Antiqua"/>
              </w:rPr>
              <w:t>67 (41</w:t>
            </w:r>
            <w:r w:rsidRPr="003448EB">
              <w:rPr>
                <w:rFonts w:ascii="Book Antiqua" w:eastAsia="MS Mincho" w:hAnsi="Book Antiqua"/>
                <w:bCs/>
                <w:iCs/>
              </w:rPr>
              <w:t>–</w:t>
            </w:r>
            <w:r w:rsidRPr="003448EB">
              <w:rPr>
                <w:rFonts w:ascii="Book Antiqua" w:eastAsia="Times New Roman" w:hAnsi="Book Antiqua"/>
              </w:rPr>
              <w:t>87)</w:t>
            </w:r>
          </w:p>
        </w:tc>
        <w:tc>
          <w:tcPr>
            <w:tcW w:w="1063" w:type="pct"/>
            <w:tcBorders>
              <w:bottom w:val="nil"/>
            </w:tcBorders>
            <w:hideMark/>
          </w:tcPr>
          <w:p w14:paraId="4EB0EE2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3448EB">
              <w:rPr>
                <w:rFonts w:ascii="Book Antiqua" w:eastAsia="Times New Roman" w:hAnsi="Book Antiqua"/>
              </w:rPr>
              <w:t>69 (48</w:t>
            </w:r>
            <w:r w:rsidRPr="003448EB">
              <w:rPr>
                <w:rFonts w:ascii="Book Antiqua" w:eastAsia="MS Mincho" w:hAnsi="Book Antiqua"/>
                <w:bCs/>
                <w:iCs/>
              </w:rPr>
              <w:t>–</w:t>
            </w:r>
            <w:r w:rsidRPr="003448EB">
              <w:rPr>
                <w:rFonts w:ascii="Book Antiqua" w:eastAsia="Times New Roman" w:hAnsi="Book Antiqua"/>
              </w:rPr>
              <w:t>87)</w:t>
            </w:r>
          </w:p>
        </w:tc>
        <w:tc>
          <w:tcPr>
            <w:tcW w:w="598" w:type="pct"/>
            <w:tcBorders>
              <w:bottom w:val="nil"/>
            </w:tcBorders>
            <w:noWrap/>
            <w:hideMark/>
          </w:tcPr>
          <w:p w14:paraId="74AE6C7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3448EB">
              <w:rPr>
                <w:rFonts w:ascii="Book Antiqua" w:eastAsia="Times New Roman" w:hAnsi="Book Antiqua"/>
              </w:rPr>
              <w:t>0.233</w:t>
            </w:r>
          </w:p>
        </w:tc>
      </w:tr>
      <w:tr w:rsidR="00372E57" w:rsidRPr="003448EB" w14:paraId="459FE89B"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ECB7B0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Sex</w:t>
            </w:r>
          </w:p>
        </w:tc>
        <w:tc>
          <w:tcPr>
            <w:tcW w:w="1080" w:type="pct"/>
            <w:tcBorders>
              <w:top w:val="nil"/>
              <w:bottom w:val="nil"/>
            </w:tcBorders>
            <w:hideMark/>
          </w:tcPr>
          <w:p w14:paraId="3F3B219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A858A1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500F1FB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6F41AD3D"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372E57" w:rsidRPr="003448EB" w14:paraId="16F7F15C"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22AB6E6F" w14:textId="28563328"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Male</w:t>
            </w:r>
            <w:r w:rsidR="00B50B39">
              <w:rPr>
                <w:rFonts w:ascii="Book Antiqua" w:eastAsia="Yu Gothic" w:hAnsi="Book Antiqua"/>
              </w:rPr>
              <w:t>,</w:t>
            </w:r>
            <w:r w:rsidR="00B50B39" w:rsidRPr="00B50B39">
              <w:rPr>
                <w:rFonts w:ascii="Book Antiqua" w:eastAsia="Yu Gothic" w:hAnsi="Book Antiqua"/>
                <w:i/>
                <w:iCs/>
              </w:rPr>
              <w:t xml:space="preserve"> </w:t>
            </w:r>
            <w:r w:rsidR="00B50B39" w:rsidRPr="00B50B39">
              <w:rPr>
                <w:rFonts w:ascii="Book Antiqua" w:eastAsia="Yu Gothic" w:hAnsi="Book Antiqua"/>
                <w:i/>
                <w:iCs/>
              </w:rPr>
              <w:t>n</w:t>
            </w:r>
            <w:r w:rsidR="00B50B39" w:rsidRPr="00B50B39">
              <w:rPr>
                <w:rFonts w:ascii="Book Antiqua" w:eastAsia="Yu Gothic" w:hAnsi="Book Antiqua"/>
              </w:rPr>
              <w:t xml:space="preserve"> (%)</w:t>
            </w:r>
          </w:p>
        </w:tc>
        <w:tc>
          <w:tcPr>
            <w:tcW w:w="1080" w:type="pct"/>
            <w:tcBorders>
              <w:top w:val="nil"/>
              <w:bottom w:val="nil"/>
            </w:tcBorders>
            <w:hideMark/>
          </w:tcPr>
          <w:p w14:paraId="25B84FEC" w14:textId="17FCC566"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(80.5)</w:t>
            </w:r>
          </w:p>
        </w:tc>
        <w:tc>
          <w:tcPr>
            <w:tcW w:w="1079" w:type="pct"/>
            <w:tcBorders>
              <w:top w:val="nil"/>
              <w:bottom w:val="nil"/>
            </w:tcBorders>
            <w:hideMark/>
          </w:tcPr>
          <w:p w14:paraId="2ADEE208" w14:textId="572D8B82"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22 (73.3)</w:t>
            </w:r>
          </w:p>
        </w:tc>
        <w:tc>
          <w:tcPr>
            <w:tcW w:w="1063" w:type="pct"/>
            <w:tcBorders>
              <w:top w:val="nil"/>
              <w:bottom w:val="nil"/>
            </w:tcBorders>
            <w:hideMark/>
          </w:tcPr>
          <w:p w14:paraId="439229D1" w14:textId="094DCF93"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44 (69.8)</w:t>
            </w:r>
          </w:p>
        </w:tc>
        <w:tc>
          <w:tcPr>
            <w:tcW w:w="598" w:type="pct"/>
            <w:tcBorders>
              <w:top w:val="nil"/>
              <w:bottom w:val="nil"/>
            </w:tcBorders>
            <w:noWrap/>
            <w:hideMark/>
          </w:tcPr>
          <w:p w14:paraId="595B19C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0.481</w:t>
            </w:r>
          </w:p>
        </w:tc>
      </w:tr>
      <w:tr w:rsidR="00372E57" w:rsidRPr="003448EB" w14:paraId="3DEE1842"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0F30DA5" w14:textId="227FDBC5"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Child-Pugh class</w:t>
            </w:r>
            <w:r w:rsidR="00B50B39">
              <w:rPr>
                <w:rFonts w:ascii="Book Antiqua" w:eastAsia="Yu Gothic" w:hAnsi="Book Antiqua"/>
              </w:rPr>
              <w:t xml:space="preserve">, </w:t>
            </w:r>
            <w:r w:rsidR="00B50B39" w:rsidRPr="00B50B39">
              <w:rPr>
                <w:rFonts w:ascii="Book Antiqua" w:eastAsia="Yu Gothic" w:hAnsi="Book Antiqua"/>
                <w:i/>
                <w:iCs/>
              </w:rPr>
              <w:t>n</w:t>
            </w:r>
            <w:r w:rsidR="00B50B39" w:rsidRPr="00B50B39">
              <w:rPr>
                <w:rFonts w:ascii="Book Antiqua" w:eastAsia="Yu Gothic" w:hAnsi="Book Antiqua"/>
              </w:rPr>
              <w:t xml:space="preserve"> (%)</w:t>
            </w:r>
          </w:p>
        </w:tc>
        <w:tc>
          <w:tcPr>
            <w:tcW w:w="1080" w:type="pct"/>
            <w:tcBorders>
              <w:top w:val="nil"/>
              <w:bottom w:val="nil"/>
            </w:tcBorders>
            <w:hideMark/>
          </w:tcPr>
          <w:p w14:paraId="475F47C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2D50CEFF"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1021C73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7AE4FDE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0.288</w:t>
            </w:r>
          </w:p>
        </w:tc>
      </w:tr>
      <w:tr w:rsidR="00372E57" w:rsidRPr="003448EB" w14:paraId="6B83F5DC"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225676D"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A</w:t>
            </w:r>
          </w:p>
        </w:tc>
        <w:tc>
          <w:tcPr>
            <w:tcW w:w="1080" w:type="pct"/>
            <w:tcBorders>
              <w:top w:val="nil"/>
              <w:bottom w:val="nil"/>
            </w:tcBorders>
            <w:hideMark/>
          </w:tcPr>
          <w:p w14:paraId="1FFDBD6E" w14:textId="404A167F"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(80.5)</w:t>
            </w:r>
          </w:p>
        </w:tc>
        <w:tc>
          <w:tcPr>
            <w:tcW w:w="1079" w:type="pct"/>
            <w:tcBorders>
              <w:top w:val="nil"/>
              <w:bottom w:val="nil"/>
            </w:tcBorders>
            <w:hideMark/>
          </w:tcPr>
          <w:p w14:paraId="6458F01D" w14:textId="46F8329B"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27 (90.0)</w:t>
            </w:r>
          </w:p>
        </w:tc>
        <w:tc>
          <w:tcPr>
            <w:tcW w:w="1063" w:type="pct"/>
            <w:tcBorders>
              <w:top w:val="nil"/>
              <w:bottom w:val="nil"/>
            </w:tcBorders>
            <w:hideMark/>
          </w:tcPr>
          <w:p w14:paraId="4300697E" w14:textId="15599034"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57 (90.5)</w:t>
            </w:r>
          </w:p>
        </w:tc>
        <w:tc>
          <w:tcPr>
            <w:tcW w:w="598" w:type="pct"/>
            <w:tcBorders>
              <w:top w:val="nil"/>
              <w:bottom w:val="nil"/>
            </w:tcBorders>
            <w:noWrap/>
            <w:hideMark/>
          </w:tcPr>
          <w:p w14:paraId="01DBE244"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35052FE0"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07BEABE"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B</w:t>
            </w:r>
          </w:p>
        </w:tc>
        <w:tc>
          <w:tcPr>
            <w:tcW w:w="1080" w:type="pct"/>
            <w:tcBorders>
              <w:top w:val="nil"/>
              <w:bottom w:val="nil"/>
            </w:tcBorders>
            <w:hideMark/>
          </w:tcPr>
          <w:p w14:paraId="6CE94221" w14:textId="754DDBDA"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(19.5)</w:t>
            </w:r>
          </w:p>
        </w:tc>
        <w:tc>
          <w:tcPr>
            <w:tcW w:w="1079" w:type="pct"/>
            <w:tcBorders>
              <w:top w:val="nil"/>
              <w:bottom w:val="nil"/>
            </w:tcBorders>
            <w:hideMark/>
          </w:tcPr>
          <w:p w14:paraId="4B9AD44A" w14:textId="3ABA3A41"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1063" w:type="pct"/>
            <w:tcBorders>
              <w:top w:val="nil"/>
              <w:bottom w:val="nil"/>
            </w:tcBorders>
            <w:hideMark/>
          </w:tcPr>
          <w:p w14:paraId="0DCEEEBB" w14:textId="27FDE466"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(9.5)</w:t>
            </w:r>
          </w:p>
        </w:tc>
        <w:tc>
          <w:tcPr>
            <w:tcW w:w="598" w:type="pct"/>
            <w:tcBorders>
              <w:top w:val="nil"/>
              <w:bottom w:val="nil"/>
            </w:tcBorders>
            <w:noWrap/>
            <w:hideMark/>
          </w:tcPr>
          <w:p w14:paraId="56A9393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19F7F4F3"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230A7AFF" w14:textId="3079CF0D"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Etiology</w:t>
            </w:r>
            <w:r w:rsidR="00B50B39">
              <w:rPr>
                <w:rFonts w:ascii="Book Antiqua" w:eastAsia="Yu Gothic" w:hAnsi="Book Antiqua"/>
              </w:rPr>
              <w:t>,</w:t>
            </w:r>
            <w:r w:rsidR="00B50B39" w:rsidRPr="00B50B39">
              <w:rPr>
                <w:rFonts w:ascii="Book Antiqua" w:eastAsia="Yu Gothic" w:hAnsi="Book Antiqua"/>
                <w:i/>
                <w:iCs/>
              </w:rPr>
              <w:t xml:space="preserve"> </w:t>
            </w:r>
            <w:r w:rsidR="00B50B39" w:rsidRPr="00B50B39">
              <w:rPr>
                <w:rFonts w:ascii="Book Antiqua" w:eastAsia="Yu Gothic" w:hAnsi="Book Antiqua"/>
                <w:i/>
                <w:iCs/>
              </w:rPr>
              <w:t>n</w:t>
            </w:r>
            <w:r w:rsidR="00B50B39" w:rsidRPr="00B50B39">
              <w:rPr>
                <w:rFonts w:ascii="Book Antiqua" w:eastAsia="Yu Gothic" w:hAnsi="Book Antiqua"/>
              </w:rPr>
              <w:t xml:space="preserve"> (%)</w:t>
            </w:r>
          </w:p>
        </w:tc>
        <w:tc>
          <w:tcPr>
            <w:tcW w:w="1080" w:type="pct"/>
            <w:tcBorders>
              <w:top w:val="nil"/>
              <w:bottom w:val="nil"/>
            </w:tcBorders>
            <w:hideMark/>
          </w:tcPr>
          <w:p w14:paraId="641D3B3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07577C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458031F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62094DB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r>
      <w:tr w:rsidR="00372E57" w:rsidRPr="003448EB" w14:paraId="42804DA8"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87CC4F9"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HCV</w:t>
            </w:r>
          </w:p>
        </w:tc>
        <w:tc>
          <w:tcPr>
            <w:tcW w:w="1080" w:type="pct"/>
            <w:tcBorders>
              <w:top w:val="nil"/>
              <w:bottom w:val="nil"/>
            </w:tcBorders>
            <w:hideMark/>
          </w:tcPr>
          <w:p w14:paraId="459D7539" w14:textId="4C08F1ED"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 (53.7)</w:t>
            </w:r>
          </w:p>
        </w:tc>
        <w:tc>
          <w:tcPr>
            <w:tcW w:w="1079" w:type="pct"/>
            <w:tcBorders>
              <w:top w:val="nil"/>
              <w:bottom w:val="nil"/>
            </w:tcBorders>
            <w:hideMark/>
          </w:tcPr>
          <w:p w14:paraId="44A6F3B5" w14:textId="5626C61A"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11 (36.7)</w:t>
            </w:r>
          </w:p>
        </w:tc>
        <w:tc>
          <w:tcPr>
            <w:tcW w:w="1063" w:type="pct"/>
            <w:tcBorders>
              <w:top w:val="nil"/>
              <w:bottom w:val="nil"/>
            </w:tcBorders>
            <w:hideMark/>
          </w:tcPr>
          <w:p w14:paraId="53E04516" w14:textId="4E599EEE"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44 (69.8)</w:t>
            </w:r>
          </w:p>
        </w:tc>
        <w:tc>
          <w:tcPr>
            <w:tcW w:w="598" w:type="pct"/>
            <w:tcBorders>
              <w:top w:val="nil"/>
              <w:bottom w:val="nil"/>
            </w:tcBorders>
            <w:noWrap/>
            <w:hideMark/>
          </w:tcPr>
          <w:p w14:paraId="5DC7512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0.235</w:t>
            </w:r>
          </w:p>
        </w:tc>
      </w:tr>
      <w:tr w:rsidR="00372E57" w:rsidRPr="003448EB" w14:paraId="78EABC08"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F300ABC"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HBV</w:t>
            </w:r>
          </w:p>
        </w:tc>
        <w:tc>
          <w:tcPr>
            <w:tcW w:w="1080" w:type="pct"/>
            <w:tcBorders>
              <w:top w:val="nil"/>
              <w:bottom w:val="nil"/>
            </w:tcBorders>
            <w:hideMark/>
          </w:tcPr>
          <w:p w14:paraId="0118ACEF" w14:textId="0E35E086"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(21.9)</w:t>
            </w:r>
          </w:p>
        </w:tc>
        <w:tc>
          <w:tcPr>
            <w:tcW w:w="1079" w:type="pct"/>
            <w:tcBorders>
              <w:top w:val="nil"/>
              <w:bottom w:val="nil"/>
            </w:tcBorders>
            <w:hideMark/>
          </w:tcPr>
          <w:p w14:paraId="2AAF101D" w14:textId="288ABC59"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1063" w:type="pct"/>
            <w:tcBorders>
              <w:top w:val="nil"/>
              <w:bottom w:val="nil"/>
            </w:tcBorders>
            <w:hideMark/>
          </w:tcPr>
          <w:p w14:paraId="1909E05C" w14:textId="5F32FF34"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 (17.5)</w:t>
            </w:r>
          </w:p>
        </w:tc>
        <w:tc>
          <w:tcPr>
            <w:tcW w:w="598" w:type="pct"/>
            <w:tcBorders>
              <w:top w:val="nil"/>
              <w:bottom w:val="nil"/>
            </w:tcBorders>
            <w:noWrap/>
            <w:hideMark/>
          </w:tcPr>
          <w:p w14:paraId="2AF0F4C4"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0.417</w:t>
            </w:r>
          </w:p>
        </w:tc>
      </w:tr>
      <w:tr w:rsidR="00372E57" w:rsidRPr="003448EB" w14:paraId="233135D7"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603C89A2"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Other</w:t>
            </w:r>
          </w:p>
        </w:tc>
        <w:tc>
          <w:tcPr>
            <w:tcW w:w="1080" w:type="pct"/>
            <w:tcBorders>
              <w:top w:val="nil"/>
              <w:bottom w:val="nil"/>
            </w:tcBorders>
            <w:hideMark/>
          </w:tcPr>
          <w:p w14:paraId="0D7904B7" w14:textId="43F33CD6"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1079" w:type="pct"/>
            <w:tcBorders>
              <w:top w:val="nil"/>
              <w:bottom w:val="nil"/>
            </w:tcBorders>
            <w:hideMark/>
          </w:tcPr>
          <w:p w14:paraId="76B6936E" w14:textId="6D68613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1063" w:type="pct"/>
            <w:tcBorders>
              <w:top w:val="nil"/>
              <w:bottom w:val="nil"/>
            </w:tcBorders>
            <w:hideMark/>
          </w:tcPr>
          <w:p w14:paraId="5542D094" w14:textId="42755990"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(12.7)</w:t>
            </w:r>
          </w:p>
        </w:tc>
        <w:tc>
          <w:tcPr>
            <w:tcW w:w="598" w:type="pct"/>
            <w:tcBorders>
              <w:top w:val="nil"/>
              <w:bottom w:val="nil"/>
            </w:tcBorders>
            <w:noWrap/>
            <w:hideMark/>
          </w:tcPr>
          <w:p w14:paraId="7F48B41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0.109</w:t>
            </w:r>
          </w:p>
        </w:tc>
      </w:tr>
      <w:tr w:rsidR="00372E57" w:rsidRPr="003448EB" w14:paraId="4E3EA6B6"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31EB332D" w14:textId="0FC8E4DD"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Portal vein thrombosis</w:t>
            </w:r>
          </w:p>
        </w:tc>
        <w:tc>
          <w:tcPr>
            <w:tcW w:w="1080" w:type="pct"/>
            <w:tcBorders>
              <w:top w:val="nil"/>
              <w:bottom w:val="nil"/>
            </w:tcBorders>
            <w:hideMark/>
          </w:tcPr>
          <w:p w14:paraId="2717166C" w14:textId="6571B482"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14 (34.1)</w:t>
            </w:r>
          </w:p>
        </w:tc>
        <w:tc>
          <w:tcPr>
            <w:tcW w:w="1079" w:type="pct"/>
            <w:tcBorders>
              <w:top w:val="nil"/>
              <w:bottom w:val="nil"/>
            </w:tcBorders>
            <w:hideMark/>
          </w:tcPr>
          <w:p w14:paraId="3BC3F53E" w14:textId="5865A436"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1063" w:type="pct"/>
            <w:tcBorders>
              <w:top w:val="nil"/>
              <w:bottom w:val="nil"/>
            </w:tcBorders>
            <w:hideMark/>
          </w:tcPr>
          <w:p w14:paraId="67A4145A" w14:textId="2AF9C3D4"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 (17.5)</w:t>
            </w:r>
          </w:p>
        </w:tc>
        <w:tc>
          <w:tcPr>
            <w:tcW w:w="598" w:type="pct"/>
            <w:tcBorders>
              <w:top w:val="nil"/>
              <w:bottom w:val="nil"/>
            </w:tcBorders>
            <w:noWrap/>
            <w:hideMark/>
          </w:tcPr>
          <w:p w14:paraId="1CADAFD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0.099</w:t>
            </w:r>
          </w:p>
        </w:tc>
      </w:tr>
      <w:tr w:rsidR="00372E57" w:rsidRPr="003448EB" w14:paraId="300861B3"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48E8063" w14:textId="69B34CE9"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Extrahepatic spread</w:t>
            </w:r>
            <w:r w:rsidR="00B50B39">
              <w:rPr>
                <w:rFonts w:ascii="Book Antiqua" w:eastAsia="Yu Gothic" w:hAnsi="Book Antiqua"/>
              </w:rPr>
              <w:t xml:space="preserve">, </w:t>
            </w:r>
            <w:r w:rsidR="00B50B39" w:rsidRPr="00B50B39">
              <w:rPr>
                <w:rFonts w:ascii="Book Antiqua" w:eastAsia="Yu Gothic" w:hAnsi="Book Antiqua"/>
                <w:i/>
                <w:iCs/>
              </w:rPr>
              <w:t>n</w:t>
            </w:r>
            <w:r w:rsidR="00B50B39" w:rsidRPr="00B50B39">
              <w:rPr>
                <w:rFonts w:ascii="Book Antiqua" w:eastAsia="Yu Gothic" w:hAnsi="Book Antiqua"/>
              </w:rPr>
              <w:t xml:space="preserve"> (%)</w:t>
            </w:r>
          </w:p>
        </w:tc>
        <w:tc>
          <w:tcPr>
            <w:tcW w:w="1080" w:type="pct"/>
            <w:tcBorders>
              <w:top w:val="nil"/>
              <w:bottom w:val="nil"/>
            </w:tcBorders>
            <w:hideMark/>
          </w:tcPr>
          <w:p w14:paraId="79E041DC" w14:textId="1E9A7C2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20 (48.8)</w:t>
            </w:r>
          </w:p>
        </w:tc>
        <w:tc>
          <w:tcPr>
            <w:tcW w:w="1079" w:type="pct"/>
            <w:tcBorders>
              <w:top w:val="nil"/>
              <w:bottom w:val="nil"/>
            </w:tcBorders>
            <w:hideMark/>
          </w:tcPr>
          <w:p w14:paraId="2B4B8458" w14:textId="2798F700"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19 (63.3)</w:t>
            </w:r>
          </w:p>
        </w:tc>
        <w:tc>
          <w:tcPr>
            <w:tcW w:w="1063" w:type="pct"/>
            <w:tcBorders>
              <w:top w:val="nil"/>
              <w:bottom w:val="nil"/>
            </w:tcBorders>
            <w:hideMark/>
          </w:tcPr>
          <w:p w14:paraId="0B20DB58" w14:textId="32487BE4"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28 (44.4)</w:t>
            </w:r>
          </w:p>
        </w:tc>
        <w:tc>
          <w:tcPr>
            <w:tcW w:w="598" w:type="pct"/>
            <w:tcBorders>
              <w:top w:val="nil"/>
              <w:bottom w:val="nil"/>
            </w:tcBorders>
            <w:noWrap/>
            <w:hideMark/>
          </w:tcPr>
          <w:p w14:paraId="068B7B5D"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0.230</w:t>
            </w:r>
          </w:p>
        </w:tc>
      </w:tr>
      <w:tr w:rsidR="00372E57" w:rsidRPr="003448EB" w14:paraId="4AFB209B"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C98CB5F" w14:textId="2510AE5D"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AFP (ng/mL)</w:t>
            </w:r>
            <w:r w:rsidR="00F81B92">
              <w:rPr>
                <w:rFonts w:ascii="Book Antiqua" w:eastAsia="Yu Gothic" w:hAnsi="Book Antiqua"/>
              </w:rPr>
              <w:t xml:space="preserve">, </w:t>
            </w:r>
            <w:r w:rsidR="00F81B92" w:rsidRPr="00B50B39">
              <w:rPr>
                <w:rFonts w:ascii="Book Antiqua" w:eastAsia="Yu Gothic" w:hAnsi="Book Antiqua"/>
                <w:i/>
                <w:iCs/>
              </w:rPr>
              <w:t>n</w:t>
            </w:r>
            <w:r w:rsidR="00F81B92" w:rsidRPr="00B50B39">
              <w:rPr>
                <w:rFonts w:ascii="Book Antiqua" w:eastAsia="Yu Gothic" w:hAnsi="Book Antiqua"/>
              </w:rPr>
              <w:t xml:space="preserve"> (%)</w:t>
            </w:r>
          </w:p>
        </w:tc>
        <w:tc>
          <w:tcPr>
            <w:tcW w:w="1080" w:type="pct"/>
            <w:tcBorders>
              <w:top w:val="nil"/>
              <w:bottom w:val="nil"/>
            </w:tcBorders>
            <w:hideMark/>
          </w:tcPr>
          <w:p w14:paraId="1CBECFF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F3CB8A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3785BA69"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204D27C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r>
      <w:tr w:rsidR="00372E57" w:rsidRPr="003448EB" w14:paraId="486C324F"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F1EC010"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&gt;</w:t>
            </w:r>
            <w:r w:rsidRPr="003448EB">
              <w:rPr>
                <w:rFonts w:ascii="Book Antiqua" w:eastAsia="等线" w:hAnsi="Book Antiqua"/>
                <w:lang w:eastAsia="zh-CN"/>
              </w:rPr>
              <w:t xml:space="preserve"> </w:t>
            </w:r>
            <w:r w:rsidRPr="003448EB">
              <w:rPr>
                <w:rFonts w:ascii="Book Antiqua" w:eastAsia="Yu Gothic" w:hAnsi="Book Antiqua"/>
              </w:rPr>
              <w:t>400</w:t>
            </w:r>
          </w:p>
        </w:tc>
        <w:tc>
          <w:tcPr>
            <w:tcW w:w="1080" w:type="pct"/>
            <w:tcBorders>
              <w:top w:val="nil"/>
              <w:bottom w:val="nil"/>
            </w:tcBorders>
            <w:hideMark/>
          </w:tcPr>
          <w:p w14:paraId="79BAF2E9" w14:textId="0BFDE208"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(41.5)</w:t>
            </w:r>
          </w:p>
        </w:tc>
        <w:tc>
          <w:tcPr>
            <w:tcW w:w="1079" w:type="pct"/>
            <w:tcBorders>
              <w:top w:val="nil"/>
              <w:bottom w:val="nil"/>
            </w:tcBorders>
            <w:hideMark/>
          </w:tcPr>
          <w:p w14:paraId="1405D154" w14:textId="25D501E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(56.7)</w:t>
            </w:r>
          </w:p>
        </w:tc>
        <w:tc>
          <w:tcPr>
            <w:tcW w:w="1063" w:type="pct"/>
            <w:tcBorders>
              <w:top w:val="nil"/>
              <w:bottom w:val="nil"/>
            </w:tcBorders>
            <w:hideMark/>
          </w:tcPr>
          <w:p w14:paraId="3E3C4095" w14:textId="77B5FEAF"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29 (46.0)</w:t>
            </w:r>
          </w:p>
        </w:tc>
        <w:tc>
          <w:tcPr>
            <w:tcW w:w="598" w:type="pct"/>
            <w:tcBorders>
              <w:top w:val="nil"/>
              <w:bottom w:val="nil"/>
            </w:tcBorders>
            <w:noWrap/>
            <w:hideMark/>
          </w:tcPr>
          <w:p w14:paraId="28866F6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0.437 </w:t>
            </w:r>
          </w:p>
        </w:tc>
      </w:tr>
      <w:tr w:rsidR="00372E57" w:rsidRPr="003448EB" w14:paraId="725CE07D"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9D2D883" w14:textId="2834BFF5"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BCLC staging</w:t>
            </w:r>
            <w:r w:rsidR="00F81B92">
              <w:rPr>
                <w:rFonts w:ascii="Book Antiqua" w:eastAsia="Yu Gothic" w:hAnsi="Book Antiqua"/>
              </w:rPr>
              <w:t xml:space="preserve">, </w:t>
            </w:r>
            <w:r w:rsidR="00F81B92" w:rsidRPr="00B50B39">
              <w:rPr>
                <w:rFonts w:ascii="Book Antiqua" w:eastAsia="Yu Gothic" w:hAnsi="Book Antiqua"/>
                <w:i/>
                <w:iCs/>
              </w:rPr>
              <w:t>n</w:t>
            </w:r>
            <w:r w:rsidR="00F81B92" w:rsidRPr="00B50B39">
              <w:rPr>
                <w:rFonts w:ascii="Book Antiqua" w:eastAsia="Yu Gothic" w:hAnsi="Book Antiqua"/>
              </w:rPr>
              <w:t xml:space="preserve"> (%)</w:t>
            </w:r>
          </w:p>
        </w:tc>
        <w:tc>
          <w:tcPr>
            <w:tcW w:w="1080" w:type="pct"/>
            <w:tcBorders>
              <w:top w:val="nil"/>
              <w:bottom w:val="nil"/>
            </w:tcBorders>
            <w:hideMark/>
          </w:tcPr>
          <w:p w14:paraId="28C9154C"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4542DA4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30BBBAB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2CF5F24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0.333 </w:t>
            </w:r>
          </w:p>
        </w:tc>
      </w:tr>
      <w:tr w:rsidR="00372E57" w:rsidRPr="003448EB" w14:paraId="65E2A7C6"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01D12EB"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Stage B</w:t>
            </w:r>
          </w:p>
        </w:tc>
        <w:tc>
          <w:tcPr>
            <w:tcW w:w="1080" w:type="pct"/>
            <w:tcBorders>
              <w:top w:val="nil"/>
              <w:bottom w:val="nil"/>
            </w:tcBorders>
            <w:hideMark/>
          </w:tcPr>
          <w:p w14:paraId="266BB6C9" w14:textId="0AB4EBC1"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15 (36.6)</w:t>
            </w:r>
          </w:p>
        </w:tc>
        <w:tc>
          <w:tcPr>
            <w:tcW w:w="1079" w:type="pct"/>
            <w:tcBorders>
              <w:top w:val="nil"/>
              <w:bottom w:val="nil"/>
            </w:tcBorders>
            <w:hideMark/>
          </w:tcPr>
          <w:p w14:paraId="0D5008C7" w14:textId="7661CD46"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1063" w:type="pct"/>
            <w:tcBorders>
              <w:top w:val="nil"/>
              <w:bottom w:val="nil"/>
            </w:tcBorders>
            <w:hideMark/>
          </w:tcPr>
          <w:p w14:paraId="526D5FE8" w14:textId="210CE8EC"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 (47.6)</w:t>
            </w:r>
          </w:p>
        </w:tc>
        <w:tc>
          <w:tcPr>
            <w:tcW w:w="598" w:type="pct"/>
            <w:tcBorders>
              <w:top w:val="nil"/>
              <w:bottom w:val="nil"/>
            </w:tcBorders>
            <w:noWrap/>
            <w:hideMark/>
          </w:tcPr>
          <w:p w14:paraId="4905282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02D5F4B9"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34B52F0"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Stage C</w:t>
            </w:r>
          </w:p>
        </w:tc>
        <w:tc>
          <w:tcPr>
            <w:tcW w:w="1080" w:type="pct"/>
            <w:tcBorders>
              <w:top w:val="nil"/>
              <w:bottom w:val="nil"/>
            </w:tcBorders>
            <w:hideMark/>
          </w:tcPr>
          <w:p w14:paraId="3BB98C44" w14:textId="59C5051B"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26 (63.4)</w:t>
            </w:r>
          </w:p>
        </w:tc>
        <w:tc>
          <w:tcPr>
            <w:tcW w:w="1079" w:type="pct"/>
            <w:tcBorders>
              <w:top w:val="nil"/>
              <w:bottom w:val="nil"/>
            </w:tcBorders>
            <w:hideMark/>
          </w:tcPr>
          <w:p w14:paraId="5846E6B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20 (66.7</w:t>
            </w:r>
            <w:r w:rsidRPr="003448EB">
              <w:rPr>
                <w:rFonts w:ascii="Book Antiqua" w:eastAsia="等线" w:hAnsi="Book Antiqua"/>
                <w:lang w:eastAsia="zh-CN"/>
              </w:rPr>
              <w:t>%</w:t>
            </w:r>
            <w:r w:rsidRPr="003448EB">
              <w:rPr>
                <w:rFonts w:ascii="Book Antiqua" w:eastAsia="Yu Gothic" w:hAnsi="Book Antiqua"/>
              </w:rPr>
              <w:t>)</w:t>
            </w:r>
          </w:p>
        </w:tc>
        <w:tc>
          <w:tcPr>
            <w:tcW w:w="1063" w:type="pct"/>
            <w:tcBorders>
              <w:top w:val="nil"/>
              <w:bottom w:val="nil"/>
            </w:tcBorders>
            <w:hideMark/>
          </w:tcPr>
          <w:p w14:paraId="330CF3E9" w14:textId="07506E32"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(52.4)</w:t>
            </w:r>
          </w:p>
        </w:tc>
        <w:tc>
          <w:tcPr>
            <w:tcW w:w="598" w:type="pct"/>
            <w:tcBorders>
              <w:top w:val="nil"/>
              <w:bottom w:val="nil"/>
            </w:tcBorders>
            <w:noWrap/>
            <w:hideMark/>
          </w:tcPr>
          <w:p w14:paraId="12F602CC"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611435BF"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651A21EA" w14:textId="6B6AE26D"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lastRenderedPageBreak/>
              <w:t>ECOG performance status</w:t>
            </w:r>
            <w:r w:rsidR="00F81B92">
              <w:rPr>
                <w:rFonts w:ascii="Book Antiqua" w:eastAsia="Yu Gothic" w:hAnsi="Book Antiqua"/>
              </w:rPr>
              <w:t xml:space="preserve">, </w:t>
            </w:r>
            <w:r w:rsidR="00F81B92" w:rsidRPr="00B50B39">
              <w:rPr>
                <w:rFonts w:ascii="Book Antiqua" w:eastAsia="Yu Gothic" w:hAnsi="Book Antiqua"/>
                <w:i/>
                <w:iCs/>
              </w:rPr>
              <w:t>n</w:t>
            </w:r>
            <w:r w:rsidR="00F81B92" w:rsidRPr="00B50B39">
              <w:rPr>
                <w:rFonts w:ascii="Book Antiqua" w:eastAsia="Yu Gothic" w:hAnsi="Book Antiqua"/>
              </w:rPr>
              <w:t xml:space="preserve"> (%)</w:t>
            </w:r>
          </w:p>
        </w:tc>
        <w:tc>
          <w:tcPr>
            <w:tcW w:w="1080" w:type="pct"/>
            <w:tcBorders>
              <w:top w:val="nil"/>
              <w:bottom w:val="nil"/>
            </w:tcBorders>
            <w:hideMark/>
          </w:tcPr>
          <w:p w14:paraId="3693FD8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6671132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1AF7CDF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2FA4D1DF"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0.955</w:t>
            </w:r>
          </w:p>
        </w:tc>
      </w:tr>
      <w:tr w:rsidR="00372E57" w:rsidRPr="003448EB" w14:paraId="2DC8EE83"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5F5EC32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0</w:t>
            </w:r>
          </w:p>
        </w:tc>
        <w:tc>
          <w:tcPr>
            <w:tcW w:w="1080" w:type="pct"/>
            <w:tcBorders>
              <w:top w:val="nil"/>
              <w:bottom w:val="nil"/>
            </w:tcBorders>
            <w:hideMark/>
          </w:tcPr>
          <w:p w14:paraId="5171255A" w14:textId="7E7D6D19"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30 (75.6)</w:t>
            </w:r>
          </w:p>
        </w:tc>
        <w:tc>
          <w:tcPr>
            <w:tcW w:w="1079" w:type="pct"/>
            <w:tcBorders>
              <w:top w:val="nil"/>
              <w:bottom w:val="nil"/>
            </w:tcBorders>
            <w:hideMark/>
          </w:tcPr>
          <w:p w14:paraId="7CB2CF66" w14:textId="2CCF61E0"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22 (73.3)</w:t>
            </w:r>
          </w:p>
        </w:tc>
        <w:tc>
          <w:tcPr>
            <w:tcW w:w="1063" w:type="pct"/>
            <w:tcBorders>
              <w:top w:val="nil"/>
              <w:bottom w:val="nil"/>
            </w:tcBorders>
            <w:hideMark/>
          </w:tcPr>
          <w:p w14:paraId="72CB76DC" w14:textId="2AEAA9B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46 (73.0)</w:t>
            </w:r>
          </w:p>
        </w:tc>
        <w:tc>
          <w:tcPr>
            <w:tcW w:w="598" w:type="pct"/>
            <w:tcBorders>
              <w:top w:val="nil"/>
              <w:bottom w:val="nil"/>
            </w:tcBorders>
            <w:noWrap/>
            <w:hideMark/>
          </w:tcPr>
          <w:p w14:paraId="029BCB0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60B96B96"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072F40F"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1</w:t>
            </w:r>
          </w:p>
        </w:tc>
        <w:tc>
          <w:tcPr>
            <w:tcW w:w="1080" w:type="pct"/>
            <w:tcBorders>
              <w:top w:val="nil"/>
              <w:bottom w:val="nil"/>
            </w:tcBorders>
            <w:hideMark/>
          </w:tcPr>
          <w:p w14:paraId="25098D1C" w14:textId="077D9512"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1079" w:type="pct"/>
            <w:tcBorders>
              <w:top w:val="nil"/>
              <w:bottom w:val="nil"/>
            </w:tcBorders>
            <w:hideMark/>
          </w:tcPr>
          <w:p w14:paraId="7A7744B5" w14:textId="77CC80DE"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(26.7)</w:t>
            </w:r>
          </w:p>
        </w:tc>
        <w:tc>
          <w:tcPr>
            <w:tcW w:w="1063" w:type="pct"/>
            <w:tcBorders>
              <w:top w:val="nil"/>
              <w:bottom w:val="nil"/>
            </w:tcBorders>
            <w:hideMark/>
          </w:tcPr>
          <w:p w14:paraId="4C93D647" w14:textId="7B78C0BA"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(27.0)</w:t>
            </w:r>
          </w:p>
        </w:tc>
        <w:tc>
          <w:tcPr>
            <w:tcW w:w="598" w:type="pct"/>
            <w:tcBorders>
              <w:top w:val="nil"/>
              <w:bottom w:val="nil"/>
            </w:tcBorders>
            <w:noWrap/>
            <w:hideMark/>
          </w:tcPr>
          <w:p w14:paraId="5E904BD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3665F716"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461517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Total bilirubin (mg/d</w:t>
            </w:r>
            <w:r w:rsidRPr="003448EB">
              <w:rPr>
                <w:rFonts w:ascii="Book Antiqua" w:eastAsia="Yu Gothic" w:hAnsi="Book Antiqua"/>
                <w:caps/>
              </w:rPr>
              <w:t>l</w:t>
            </w:r>
            <w:r w:rsidRPr="003448EB">
              <w:rPr>
                <w:rFonts w:ascii="Book Antiqua" w:eastAsia="Yu Gothic" w:hAnsi="Book Antiqua"/>
              </w:rPr>
              <w:t>)</w:t>
            </w:r>
          </w:p>
        </w:tc>
        <w:tc>
          <w:tcPr>
            <w:tcW w:w="1080" w:type="pct"/>
            <w:tcBorders>
              <w:top w:val="nil"/>
              <w:bottom w:val="nil"/>
            </w:tcBorders>
            <w:hideMark/>
          </w:tcPr>
          <w:p w14:paraId="647EA18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0.99 ± 0.36</w:t>
            </w:r>
          </w:p>
        </w:tc>
        <w:tc>
          <w:tcPr>
            <w:tcW w:w="1079" w:type="pct"/>
            <w:tcBorders>
              <w:top w:val="nil"/>
              <w:bottom w:val="nil"/>
            </w:tcBorders>
            <w:hideMark/>
          </w:tcPr>
          <w:p w14:paraId="6908E3A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0.91 ± 0.37</w:t>
            </w:r>
          </w:p>
        </w:tc>
        <w:tc>
          <w:tcPr>
            <w:tcW w:w="1063" w:type="pct"/>
            <w:tcBorders>
              <w:top w:val="nil"/>
              <w:bottom w:val="nil"/>
            </w:tcBorders>
            <w:hideMark/>
          </w:tcPr>
          <w:p w14:paraId="151295C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0.83 ± 0.33</w:t>
            </w:r>
          </w:p>
        </w:tc>
        <w:tc>
          <w:tcPr>
            <w:tcW w:w="598" w:type="pct"/>
            <w:tcBorders>
              <w:top w:val="nil"/>
              <w:bottom w:val="nil"/>
            </w:tcBorders>
            <w:noWrap/>
            <w:hideMark/>
          </w:tcPr>
          <w:p w14:paraId="05089C6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0.052</w:t>
            </w:r>
          </w:p>
        </w:tc>
      </w:tr>
      <w:tr w:rsidR="00372E57" w:rsidRPr="003448EB" w14:paraId="07607D77"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00C4D9A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Albumin (g/L)</w:t>
            </w:r>
          </w:p>
        </w:tc>
        <w:tc>
          <w:tcPr>
            <w:tcW w:w="1080" w:type="pct"/>
            <w:tcBorders>
              <w:top w:val="nil"/>
              <w:bottom w:val="nil"/>
            </w:tcBorders>
            <w:hideMark/>
          </w:tcPr>
          <w:p w14:paraId="1ADE2978"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3.61 ± 0.50</w:t>
            </w:r>
          </w:p>
        </w:tc>
        <w:tc>
          <w:tcPr>
            <w:tcW w:w="1079" w:type="pct"/>
            <w:tcBorders>
              <w:top w:val="nil"/>
              <w:bottom w:val="nil"/>
            </w:tcBorders>
            <w:hideMark/>
          </w:tcPr>
          <w:p w14:paraId="57E99F9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3.73 ± 0.54</w:t>
            </w:r>
          </w:p>
        </w:tc>
        <w:tc>
          <w:tcPr>
            <w:tcW w:w="1063" w:type="pct"/>
            <w:tcBorders>
              <w:top w:val="nil"/>
              <w:bottom w:val="nil"/>
            </w:tcBorders>
            <w:hideMark/>
          </w:tcPr>
          <w:p w14:paraId="389CFFC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3.82 ± 0.49</w:t>
            </w:r>
          </w:p>
        </w:tc>
        <w:tc>
          <w:tcPr>
            <w:tcW w:w="598" w:type="pct"/>
            <w:tcBorders>
              <w:top w:val="nil"/>
              <w:bottom w:val="nil"/>
            </w:tcBorders>
            <w:noWrap/>
            <w:hideMark/>
          </w:tcPr>
          <w:p w14:paraId="7A0E0847"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0.301</w:t>
            </w:r>
          </w:p>
        </w:tc>
      </w:tr>
      <w:tr w:rsidR="00372E57" w:rsidRPr="003448EB" w14:paraId="48278917"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BB9E07A"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INR</w:t>
            </w:r>
          </w:p>
        </w:tc>
        <w:tc>
          <w:tcPr>
            <w:tcW w:w="1080" w:type="pct"/>
            <w:tcBorders>
              <w:top w:val="nil"/>
              <w:bottom w:val="nil"/>
            </w:tcBorders>
            <w:hideMark/>
          </w:tcPr>
          <w:p w14:paraId="44E55C2C"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1.14 ± 0.11</w:t>
            </w:r>
          </w:p>
        </w:tc>
        <w:tc>
          <w:tcPr>
            <w:tcW w:w="1079" w:type="pct"/>
            <w:tcBorders>
              <w:top w:val="nil"/>
              <w:bottom w:val="nil"/>
            </w:tcBorders>
            <w:hideMark/>
          </w:tcPr>
          <w:p w14:paraId="2E0DD22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1.15 ± 0.16</w:t>
            </w:r>
          </w:p>
        </w:tc>
        <w:tc>
          <w:tcPr>
            <w:tcW w:w="1063" w:type="pct"/>
            <w:tcBorders>
              <w:top w:val="nil"/>
              <w:bottom w:val="nil"/>
            </w:tcBorders>
            <w:hideMark/>
          </w:tcPr>
          <w:p w14:paraId="63434D7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1.14 ± 0.19</w:t>
            </w:r>
          </w:p>
        </w:tc>
        <w:tc>
          <w:tcPr>
            <w:tcW w:w="598" w:type="pct"/>
            <w:tcBorders>
              <w:top w:val="nil"/>
              <w:bottom w:val="nil"/>
            </w:tcBorders>
            <w:noWrap/>
            <w:hideMark/>
          </w:tcPr>
          <w:p w14:paraId="2800F79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0.481</w:t>
            </w:r>
          </w:p>
        </w:tc>
      </w:tr>
      <w:tr w:rsidR="00372E57" w:rsidRPr="003448EB" w14:paraId="6DF95289" w14:textId="77777777" w:rsidTr="00372E57">
        <w:trPr>
          <w:trHeight w:val="624"/>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2FC30F66" w14:textId="77777777" w:rsidR="00372E57" w:rsidRPr="003448EB" w:rsidRDefault="00372E57" w:rsidP="00B50B39">
            <w:pPr>
              <w:snapToGrid w:val="0"/>
              <w:spacing w:line="360" w:lineRule="auto"/>
              <w:contextualSpacing/>
              <w:jc w:val="both"/>
              <w:rPr>
                <w:rFonts w:ascii="Book Antiqua" w:eastAsia="等线" w:hAnsi="Book Antiqua"/>
                <w:lang w:eastAsia="zh-CN"/>
              </w:rPr>
            </w:pPr>
            <w:r w:rsidRPr="003448EB">
              <w:rPr>
                <w:rFonts w:ascii="Book Antiqua" w:eastAsia="Yu Gothic" w:hAnsi="Book Antiqua"/>
              </w:rPr>
              <w:t xml:space="preserve">Pre-sorafenib TACE procedures, </w:t>
            </w:r>
            <w:r w:rsidRPr="003448EB">
              <w:rPr>
                <w:rFonts w:ascii="Book Antiqua" w:eastAsia="Yu Gothic" w:hAnsi="Book Antiqua"/>
                <w:i/>
              </w:rPr>
              <w:t>n</w:t>
            </w:r>
            <w:r w:rsidRPr="003448EB">
              <w:rPr>
                <w:rFonts w:ascii="Book Antiqua" w:eastAsia="等线" w:hAnsi="Book Antiqua"/>
                <w:i/>
                <w:lang w:eastAsia="zh-CN"/>
              </w:rPr>
              <w:t xml:space="preserve"> </w:t>
            </w:r>
            <w:r w:rsidRPr="003448EB">
              <w:rPr>
                <w:rFonts w:ascii="Book Antiqua" w:eastAsia="等线" w:hAnsi="Book Antiqua"/>
                <w:lang w:eastAsia="zh-CN"/>
              </w:rPr>
              <w:t>(%)</w:t>
            </w:r>
          </w:p>
        </w:tc>
        <w:tc>
          <w:tcPr>
            <w:tcW w:w="1080" w:type="pct"/>
            <w:tcBorders>
              <w:top w:val="nil"/>
              <w:bottom w:val="nil"/>
            </w:tcBorders>
            <w:hideMark/>
          </w:tcPr>
          <w:p w14:paraId="69327FF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1079" w:type="pct"/>
            <w:tcBorders>
              <w:top w:val="nil"/>
              <w:bottom w:val="nil"/>
            </w:tcBorders>
            <w:hideMark/>
          </w:tcPr>
          <w:p w14:paraId="516309C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63" w:type="pct"/>
            <w:tcBorders>
              <w:top w:val="nil"/>
              <w:bottom w:val="nil"/>
            </w:tcBorders>
            <w:hideMark/>
          </w:tcPr>
          <w:p w14:paraId="5F7A1CB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598" w:type="pct"/>
            <w:tcBorders>
              <w:top w:val="nil"/>
              <w:bottom w:val="nil"/>
            </w:tcBorders>
            <w:noWrap/>
            <w:hideMark/>
          </w:tcPr>
          <w:p w14:paraId="6AAC45A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0.531</w:t>
            </w:r>
          </w:p>
        </w:tc>
      </w:tr>
      <w:tr w:rsidR="00372E57" w:rsidRPr="003448EB" w14:paraId="627F1D54"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10E0526D"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0</w:t>
            </w:r>
          </w:p>
        </w:tc>
        <w:tc>
          <w:tcPr>
            <w:tcW w:w="1080" w:type="pct"/>
            <w:tcBorders>
              <w:top w:val="nil"/>
              <w:bottom w:val="nil"/>
            </w:tcBorders>
            <w:hideMark/>
          </w:tcPr>
          <w:p w14:paraId="08C6CE6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13 (31.7)</w:t>
            </w:r>
          </w:p>
        </w:tc>
        <w:tc>
          <w:tcPr>
            <w:tcW w:w="1079" w:type="pct"/>
            <w:tcBorders>
              <w:top w:val="nil"/>
              <w:bottom w:val="nil"/>
            </w:tcBorders>
            <w:hideMark/>
          </w:tcPr>
          <w:p w14:paraId="4DEA199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1063" w:type="pct"/>
            <w:tcBorders>
              <w:top w:val="nil"/>
              <w:bottom w:val="nil"/>
            </w:tcBorders>
            <w:hideMark/>
          </w:tcPr>
          <w:p w14:paraId="28E4A89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20 (31.8)</w:t>
            </w:r>
          </w:p>
        </w:tc>
        <w:tc>
          <w:tcPr>
            <w:tcW w:w="598" w:type="pct"/>
            <w:tcBorders>
              <w:top w:val="nil"/>
              <w:bottom w:val="nil"/>
            </w:tcBorders>
            <w:noWrap/>
            <w:hideMark/>
          </w:tcPr>
          <w:p w14:paraId="6723C66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1A635840"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41951D65"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1</w:t>
            </w:r>
          </w:p>
        </w:tc>
        <w:tc>
          <w:tcPr>
            <w:tcW w:w="1080" w:type="pct"/>
            <w:tcBorders>
              <w:top w:val="nil"/>
              <w:bottom w:val="nil"/>
            </w:tcBorders>
            <w:hideMark/>
          </w:tcPr>
          <w:p w14:paraId="10958B87"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1079" w:type="pct"/>
            <w:tcBorders>
              <w:top w:val="nil"/>
              <w:bottom w:val="nil"/>
            </w:tcBorders>
            <w:hideMark/>
          </w:tcPr>
          <w:p w14:paraId="541679B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(20.0)</w:t>
            </w:r>
          </w:p>
        </w:tc>
        <w:tc>
          <w:tcPr>
            <w:tcW w:w="1063" w:type="pct"/>
            <w:tcBorders>
              <w:top w:val="nil"/>
              <w:bottom w:val="nil"/>
            </w:tcBorders>
            <w:hideMark/>
          </w:tcPr>
          <w:p w14:paraId="7D48E3E8"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 (20.6)</w:t>
            </w:r>
          </w:p>
        </w:tc>
        <w:tc>
          <w:tcPr>
            <w:tcW w:w="598" w:type="pct"/>
            <w:tcBorders>
              <w:top w:val="nil"/>
              <w:bottom w:val="nil"/>
            </w:tcBorders>
            <w:noWrap/>
            <w:hideMark/>
          </w:tcPr>
          <w:p w14:paraId="705C277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15C84551"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703D5C80"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2</w:t>
            </w:r>
          </w:p>
        </w:tc>
        <w:tc>
          <w:tcPr>
            <w:tcW w:w="1080" w:type="pct"/>
            <w:tcBorders>
              <w:top w:val="nil"/>
              <w:bottom w:val="nil"/>
            </w:tcBorders>
            <w:hideMark/>
          </w:tcPr>
          <w:p w14:paraId="7D127EC0"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 (14.6)</w:t>
            </w:r>
          </w:p>
        </w:tc>
        <w:tc>
          <w:tcPr>
            <w:tcW w:w="1079" w:type="pct"/>
            <w:tcBorders>
              <w:top w:val="nil"/>
              <w:bottom w:val="nil"/>
            </w:tcBorders>
            <w:hideMark/>
          </w:tcPr>
          <w:p w14:paraId="49958D7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1063" w:type="pct"/>
            <w:tcBorders>
              <w:top w:val="nil"/>
              <w:bottom w:val="nil"/>
            </w:tcBorders>
            <w:hideMark/>
          </w:tcPr>
          <w:p w14:paraId="09605EC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(6.4)</w:t>
            </w:r>
          </w:p>
        </w:tc>
        <w:tc>
          <w:tcPr>
            <w:tcW w:w="598" w:type="pct"/>
            <w:tcBorders>
              <w:top w:val="nil"/>
              <w:bottom w:val="nil"/>
            </w:tcBorders>
            <w:noWrap/>
            <w:hideMark/>
          </w:tcPr>
          <w:p w14:paraId="5121B92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1B416A20"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3F17E07C"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3</w:t>
            </w:r>
          </w:p>
        </w:tc>
        <w:tc>
          <w:tcPr>
            <w:tcW w:w="1080" w:type="pct"/>
            <w:tcBorders>
              <w:top w:val="nil"/>
              <w:bottom w:val="nil"/>
            </w:tcBorders>
            <w:hideMark/>
          </w:tcPr>
          <w:p w14:paraId="120BC76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(9.8)</w:t>
            </w:r>
          </w:p>
        </w:tc>
        <w:tc>
          <w:tcPr>
            <w:tcW w:w="1079" w:type="pct"/>
            <w:tcBorders>
              <w:top w:val="nil"/>
              <w:bottom w:val="nil"/>
            </w:tcBorders>
            <w:hideMark/>
          </w:tcPr>
          <w:p w14:paraId="68ED391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(6.7)</w:t>
            </w:r>
          </w:p>
        </w:tc>
        <w:tc>
          <w:tcPr>
            <w:tcW w:w="1063" w:type="pct"/>
            <w:tcBorders>
              <w:top w:val="nil"/>
              <w:bottom w:val="nil"/>
            </w:tcBorders>
            <w:hideMark/>
          </w:tcPr>
          <w:p w14:paraId="6FB3370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(12.7)</w:t>
            </w:r>
          </w:p>
        </w:tc>
        <w:tc>
          <w:tcPr>
            <w:tcW w:w="598" w:type="pct"/>
            <w:tcBorders>
              <w:top w:val="nil"/>
              <w:bottom w:val="nil"/>
            </w:tcBorders>
            <w:noWrap/>
            <w:hideMark/>
          </w:tcPr>
          <w:p w14:paraId="495349C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4498BA33"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81" w:type="pct"/>
            <w:tcBorders>
              <w:top w:val="nil"/>
              <w:bottom w:val="nil"/>
            </w:tcBorders>
            <w:hideMark/>
          </w:tcPr>
          <w:p w14:paraId="37910E8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4</w:t>
            </w:r>
          </w:p>
        </w:tc>
        <w:tc>
          <w:tcPr>
            <w:tcW w:w="1080" w:type="pct"/>
            <w:tcBorders>
              <w:top w:val="nil"/>
              <w:bottom w:val="nil"/>
            </w:tcBorders>
            <w:hideMark/>
          </w:tcPr>
          <w:p w14:paraId="52E69CF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(12.2)</w:t>
            </w:r>
          </w:p>
        </w:tc>
        <w:tc>
          <w:tcPr>
            <w:tcW w:w="1079" w:type="pct"/>
            <w:tcBorders>
              <w:top w:val="nil"/>
              <w:bottom w:val="nil"/>
            </w:tcBorders>
            <w:hideMark/>
          </w:tcPr>
          <w:p w14:paraId="7420A6B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1063" w:type="pct"/>
            <w:tcBorders>
              <w:top w:val="nil"/>
              <w:bottom w:val="nil"/>
            </w:tcBorders>
            <w:hideMark/>
          </w:tcPr>
          <w:p w14:paraId="23A8A56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12 (19.0)</w:t>
            </w:r>
          </w:p>
        </w:tc>
        <w:tc>
          <w:tcPr>
            <w:tcW w:w="598" w:type="pct"/>
            <w:tcBorders>
              <w:top w:val="nil"/>
              <w:bottom w:val="nil"/>
            </w:tcBorders>
            <w:noWrap/>
            <w:hideMark/>
          </w:tcPr>
          <w:p w14:paraId="17DE420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r>
      <w:tr w:rsidR="00372E57" w:rsidRPr="003448EB" w14:paraId="148392E7" w14:textId="77777777" w:rsidTr="00372E57">
        <w:trPr>
          <w:trHeight w:val="408"/>
        </w:trPr>
        <w:tc>
          <w:tcPr>
            <w:cnfStyle w:val="001000000000" w:firstRow="0" w:lastRow="0" w:firstColumn="1" w:lastColumn="0" w:oddVBand="0" w:evenVBand="0" w:oddHBand="0" w:evenHBand="0" w:firstRowFirstColumn="0" w:firstRowLastColumn="0" w:lastRowFirstColumn="0" w:lastRowLastColumn="0"/>
            <w:tcW w:w="1181" w:type="pct"/>
            <w:tcBorders>
              <w:top w:val="nil"/>
              <w:bottom w:val="single" w:sz="4" w:space="0" w:color="7F7F7F" w:themeColor="text1" w:themeTint="80"/>
            </w:tcBorders>
            <w:hideMark/>
          </w:tcPr>
          <w:p w14:paraId="322C0953"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&gt;</w:t>
            </w:r>
            <w:r w:rsidRPr="003448EB">
              <w:rPr>
                <w:rFonts w:ascii="Book Antiqua" w:eastAsia="等线" w:hAnsi="Book Antiqua"/>
                <w:lang w:eastAsia="zh-CN"/>
              </w:rPr>
              <w:t xml:space="preserve"> </w:t>
            </w:r>
            <w:r w:rsidRPr="003448EB">
              <w:rPr>
                <w:rFonts w:ascii="Book Antiqua" w:eastAsia="Yu Gothic" w:hAnsi="Book Antiqua"/>
              </w:rPr>
              <w:t>5</w:t>
            </w:r>
          </w:p>
        </w:tc>
        <w:tc>
          <w:tcPr>
            <w:tcW w:w="1080" w:type="pct"/>
            <w:tcBorders>
              <w:top w:val="nil"/>
              <w:bottom w:val="single" w:sz="4" w:space="0" w:color="7F7F7F" w:themeColor="text1" w:themeTint="80"/>
            </w:tcBorders>
            <w:hideMark/>
          </w:tcPr>
          <w:p w14:paraId="5E6E83F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1079" w:type="pct"/>
            <w:tcBorders>
              <w:top w:val="nil"/>
              <w:bottom w:val="single" w:sz="4" w:space="0" w:color="7F7F7F" w:themeColor="text1" w:themeTint="80"/>
            </w:tcBorders>
            <w:hideMark/>
          </w:tcPr>
          <w:p w14:paraId="50C9EAF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1063" w:type="pct"/>
            <w:tcBorders>
              <w:top w:val="nil"/>
              <w:bottom w:val="single" w:sz="4" w:space="0" w:color="7F7F7F" w:themeColor="text1" w:themeTint="80"/>
            </w:tcBorders>
            <w:hideMark/>
          </w:tcPr>
          <w:p w14:paraId="6D478A6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(9.5)</w:t>
            </w:r>
          </w:p>
        </w:tc>
        <w:tc>
          <w:tcPr>
            <w:tcW w:w="598" w:type="pct"/>
            <w:tcBorders>
              <w:top w:val="nil"/>
              <w:bottom w:val="single" w:sz="4" w:space="0" w:color="7F7F7F" w:themeColor="text1" w:themeTint="80"/>
            </w:tcBorders>
            <w:noWrap/>
            <w:hideMark/>
          </w:tcPr>
          <w:p w14:paraId="6C9468C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r>
    </w:tbl>
    <w:p w14:paraId="16A752DB" w14:textId="42C4F43E" w:rsidR="00372E57" w:rsidRPr="003448EB" w:rsidRDefault="00372E57" w:rsidP="00B50B39">
      <w:pPr>
        <w:spacing w:line="360" w:lineRule="auto"/>
        <w:jc w:val="both"/>
        <w:rPr>
          <w:rFonts w:ascii="Book Antiqua" w:eastAsia="等线" w:hAnsi="Book Antiqua"/>
          <w:lang w:eastAsia="zh-CN"/>
        </w:rPr>
      </w:pPr>
      <w:r w:rsidRPr="003448EB">
        <w:rPr>
          <w:rFonts w:ascii="Book Antiqua" w:eastAsia="Yu Gothic" w:hAnsi="Book Antiqua"/>
        </w:rPr>
        <w:t>AFP</w:t>
      </w:r>
      <w:r w:rsidRPr="003448EB">
        <w:rPr>
          <w:rFonts w:ascii="Book Antiqua" w:eastAsia="等线" w:hAnsi="Book Antiqua"/>
          <w:lang w:eastAsia="zh-CN"/>
        </w:rPr>
        <w:t>:</w:t>
      </w:r>
      <w:r w:rsidRPr="003448EB">
        <w:rPr>
          <w:rFonts w:ascii="Book Antiqua" w:eastAsia="Yu Gothic" w:hAnsi="Book Antiqua"/>
        </w:rPr>
        <w:t xml:space="preserve"> Alpha-fetoprotein; BCLC</w:t>
      </w:r>
      <w:r w:rsidRPr="003448EB">
        <w:rPr>
          <w:rFonts w:ascii="Book Antiqua" w:eastAsia="等线" w:hAnsi="Book Antiqua"/>
          <w:lang w:eastAsia="zh-CN"/>
        </w:rPr>
        <w:t>:</w:t>
      </w:r>
      <w:r w:rsidRPr="003448EB">
        <w:rPr>
          <w:rFonts w:ascii="Book Antiqua" w:eastAsia="Yu Gothic" w:hAnsi="Book Antiqua"/>
        </w:rPr>
        <w:t xml:space="preserve"> Barcelona Clinic Liver Cancer; HCV</w:t>
      </w:r>
      <w:r w:rsidRPr="003448EB">
        <w:rPr>
          <w:rFonts w:ascii="Book Antiqua" w:eastAsia="等线" w:hAnsi="Book Antiqua"/>
          <w:lang w:eastAsia="zh-CN"/>
        </w:rPr>
        <w:t>:</w:t>
      </w:r>
      <w:r w:rsidRPr="003448EB">
        <w:rPr>
          <w:rFonts w:ascii="Book Antiqua" w:eastAsia="Yu Gothic" w:hAnsi="Book Antiqua"/>
        </w:rPr>
        <w:t xml:space="preserve"> Hepatitis C virus; HBV</w:t>
      </w:r>
      <w:r w:rsidRPr="003448EB">
        <w:rPr>
          <w:rFonts w:ascii="Book Antiqua" w:eastAsia="等线" w:hAnsi="Book Antiqua"/>
          <w:lang w:eastAsia="zh-CN"/>
        </w:rPr>
        <w:t>:</w:t>
      </w:r>
      <w:r w:rsidRPr="003448EB">
        <w:rPr>
          <w:rFonts w:ascii="Book Antiqua" w:eastAsia="Yu Gothic" w:hAnsi="Book Antiqua"/>
        </w:rPr>
        <w:t xml:space="preserve"> Hepatitis B virus; INR</w:t>
      </w:r>
      <w:r w:rsidRPr="003448EB">
        <w:rPr>
          <w:rFonts w:ascii="Book Antiqua" w:eastAsia="等线" w:hAnsi="Book Antiqua"/>
          <w:lang w:eastAsia="zh-CN"/>
        </w:rPr>
        <w:t>:</w:t>
      </w:r>
      <w:r w:rsidRPr="003448EB">
        <w:rPr>
          <w:rFonts w:ascii="Book Antiqua" w:eastAsia="Yu Gothic" w:hAnsi="Book Antiqua"/>
        </w:rPr>
        <w:t xml:space="preserve"> International normalized ratio; TACE</w:t>
      </w:r>
      <w:r w:rsidRPr="003448EB">
        <w:rPr>
          <w:rFonts w:ascii="Book Antiqua" w:eastAsia="等线" w:hAnsi="Book Antiqua"/>
          <w:lang w:eastAsia="zh-CN"/>
        </w:rPr>
        <w:t>:</w:t>
      </w:r>
      <w:r w:rsidRPr="003448EB">
        <w:rPr>
          <w:rFonts w:ascii="Book Antiqua" w:eastAsia="Yu Gothic" w:hAnsi="Book Antiqua"/>
        </w:rPr>
        <w:t xml:space="preserve"> Transcatheter arterial chemoembolization; ECOG</w:t>
      </w:r>
      <w:r w:rsidRPr="003448EB">
        <w:rPr>
          <w:rFonts w:ascii="Book Antiqua" w:eastAsia="等线" w:hAnsi="Book Antiqua"/>
          <w:lang w:eastAsia="zh-CN"/>
        </w:rPr>
        <w:t>:</w:t>
      </w:r>
      <w:r w:rsidRPr="003448EB">
        <w:rPr>
          <w:rFonts w:ascii="Book Antiqua" w:eastAsia="Yu Gothic" w:hAnsi="Book Antiqua"/>
        </w:rPr>
        <w:t xml:space="preserve"> Eastern Cooperative Oncology Group</w:t>
      </w:r>
      <w:r w:rsidRPr="003448EB">
        <w:rPr>
          <w:rFonts w:ascii="Book Antiqua" w:eastAsia="等线" w:hAnsi="Book Antiqua"/>
          <w:lang w:eastAsia="zh-CN"/>
        </w:rPr>
        <w:t>.</w:t>
      </w:r>
    </w:p>
    <w:p w14:paraId="2C22521C" w14:textId="77777777" w:rsidR="00372E57" w:rsidRPr="003448EB" w:rsidRDefault="00372E57" w:rsidP="00B50B39">
      <w:pPr>
        <w:snapToGrid w:val="0"/>
        <w:spacing w:line="360" w:lineRule="auto"/>
        <w:contextualSpacing/>
        <w:jc w:val="both"/>
        <w:rPr>
          <w:rFonts w:ascii="Book Antiqua" w:eastAsia="等线" w:hAnsi="Book Antiqua"/>
          <w:b/>
          <w:bCs/>
          <w:lang w:eastAsia="zh-CN"/>
        </w:rPr>
      </w:pPr>
      <w:r w:rsidRPr="003448EB">
        <w:rPr>
          <w:rFonts w:ascii="Book Antiqua" w:hAnsi="Book Antiqua"/>
          <w:lang w:eastAsia="zh-CN"/>
        </w:rPr>
        <w:br w:type="page"/>
      </w:r>
      <w:r w:rsidRPr="003448EB">
        <w:rPr>
          <w:rFonts w:ascii="Book Antiqua" w:eastAsia="Yu Gothic" w:hAnsi="Book Antiqua"/>
          <w:b/>
          <w:bCs/>
        </w:rPr>
        <w:lastRenderedPageBreak/>
        <w:t>Table 2 Prevalence of adverse events after beginning sorafenib, according to CTCAE version 5.0</w:t>
      </w:r>
      <w:r w:rsidRPr="003448EB">
        <w:rPr>
          <w:rFonts w:ascii="Book Antiqua" w:eastAsia="等线" w:hAnsi="Book Antiqua"/>
          <w:b/>
          <w:bCs/>
          <w:lang w:eastAsia="zh-CN"/>
        </w:rPr>
        <w:t xml:space="preserve">, </w:t>
      </w:r>
      <w:r w:rsidRPr="003448EB">
        <w:rPr>
          <w:rFonts w:ascii="Book Antiqua" w:eastAsia="等线" w:hAnsi="Book Antiqua"/>
          <w:b/>
          <w:bCs/>
          <w:i/>
          <w:lang w:eastAsia="zh-CN"/>
        </w:rPr>
        <w:t>n</w:t>
      </w:r>
      <w:r w:rsidRPr="003448EB">
        <w:rPr>
          <w:rFonts w:ascii="Book Antiqua" w:eastAsia="等线" w:hAnsi="Book Antiqua"/>
          <w:b/>
          <w:bCs/>
          <w:lang w:eastAsia="zh-CN"/>
        </w:rPr>
        <w:t xml:space="preserve"> (%)</w:t>
      </w:r>
    </w:p>
    <w:tbl>
      <w:tblPr>
        <w:tblStyle w:val="21"/>
        <w:tblW w:w="5000" w:type="pct"/>
        <w:tblLook w:val="04A0" w:firstRow="1" w:lastRow="0" w:firstColumn="1" w:lastColumn="0" w:noHBand="0" w:noVBand="1"/>
      </w:tblPr>
      <w:tblGrid>
        <w:gridCol w:w="2310"/>
        <w:gridCol w:w="1343"/>
        <w:gridCol w:w="1076"/>
        <w:gridCol w:w="1076"/>
        <w:gridCol w:w="1076"/>
        <w:gridCol w:w="1343"/>
        <w:gridCol w:w="1076"/>
        <w:gridCol w:w="1076"/>
        <w:gridCol w:w="1076"/>
        <w:gridCol w:w="1343"/>
        <w:gridCol w:w="1076"/>
        <w:gridCol w:w="1076"/>
        <w:gridCol w:w="1076"/>
      </w:tblGrid>
      <w:tr w:rsidR="00372E57" w:rsidRPr="003448EB" w14:paraId="04A87381" w14:textId="77777777" w:rsidTr="00F81B92">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720" w:type="pct"/>
            <w:vMerge w:val="restart"/>
            <w:noWrap/>
            <w:vAlign w:val="center"/>
            <w:hideMark/>
          </w:tcPr>
          <w:p w14:paraId="3BB4B8A4" w14:textId="77777777" w:rsidR="00372E57" w:rsidRPr="003448EB" w:rsidRDefault="00372E57" w:rsidP="00F81B92">
            <w:pPr>
              <w:snapToGrid w:val="0"/>
              <w:spacing w:line="360" w:lineRule="auto"/>
              <w:contextualSpacing/>
              <w:jc w:val="both"/>
              <w:rPr>
                <w:rFonts w:ascii="Book Antiqua" w:eastAsia="Yu Gothic" w:hAnsi="Book Antiqua"/>
              </w:rPr>
            </w:pPr>
          </w:p>
        </w:tc>
        <w:tc>
          <w:tcPr>
            <w:tcW w:w="1427" w:type="pct"/>
            <w:gridSpan w:val="4"/>
            <w:noWrap/>
            <w:vAlign w:val="center"/>
            <w:hideMark/>
          </w:tcPr>
          <w:p w14:paraId="1F1C3576" w14:textId="77777777" w:rsidR="00372E57" w:rsidRPr="003448EB" w:rsidRDefault="00372E57" w:rsidP="00F81B92">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A (</w:t>
            </w:r>
            <w:r w:rsidRPr="003448EB">
              <w:rPr>
                <w:rFonts w:ascii="Book Antiqua" w:eastAsia="Yu Gothic" w:hAnsi="Book Antiqua"/>
                <w:i/>
              </w:rPr>
              <w:t>n</w:t>
            </w:r>
            <w:r w:rsidRPr="003448EB">
              <w:rPr>
                <w:rFonts w:ascii="Book Antiqua" w:eastAsia="Yu Gothic" w:hAnsi="Book Antiqua"/>
              </w:rPr>
              <w:t xml:space="preserve"> = 41)</w:t>
            </w:r>
          </w:p>
        </w:tc>
        <w:tc>
          <w:tcPr>
            <w:tcW w:w="1427" w:type="pct"/>
            <w:gridSpan w:val="4"/>
            <w:noWrap/>
            <w:vAlign w:val="center"/>
            <w:hideMark/>
          </w:tcPr>
          <w:p w14:paraId="183BA718" w14:textId="77777777" w:rsidR="00372E57" w:rsidRPr="003448EB" w:rsidRDefault="00372E57" w:rsidP="00F81B92">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1427" w:type="pct"/>
            <w:gridSpan w:val="4"/>
            <w:noWrap/>
            <w:vAlign w:val="center"/>
            <w:hideMark/>
          </w:tcPr>
          <w:p w14:paraId="4385F22D" w14:textId="77777777" w:rsidR="00372E57" w:rsidRPr="003448EB" w:rsidRDefault="00372E57" w:rsidP="00F81B92">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r>
      <w:tr w:rsidR="00372E57" w:rsidRPr="003448EB" w14:paraId="49628E44" w14:textId="77777777" w:rsidTr="00F81B9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20" w:type="pct"/>
            <w:vMerge/>
            <w:tcBorders>
              <w:bottom w:val="single" w:sz="4" w:space="0" w:color="auto"/>
            </w:tcBorders>
            <w:noWrap/>
            <w:vAlign w:val="center"/>
            <w:hideMark/>
          </w:tcPr>
          <w:p w14:paraId="4D63D675" w14:textId="77777777" w:rsidR="00372E57" w:rsidRPr="003448EB" w:rsidRDefault="00372E57" w:rsidP="00F81B92">
            <w:pPr>
              <w:snapToGrid w:val="0"/>
              <w:spacing w:line="360" w:lineRule="auto"/>
              <w:contextualSpacing/>
              <w:jc w:val="both"/>
              <w:rPr>
                <w:rFonts w:ascii="Book Antiqua" w:eastAsia="Yu Gothic" w:hAnsi="Book Antiqua"/>
              </w:rPr>
            </w:pPr>
          </w:p>
        </w:tc>
        <w:tc>
          <w:tcPr>
            <w:tcW w:w="416" w:type="pct"/>
            <w:tcBorders>
              <w:bottom w:val="single" w:sz="4" w:space="0" w:color="auto"/>
            </w:tcBorders>
            <w:noWrap/>
            <w:vAlign w:val="center"/>
            <w:hideMark/>
          </w:tcPr>
          <w:p w14:paraId="0A2721FF"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All grades</w:t>
            </w:r>
          </w:p>
        </w:tc>
        <w:tc>
          <w:tcPr>
            <w:tcW w:w="337" w:type="pct"/>
            <w:tcBorders>
              <w:bottom w:val="single" w:sz="4" w:space="0" w:color="auto"/>
            </w:tcBorders>
            <w:noWrap/>
            <w:vAlign w:val="center"/>
            <w:hideMark/>
          </w:tcPr>
          <w:p w14:paraId="1A4FDEC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1</w:t>
            </w:r>
          </w:p>
        </w:tc>
        <w:tc>
          <w:tcPr>
            <w:tcW w:w="337" w:type="pct"/>
            <w:tcBorders>
              <w:bottom w:val="single" w:sz="4" w:space="0" w:color="auto"/>
            </w:tcBorders>
            <w:noWrap/>
            <w:vAlign w:val="center"/>
            <w:hideMark/>
          </w:tcPr>
          <w:p w14:paraId="0523039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2</w:t>
            </w:r>
          </w:p>
        </w:tc>
        <w:tc>
          <w:tcPr>
            <w:tcW w:w="337" w:type="pct"/>
            <w:tcBorders>
              <w:bottom w:val="single" w:sz="4" w:space="0" w:color="auto"/>
            </w:tcBorders>
            <w:noWrap/>
            <w:vAlign w:val="center"/>
            <w:hideMark/>
          </w:tcPr>
          <w:p w14:paraId="2B4C81C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3</w:t>
            </w:r>
          </w:p>
        </w:tc>
        <w:tc>
          <w:tcPr>
            <w:tcW w:w="416" w:type="pct"/>
            <w:tcBorders>
              <w:bottom w:val="single" w:sz="4" w:space="0" w:color="auto"/>
            </w:tcBorders>
            <w:noWrap/>
            <w:vAlign w:val="center"/>
            <w:hideMark/>
          </w:tcPr>
          <w:p w14:paraId="311BA0A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All grades</w:t>
            </w:r>
          </w:p>
        </w:tc>
        <w:tc>
          <w:tcPr>
            <w:tcW w:w="337" w:type="pct"/>
            <w:tcBorders>
              <w:bottom w:val="single" w:sz="4" w:space="0" w:color="auto"/>
            </w:tcBorders>
            <w:noWrap/>
            <w:vAlign w:val="center"/>
            <w:hideMark/>
          </w:tcPr>
          <w:p w14:paraId="0BEF466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1</w:t>
            </w:r>
          </w:p>
        </w:tc>
        <w:tc>
          <w:tcPr>
            <w:tcW w:w="337" w:type="pct"/>
            <w:tcBorders>
              <w:bottom w:val="single" w:sz="4" w:space="0" w:color="auto"/>
            </w:tcBorders>
            <w:noWrap/>
            <w:vAlign w:val="center"/>
            <w:hideMark/>
          </w:tcPr>
          <w:p w14:paraId="756D343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2</w:t>
            </w:r>
          </w:p>
        </w:tc>
        <w:tc>
          <w:tcPr>
            <w:tcW w:w="337" w:type="pct"/>
            <w:tcBorders>
              <w:bottom w:val="single" w:sz="4" w:space="0" w:color="auto"/>
            </w:tcBorders>
            <w:noWrap/>
            <w:vAlign w:val="center"/>
            <w:hideMark/>
          </w:tcPr>
          <w:p w14:paraId="7979D8EE"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3</w:t>
            </w:r>
          </w:p>
        </w:tc>
        <w:tc>
          <w:tcPr>
            <w:tcW w:w="416" w:type="pct"/>
            <w:tcBorders>
              <w:bottom w:val="single" w:sz="4" w:space="0" w:color="auto"/>
            </w:tcBorders>
            <w:noWrap/>
            <w:vAlign w:val="center"/>
            <w:hideMark/>
          </w:tcPr>
          <w:p w14:paraId="52841B7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All grades</w:t>
            </w:r>
          </w:p>
        </w:tc>
        <w:tc>
          <w:tcPr>
            <w:tcW w:w="337" w:type="pct"/>
            <w:tcBorders>
              <w:bottom w:val="single" w:sz="4" w:space="0" w:color="auto"/>
            </w:tcBorders>
            <w:noWrap/>
            <w:vAlign w:val="center"/>
            <w:hideMark/>
          </w:tcPr>
          <w:p w14:paraId="311EB1E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1</w:t>
            </w:r>
          </w:p>
        </w:tc>
        <w:tc>
          <w:tcPr>
            <w:tcW w:w="337" w:type="pct"/>
            <w:tcBorders>
              <w:bottom w:val="single" w:sz="4" w:space="0" w:color="auto"/>
            </w:tcBorders>
            <w:noWrap/>
            <w:vAlign w:val="center"/>
            <w:hideMark/>
          </w:tcPr>
          <w:p w14:paraId="019C70B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2</w:t>
            </w:r>
          </w:p>
        </w:tc>
        <w:tc>
          <w:tcPr>
            <w:tcW w:w="337" w:type="pct"/>
            <w:tcBorders>
              <w:bottom w:val="single" w:sz="4" w:space="0" w:color="auto"/>
            </w:tcBorders>
            <w:noWrap/>
            <w:vAlign w:val="center"/>
            <w:hideMark/>
          </w:tcPr>
          <w:p w14:paraId="699D0F5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rPr>
            </w:pPr>
            <w:r w:rsidRPr="003448EB">
              <w:rPr>
                <w:rFonts w:ascii="Book Antiqua" w:eastAsia="Yu Gothic" w:hAnsi="Book Antiqua"/>
                <w:b/>
              </w:rPr>
              <w:t>Grade 3</w:t>
            </w:r>
          </w:p>
        </w:tc>
      </w:tr>
      <w:tr w:rsidR="00372E57" w:rsidRPr="003448EB" w14:paraId="254CDF4E" w14:textId="77777777" w:rsidTr="00F81B92">
        <w:trPr>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single" w:sz="4" w:space="0" w:color="auto"/>
              <w:bottom w:val="nil"/>
            </w:tcBorders>
            <w:vAlign w:val="center"/>
            <w:hideMark/>
          </w:tcPr>
          <w:p w14:paraId="64F8B033"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Any adverse event</w:t>
            </w:r>
          </w:p>
        </w:tc>
        <w:tc>
          <w:tcPr>
            <w:tcW w:w="416" w:type="pct"/>
            <w:tcBorders>
              <w:top w:val="single" w:sz="4" w:space="0" w:color="auto"/>
              <w:bottom w:val="nil"/>
            </w:tcBorders>
            <w:vAlign w:val="center"/>
            <w:hideMark/>
          </w:tcPr>
          <w:p w14:paraId="338C8B24"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37 (90.2)</w:t>
            </w:r>
          </w:p>
        </w:tc>
        <w:tc>
          <w:tcPr>
            <w:tcW w:w="337" w:type="pct"/>
            <w:tcBorders>
              <w:top w:val="single" w:sz="4" w:space="0" w:color="auto"/>
              <w:bottom w:val="nil"/>
            </w:tcBorders>
            <w:vAlign w:val="center"/>
            <w:hideMark/>
          </w:tcPr>
          <w:p w14:paraId="31C2AC2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 (73.2)</w:t>
            </w:r>
          </w:p>
        </w:tc>
        <w:tc>
          <w:tcPr>
            <w:tcW w:w="337" w:type="pct"/>
            <w:tcBorders>
              <w:top w:val="single" w:sz="4" w:space="0" w:color="auto"/>
              <w:bottom w:val="nil"/>
            </w:tcBorders>
            <w:vAlign w:val="center"/>
            <w:hideMark/>
          </w:tcPr>
          <w:p w14:paraId="145370B2"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18 (43.9)</w:t>
            </w:r>
          </w:p>
        </w:tc>
        <w:tc>
          <w:tcPr>
            <w:tcW w:w="337" w:type="pct"/>
            <w:tcBorders>
              <w:top w:val="single" w:sz="4" w:space="0" w:color="auto"/>
              <w:bottom w:val="nil"/>
            </w:tcBorders>
            <w:vAlign w:val="center"/>
            <w:hideMark/>
          </w:tcPr>
          <w:p w14:paraId="6017214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 (12.2)</w:t>
            </w:r>
          </w:p>
        </w:tc>
        <w:tc>
          <w:tcPr>
            <w:tcW w:w="416" w:type="pct"/>
            <w:tcBorders>
              <w:top w:val="single" w:sz="4" w:space="0" w:color="auto"/>
              <w:bottom w:val="nil"/>
            </w:tcBorders>
            <w:vAlign w:val="center"/>
            <w:hideMark/>
          </w:tcPr>
          <w:p w14:paraId="72654922"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 (100)</w:t>
            </w:r>
          </w:p>
        </w:tc>
        <w:tc>
          <w:tcPr>
            <w:tcW w:w="337" w:type="pct"/>
            <w:tcBorders>
              <w:top w:val="single" w:sz="4" w:space="0" w:color="auto"/>
              <w:bottom w:val="nil"/>
            </w:tcBorders>
            <w:vAlign w:val="center"/>
            <w:hideMark/>
          </w:tcPr>
          <w:p w14:paraId="32B3861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28 (93.3)</w:t>
            </w:r>
          </w:p>
        </w:tc>
        <w:tc>
          <w:tcPr>
            <w:tcW w:w="337" w:type="pct"/>
            <w:tcBorders>
              <w:top w:val="single" w:sz="4" w:space="0" w:color="auto"/>
              <w:bottom w:val="nil"/>
            </w:tcBorders>
            <w:vAlign w:val="center"/>
            <w:hideMark/>
          </w:tcPr>
          <w:p w14:paraId="2C2C6AE3"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24 (80.0)</w:t>
            </w:r>
          </w:p>
        </w:tc>
        <w:tc>
          <w:tcPr>
            <w:tcW w:w="337" w:type="pct"/>
            <w:tcBorders>
              <w:top w:val="single" w:sz="4" w:space="0" w:color="auto"/>
              <w:bottom w:val="nil"/>
            </w:tcBorders>
            <w:vAlign w:val="center"/>
            <w:hideMark/>
          </w:tcPr>
          <w:p w14:paraId="3F0D5F55"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(46.6)</w:t>
            </w:r>
          </w:p>
        </w:tc>
        <w:tc>
          <w:tcPr>
            <w:tcW w:w="416" w:type="pct"/>
            <w:tcBorders>
              <w:top w:val="single" w:sz="4" w:space="0" w:color="auto"/>
              <w:bottom w:val="nil"/>
            </w:tcBorders>
            <w:vAlign w:val="center"/>
            <w:hideMark/>
          </w:tcPr>
          <w:p w14:paraId="7F0F03A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63 (100)</w:t>
            </w:r>
          </w:p>
        </w:tc>
        <w:tc>
          <w:tcPr>
            <w:tcW w:w="337" w:type="pct"/>
            <w:tcBorders>
              <w:top w:val="single" w:sz="4" w:space="0" w:color="auto"/>
              <w:bottom w:val="nil"/>
            </w:tcBorders>
            <w:vAlign w:val="center"/>
            <w:hideMark/>
          </w:tcPr>
          <w:p w14:paraId="7E0D5F8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58 (92.1)</w:t>
            </w:r>
          </w:p>
        </w:tc>
        <w:tc>
          <w:tcPr>
            <w:tcW w:w="337" w:type="pct"/>
            <w:tcBorders>
              <w:top w:val="single" w:sz="4" w:space="0" w:color="auto"/>
              <w:bottom w:val="nil"/>
            </w:tcBorders>
            <w:vAlign w:val="center"/>
            <w:hideMark/>
          </w:tcPr>
          <w:p w14:paraId="6216FA7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36 (57.1)</w:t>
            </w:r>
          </w:p>
        </w:tc>
        <w:tc>
          <w:tcPr>
            <w:tcW w:w="337" w:type="pct"/>
            <w:tcBorders>
              <w:top w:val="single" w:sz="4" w:space="0" w:color="auto"/>
              <w:bottom w:val="nil"/>
            </w:tcBorders>
            <w:vAlign w:val="center"/>
            <w:hideMark/>
          </w:tcPr>
          <w:p w14:paraId="269460A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(22.2)</w:t>
            </w:r>
          </w:p>
        </w:tc>
      </w:tr>
      <w:tr w:rsidR="00372E57" w:rsidRPr="003448EB" w14:paraId="031DEC1A" w14:textId="77777777" w:rsidTr="00F81B9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111F77C0"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Hand-foot skin reaction</w:t>
            </w:r>
          </w:p>
        </w:tc>
        <w:tc>
          <w:tcPr>
            <w:tcW w:w="416" w:type="pct"/>
            <w:tcBorders>
              <w:top w:val="nil"/>
              <w:bottom w:val="nil"/>
            </w:tcBorders>
            <w:vAlign w:val="center"/>
            <w:hideMark/>
          </w:tcPr>
          <w:p w14:paraId="7F41AE0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bottom w:val="nil"/>
            </w:tcBorders>
            <w:vAlign w:val="center"/>
            <w:hideMark/>
          </w:tcPr>
          <w:p w14:paraId="15BD517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bottom w:val="nil"/>
            </w:tcBorders>
            <w:vAlign w:val="center"/>
            <w:hideMark/>
          </w:tcPr>
          <w:p w14:paraId="1AEB8B9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bottom w:val="nil"/>
            </w:tcBorders>
            <w:vAlign w:val="center"/>
            <w:hideMark/>
          </w:tcPr>
          <w:p w14:paraId="5955EFC6"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50DC5E5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30 (100)</w:t>
            </w:r>
          </w:p>
        </w:tc>
        <w:tc>
          <w:tcPr>
            <w:tcW w:w="337" w:type="pct"/>
            <w:tcBorders>
              <w:top w:val="nil"/>
              <w:bottom w:val="nil"/>
            </w:tcBorders>
            <w:vAlign w:val="center"/>
            <w:hideMark/>
          </w:tcPr>
          <w:p w14:paraId="311B05A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15 (50.0)</w:t>
            </w:r>
          </w:p>
        </w:tc>
        <w:tc>
          <w:tcPr>
            <w:tcW w:w="337" w:type="pct"/>
            <w:tcBorders>
              <w:top w:val="nil"/>
              <w:bottom w:val="nil"/>
            </w:tcBorders>
            <w:vAlign w:val="center"/>
            <w:hideMark/>
          </w:tcPr>
          <w:p w14:paraId="74B54C7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(33.3)</w:t>
            </w:r>
          </w:p>
        </w:tc>
        <w:tc>
          <w:tcPr>
            <w:tcW w:w="337" w:type="pct"/>
            <w:tcBorders>
              <w:top w:val="nil"/>
              <w:bottom w:val="nil"/>
            </w:tcBorders>
            <w:vAlign w:val="center"/>
            <w:hideMark/>
          </w:tcPr>
          <w:p w14:paraId="6A430E7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416" w:type="pct"/>
            <w:tcBorders>
              <w:top w:val="nil"/>
              <w:bottom w:val="nil"/>
            </w:tcBorders>
            <w:vAlign w:val="center"/>
            <w:hideMark/>
          </w:tcPr>
          <w:p w14:paraId="298E4BF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63 (100)</w:t>
            </w:r>
          </w:p>
        </w:tc>
        <w:tc>
          <w:tcPr>
            <w:tcW w:w="337" w:type="pct"/>
            <w:tcBorders>
              <w:top w:val="nil"/>
              <w:bottom w:val="nil"/>
            </w:tcBorders>
            <w:vAlign w:val="center"/>
            <w:hideMark/>
          </w:tcPr>
          <w:p w14:paraId="5305E63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39 (61.9)</w:t>
            </w:r>
          </w:p>
        </w:tc>
        <w:tc>
          <w:tcPr>
            <w:tcW w:w="337" w:type="pct"/>
            <w:tcBorders>
              <w:top w:val="nil"/>
              <w:bottom w:val="nil"/>
            </w:tcBorders>
            <w:vAlign w:val="center"/>
            <w:hideMark/>
          </w:tcPr>
          <w:p w14:paraId="245D22B2"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19 (30.2)</w:t>
            </w:r>
          </w:p>
        </w:tc>
        <w:tc>
          <w:tcPr>
            <w:tcW w:w="337" w:type="pct"/>
            <w:tcBorders>
              <w:top w:val="nil"/>
              <w:bottom w:val="nil"/>
            </w:tcBorders>
            <w:vAlign w:val="center"/>
            <w:hideMark/>
          </w:tcPr>
          <w:p w14:paraId="2408DD4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(7.9)</w:t>
            </w:r>
          </w:p>
        </w:tc>
      </w:tr>
      <w:tr w:rsidR="00372E57" w:rsidRPr="003448EB" w14:paraId="47B93C08" w14:textId="77777777" w:rsidTr="00F81B92">
        <w:trPr>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2DF745DD"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Anemia</w:t>
            </w:r>
          </w:p>
        </w:tc>
        <w:tc>
          <w:tcPr>
            <w:tcW w:w="416" w:type="pct"/>
            <w:tcBorders>
              <w:top w:val="nil"/>
              <w:bottom w:val="nil"/>
            </w:tcBorders>
            <w:vAlign w:val="center"/>
            <w:hideMark/>
          </w:tcPr>
          <w:p w14:paraId="023FED6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 (41.5)</w:t>
            </w:r>
          </w:p>
        </w:tc>
        <w:tc>
          <w:tcPr>
            <w:tcW w:w="337" w:type="pct"/>
            <w:tcBorders>
              <w:top w:val="nil"/>
              <w:bottom w:val="nil"/>
            </w:tcBorders>
            <w:vAlign w:val="center"/>
            <w:hideMark/>
          </w:tcPr>
          <w:p w14:paraId="6983692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(19.5)</w:t>
            </w:r>
          </w:p>
        </w:tc>
        <w:tc>
          <w:tcPr>
            <w:tcW w:w="337" w:type="pct"/>
            <w:tcBorders>
              <w:top w:val="nil"/>
              <w:bottom w:val="nil"/>
            </w:tcBorders>
            <w:vAlign w:val="center"/>
            <w:hideMark/>
          </w:tcPr>
          <w:p w14:paraId="7165C3C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8 (19.5)</w:t>
            </w:r>
          </w:p>
        </w:tc>
        <w:tc>
          <w:tcPr>
            <w:tcW w:w="337" w:type="pct"/>
            <w:tcBorders>
              <w:top w:val="nil"/>
              <w:bottom w:val="nil"/>
            </w:tcBorders>
            <w:vAlign w:val="center"/>
            <w:hideMark/>
          </w:tcPr>
          <w:p w14:paraId="681391A3"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 (2.4)</w:t>
            </w:r>
          </w:p>
        </w:tc>
        <w:tc>
          <w:tcPr>
            <w:tcW w:w="416" w:type="pct"/>
            <w:tcBorders>
              <w:top w:val="nil"/>
              <w:bottom w:val="nil"/>
            </w:tcBorders>
            <w:vAlign w:val="center"/>
            <w:hideMark/>
          </w:tcPr>
          <w:p w14:paraId="51C701D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20 (66.6)</w:t>
            </w:r>
          </w:p>
        </w:tc>
        <w:tc>
          <w:tcPr>
            <w:tcW w:w="337" w:type="pct"/>
            <w:tcBorders>
              <w:top w:val="nil"/>
              <w:bottom w:val="nil"/>
            </w:tcBorders>
            <w:vAlign w:val="center"/>
            <w:hideMark/>
          </w:tcPr>
          <w:p w14:paraId="5A9E76F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 (43.3)</w:t>
            </w:r>
          </w:p>
        </w:tc>
        <w:tc>
          <w:tcPr>
            <w:tcW w:w="337" w:type="pct"/>
            <w:tcBorders>
              <w:top w:val="nil"/>
              <w:bottom w:val="nil"/>
            </w:tcBorders>
            <w:vAlign w:val="center"/>
            <w:hideMark/>
          </w:tcPr>
          <w:p w14:paraId="0C469DC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(13.3)</w:t>
            </w:r>
          </w:p>
        </w:tc>
        <w:tc>
          <w:tcPr>
            <w:tcW w:w="337" w:type="pct"/>
            <w:tcBorders>
              <w:top w:val="nil"/>
              <w:bottom w:val="nil"/>
            </w:tcBorders>
            <w:vAlign w:val="center"/>
            <w:hideMark/>
          </w:tcPr>
          <w:p w14:paraId="0C1E953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416" w:type="pct"/>
            <w:tcBorders>
              <w:top w:val="nil"/>
              <w:bottom w:val="nil"/>
            </w:tcBorders>
            <w:vAlign w:val="center"/>
            <w:hideMark/>
          </w:tcPr>
          <w:p w14:paraId="0C4DFC0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23 (36.5)</w:t>
            </w:r>
          </w:p>
        </w:tc>
        <w:tc>
          <w:tcPr>
            <w:tcW w:w="337" w:type="pct"/>
            <w:tcBorders>
              <w:top w:val="nil"/>
              <w:bottom w:val="nil"/>
            </w:tcBorders>
            <w:vAlign w:val="center"/>
            <w:hideMark/>
          </w:tcPr>
          <w:p w14:paraId="26CA44C1"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(22.2)</w:t>
            </w:r>
          </w:p>
        </w:tc>
        <w:tc>
          <w:tcPr>
            <w:tcW w:w="337" w:type="pct"/>
            <w:tcBorders>
              <w:top w:val="nil"/>
              <w:bottom w:val="nil"/>
            </w:tcBorders>
            <w:vAlign w:val="center"/>
            <w:hideMark/>
          </w:tcPr>
          <w:p w14:paraId="38BC5A0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(11.1)</w:t>
            </w:r>
          </w:p>
        </w:tc>
        <w:tc>
          <w:tcPr>
            <w:tcW w:w="337" w:type="pct"/>
            <w:tcBorders>
              <w:top w:val="nil"/>
              <w:bottom w:val="nil"/>
            </w:tcBorders>
            <w:vAlign w:val="center"/>
            <w:hideMark/>
          </w:tcPr>
          <w:p w14:paraId="2CD6CE6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(3.2)</w:t>
            </w:r>
          </w:p>
        </w:tc>
      </w:tr>
      <w:tr w:rsidR="00372E57" w:rsidRPr="003448EB" w14:paraId="0B4762FA" w14:textId="77777777" w:rsidTr="00F81B9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2840C6FD"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Diarrhea</w:t>
            </w:r>
          </w:p>
        </w:tc>
        <w:tc>
          <w:tcPr>
            <w:tcW w:w="416" w:type="pct"/>
            <w:tcBorders>
              <w:top w:val="nil"/>
              <w:bottom w:val="nil"/>
            </w:tcBorders>
            <w:vAlign w:val="center"/>
            <w:hideMark/>
          </w:tcPr>
          <w:p w14:paraId="581EA7B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15 (36.6)</w:t>
            </w:r>
          </w:p>
        </w:tc>
        <w:tc>
          <w:tcPr>
            <w:tcW w:w="337" w:type="pct"/>
            <w:tcBorders>
              <w:top w:val="nil"/>
              <w:bottom w:val="nil"/>
            </w:tcBorders>
            <w:vAlign w:val="center"/>
            <w:hideMark/>
          </w:tcPr>
          <w:p w14:paraId="2B14B5C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12 (29.3)</w:t>
            </w:r>
          </w:p>
        </w:tc>
        <w:tc>
          <w:tcPr>
            <w:tcW w:w="337" w:type="pct"/>
            <w:tcBorders>
              <w:top w:val="nil"/>
              <w:bottom w:val="nil"/>
            </w:tcBorders>
            <w:vAlign w:val="center"/>
            <w:hideMark/>
          </w:tcPr>
          <w:p w14:paraId="548D6F46"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337" w:type="pct"/>
            <w:tcBorders>
              <w:top w:val="nil"/>
              <w:bottom w:val="nil"/>
            </w:tcBorders>
            <w:vAlign w:val="center"/>
            <w:hideMark/>
          </w:tcPr>
          <w:p w14:paraId="50F2B92E"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0AB6F102"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 (36.6)</w:t>
            </w:r>
          </w:p>
        </w:tc>
        <w:tc>
          <w:tcPr>
            <w:tcW w:w="337" w:type="pct"/>
            <w:tcBorders>
              <w:top w:val="nil"/>
              <w:bottom w:val="nil"/>
            </w:tcBorders>
            <w:vAlign w:val="center"/>
            <w:hideMark/>
          </w:tcPr>
          <w:p w14:paraId="27487E4B"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(30.0)</w:t>
            </w:r>
          </w:p>
        </w:tc>
        <w:tc>
          <w:tcPr>
            <w:tcW w:w="337" w:type="pct"/>
            <w:tcBorders>
              <w:top w:val="nil"/>
              <w:bottom w:val="nil"/>
            </w:tcBorders>
            <w:vAlign w:val="center"/>
            <w:hideMark/>
          </w:tcPr>
          <w:p w14:paraId="2321CF4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337" w:type="pct"/>
            <w:tcBorders>
              <w:top w:val="nil"/>
              <w:bottom w:val="nil"/>
            </w:tcBorders>
            <w:vAlign w:val="center"/>
            <w:hideMark/>
          </w:tcPr>
          <w:p w14:paraId="631A7E7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416" w:type="pct"/>
            <w:tcBorders>
              <w:top w:val="nil"/>
              <w:bottom w:val="nil"/>
            </w:tcBorders>
            <w:vAlign w:val="center"/>
            <w:hideMark/>
          </w:tcPr>
          <w:p w14:paraId="0A72454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27 (42.8)</w:t>
            </w:r>
          </w:p>
        </w:tc>
        <w:tc>
          <w:tcPr>
            <w:tcW w:w="337" w:type="pct"/>
            <w:tcBorders>
              <w:top w:val="nil"/>
              <w:bottom w:val="nil"/>
            </w:tcBorders>
            <w:vAlign w:val="center"/>
            <w:hideMark/>
          </w:tcPr>
          <w:p w14:paraId="5CD817B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21 (33.3)</w:t>
            </w:r>
          </w:p>
        </w:tc>
        <w:tc>
          <w:tcPr>
            <w:tcW w:w="337" w:type="pct"/>
            <w:tcBorders>
              <w:top w:val="nil"/>
              <w:bottom w:val="nil"/>
            </w:tcBorders>
            <w:vAlign w:val="center"/>
            <w:hideMark/>
          </w:tcPr>
          <w:p w14:paraId="6912DBC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 (3.2)</w:t>
            </w:r>
          </w:p>
        </w:tc>
        <w:tc>
          <w:tcPr>
            <w:tcW w:w="337" w:type="pct"/>
            <w:tcBorders>
              <w:top w:val="nil"/>
              <w:bottom w:val="nil"/>
            </w:tcBorders>
            <w:vAlign w:val="center"/>
            <w:hideMark/>
          </w:tcPr>
          <w:p w14:paraId="1385B39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(6.3)</w:t>
            </w:r>
          </w:p>
        </w:tc>
      </w:tr>
      <w:tr w:rsidR="00372E57" w:rsidRPr="003448EB" w14:paraId="42482449" w14:textId="77777777" w:rsidTr="00F81B92">
        <w:trPr>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4CACD05C"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Fatigue</w:t>
            </w:r>
          </w:p>
        </w:tc>
        <w:tc>
          <w:tcPr>
            <w:tcW w:w="416" w:type="pct"/>
            <w:tcBorders>
              <w:top w:val="nil"/>
              <w:bottom w:val="nil"/>
            </w:tcBorders>
            <w:vAlign w:val="center"/>
            <w:hideMark/>
          </w:tcPr>
          <w:p w14:paraId="1CC2347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14 (34.1)</w:t>
            </w:r>
          </w:p>
        </w:tc>
        <w:tc>
          <w:tcPr>
            <w:tcW w:w="337" w:type="pct"/>
            <w:tcBorders>
              <w:top w:val="nil"/>
              <w:bottom w:val="nil"/>
            </w:tcBorders>
            <w:vAlign w:val="center"/>
            <w:hideMark/>
          </w:tcPr>
          <w:p w14:paraId="616360F1"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(26.8)</w:t>
            </w:r>
          </w:p>
        </w:tc>
        <w:tc>
          <w:tcPr>
            <w:tcW w:w="337" w:type="pct"/>
            <w:tcBorders>
              <w:top w:val="nil"/>
              <w:bottom w:val="nil"/>
            </w:tcBorders>
            <w:vAlign w:val="center"/>
            <w:hideMark/>
          </w:tcPr>
          <w:p w14:paraId="3C8AE1BB"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337" w:type="pct"/>
            <w:tcBorders>
              <w:top w:val="nil"/>
              <w:bottom w:val="nil"/>
            </w:tcBorders>
            <w:vAlign w:val="center"/>
            <w:hideMark/>
          </w:tcPr>
          <w:p w14:paraId="3702972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796D934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11 (36.6)</w:t>
            </w:r>
          </w:p>
        </w:tc>
        <w:tc>
          <w:tcPr>
            <w:tcW w:w="337" w:type="pct"/>
            <w:tcBorders>
              <w:top w:val="nil"/>
              <w:bottom w:val="nil"/>
            </w:tcBorders>
            <w:vAlign w:val="center"/>
            <w:hideMark/>
          </w:tcPr>
          <w:p w14:paraId="7BB8CC8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337" w:type="pct"/>
            <w:tcBorders>
              <w:top w:val="nil"/>
              <w:bottom w:val="nil"/>
            </w:tcBorders>
            <w:vAlign w:val="center"/>
            <w:hideMark/>
          </w:tcPr>
          <w:p w14:paraId="7B8B7C6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(13.3)</w:t>
            </w:r>
          </w:p>
        </w:tc>
        <w:tc>
          <w:tcPr>
            <w:tcW w:w="337" w:type="pct"/>
            <w:tcBorders>
              <w:top w:val="nil"/>
              <w:bottom w:val="nil"/>
            </w:tcBorders>
            <w:vAlign w:val="center"/>
            <w:hideMark/>
          </w:tcPr>
          <w:p w14:paraId="31309D7D"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31169A0E"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 (25.4)</w:t>
            </w:r>
          </w:p>
        </w:tc>
        <w:tc>
          <w:tcPr>
            <w:tcW w:w="337" w:type="pct"/>
            <w:tcBorders>
              <w:top w:val="nil"/>
              <w:bottom w:val="nil"/>
            </w:tcBorders>
            <w:vAlign w:val="center"/>
            <w:hideMark/>
          </w:tcPr>
          <w:p w14:paraId="4B20D62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(15.9)</w:t>
            </w:r>
          </w:p>
        </w:tc>
        <w:tc>
          <w:tcPr>
            <w:tcW w:w="337" w:type="pct"/>
            <w:tcBorders>
              <w:top w:val="nil"/>
              <w:bottom w:val="nil"/>
            </w:tcBorders>
            <w:vAlign w:val="center"/>
            <w:hideMark/>
          </w:tcPr>
          <w:p w14:paraId="45C4E33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(9.5)</w:t>
            </w:r>
          </w:p>
        </w:tc>
        <w:tc>
          <w:tcPr>
            <w:tcW w:w="337" w:type="pct"/>
            <w:tcBorders>
              <w:top w:val="nil"/>
              <w:bottom w:val="nil"/>
            </w:tcBorders>
            <w:vAlign w:val="center"/>
            <w:hideMark/>
          </w:tcPr>
          <w:p w14:paraId="2D4EC77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r w:rsidR="00372E57" w:rsidRPr="003448EB" w14:paraId="4FF66075" w14:textId="77777777" w:rsidTr="00F81B9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64A4D37E"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Anorexia</w:t>
            </w:r>
          </w:p>
        </w:tc>
        <w:tc>
          <w:tcPr>
            <w:tcW w:w="416" w:type="pct"/>
            <w:tcBorders>
              <w:top w:val="nil"/>
              <w:bottom w:val="nil"/>
            </w:tcBorders>
            <w:vAlign w:val="center"/>
            <w:hideMark/>
          </w:tcPr>
          <w:p w14:paraId="225273D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14 (34.1)</w:t>
            </w:r>
          </w:p>
        </w:tc>
        <w:tc>
          <w:tcPr>
            <w:tcW w:w="337" w:type="pct"/>
            <w:tcBorders>
              <w:top w:val="nil"/>
              <w:bottom w:val="nil"/>
            </w:tcBorders>
            <w:vAlign w:val="center"/>
            <w:hideMark/>
          </w:tcPr>
          <w:p w14:paraId="503314F6"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337" w:type="pct"/>
            <w:tcBorders>
              <w:top w:val="nil"/>
              <w:bottom w:val="nil"/>
            </w:tcBorders>
            <w:vAlign w:val="center"/>
            <w:hideMark/>
          </w:tcPr>
          <w:p w14:paraId="52B805FF"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337" w:type="pct"/>
            <w:tcBorders>
              <w:top w:val="nil"/>
              <w:bottom w:val="nil"/>
            </w:tcBorders>
            <w:vAlign w:val="center"/>
            <w:hideMark/>
          </w:tcPr>
          <w:p w14:paraId="78CADF4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(2.4)</w:t>
            </w:r>
          </w:p>
        </w:tc>
        <w:tc>
          <w:tcPr>
            <w:tcW w:w="416" w:type="pct"/>
            <w:tcBorders>
              <w:top w:val="nil"/>
              <w:bottom w:val="nil"/>
            </w:tcBorders>
            <w:vAlign w:val="center"/>
            <w:hideMark/>
          </w:tcPr>
          <w:p w14:paraId="19E57ABF"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337" w:type="pct"/>
            <w:tcBorders>
              <w:top w:val="nil"/>
              <w:bottom w:val="nil"/>
            </w:tcBorders>
            <w:vAlign w:val="center"/>
            <w:hideMark/>
          </w:tcPr>
          <w:p w14:paraId="13A2A8E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337" w:type="pct"/>
            <w:tcBorders>
              <w:top w:val="nil"/>
              <w:bottom w:val="nil"/>
            </w:tcBorders>
            <w:vAlign w:val="center"/>
            <w:hideMark/>
          </w:tcPr>
          <w:p w14:paraId="6236BCF9"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337" w:type="pct"/>
            <w:tcBorders>
              <w:top w:val="nil"/>
              <w:bottom w:val="nil"/>
            </w:tcBorders>
            <w:vAlign w:val="center"/>
            <w:hideMark/>
          </w:tcPr>
          <w:p w14:paraId="68FC7D7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(3.3)</w:t>
            </w:r>
          </w:p>
        </w:tc>
        <w:tc>
          <w:tcPr>
            <w:tcW w:w="416" w:type="pct"/>
            <w:tcBorders>
              <w:top w:val="nil"/>
              <w:bottom w:val="nil"/>
            </w:tcBorders>
            <w:vAlign w:val="center"/>
            <w:hideMark/>
          </w:tcPr>
          <w:p w14:paraId="396706DE"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19 (30.1)</w:t>
            </w:r>
          </w:p>
        </w:tc>
        <w:tc>
          <w:tcPr>
            <w:tcW w:w="337" w:type="pct"/>
            <w:tcBorders>
              <w:top w:val="nil"/>
              <w:bottom w:val="nil"/>
            </w:tcBorders>
            <w:vAlign w:val="center"/>
            <w:hideMark/>
          </w:tcPr>
          <w:p w14:paraId="407F400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15 (23.8)</w:t>
            </w:r>
          </w:p>
        </w:tc>
        <w:tc>
          <w:tcPr>
            <w:tcW w:w="337" w:type="pct"/>
            <w:tcBorders>
              <w:top w:val="nil"/>
              <w:bottom w:val="nil"/>
            </w:tcBorders>
            <w:vAlign w:val="center"/>
            <w:hideMark/>
          </w:tcPr>
          <w:p w14:paraId="6CC8FE8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(6.3)</w:t>
            </w:r>
          </w:p>
        </w:tc>
        <w:tc>
          <w:tcPr>
            <w:tcW w:w="337" w:type="pct"/>
            <w:tcBorders>
              <w:top w:val="nil"/>
              <w:bottom w:val="nil"/>
            </w:tcBorders>
            <w:vAlign w:val="center"/>
            <w:hideMark/>
          </w:tcPr>
          <w:p w14:paraId="75DA3A2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r w:rsidR="00372E57" w:rsidRPr="003448EB" w14:paraId="54EE22D4" w14:textId="77777777" w:rsidTr="00F81B92">
        <w:trPr>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39DF4471"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Hypertension</w:t>
            </w:r>
          </w:p>
        </w:tc>
        <w:tc>
          <w:tcPr>
            <w:tcW w:w="416" w:type="pct"/>
            <w:tcBorders>
              <w:top w:val="nil"/>
              <w:bottom w:val="nil"/>
            </w:tcBorders>
            <w:vAlign w:val="center"/>
            <w:hideMark/>
          </w:tcPr>
          <w:p w14:paraId="45517805"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12 (29.3)</w:t>
            </w:r>
          </w:p>
        </w:tc>
        <w:tc>
          <w:tcPr>
            <w:tcW w:w="337" w:type="pct"/>
            <w:tcBorders>
              <w:top w:val="nil"/>
              <w:bottom w:val="nil"/>
            </w:tcBorders>
            <w:vAlign w:val="center"/>
            <w:hideMark/>
          </w:tcPr>
          <w:p w14:paraId="617630E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 (24.4)</w:t>
            </w:r>
          </w:p>
        </w:tc>
        <w:tc>
          <w:tcPr>
            <w:tcW w:w="337" w:type="pct"/>
            <w:tcBorders>
              <w:top w:val="nil"/>
              <w:bottom w:val="nil"/>
            </w:tcBorders>
            <w:vAlign w:val="center"/>
            <w:hideMark/>
          </w:tcPr>
          <w:p w14:paraId="0E3F0D0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337" w:type="pct"/>
            <w:tcBorders>
              <w:top w:val="nil"/>
              <w:bottom w:val="nil"/>
            </w:tcBorders>
            <w:vAlign w:val="center"/>
            <w:hideMark/>
          </w:tcPr>
          <w:p w14:paraId="23E26EE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40C451DB"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337" w:type="pct"/>
            <w:tcBorders>
              <w:top w:val="nil"/>
              <w:bottom w:val="nil"/>
            </w:tcBorders>
            <w:vAlign w:val="center"/>
            <w:hideMark/>
          </w:tcPr>
          <w:p w14:paraId="4685072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(6.6)</w:t>
            </w:r>
          </w:p>
        </w:tc>
        <w:tc>
          <w:tcPr>
            <w:tcW w:w="337" w:type="pct"/>
            <w:tcBorders>
              <w:top w:val="nil"/>
              <w:bottom w:val="nil"/>
            </w:tcBorders>
            <w:vAlign w:val="center"/>
            <w:hideMark/>
          </w:tcPr>
          <w:p w14:paraId="7870B07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337" w:type="pct"/>
            <w:tcBorders>
              <w:top w:val="nil"/>
              <w:bottom w:val="nil"/>
            </w:tcBorders>
            <w:vAlign w:val="center"/>
            <w:hideMark/>
          </w:tcPr>
          <w:p w14:paraId="162EE01C"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1F58570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23 (36.5)</w:t>
            </w:r>
          </w:p>
        </w:tc>
        <w:tc>
          <w:tcPr>
            <w:tcW w:w="337" w:type="pct"/>
            <w:tcBorders>
              <w:top w:val="nil"/>
              <w:bottom w:val="nil"/>
            </w:tcBorders>
            <w:vAlign w:val="center"/>
            <w:hideMark/>
          </w:tcPr>
          <w:p w14:paraId="1B0FA4F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 (25.4)</w:t>
            </w:r>
          </w:p>
        </w:tc>
        <w:tc>
          <w:tcPr>
            <w:tcW w:w="337" w:type="pct"/>
            <w:tcBorders>
              <w:top w:val="nil"/>
              <w:bottom w:val="nil"/>
            </w:tcBorders>
            <w:vAlign w:val="center"/>
            <w:hideMark/>
          </w:tcPr>
          <w:p w14:paraId="4238C0D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(6.3)</w:t>
            </w:r>
          </w:p>
        </w:tc>
        <w:tc>
          <w:tcPr>
            <w:tcW w:w="337" w:type="pct"/>
            <w:tcBorders>
              <w:top w:val="nil"/>
              <w:bottom w:val="nil"/>
            </w:tcBorders>
            <w:vAlign w:val="center"/>
            <w:hideMark/>
          </w:tcPr>
          <w:p w14:paraId="164AF6E3"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 (4.8)</w:t>
            </w:r>
          </w:p>
        </w:tc>
      </w:tr>
      <w:tr w:rsidR="00372E57" w:rsidRPr="003448EB" w14:paraId="6DF52052" w14:textId="77777777" w:rsidTr="00F81B9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4EBAF9FA"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Thrombocytopenia</w:t>
            </w:r>
          </w:p>
        </w:tc>
        <w:tc>
          <w:tcPr>
            <w:tcW w:w="416" w:type="pct"/>
            <w:tcBorders>
              <w:top w:val="nil"/>
              <w:bottom w:val="nil"/>
            </w:tcBorders>
            <w:vAlign w:val="center"/>
            <w:hideMark/>
          </w:tcPr>
          <w:p w14:paraId="7614D94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 (22.0)</w:t>
            </w:r>
          </w:p>
        </w:tc>
        <w:tc>
          <w:tcPr>
            <w:tcW w:w="337" w:type="pct"/>
            <w:tcBorders>
              <w:top w:val="nil"/>
              <w:bottom w:val="nil"/>
            </w:tcBorders>
            <w:vAlign w:val="center"/>
            <w:hideMark/>
          </w:tcPr>
          <w:p w14:paraId="18E0D43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337" w:type="pct"/>
            <w:tcBorders>
              <w:top w:val="nil"/>
              <w:bottom w:val="nil"/>
            </w:tcBorders>
            <w:vAlign w:val="center"/>
            <w:hideMark/>
          </w:tcPr>
          <w:p w14:paraId="0438E2EC"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4 (9.7)</w:t>
            </w:r>
          </w:p>
        </w:tc>
        <w:tc>
          <w:tcPr>
            <w:tcW w:w="337" w:type="pct"/>
            <w:tcBorders>
              <w:top w:val="nil"/>
              <w:bottom w:val="nil"/>
            </w:tcBorders>
            <w:vAlign w:val="center"/>
            <w:hideMark/>
          </w:tcPr>
          <w:p w14:paraId="1566350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(7.3)</w:t>
            </w:r>
          </w:p>
        </w:tc>
        <w:tc>
          <w:tcPr>
            <w:tcW w:w="416" w:type="pct"/>
            <w:tcBorders>
              <w:top w:val="nil"/>
              <w:bottom w:val="nil"/>
            </w:tcBorders>
            <w:vAlign w:val="center"/>
            <w:hideMark/>
          </w:tcPr>
          <w:p w14:paraId="0D0D175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23 (76.7)</w:t>
            </w:r>
          </w:p>
        </w:tc>
        <w:tc>
          <w:tcPr>
            <w:tcW w:w="337" w:type="pct"/>
            <w:tcBorders>
              <w:top w:val="nil"/>
              <w:bottom w:val="nil"/>
            </w:tcBorders>
            <w:vAlign w:val="center"/>
            <w:hideMark/>
          </w:tcPr>
          <w:p w14:paraId="4A4587F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 </w:t>
            </w:r>
            <w:r w:rsidRPr="003448EB">
              <w:rPr>
                <w:rFonts w:ascii="Book Antiqua" w:eastAsia="Yu Gothic" w:hAnsi="Book Antiqua"/>
              </w:rPr>
              <w:lastRenderedPageBreak/>
              <w:t>(33.3)</w:t>
            </w:r>
          </w:p>
        </w:tc>
        <w:tc>
          <w:tcPr>
            <w:tcW w:w="337" w:type="pct"/>
            <w:tcBorders>
              <w:top w:val="nil"/>
              <w:bottom w:val="nil"/>
            </w:tcBorders>
            <w:vAlign w:val="center"/>
            <w:hideMark/>
          </w:tcPr>
          <w:p w14:paraId="687D4E3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lastRenderedPageBreak/>
              <w:t>8 (26.7)</w:t>
            </w:r>
          </w:p>
        </w:tc>
        <w:tc>
          <w:tcPr>
            <w:tcW w:w="337" w:type="pct"/>
            <w:tcBorders>
              <w:top w:val="nil"/>
              <w:bottom w:val="nil"/>
            </w:tcBorders>
            <w:vAlign w:val="center"/>
            <w:hideMark/>
          </w:tcPr>
          <w:p w14:paraId="2A2E852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(16.7)</w:t>
            </w:r>
          </w:p>
        </w:tc>
        <w:tc>
          <w:tcPr>
            <w:tcW w:w="416" w:type="pct"/>
            <w:tcBorders>
              <w:top w:val="nil"/>
              <w:bottom w:val="nil"/>
            </w:tcBorders>
            <w:vAlign w:val="center"/>
            <w:hideMark/>
          </w:tcPr>
          <w:p w14:paraId="55B5DAB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20 (31.7)</w:t>
            </w:r>
          </w:p>
        </w:tc>
        <w:tc>
          <w:tcPr>
            <w:tcW w:w="337" w:type="pct"/>
            <w:tcBorders>
              <w:top w:val="nil"/>
              <w:bottom w:val="nil"/>
            </w:tcBorders>
            <w:vAlign w:val="center"/>
            <w:hideMark/>
          </w:tcPr>
          <w:p w14:paraId="3C9574C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 </w:t>
            </w:r>
            <w:r w:rsidRPr="003448EB">
              <w:rPr>
                <w:rFonts w:ascii="Book Antiqua" w:eastAsia="Yu Gothic" w:hAnsi="Book Antiqua"/>
              </w:rPr>
              <w:lastRenderedPageBreak/>
              <w:t>(15.9)</w:t>
            </w:r>
          </w:p>
        </w:tc>
        <w:tc>
          <w:tcPr>
            <w:tcW w:w="337" w:type="pct"/>
            <w:tcBorders>
              <w:top w:val="nil"/>
              <w:bottom w:val="nil"/>
            </w:tcBorders>
            <w:vAlign w:val="center"/>
            <w:hideMark/>
          </w:tcPr>
          <w:p w14:paraId="4CACDFC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lastRenderedPageBreak/>
              <w:t>5 (7.9)</w:t>
            </w:r>
          </w:p>
        </w:tc>
        <w:tc>
          <w:tcPr>
            <w:tcW w:w="337" w:type="pct"/>
            <w:tcBorders>
              <w:top w:val="nil"/>
              <w:bottom w:val="nil"/>
            </w:tcBorders>
            <w:vAlign w:val="center"/>
            <w:hideMark/>
          </w:tcPr>
          <w:p w14:paraId="1F1118E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5 (7.9)</w:t>
            </w:r>
          </w:p>
        </w:tc>
      </w:tr>
      <w:tr w:rsidR="00372E57" w:rsidRPr="003448EB" w14:paraId="32D59309" w14:textId="77777777" w:rsidTr="00F81B92">
        <w:trPr>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bottom w:val="nil"/>
            </w:tcBorders>
            <w:vAlign w:val="center"/>
            <w:hideMark/>
          </w:tcPr>
          <w:p w14:paraId="6FE5D1C9"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Alopecia</w:t>
            </w:r>
          </w:p>
        </w:tc>
        <w:tc>
          <w:tcPr>
            <w:tcW w:w="416" w:type="pct"/>
            <w:tcBorders>
              <w:top w:val="nil"/>
              <w:bottom w:val="nil"/>
            </w:tcBorders>
            <w:vAlign w:val="center"/>
            <w:hideMark/>
          </w:tcPr>
          <w:p w14:paraId="5EAE10B7"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 (14.6)</w:t>
            </w:r>
          </w:p>
        </w:tc>
        <w:tc>
          <w:tcPr>
            <w:tcW w:w="337" w:type="pct"/>
            <w:tcBorders>
              <w:top w:val="nil"/>
              <w:bottom w:val="nil"/>
            </w:tcBorders>
            <w:vAlign w:val="center"/>
            <w:hideMark/>
          </w:tcPr>
          <w:p w14:paraId="56C430B1"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 (9.7)</w:t>
            </w:r>
          </w:p>
        </w:tc>
        <w:tc>
          <w:tcPr>
            <w:tcW w:w="337" w:type="pct"/>
            <w:tcBorders>
              <w:top w:val="nil"/>
              <w:bottom w:val="nil"/>
            </w:tcBorders>
            <w:vAlign w:val="center"/>
            <w:hideMark/>
          </w:tcPr>
          <w:p w14:paraId="3F8CEBF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337" w:type="pct"/>
            <w:tcBorders>
              <w:top w:val="nil"/>
              <w:bottom w:val="nil"/>
            </w:tcBorders>
            <w:vAlign w:val="center"/>
            <w:hideMark/>
          </w:tcPr>
          <w:p w14:paraId="1C4436C6"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7FF60292"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(6.6)</w:t>
            </w:r>
          </w:p>
        </w:tc>
        <w:tc>
          <w:tcPr>
            <w:tcW w:w="337" w:type="pct"/>
            <w:tcBorders>
              <w:top w:val="nil"/>
              <w:bottom w:val="nil"/>
            </w:tcBorders>
            <w:vAlign w:val="center"/>
            <w:hideMark/>
          </w:tcPr>
          <w:p w14:paraId="1BCDA788"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(6.6)</w:t>
            </w:r>
          </w:p>
        </w:tc>
        <w:tc>
          <w:tcPr>
            <w:tcW w:w="337" w:type="pct"/>
            <w:tcBorders>
              <w:top w:val="nil"/>
              <w:bottom w:val="nil"/>
            </w:tcBorders>
            <w:vAlign w:val="center"/>
            <w:hideMark/>
          </w:tcPr>
          <w:p w14:paraId="3BA0D610"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bottom w:val="nil"/>
            </w:tcBorders>
            <w:vAlign w:val="center"/>
            <w:hideMark/>
          </w:tcPr>
          <w:p w14:paraId="2440EC7F"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bottom w:val="nil"/>
            </w:tcBorders>
            <w:vAlign w:val="center"/>
            <w:hideMark/>
          </w:tcPr>
          <w:p w14:paraId="69BD7EF4"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20 (31.7)</w:t>
            </w:r>
          </w:p>
        </w:tc>
        <w:tc>
          <w:tcPr>
            <w:tcW w:w="337" w:type="pct"/>
            <w:tcBorders>
              <w:top w:val="nil"/>
              <w:bottom w:val="nil"/>
            </w:tcBorders>
            <w:vAlign w:val="center"/>
            <w:hideMark/>
          </w:tcPr>
          <w:p w14:paraId="25BC4709"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19 (30.2)</w:t>
            </w:r>
          </w:p>
        </w:tc>
        <w:tc>
          <w:tcPr>
            <w:tcW w:w="337" w:type="pct"/>
            <w:tcBorders>
              <w:top w:val="nil"/>
              <w:bottom w:val="nil"/>
            </w:tcBorders>
            <w:vAlign w:val="center"/>
            <w:hideMark/>
          </w:tcPr>
          <w:p w14:paraId="42FDE96E"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 (1.6)</w:t>
            </w:r>
          </w:p>
        </w:tc>
        <w:tc>
          <w:tcPr>
            <w:tcW w:w="337" w:type="pct"/>
            <w:tcBorders>
              <w:top w:val="nil"/>
              <w:bottom w:val="nil"/>
            </w:tcBorders>
            <w:vAlign w:val="center"/>
            <w:hideMark/>
          </w:tcPr>
          <w:p w14:paraId="21F0ED8A" w14:textId="77777777" w:rsidR="00372E57" w:rsidRPr="003448EB" w:rsidRDefault="00372E57" w:rsidP="00F81B92">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r w:rsidR="00372E57" w:rsidRPr="003448EB" w14:paraId="31B557DA" w14:textId="77777777" w:rsidTr="00F81B9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20" w:type="pct"/>
            <w:tcBorders>
              <w:top w:val="nil"/>
            </w:tcBorders>
            <w:vAlign w:val="center"/>
            <w:hideMark/>
          </w:tcPr>
          <w:p w14:paraId="46769A2F" w14:textId="77777777" w:rsidR="00372E57" w:rsidRPr="003448EB" w:rsidRDefault="00372E57" w:rsidP="00F81B92">
            <w:pPr>
              <w:snapToGrid w:val="0"/>
              <w:spacing w:line="360" w:lineRule="auto"/>
              <w:contextualSpacing/>
              <w:jc w:val="both"/>
              <w:rPr>
                <w:rFonts w:ascii="Book Antiqua" w:eastAsia="Yu Gothic" w:hAnsi="Book Antiqua"/>
              </w:rPr>
            </w:pPr>
            <w:r w:rsidRPr="003448EB">
              <w:rPr>
                <w:rFonts w:ascii="Book Antiqua" w:eastAsia="Yu Gothic" w:hAnsi="Book Antiqua"/>
              </w:rPr>
              <w:t>Hepatic encephalopathy</w:t>
            </w:r>
          </w:p>
        </w:tc>
        <w:tc>
          <w:tcPr>
            <w:tcW w:w="416" w:type="pct"/>
            <w:tcBorders>
              <w:top w:val="nil"/>
            </w:tcBorders>
            <w:vAlign w:val="center"/>
            <w:hideMark/>
          </w:tcPr>
          <w:p w14:paraId="4F05D5B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(2.4)</w:t>
            </w:r>
          </w:p>
        </w:tc>
        <w:tc>
          <w:tcPr>
            <w:tcW w:w="337" w:type="pct"/>
            <w:tcBorders>
              <w:top w:val="nil"/>
            </w:tcBorders>
            <w:vAlign w:val="center"/>
            <w:hideMark/>
          </w:tcPr>
          <w:p w14:paraId="2DE4A2C0"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tcBorders>
            <w:vAlign w:val="center"/>
            <w:hideMark/>
          </w:tcPr>
          <w:p w14:paraId="37446E5A"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 (2.4)</w:t>
            </w:r>
          </w:p>
        </w:tc>
        <w:tc>
          <w:tcPr>
            <w:tcW w:w="337" w:type="pct"/>
            <w:tcBorders>
              <w:top w:val="nil"/>
            </w:tcBorders>
            <w:vAlign w:val="center"/>
            <w:hideMark/>
          </w:tcPr>
          <w:p w14:paraId="574A3AED"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tcBorders>
            <w:vAlign w:val="center"/>
            <w:hideMark/>
          </w:tcPr>
          <w:p w14:paraId="55C373D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tcBorders>
            <w:vAlign w:val="center"/>
            <w:hideMark/>
          </w:tcPr>
          <w:p w14:paraId="463F9522"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tcBorders>
            <w:vAlign w:val="center"/>
            <w:hideMark/>
          </w:tcPr>
          <w:p w14:paraId="104922A1"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tcBorders>
            <w:vAlign w:val="center"/>
            <w:hideMark/>
          </w:tcPr>
          <w:p w14:paraId="60C235D4"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416" w:type="pct"/>
            <w:tcBorders>
              <w:top w:val="nil"/>
            </w:tcBorders>
            <w:vAlign w:val="center"/>
            <w:hideMark/>
          </w:tcPr>
          <w:p w14:paraId="159800D3"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tcBorders>
            <w:vAlign w:val="center"/>
            <w:hideMark/>
          </w:tcPr>
          <w:p w14:paraId="03646D55"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tcBorders>
            <w:vAlign w:val="center"/>
            <w:hideMark/>
          </w:tcPr>
          <w:p w14:paraId="3EC2FEB7"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c>
          <w:tcPr>
            <w:tcW w:w="337" w:type="pct"/>
            <w:tcBorders>
              <w:top w:val="nil"/>
            </w:tcBorders>
            <w:vAlign w:val="center"/>
            <w:hideMark/>
          </w:tcPr>
          <w:p w14:paraId="59B28C18" w14:textId="77777777" w:rsidR="00372E57" w:rsidRPr="003448EB" w:rsidRDefault="00372E57" w:rsidP="00F81B92">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 (0)</w:t>
            </w:r>
          </w:p>
        </w:tc>
      </w:tr>
    </w:tbl>
    <w:p w14:paraId="14F80596" w14:textId="77777777" w:rsidR="00372E57" w:rsidRPr="003448EB" w:rsidRDefault="00372E57" w:rsidP="00B50B39">
      <w:pPr>
        <w:snapToGrid w:val="0"/>
        <w:spacing w:line="360" w:lineRule="auto"/>
        <w:contextualSpacing/>
        <w:jc w:val="both"/>
        <w:rPr>
          <w:rFonts w:ascii="Book Antiqua" w:eastAsia="Yu Gothic" w:hAnsi="Book Antiqua"/>
          <w:b/>
          <w:bCs/>
        </w:rPr>
      </w:pPr>
      <w:r w:rsidRPr="003448EB">
        <w:rPr>
          <w:rFonts w:ascii="Book Antiqua" w:hAnsi="Book Antiqua"/>
          <w:lang w:eastAsia="zh-CN"/>
        </w:rPr>
        <w:br w:type="page"/>
      </w:r>
      <w:r w:rsidRPr="003448EB">
        <w:rPr>
          <w:rFonts w:ascii="Book Antiqua" w:eastAsia="Yu Gothic" w:hAnsi="Book Antiqua"/>
          <w:b/>
          <w:bCs/>
        </w:rPr>
        <w:lastRenderedPageBreak/>
        <w:t>Table 3 Dose modification related to adverse events</w:t>
      </w:r>
    </w:p>
    <w:tbl>
      <w:tblPr>
        <w:tblStyle w:val="21"/>
        <w:tblpPr w:leftFromText="142" w:rightFromText="142" w:vertAnchor="text" w:tblpX="99" w:tblpY="1"/>
        <w:tblW w:w="5038" w:type="pct"/>
        <w:tblLook w:val="04A0" w:firstRow="1" w:lastRow="0" w:firstColumn="1" w:lastColumn="0" w:noHBand="0" w:noVBand="1"/>
      </w:tblPr>
      <w:tblGrid>
        <w:gridCol w:w="4879"/>
        <w:gridCol w:w="1576"/>
        <w:gridCol w:w="1576"/>
        <w:gridCol w:w="1697"/>
        <w:gridCol w:w="1064"/>
        <w:gridCol w:w="1242"/>
        <w:gridCol w:w="1436"/>
      </w:tblGrid>
      <w:tr w:rsidR="00372E57" w:rsidRPr="003448EB" w14:paraId="4F94426F" w14:textId="77777777" w:rsidTr="00372E57">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811" w:type="pct"/>
            <w:noWrap/>
            <w:hideMark/>
          </w:tcPr>
          <w:p w14:paraId="09FB1899" w14:textId="77777777" w:rsidR="00372E57" w:rsidRPr="003448EB" w:rsidRDefault="00372E57" w:rsidP="00B50B39">
            <w:pPr>
              <w:snapToGrid w:val="0"/>
              <w:spacing w:line="360" w:lineRule="auto"/>
              <w:contextualSpacing/>
              <w:jc w:val="both"/>
              <w:rPr>
                <w:rFonts w:ascii="Book Antiqua" w:eastAsia="Yu Gothic" w:hAnsi="Book Antiqua"/>
              </w:rPr>
            </w:pPr>
          </w:p>
        </w:tc>
        <w:tc>
          <w:tcPr>
            <w:tcW w:w="585" w:type="pct"/>
            <w:noWrap/>
            <w:hideMark/>
          </w:tcPr>
          <w:p w14:paraId="00EB558A"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p>
          <w:p w14:paraId="5F3D4C33"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w:t>
            </w:r>
            <w:r w:rsidRPr="003448EB">
              <w:rPr>
                <w:rFonts w:ascii="Book Antiqua" w:eastAsia="Yu Gothic" w:hAnsi="Book Antiqua"/>
                <w:i/>
              </w:rPr>
              <w:t>n</w:t>
            </w:r>
            <w:r w:rsidRPr="003448EB">
              <w:rPr>
                <w:rFonts w:ascii="Book Antiqua" w:eastAsia="Yu Gothic" w:hAnsi="Book Antiqua"/>
              </w:rPr>
              <w:t xml:space="preserve"> = 41)</w:t>
            </w:r>
          </w:p>
        </w:tc>
        <w:tc>
          <w:tcPr>
            <w:tcW w:w="585" w:type="pct"/>
            <w:noWrap/>
            <w:hideMark/>
          </w:tcPr>
          <w:p w14:paraId="4DA11BCA"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B </w:t>
            </w:r>
          </w:p>
          <w:p w14:paraId="38B402D4"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w:t>
            </w:r>
            <w:r w:rsidRPr="003448EB">
              <w:rPr>
                <w:rFonts w:ascii="Book Antiqua" w:eastAsia="Yu Gothic" w:hAnsi="Book Antiqua"/>
                <w:i/>
              </w:rPr>
              <w:t>n</w:t>
            </w:r>
            <w:r w:rsidRPr="003448EB">
              <w:rPr>
                <w:rFonts w:ascii="Book Antiqua" w:eastAsia="Yu Gothic" w:hAnsi="Book Antiqua"/>
              </w:rPr>
              <w:t xml:space="preserve"> = 30)</w:t>
            </w:r>
          </w:p>
        </w:tc>
        <w:tc>
          <w:tcPr>
            <w:tcW w:w="630" w:type="pct"/>
            <w:noWrap/>
            <w:hideMark/>
          </w:tcPr>
          <w:p w14:paraId="6CDD4ED0"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C </w:t>
            </w:r>
          </w:p>
          <w:p w14:paraId="01256C90"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w:t>
            </w:r>
            <w:r w:rsidRPr="003448EB">
              <w:rPr>
                <w:rFonts w:ascii="Book Antiqua" w:eastAsia="Yu Gothic" w:hAnsi="Book Antiqua"/>
                <w:i/>
              </w:rPr>
              <w:t>n</w:t>
            </w:r>
            <w:r w:rsidRPr="003448EB">
              <w:rPr>
                <w:rFonts w:ascii="Book Antiqua" w:eastAsia="Yu Gothic" w:hAnsi="Book Antiqua"/>
              </w:rPr>
              <w:t xml:space="preserve"> = 63)</w:t>
            </w:r>
          </w:p>
        </w:tc>
        <w:tc>
          <w:tcPr>
            <w:tcW w:w="395" w:type="pct"/>
            <w:hideMark/>
          </w:tcPr>
          <w:p w14:paraId="13C2927A" w14:textId="433CCBFD"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B</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461" w:type="pct"/>
            <w:hideMark/>
          </w:tcPr>
          <w:p w14:paraId="2A7A14B6" w14:textId="52F035D9"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535" w:type="pct"/>
            <w:hideMark/>
          </w:tcPr>
          <w:p w14:paraId="2879468C" w14:textId="2D5FE566"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B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r>
      <w:tr w:rsidR="00372E57" w:rsidRPr="003448EB" w14:paraId="5815BA86" w14:textId="77777777" w:rsidTr="00372E5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811" w:type="pct"/>
            <w:tcBorders>
              <w:bottom w:val="nil"/>
            </w:tcBorders>
            <w:noWrap/>
            <w:hideMark/>
          </w:tcPr>
          <w:p w14:paraId="05C58F28"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Dose reduction to initial dose of sorafenib</w:t>
            </w:r>
          </w:p>
        </w:tc>
        <w:tc>
          <w:tcPr>
            <w:tcW w:w="585" w:type="pct"/>
            <w:tcBorders>
              <w:bottom w:val="nil"/>
            </w:tcBorders>
            <w:noWrap/>
            <w:hideMark/>
          </w:tcPr>
          <w:p w14:paraId="07119FD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8/41 (19.5</w:t>
            </w:r>
            <w:r w:rsidRPr="003448EB">
              <w:rPr>
                <w:rFonts w:ascii="Book Antiqua" w:eastAsia="等线" w:hAnsi="Book Antiqua"/>
                <w:lang w:eastAsia="zh-CN"/>
              </w:rPr>
              <w:t>%</w:t>
            </w:r>
            <w:r w:rsidRPr="003448EB">
              <w:rPr>
                <w:rFonts w:ascii="Book Antiqua" w:eastAsia="Yu Gothic" w:hAnsi="Book Antiqua"/>
              </w:rPr>
              <w:t>)</w:t>
            </w:r>
          </w:p>
        </w:tc>
        <w:tc>
          <w:tcPr>
            <w:tcW w:w="585" w:type="pct"/>
            <w:tcBorders>
              <w:bottom w:val="nil"/>
            </w:tcBorders>
            <w:noWrap/>
            <w:hideMark/>
          </w:tcPr>
          <w:p w14:paraId="4A2DB85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2/30 (6.7</w:t>
            </w:r>
            <w:r w:rsidRPr="003448EB">
              <w:rPr>
                <w:rFonts w:ascii="Book Antiqua" w:eastAsia="等线" w:hAnsi="Book Antiqua"/>
                <w:lang w:eastAsia="zh-CN"/>
              </w:rPr>
              <w:t>%</w:t>
            </w:r>
            <w:r w:rsidRPr="003448EB">
              <w:rPr>
                <w:rFonts w:ascii="Book Antiqua" w:eastAsia="Yu Gothic" w:hAnsi="Book Antiqua"/>
              </w:rPr>
              <w:t>)</w:t>
            </w:r>
          </w:p>
        </w:tc>
        <w:tc>
          <w:tcPr>
            <w:tcW w:w="630" w:type="pct"/>
            <w:tcBorders>
              <w:bottom w:val="nil"/>
            </w:tcBorders>
            <w:noWrap/>
            <w:hideMark/>
          </w:tcPr>
          <w:p w14:paraId="57050AF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26/63 (41.3</w:t>
            </w:r>
            <w:r w:rsidRPr="003448EB">
              <w:rPr>
                <w:rFonts w:ascii="Book Antiqua" w:eastAsia="等线" w:hAnsi="Book Antiqua"/>
                <w:lang w:eastAsia="zh-CN"/>
              </w:rPr>
              <w:t>%</w:t>
            </w:r>
            <w:r w:rsidRPr="003448EB">
              <w:rPr>
                <w:rFonts w:ascii="Book Antiqua" w:eastAsia="Yu Gothic" w:hAnsi="Book Antiqua"/>
              </w:rPr>
              <w:t>)</w:t>
            </w:r>
          </w:p>
        </w:tc>
        <w:tc>
          <w:tcPr>
            <w:tcW w:w="395" w:type="pct"/>
            <w:tcBorders>
              <w:bottom w:val="nil"/>
            </w:tcBorders>
            <w:noWrap/>
            <w:hideMark/>
          </w:tcPr>
          <w:p w14:paraId="778366A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0.700 </w:t>
            </w:r>
          </w:p>
        </w:tc>
        <w:tc>
          <w:tcPr>
            <w:tcW w:w="461" w:type="pct"/>
            <w:tcBorders>
              <w:bottom w:val="nil"/>
            </w:tcBorders>
            <w:noWrap/>
            <w:hideMark/>
          </w:tcPr>
          <w:p w14:paraId="0705C6E0"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0.108 </w:t>
            </w:r>
          </w:p>
        </w:tc>
        <w:tc>
          <w:tcPr>
            <w:tcW w:w="535" w:type="pct"/>
            <w:tcBorders>
              <w:bottom w:val="nil"/>
            </w:tcBorders>
            <w:noWrap/>
            <w:hideMark/>
          </w:tcPr>
          <w:p w14:paraId="03AB277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0.005 </w:t>
            </w:r>
          </w:p>
        </w:tc>
      </w:tr>
      <w:tr w:rsidR="00372E57" w:rsidRPr="003448EB" w14:paraId="314430DC" w14:textId="77777777" w:rsidTr="00372E57">
        <w:trPr>
          <w:trHeight w:val="408"/>
        </w:trPr>
        <w:tc>
          <w:tcPr>
            <w:cnfStyle w:val="001000000000" w:firstRow="0" w:lastRow="0" w:firstColumn="1" w:lastColumn="0" w:oddVBand="0" w:evenVBand="0" w:oddHBand="0" w:evenHBand="0" w:firstRowFirstColumn="0" w:firstRowLastColumn="0" w:lastRowFirstColumn="0" w:lastRowLastColumn="0"/>
            <w:tcW w:w="1811" w:type="pct"/>
            <w:tcBorders>
              <w:top w:val="nil"/>
              <w:bottom w:val="single" w:sz="4" w:space="0" w:color="7F7F7F" w:themeColor="text1" w:themeTint="80"/>
            </w:tcBorders>
            <w:noWrap/>
            <w:hideMark/>
          </w:tcPr>
          <w:p w14:paraId="54A18CA8"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Re-escalation to initial dose of sorafenib</w:t>
            </w:r>
          </w:p>
        </w:tc>
        <w:tc>
          <w:tcPr>
            <w:tcW w:w="585" w:type="pct"/>
            <w:tcBorders>
              <w:top w:val="nil"/>
              <w:bottom w:val="single" w:sz="4" w:space="0" w:color="7F7F7F" w:themeColor="text1" w:themeTint="80"/>
            </w:tcBorders>
            <w:noWrap/>
            <w:hideMark/>
          </w:tcPr>
          <w:p w14:paraId="549DEB0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2/8 (25.0</w:t>
            </w:r>
            <w:r w:rsidRPr="003448EB">
              <w:rPr>
                <w:rFonts w:ascii="Book Antiqua" w:eastAsia="等线" w:hAnsi="Book Antiqua"/>
                <w:lang w:eastAsia="zh-CN"/>
              </w:rPr>
              <w:t>%</w:t>
            </w:r>
            <w:r w:rsidRPr="003448EB">
              <w:rPr>
                <w:rFonts w:ascii="Book Antiqua" w:eastAsia="Yu Gothic" w:hAnsi="Book Antiqua"/>
              </w:rPr>
              <w:t>)</w:t>
            </w:r>
          </w:p>
        </w:tc>
        <w:tc>
          <w:tcPr>
            <w:tcW w:w="585" w:type="pct"/>
            <w:tcBorders>
              <w:top w:val="nil"/>
              <w:bottom w:val="single" w:sz="4" w:space="0" w:color="7F7F7F" w:themeColor="text1" w:themeTint="80"/>
            </w:tcBorders>
            <w:noWrap/>
            <w:hideMark/>
          </w:tcPr>
          <w:p w14:paraId="494EA89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 (100.0</w:t>
            </w:r>
            <w:r w:rsidRPr="003448EB">
              <w:rPr>
                <w:rFonts w:ascii="Book Antiqua" w:eastAsia="等线" w:hAnsi="Book Antiqua"/>
                <w:lang w:eastAsia="zh-CN"/>
              </w:rPr>
              <w:t>%</w:t>
            </w:r>
            <w:r w:rsidRPr="003448EB">
              <w:rPr>
                <w:rFonts w:ascii="Book Antiqua" w:eastAsia="Yu Gothic" w:hAnsi="Book Antiqua"/>
              </w:rPr>
              <w:t>)</w:t>
            </w:r>
          </w:p>
        </w:tc>
        <w:tc>
          <w:tcPr>
            <w:tcW w:w="630" w:type="pct"/>
            <w:tcBorders>
              <w:top w:val="nil"/>
              <w:bottom w:val="single" w:sz="4" w:space="0" w:color="7F7F7F" w:themeColor="text1" w:themeTint="80"/>
            </w:tcBorders>
            <w:noWrap/>
            <w:hideMark/>
          </w:tcPr>
          <w:p w14:paraId="69A6670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2/26 (7.7</w:t>
            </w:r>
            <w:r w:rsidRPr="003448EB">
              <w:rPr>
                <w:rFonts w:ascii="Book Antiqua" w:eastAsia="等线" w:hAnsi="Book Antiqua"/>
                <w:lang w:eastAsia="zh-CN"/>
              </w:rPr>
              <w:t>%</w:t>
            </w:r>
            <w:r w:rsidRPr="003448EB">
              <w:rPr>
                <w:rFonts w:ascii="Book Antiqua" w:eastAsia="Yu Gothic" w:hAnsi="Book Antiqua"/>
              </w:rPr>
              <w:t>)</w:t>
            </w:r>
          </w:p>
        </w:tc>
        <w:tc>
          <w:tcPr>
            <w:tcW w:w="395" w:type="pct"/>
            <w:tcBorders>
              <w:top w:val="nil"/>
              <w:bottom w:val="single" w:sz="4" w:space="0" w:color="7F7F7F" w:themeColor="text1" w:themeTint="80"/>
            </w:tcBorders>
            <w:noWrap/>
            <w:hideMark/>
          </w:tcPr>
          <w:p w14:paraId="2FCC080F" w14:textId="644E9DB9"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NA </w:t>
            </w:r>
          </w:p>
        </w:tc>
        <w:tc>
          <w:tcPr>
            <w:tcW w:w="461" w:type="pct"/>
            <w:tcBorders>
              <w:top w:val="nil"/>
              <w:bottom w:val="single" w:sz="4" w:space="0" w:color="7F7F7F" w:themeColor="text1" w:themeTint="80"/>
            </w:tcBorders>
            <w:noWrap/>
            <w:hideMark/>
          </w:tcPr>
          <w:p w14:paraId="415DF2FA" w14:textId="37059E85"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NA </w:t>
            </w:r>
          </w:p>
        </w:tc>
        <w:tc>
          <w:tcPr>
            <w:tcW w:w="535" w:type="pct"/>
            <w:tcBorders>
              <w:top w:val="nil"/>
              <w:bottom w:val="single" w:sz="4" w:space="0" w:color="7F7F7F" w:themeColor="text1" w:themeTint="80"/>
            </w:tcBorders>
            <w:noWrap/>
            <w:hideMark/>
          </w:tcPr>
          <w:p w14:paraId="4C3F3E41" w14:textId="6D9F25C3"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NA </w:t>
            </w:r>
          </w:p>
        </w:tc>
      </w:tr>
    </w:tbl>
    <w:p w14:paraId="20133B52" w14:textId="77777777" w:rsidR="00372E57" w:rsidRPr="003448EB" w:rsidRDefault="00372E57" w:rsidP="00B50B39">
      <w:pPr>
        <w:snapToGrid w:val="0"/>
        <w:spacing w:line="360" w:lineRule="auto"/>
        <w:contextualSpacing/>
        <w:jc w:val="both"/>
        <w:rPr>
          <w:rFonts w:ascii="Book Antiqua" w:hAnsi="Book Antiqua"/>
          <w:bCs/>
          <w:lang w:eastAsia="zh-CN"/>
        </w:rPr>
      </w:pPr>
      <w:r w:rsidRPr="003448EB">
        <w:rPr>
          <w:rFonts w:ascii="Book Antiqua" w:hAnsi="Book Antiqua"/>
          <w:bCs/>
          <w:lang w:eastAsia="zh-CN"/>
        </w:rPr>
        <w:t>NA: Not available.</w:t>
      </w:r>
    </w:p>
    <w:p w14:paraId="1CD772A3" w14:textId="77777777" w:rsidR="00372E57" w:rsidRPr="003448EB" w:rsidRDefault="00372E57" w:rsidP="00B50B39">
      <w:pPr>
        <w:spacing w:line="360" w:lineRule="auto"/>
        <w:jc w:val="both"/>
        <w:rPr>
          <w:rFonts w:ascii="Book Antiqua" w:hAnsi="Book Antiqua"/>
          <w:b/>
          <w:bCs/>
          <w:lang w:eastAsia="zh-CN"/>
        </w:rPr>
      </w:pPr>
      <w:r w:rsidRPr="003448EB">
        <w:rPr>
          <w:rFonts w:ascii="Book Antiqua" w:hAnsi="Book Antiqua"/>
          <w:lang w:eastAsia="zh-CN"/>
        </w:rPr>
        <w:br w:type="page"/>
      </w:r>
      <w:r w:rsidRPr="003448EB">
        <w:rPr>
          <w:rFonts w:ascii="Book Antiqua" w:eastAsia="MS Mincho" w:hAnsi="Book Antiqua"/>
          <w:b/>
          <w:bCs/>
        </w:rPr>
        <w:lastRenderedPageBreak/>
        <w:t>Table 4 Radiological response according to the modified response evaluation criteria in solid tumors</w:t>
      </w:r>
    </w:p>
    <w:tbl>
      <w:tblPr>
        <w:tblStyle w:val="21"/>
        <w:tblW w:w="5000" w:type="pct"/>
        <w:tblLook w:val="04A0" w:firstRow="1" w:lastRow="0" w:firstColumn="1" w:lastColumn="0" w:noHBand="0" w:noVBand="1"/>
      </w:tblPr>
      <w:tblGrid>
        <w:gridCol w:w="3856"/>
        <w:gridCol w:w="3117"/>
        <w:gridCol w:w="3120"/>
        <w:gridCol w:w="3275"/>
      </w:tblGrid>
      <w:tr w:rsidR="00372E57" w:rsidRPr="003448EB" w14:paraId="28795702" w14:textId="77777777" w:rsidTr="00372E5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42" w:type="pct"/>
            <w:noWrap/>
            <w:hideMark/>
          </w:tcPr>
          <w:p w14:paraId="10559363" w14:textId="77777777" w:rsidR="00372E57" w:rsidRPr="003448EB" w:rsidRDefault="00372E57" w:rsidP="00B50B39">
            <w:pPr>
              <w:snapToGrid w:val="0"/>
              <w:spacing w:line="360" w:lineRule="auto"/>
              <w:contextualSpacing/>
              <w:jc w:val="both"/>
              <w:rPr>
                <w:rFonts w:ascii="Book Antiqua" w:eastAsia="Yu Gothic" w:hAnsi="Book Antiqua"/>
              </w:rPr>
            </w:pPr>
          </w:p>
        </w:tc>
        <w:tc>
          <w:tcPr>
            <w:tcW w:w="1166" w:type="pct"/>
            <w:noWrap/>
            <w:hideMark/>
          </w:tcPr>
          <w:p w14:paraId="3E03EAF9"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A (</w:t>
            </w:r>
            <w:r w:rsidRPr="003448EB">
              <w:rPr>
                <w:rFonts w:ascii="Book Antiqua" w:eastAsia="Yu Gothic" w:hAnsi="Book Antiqua"/>
                <w:i/>
              </w:rPr>
              <w:t>n</w:t>
            </w:r>
            <w:r w:rsidRPr="003448EB">
              <w:rPr>
                <w:rFonts w:ascii="Book Antiqua" w:eastAsia="Yu Gothic" w:hAnsi="Book Antiqua"/>
              </w:rPr>
              <w:t xml:space="preserve"> = 41)</w:t>
            </w:r>
          </w:p>
        </w:tc>
        <w:tc>
          <w:tcPr>
            <w:tcW w:w="1167" w:type="pct"/>
            <w:noWrap/>
            <w:hideMark/>
          </w:tcPr>
          <w:p w14:paraId="375A1A2A"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1225" w:type="pct"/>
            <w:noWrap/>
            <w:hideMark/>
          </w:tcPr>
          <w:p w14:paraId="16AA9095"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r>
      <w:tr w:rsidR="00372E57" w:rsidRPr="003448EB" w14:paraId="152FCC41" w14:textId="77777777" w:rsidTr="0037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bottom w:val="nil"/>
            </w:tcBorders>
            <w:noWrap/>
            <w:hideMark/>
          </w:tcPr>
          <w:p w14:paraId="520BA80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Complete response</w:t>
            </w:r>
          </w:p>
        </w:tc>
        <w:tc>
          <w:tcPr>
            <w:tcW w:w="1166" w:type="pct"/>
            <w:tcBorders>
              <w:bottom w:val="nil"/>
            </w:tcBorders>
            <w:noWrap/>
            <w:hideMark/>
          </w:tcPr>
          <w:p w14:paraId="2439757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w:t>
            </w:r>
          </w:p>
        </w:tc>
        <w:tc>
          <w:tcPr>
            <w:tcW w:w="1167" w:type="pct"/>
            <w:tcBorders>
              <w:bottom w:val="nil"/>
            </w:tcBorders>
            <w:noWrap/>
            <w:hideMark/>
          </w:tcPr>
          <w:p w14:paraId="4B5B880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c>
          <w:tcPr>
            <w:tcW w:w="1225" w:type="pct"/>
            <w:tcBorders>
              <w:bottom w:val="nil"/>
            </w:tcBorders>
            <w:noWrap/>
            <w:hideMark/>
          </w:tcPr>
          <w:p w14:paraId="117D764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r>
      <w:tr w:rsidR="00372E57" w:rsidRPr="003448EB" w14:paraId="3BFD925D"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65BB8525"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Partial response</w:t>
            </w:r>
          </w:p>
        </w:tc>
        <w:tc>
          <w:tcPr>
            <w:tcW w:w="1166" w:type="pct"/>
            <w:tcBorders>
              <w:top w:val="nil"/>
              <w:bottom w:val="nil"/>
            </w:tcBorders>
            <w:noWrap/>
            <w:hideMark/>
          </w:tcPr>
          <w:p w14:paraId="65EFCAB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c>
          <w:tcPr>
            <w:tcW w:w="1167" w:type="pct"/>
            <w:tcBorders>
              <w:top w:val="nil"/>
              <w:bottom w:val="nil"/>
            </w:tcBorders>
            <w:noWrap/>
            <w:hideMark/>
          </w:tcPr>
          <w:p w14:paraId="3B41768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w:t>
            </w:r>
          </w:p>
        </w:tc>
        <w:tc>
          <w:tcPr>
            <w:tcW w:w="1225" w:type="pct"/>
            <w:tcBorders>
              <w:top w:val="nil"/>
              <w:bottom w:val="nil"/>
            </w:tcBorders>
            <w:noWrap/>
            <w:hideMark/>
          </w:tcPr>
          <w:p w14:paraId="596CBF8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5</w:t>
            </w:r>
          </w:p>
        </w:tc>
      </w:tr>
      <w:tr w:rsidR="00372E57" w:rsidRPr="003448EB" w14:paraId="5DB23683" w14:textId="77777777" w:rsidTr="0037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09E4C338"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Stable disease</w:t>
            </w:r>
          </w:p>
        </w:tc>
        <w:tc>
          <w:tcPr>
            <w:tcW w:w="1166" w:type="pct"/>
            <w:tcBorders>
              <w:top w:val="nil"/>
              <w:bottom w:val="nil"/>
            </w:tcBorders>
            <w:noWrap/>
            <w:hideMark/>
          </w:tcPr>
          <w:p w14:paraId="2821EF1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10</w:t>
            </w:r>
          </w:p>
        </w:tc>
        <w:tc>
          <w:tcPr>
            <w:tcW w:w="1167" w:type="pct"/>
            <w:tcBorders>
              <w:top w:val="nil"/>
              <w:bottom w:val="nil"/>
            </w:tcBorders>
            <w:noWrap/>
            <w:hideMark/>
          </w:tcPr>
          <w:p w14:paraId="38DF3F7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w:t>
            </w:r>
          </w:p>
        </w:tc>
        <w:tc>
          <w:tcPr>
            <w:tcW w:w="1225" w:type="pct"/>
            <w:tcBorders>
              <w:top w:val="nil"/>
              <w:bottom w:val="nil"/>
            </w:tcBorders>
            <w:noWrap/>
            <w:hideMark/>
          </w:tcPr>
          <w:p w14:paraId="6791C15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35</w:t>
            </w:r>
          </w:p>
        </w:tc>
      </w:tr>
      <w:tr w:rsidR="00372E57" w:rsidRPr="003448EB" w14:paraId="2358BDB0"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18E2239F"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Progressive disease</w:t>
            </w:r>
          </w:p>
        </w:tc>
        <w:tc>
          <w:tcPr>
            <w:tcW w:w="1166" w:type="pct"/>
            <w:tcBorders>
              <w:top w:val="nil"/>
              <w:bottom w:val="nil"/>
            </w:tcBorders>
            <w:noWrap/>
            <w:hideMark/>
          </w:tcPr>
          <w:p w14:paraId="367D510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30</w:t>
            </w:r>
          </w:p>
        </w:tc>
        <w:tc>
          <w:tcPr>
            <w:tcW w:w="1167" w:type="pct"/>
            <w:tcBorders>
              <w:top w:val="nil"/>
              <w:bottom w:val="nil"/>
            </w:tcBorders>
            <w:noWrap/>
            <w:hideMark/>
          </w:tcPr>
          <w:p w14:paraId="009AFB6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17</w:t>
            </w:r>
          </w:p>
        </w:tc>
        <w:tc>
          <w:tcPr>
            <w:tcW w:w="1225" w:type="pct"/>
            <w:tcBorders>
              <w:top w:val="nil"/>
              <w:bottom w:val="nil"/>
            </w:tcBorders>
            <w:noWrap/>
            <w:hideMark/>
          </w:tcPr>
          <w:p w14:paraId="54AA465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22</w:t>
            </w:r>
          </w:p>
        </w:tc>
      </w:tr>
      <w:tr w:rsidR="00372E57" w:rsidRPr="003448EB" w14:paraId="3EBD6780" w14:textId="77777777" w:rsidTr="0037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nil"/>
            </w:tcBorders>
            <w:noWrap/>
            <w:hideMark/>
          </w:tcPr>
          <w:p w14:paraId="1E71DE95"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Response rate</w:t>
            </w:r>
          </w:p>
        </w:tc>
        <w:tc>
          <w:tcPr>
            <w:tcW w:w="1166" w:type="pct"/>
            <w:tcBorders>
              <w:top w:val="nil"/>
              <w:bottom w:val="nil"/>
            </w:tcBorders>
            <w:noWrap/>
            <w:hideMark/>
          </w:tcPr>
          <w:p w14:paraId="1174C53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2.4%</w:t>
            </w:r>
          </w:p>
        </w:tc>
        <w:tc>
          <w:tcPr>
            <w:tcW w:w="1167" w:type="pct"/>
            <w:tcBorders>
              <w:top w:val="nil"/>
              <w:bottom w:val="nil"/>
            </w:tcBorders>
            <w:noWrap/>
            <w:hideMark/>
          </w:tcPr>
          <w:p w14:paraId="47BE5C3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6.7%</w:t>
            </w:r>
          </w:p>
        </w:tc>
        <w:tc>
          <w:tcPr>
            <w:tcW w:w="1225" w:type="pct"/>
            <w:tcBorders>
              <w:top w:val="nil"/>
              <w:bottom w:val="nil"/>
            </w:tcBorders>
            <w:noWrap/>
            <w:hideMark/>
          </w:tcPr>
          <w:p w14:paraId="6CE5962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9.5%</w:t>
            </w:r>
          </w:p>
        </w:tc>
      </w:tr>
      <w:tr w:rsidR="00372E57" w:rsidRPr="003448EB" w14:paraId="7F2BCCE2"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1442" w:type="pct"/>
            <w:tcBorders>
              <w:top w:val="nil"/>
              <w:bottom w:val="single" w:sz="4" w:space="0" w:color="7F7F7F" w:themeColor="text1" w:themeTint="80"/>
            </w:tcBorders>
            <w:noWrap/>
            <w:hideMark/>
          </w:tcPr>
          <w:p w14:paraId="0338688E"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Disease control rate</w:t>
            </w:r>
          </w:p>
        </w:tc>
        <w:tc>
          <w:tcPr>
            <w:tcW w:w="1166" w:type="pct"/>
            <w:tcBorders>
              <w:top w:val="nil"/>
              <w:bottom w:val="single" w:sz="4" w:space="0" w:color="7F7F7F" w:themeColor="text1" w:themeTint="80"/>
            </w:tcBorders>
            <w:noWrap/>
            <w:hideMark/>
          </w:tcPr>
          <w:p w14:paraId="260FB4E7"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26.8%</w:t>
            </w:r>
          </w:p>
        </w:tc>
        <w:tc>
          <w:tcPr>
            <w:tcW w:w="1167" w:type="pct"/>
            <w:tcBorders>
              <w:top w:val="nil"/>
              <w:bottom w:val="single" w:sz="4" w:space="0" w:color="7F7F7F" w:themeColor="text1" w:themeTint="80"/>
            </w:tcBorders>
            <w:noWrap/>
            <w:hideMark/>
          </w:tcPr>
          <w:p w14:paraId="439BC6E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43.3%</w:t>
            </w:r>
          </w:p>
        </w:tc>
        <w:tc>
          <w:tcPr>
            <w:tcW w:w="1225" w:type="pct"/>
            <w:tcBorders>
              <w:top w:val="nil"/>
              <w:bottom w:val="single" w:sz="4" w:space="0" w:color="7F7F7F" w:themeColor="text1" w:themeTint="80"/>
            </w:tcBorders>
            <w:noWrap/>
            <w:hideMark/>
          </w:tcPr>
          <w:p w14:paraId="4A2B6E1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65.1%</w:t>
            </w:r>
          </w:p>
        </w:tc>
      </w:tr>
    </w:tbl>
    <w:p w14:paraId="4E5FFA74" w14:textId="77777777" w:rsidR="00372E57" w:rsidRPr="003448EB" w:rsidRDefault="00372E57" w:rsidP="00B50B39">
      <w:pPr>
        <w:snapToGrid w:val="0"/>
        <w:spacing w:line="360" w:lineRule="auto"/>
        <w:contextualSpacing/>
        <w:jc w:val="both"/>
        <w:rPr>
          <w:rFonts w:ascii="Book Antiqua" w:hAnsi="Book Antiqua"/>
          <w:lang w:eastAsia="zh-CN"/>
        </w:rPr>
      </w:pPr>
    </w:p>
    <w:p w14:paraId="531813D3" w14:textId="77777777" w:rsidR="00372E57" w:rsidRPr="003448EB" w:rsidRDefault="00372E57" w:rsidP="00B50B39">
      <w:pPr>
        <w:snapToGrid w:val="0"/>
        <w:spacing w:line="360" w:lineRule="auto"/>
        <w:contextualSpacing/>
        <w:jc w:val="both"/>
        <w:rPr>
          <w:rFonts w:ascii="Book Antiqua" w:eastAsia="等线" w:hAnsi="Book Antiqua"/>
          <w:b/>
          <w:bCs/>
          <w:lang w:eastAsia="zh-CN"/>
        </w:rPr>
      </w:pPr>
      <w:r w:rsidRPr="003448EB">
        <w:rPr>
          <w:rFonts w:ascii="Book Antiqua" w:hAnsi="Book Antiqua"/>
          <w:lang w:eastAsia="zh-CN"/>
        </w:rPr>
        <w:br w:type="page"/>
      </w:r>
      <w:r w:rsidRPr="003448EB">
        <w:rPr>
          <w:rFonts w:ascii="Book Antiqua" w:eastAsia="MS Mincho" w:hAnsi="Book Antiqua"/>
          <w:b/>
          <w:bCs/>
        </w:rPr>
        <w:lastRenderedPageBreak/>
        <w:t>Table 5 Reasons for permanent sorafenib discontinuation</w:t>
      </w:r>
      <w:r w:rsidRPr="003448EB">
        <w:rPr>
          <w:rFonts w:ascii="Book Antiqua" w:eastAsia="等线" w:hAnsi="Book Antiqua"/>
          <w:b/>
          <w:bCs/>
          <w:lang w:eastAsia="zh-CN"/>
        </w:rPr>
        <w:t xml:space="preserve">, </w:t>
      </w:r>
      <w:r w:rsidRPr="003448EB">
        <w:rPr>
          <w:rFonts w:ascii="Book Antiqua" w:eastAsia="等线" w:hAnsi="Book Antiqua"/>
          <w:b/>
          <w:bCs/>
          <w:i/>
          <w:lang w:eastAsia="zh-CN"/>
        </w:rPr>
        <w:t>n</w:t>
      </w:r>
      <w:r w:rsidRPr="003448EB">
        <w:rPr>
          <w:rFonts w:ascii="Book Antiqua" w:eastAsia="等线" w:hAnsi="Book Antiqua"/>
          <w:b/>
          <w:bCs/>
          <w:lang w:eastAsia="zh-CN"/>
        </w:rPr>
        <w:t xml:space="preserve"> (%)</w:t>
      </w:r>
    </w:p>
    <w:tbl>
      <w:tblPr>
        <w:tblStyle w:val="21"/>
        <w:tblW w:w="5000" w:type="pct"/>
        <w:tblLook w:val="04A0" w:firstRow="1" w:lastRow="0" w:firstColumn="1" w:lastColumn="0" w:noHBand="0" w:noVBand="1"/>
      </w:tblPr>
      <w:tblGrid>
        <w:gridCol w:w="1619"/>
        <w:gridCol w:w="1183"/>
        <w:gridCol w:w="2015"/>
        <w:gridCol w:w="2029"/>
        <w:gridCol w:w="1846"/>
        <w:gridCol w:w="2099"/>
        <w:gridCol w:w="2577"/>
      </w:tblGrid>
      <w:tr w:rsidR="00372E57" w:rsidRPr="003448EB" w14:paraId="6F2B7D50" w14:textId="77777777" w:rsidTr="00372E57">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717" w:type="pct"/>
            <w:noWrap/>
            <w:hideMark/>
          </w:tcPr>
          <w:p w14:paraId="5DBD5DC4" w14:textId="77777777" w:rsidR="00372E57" w:rsidRPr="003448EB" w:rsidRDefault="00372E57" w:rsidP="00B50B39">
            <w:pPr>
              <w:snapToGrid w:val="0"/>
              <w:spacing w:line="360" w:lineRule="auto"/>
              <w:contextualSpacing/>
              <w:jc w:val="both"/>
              <w:rPr>
                <w:rFonts w:ascii="Book Antiqua" w:eastAsia="Yu Gothic" w:hAnsi="Book Antiqua"/>
              </w:rPr>
            </w:pPr>
          </w:p>
        </w:tc>
        <w:tc>
          <w:tcPr>
            <w:tcW w:w="520" w:type="pct"/>
            <w:noWrap/>
            <w:hideMark/>
          </w:tcPr>
          <w:p w14:paraId="44C3196B"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p>
          <w:p w14:paraId="0BB30952"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w:t>
            </w:r>
            <w:r w:rsidRPr="003448EB">
              <w:rPr>
                <w:rFonts w:ascii="Book Antiqua" w:eastAsia="Yu Gothic" w:hAnsi="Book Antiqua"/>
                <w:i/>
              </w:rPr>
              <w:t>n</w:t>
            </w:r>
            <w:r w:rsidRPr="003448EB">
              <w:rPr>
                <w:rFonts w:ascii="Book Antiqua" w:eastAsia="Yu Gothic" w:hAnsi="Book Antiqua"/>
              </w:rPr>
              <w:t xml:space="preserve"> = 41)</w:t>
            </w:r>
          </w:p>
        </w:tc>
        <w:tc>
          <w:tcPr>
            <w:tcW w:w="478" w:type="pct"/>
            <w:noWrap/>
            <w:hideMark/>
          </w:tcPr>
          <w:p w14:paraId="6E795465"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B (</w:t>
            </w:r>
            <w:r w:rsidRPr="003448EB">
              <w:rPr>
                <w:rFonts w:ascii="Book Antiqua" w:eastAsia="Yu Gothic" w:hAnsi="Book Antiqua"/>
                <w:i/>
              </w:rPr>
              <w:t>n</w:t>
            </w:r>
            <w:r w:rsidRPr="003448EB">
              <w:rPr>
                <w:rFonts w:ascii="Book Antiqua" w:eastAsia="Yu Gothic" w:hAnsi="Book Antiqua"/>
              </w:rPr>
              <w:t xml:space="preserve"> = 30)</w:t>
            </w:r>
          </w:p>
        </w:tc>
        <w:tc>
          <w:tcPr>
            <w:tcW w:w="478" w:type="pct"/>
            <w:noWrap/>
            <w:hideMark/>
          </w:tcPr>
          <w:p w14:paraId="3FA79D14"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Group C (</w:t>
            </w:r>
            <w:r w:rsidRPr="003448EB">
              <w:rPr>
                <w:rFonts w:ascii="Book Antiqua" w:eastAsia="Yu Gothic" w:hAnsi="Book Antiqua"/>
                <w:i/>
              </w:rPr>
              <w:t>n</w:t>
            </w:r>
            <w:r w:rsidRPr="003448EB">
              <w:rPr>
                <w:rFonts w:ascii="Book Antiqua" w:eastAsia="Yu Gothic" w:hAnsi="Book Antiqua"/>
              </w:rPr>
              <w:t xml:space="preserve"> = 63)</w:t>
            </w:r>
          </w:p>
        </w:tc>
        <w:tc>
          <w:tcPr>
            <w:tcW w:w="836" w:type="pct"/>
            <w:hideMark/>
          </w:tcPr>
          <w:p w14:paraId="1C41E1CF" w14:textId="4FF30B6A"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B</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896" w:type="pct"/>
            <w:hideMark/>
          </w:tcPr>
          <w:p w14:paraId="26807800" w14:textId="44D4A79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A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c>
          <w:tcPr>
            <w:tcW w:w="1075" w:type="pct"/>
            <w:hideMark/>
          </w:tcPr>
          <w:p w14:paraId="29885B83" w14:textId="1FED82CF"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 xml:space="preserve">Group B </w:t>
            </w:r>
            <w:r w:rsidRPr="003448EB">
              <w:rPr>
                <w:rFonts w:ascii="Book Antiqua" w:eastAsia="Yu Gothic" w:hAnsi="Book Antiqua"/>
                <w:i/>
              </w:rPr>
              <w:t>vs</w:t>
            </w:r>
            <w:r w:rsidRPr="003448EB">
              <w:rPr>
                <w:rFonts w:ascii="Book Antiqua" w:eastAsia="Yu Gothic" w:hAnsi="Book Antiqua"/>
              </w:rPr>
              <w:t xml:space="preserve"> Group C</w:t>
            </w:r>
            <w:r w:rsidR="00F81B92">
              <w:rPr>
                <w:rFonts w:ascii="Book Antiqua" w:eastAsia="Yu Gothic" w:hAnsi="Book Antiqua"/>
              </w:rPr>
              <w:t>,</w:t>
            </w:r>
            <w:r w:rsidRPr="003448EB">
              <w:rPr>
                <w:rFonts w:ascii="Book Antiqua" w:eastAsia="Yu Gothic" w:hAnsi="Book Antiqua"/>
              </w:rPr>
              <w:t xml:space="preserve"> </w:t>
            </w:r>
            <w:r w:rsidRPr="003448EB">
              <w:rPr>
                <w:rFonts w:ascii="Book Antiqua" w:eastAsia="Yu Gothic" w:hAnsi="Book Antiqua"/>
                <w:i/>
                <w:caps/>
              </w:rPr>
              <w:t>p</w:t>
            </w:r>
            <w:r w:rsidR="00F81B92">
              <w:rPr>
                <w:rFonts w:ascii="Book Antiqua" w:eastAsia="Yu Gothic" w:hAnsi="Book Antiqua"/>
                <w:i/>
                <w:caps/>
              </w:rPr>
              <w:t xml:space="preserve"> </w:t>
            </w:r>
            <w:r w:rsidRPr="003448EB">
              <w:rPr>
                <w:rFonts w:ascii="Book Antiqua" w:eastAsia="Yu Gothic" w:hAnsi="Book Antiqua"/>
              </w:rPr>
              <w:t>value</w:t>
            </w:r>
          </w:p>
        </w:tc>
      </w:tr>
      <w:tr w:rsidR="00372E57" w:rsidRPr="003448EB" w14:paraId="2371900C" w14:textId="77777777" w:rsidTr="0037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 w:type="pct"/>
            <w:tcBorders>
              <w:bottom w:val="nil"/>
            </w:tcBorders>
            <w:noWrap/>
            <w:hideMark/>
          </w:tcPr>
          <w:p w14:paraId="72736643"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Progression</w:t>
            </w:r>
          </w:p>
        </w:tc>
        <w:tc>
          <w:tcPr>
            <w:tcW w:w="520" w:type="pct"/>
            <w:tcBorders>
              <w:bottom w:val="nil"/>
            </w:tcBorders>
            <w:noWrap/>
            <w:hideMark/>
          </w:tcPr>
          <w:p w14:paraId="5027107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26 (63.4)</w:t>
            </w:r>
          </w:p>
        </w:tc>
        <w:tc>
          <w:tcPr>
            <w:tcW w:w="478" w:type="pct"/>
            <w:tcBorders>
              <w:bottom w:val="nil"/>
            </w:tcBorders>
            <w:noWrap/>
            <w:hideMark/>
          </w:tcPr>
          <w:p w14:paraId="05AEEC3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7 (23.3)</w:t>
            </w:r>
          </w:p>
        </w:tc>
        <w:tc>
          <w:tcPr>
            <w:tcW w:w="478" w:type="pct"/>
            <w:tcBorders>
              <w:bottom w:val="nil"/>
            </w:tcBorders>
            <w:noWrap/>
            <w:hideMark/>
          </w:tcPr>
          <w:p w14:paraId="22A8A4B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33 (52.4)</w:t>
            </w:r>
          </w:p>
        </w:tc>
        <w:tc>
          <w:tcPr>
            <w:tcW w:w="836" w:type="pct"/>
            <w:tcBorders>
              <w:bottom w:val="nil"/>
            </w:tcBorders>
            <w:noWrap/>
            <w:hideMark/>
          </w:tcPr>
          <w:p w14:paraId="3AC2E24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0.006 </w:t>
            </w:r>
          </w:p>
        </w:tc>
        <w:tc>
          <w:tcPr>
            <w:tcW w:w="896" w:type="pct"/>
            <w:tcBorders>
              <w:bottom w:val="nil"/>
            </w:tcBorders>
            <w:noWrap/>
            <w:hideMark/>
          </w:tcPr>
          <w:p w14:paraId="6170B98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1.000 </w:t>
            </w:r>
          </w:p>
        </w:tc>
        <w:tc>
          <w:tcPr>
            <w:tcW w:w="1075" w:type="pct"/>
            <w:tcBorders>
              <w:bottom w:val="nil"/>
            </w:tcBorders>
            <w:noWrap/>
            <w:hideMark/>
          </w:tcPr>
          <w:p w14:paraId="3C8A5F2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0.046 </w:t>
            </w:r>
          </w:p>
        </w:tc>
      </w:tr>
      <w:tr w:rsidR="00372E57" w:rsidRPr="003448EB" w14:paraId="098F6F0C"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nil"/>
              <w:bottom w:val="nil"/>
            </w:tcBorders>
            <w:noWrap/>
            <w:hideMark/>
          </w:tcPr>
          <w:p w14:paraId="56AFE24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Intolerance</w:t>
            </w:r>
          </w:p>
        </w:tc>
        <w:tc>
          <w:tcPr>
            <w:tcW w:w="520" w:type="pct"/>
            <w:tcBorders>
              <w:top w:val="nil"/>
              <w:bottom w:val="nil"/>
            </w:tcBorders>
            <w:noWrap/>
            <w:hideMark/>
          </w:tcPr>
          <w:p w14:paraId="3488369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7 (17.1)</w:t>
            </w:r>
          </w:p>
        </w:tc>
        <w:tc>
          <w:tcPr>
            <w:tcW w:w="478" w:type="pct"/>
            <w:tcBorders>
              <w:top w:val="nil"/>
              <w:bottom w:val="nil"/>
            </w:tcBorders>
            <w:noWrap/>
            <w:hideMark/>
          </w:tcPr>
          <w:p w14:paraId="68A37B0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18 (60.0)</w:t>
            </w:r>
          </w:p>
        </w:tc>
        <w:tc>
          <w:tcPr>
            <w:tcW w:w="478" w:type="pct"/>
            <w:tcBorders>
              <w:top w:val="nil"/>
              <w:bottom w:val="nil"/>
            </w:tcBorders>
            <w:noWrap/>
            <w:hideMark/>
          </w:tcPr>
          <w:p w14:paraId="62B28CA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 (20.6)</w:t>
            </w:r>
          </w:p>
        </w:tc>
        <w:tc>
          <w:tcPr>
            <w:tcW w:w="836" w:type="pct"/>
            <w:tcBorders>
              <w:top w:val="nil"/>
              <w:bottom w:val="nil"/>
            </w:tcBorders>
            <w:noWrap/>
            <w:hideMark/>
          </w:tcPr>
          <w:p w14:paraId="76CB0B2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0.002 </w:t>
            </w:r>
          </w:p>
        </w:tc>
        <w:tc>
          <w:tcPr>
            <w:tcW w:w="896" w:type="pct"/>
            <w:tcBorders>
              <w:top w:val="nil"/>
              <w:bottom w:val="nil"/>
            </w:tcBorders>
            <w:noWrap/>
            <w:hideMark/>
          </w:tcPr>
          <w:p w14:paraId="6678D11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1.000 </w:t>
            </w:r>
          </w:p>
        </w:tc>
        <w:tc>
          <w:tcPr>
            <w:tcW w:w="1075" w:type="pct"/>
            <w:tcBorders>
              <w:top w:val="nil"/>
              <w:bottom w:val="nil"/>
            </w:tcBorders>
            <w:noWrap/>
            <w:hideMark/>
          </w:tcPr>
          <w:p w14:paraId="43FADA2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0.001 </w:t>
            </w:r>
          </w:p>
        </w:tc>
      </w:tr>
      <w:tr w:rsidR="00372E57" w:rsidRPr="003448EB" w14:paraId="4E279F45" w14:textId="77777777" w:rsidTr="00372E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nil"/>
              <w:bottom w:val="nil"/>
            </w:tcBorders>
            <w:noWrap/>
            <w:hideMark/>
          </w:tcPr>
          <w:p w14:paraId="5EA3DC46"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Liver failure</w:t>
            </w:r>
          </w:p>
        </w:tc>
        <w:tc>
          <w:tcPr>
            <w:tcW w:w="520" w:type="pct"/>
            <w:tcBorders>
              <w:top w:val="nil"/>
              <w:bottom w:val="nil"/>
            </w:tcBorders>
            <w:noWrap/>
            <w:hideMark/>
          </w:tcPr>
          <w:p w14:paraId="4F465D1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6 (14.6)</w:t>
            </w:r>
          </w:p>
        </w:tc>
        <w:tc>
          <w:tcPr>
            <w:tcW w:w="478" w:type="pct"/>
            <w:tcBorders>
              <w:top w:val="nil"/>
              <w:bottom w:val="nil"/>
            </w:tcBorders>
            <w:noWrap/>
            <w:hideMark/>
          </w:tcPr>
          <w:p w14:paraId="596F331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3 (10.0)</w:t>
            </w:r>
          </w:p>
        </w:tc>
        <w:tc>
          <w:tcPr>
            <w:tcW w:w="478" w:type="pct"/>
            <w:tcBorders>
              <w:top w:val="nil"/>
              <w:bottom w:val="nil"/>
            </w:tcBorders>
            <w:noWrap/>
            <w:hideMark/>
          </w:tcPr>
          <w:p w14:paraId="1A09035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8 (12.7)</w:t>
            </w:r>
          </w:p>
        </w:tc>
        <w:tc>
          <w:tcPr>
            <w:tcW w:w="836" w:type="pct"/>
            <w:tcBorders>
              <w:top w:val="nil"/>
              <w:bottom w:val="nil"/>
            </w:tcBorders>
            <w:noWrap/>
            <w:hideMark/>
          </w:tcPr>
          <w:p w14:paraId="66D189E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1.000 </w:t>
            </w:r>
          </w:p>
        </w:tc>
        <w:tc>
          <w:tcPr>
            <w:tcW w:w="896" w:type="pct"/>
            <w:tcBorders>
              <w:top w:val="nil"/>
              <w:bottom w:val="nil"/>
            </w:tcBorders>
            <w:noWrap/>
            <w:hideMark/>
          </w:tcPr>
          <w:p w14:paraId="0FA43B5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1.000 </w:t>
            </w:r>
          </w:p>
        </w:tc>
        <w:tc>
          <w:tcPr>
            <w:tcW w:w="1075" w:type="pct"/>
            <w:tcBorders>
              <w:top w:val="nil"/>
              <w:bottom w:val="nil"/>
            </w:tcBorders>
            <w:noWrap/>
            <w:hideMark/>
          </w:tcPr>
          <w:p w14:paraId="2A85129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1.000 </w:t>
            </w:r>
          </w:p>
        </w:tc>
      </w:tr>
      <w:tr w:rsidR="00372E57" w:rsidRPr="003448EB" w14:paraId="050CC14B" w14:textId="77777777" w:rsidTr="00372E57">
        <w:trPr>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nil"/>
              <w:bottom w:val="single" w:sz="4" w:space="0" w:color="7F7F7F" w:themeColor="text1" w:themeTint="80"/>
            </w:tcBorders>
            <w:noWrap/>
            <w:hideMark/>
          </w:tcPr>
          <w:p w14:paraId="61160789"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Other</w:t>
            </w:r>
          </w:p>
        </w:tc>
        <w:tc>
          <w:tcPr>
            <w:tcW w:w="520" w:type="pct"/>
            <w:tcBorders>
              <w:top w:val="nil"/>
              <w:bottom w:val="single" w:sz="4" w:space="0" w:color="7F7F7F" w:themeColor="text1" w:themeTint="80"/>
            </w:tcBorders>
            <w:noWrap/>
            <w:hideMark/>
          </w:tcPr>
          <w:p w14:paraId="252BFB1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(4.9)</w:t>
            </w:r>
          </w:p>
        </w:tc>
        <w:tc>
          <w:tcPr>
            <w:tcW w:w="478" w:type="pct"/>
            <w:tcBorders>
              <w:top w:val="nil"/>
              <w:bottom w:val="single" w:sz="4" w:space="0" w:color="7F7F7F" w:themeColor="text1" w:themeTint="80"/>
            </w:tcBorders>
            <w:noWrap/>
            <w:hideMark/>
          </w:tcPr>
          <w:p w14:paraId="234BB56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2 (6.7)</w:t>
            </w:r>
          </w:p>
        </w:tc>
        <w:tc>
          <w:tcPr>
            <w:tcW w:w="478" w:type="pct"/>
            <w:tcBorders>
              <w:top w:val="nil"/>
              <w:bottom w:val="single" w:sz="4" w:space="0" w:color="7F7F7F" w:themeColor="text1" w:themeTint="80"/>
            </w:tcBorders>
            <w:noWrap/>
            <w:hideMark/>
          </w:tcPr>
          <w:p w14:paraId="2A7A544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9 (14.3)</w:t>
            </w:r>
          </w:p>
        </w:tc>
        <w:tc>
          <w:tcPr>
            <w:tcW w:w="836" w:type="pct"/>
            <w:tcBorders>
              <w:top w:val="nil"/>
              <w:bottom w:val="single" w:sz="4" w:space="0" w:color="7F7F7F" w:themeColor="text1" w:themeTint="80"/>
            </w:tcBorders>
            <w:noWrap/>
            <w:hideMark/>
          </w:tcPr>
          <w:p w14:paraId="31FF31C8"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1.000 </w:t>
            </w:r>
          </w:p>
        </w:tc>
        <w:tc>
          <w:tcPr>
            <w:tcW w:w="896" w:type="pct"/>
            <w:tcBorders>
              <w:top w:val="nil"/>
              <w:bottom w:val="single" w:sz="4" w:space="0" w:color="7F7F7F" w:themeColor="text1" w:themeTint="80"/>
            </w:tcBorders>
            <w:noWrap/>
            <w:hideMark/>
          </w:tcPr>
          <w:p w14:paraId="26259C4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0.690 </w:t>
            </w:r>
          </w:p>
        </w:tc>
        <w:tc>
          <w:tcPr>
            <w:tcW w:w="1075" w:type="pct"/>
            <w:tcBorders>
              <w:top w:val="nil"/>
              <w:bottom w:val="single" w:sz="4" w:space="0" w:color="7F7F7F" w:themeColor="text1" w:themeTint="80"/>
            </w:tcBorders>
            <w:noWrap/>
            <w:hideMark/>
          </w:tcPr>
          <w:p w14:paraId="0BE9026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1.000 </w:t>
            </w:r>
          </w:p>
        </w:tc>
      </w:tr>
    </w:tbl>
    <w:p w14:paraId="5560185C" w14:textId="77777777" w:rsidR="00372E57" w:rsidRPr="003448EB" w:rsidRDefault="00372E57" w:rsidP="00B50B39">
      <w:pPr>
        <w:snapToGrid w:val="0"/>
        <w:spacing w:line="360" w:lineRule="auto"/>
        <w:contextualSpacing/>
        <w:jc w:val="both"/>
        <w:rPr>
          <w:rFonts w:ascii="Book Antiqua" w:hAnsi="Book Antiqua"/>
        </w:rPr>
      </w:pPr>
      <w:r w:rsidRPr="003448EB">
        <w:rPr>
          <w:rFonts w:ascii="Book Antiqua" w:eastAsia="MS Mincho" w:hAnsi="Book Antiqua"/>
        </w:rPr>
        <w:br w:type="page"/>
      </w:r>
      <w:r w:rsidRPr="003448EB">
        <w:rPr>
          <w:rFonts w:ascii="Book Antiqua" w:eastAsia="MS Mincho" w:hAnsi="Book Antiqua"/>
          <w:b/>
          <w:bCs/>
        </w:rPr>
        <w:lastRenderedPageBreak/>
        <w:t>Table 6</w:t>
      </w:r>
      <w:r w:rsidRPr="003448EB">
        <w:rPr>
          <w:rFonts w:ascii="Book Antiqua" w:hAnsi="Book Antiqua"/>
        </w:rPr>
        <w:t xml:space="preserve"> </w:t>
      </w:r>
      <w:r w:rsidRPr="003448EB">
        <w:rPr>
          <w:rFonts w:ascii="Book Antiqua" w:eastAsia="MS Mincho" w:hAnsi="Book Antiqua"/>
          <w:b/>
          <w:bCs/>
        </w:rPr>
        <w:t>Prognostic factors of overall survival by multivariable Cox regression analysis</w:t>
      </w:r>
    </w:p>
    <w:tbl>
      <w:tblPr>
        <w:tblStyle w:val="21"/>
        <w:tblW w:w="5000" w:type="pct"/>
        <w:tblLook w:val="04A0" w:firstRow="1" w:lastRow="0" w:firstColumn="1" w:lastColumn="0" w:noHBand="0" w:noVBand="1"/>
      </w:tblPr>
      <w:tblGrid>
        <w:gridCol w:w="5661"/>
        <w:gridCol w:w="938"/>
        <w:gridCol w:w="1644"/>
        <w:gridCol w:w="1134"/>
        <w:gridCol w:w="278"/>
        <w:gridCol w:w="938"/>
        <w:gridCol w:w="1644"/>
        <w:gridCol w:w="1131"/>
      </w:tblGrid>
      <w:tr w:rsidR="00372E57" w:rsidRPr="003448EB" w14:paraId="66D3A1FD" w14:textId="77777777" w:rsidTr="00372E5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17" w:type="pct"/>
            <w:noWrap/>
            <w:hideMark/>
          </w:tcPr>
          <w:p w14:paraId="62937183" w14:textId="77777777" w:rsidR="00372E57" w:rsidRPr="003448EB" w:rsidRDefault="00372E57" w:rsidP="00B50B39">
            <w:pPr>
              <w:spacing w:line="360" w:lineRule="auto"/>
              <w:jc w:val="both"/>
              <w:rPr>
                <w:rFonts w:ascii="Book Antiqua" w:eastAsia="Yu Gothic" w:hAnsi="Book Antiqua"/>
                <w:b w:val="0"/>
                <w:bCs w:val="0"/>
                <w:color w:val="000000"/>
              </w:rPr>
            </w:pPr>
            <w:bookmarkStart w:id="4" w:name="_Hlk65097822"/>
          </w:p>
        </w:tc>
        <w:tc>
          <w:tcPr>
            <w:tcW w:w="1390" w:type="pct"/>
            <w:gridSpan w:val="3"/>
            <w:noWrap/>
            <w:hideMark/>
          </w:tcPr>
          <w:p w14:paraId="4D76A49A" w14:textId="77777777" w:rsidR="00372E57" w:rsidRPr="003448EB" w:rsidRDefault="00372E57" w:rsidP="00B50B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color w:val="000000"/>
              </w:rPr>
            </w:pPr>
            <w:r w:rsidRPr="003448EB">
              <w:rPr>
                <w:rFonts w:ascii="Book Antiqua" w:eastAsia="Yu Gothic" w:hAnsi="Book Antiqua"/>
                <w:color w:val="000000"/>
              </w:rPr>
              <w:t>Univariate analysis</w:t>
            </w:r>
          </w:p>
        </w:tc>
        <w:tc>
          <w:tcPr>
            <w:tcW w:w="104" w:type="pct"/>
            <w:noWrap/>
          </w:tcPr>
          <w:p w14:paraId="5B958501" w14:textId="77777777" w:rsidR="00372E57" w:rsidRPr="003448EB" w:rsidRDefault="00372E57" w:rsidP="00B50B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color w:val="000000"/>
              </w:rPr>
            </w:pPr>
          </w:p>
        </w:tc>
        <w:tc>
          <w:tcPr>
            <w:tcW w:w="1389" w:type="pct"/>
            <w:gridSpan w:val="3"/>
            <w:noWrap/>
            <w:hideMark/>
          </w:tcPr>
          <w:p w14:paraId="121C6822" w14:textId="77777777" w:rsidR="00372E57" w:rsidRPr="003448EB" w:rsidRDefault="00372E57" w:rsidP="00B50B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color w:val="000000"/>
              </w:rPr>
            </w:pPr>
            <w:r w:rsidRPr="003448EB">
              <w:rPr>
                <w:rFonts w:ascii="Book Antiqua" w:eastAsia="Yu Gothic" w:hAnsi="Book Antiqua"/>
                <w:color w:val="000000"/>
              </w:rPr>
              <w:t>Multivariate analysis</w:t>
            </w:r>
          </w:p>
        </w:tc>
      </w:tr>
      <w:tr w:rsidR="00372E57" w:rsidRPr="003448EB" w14:paraId="6995590B" w14:textId="77777777" w:rsidTr="00372E5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117" w:type="pct"/>
            <w:hideMark/>
          </w:tcPr>
          <w:p w14:paraId="5FFA453E" w14:textId="77777777" w:rsidR="00372E57" w:rsidRPr="003448EB" w:rsidRDefault="00372E57" w:rsidP="00B50B39">
            <w:pPr>
              <w:spacing w:line="360" w:lineRule="auto"/>
              <w:jc w:val="both"/>
              <w:rPr>
                <w:rFonts w:ascii="Book Antiqua" w:eastAsia="Yu Gothic" w:hAnsi="Book Antiqua"/>
                <w:b w:val="0"/>
                <w:bCs w:val="0"/>
                <w:color w:val="000000"/>
              </w:rPr>
            </w:pPr>
          </w:p>
        </w:tc>
        <w:tc>
          <w:tcPr>
            <w:tcW w:w="351" w:type="pct"/>
            <w:hideMark/>
          </w:tcPr>
          <w:p w14:paraId="1F3F4FAA"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HR</w:t>
            </w:r>
          </w:p>
        </w:tc>
        <w:tc>
          <w:tcPr>
            <w:tcW w:w="615" w:type="pct"/>
            <w:hideMark/>
          </w:tcPr>
          <w:p w14:paraId="5ADFF510"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95%CI</w:t>
            </w:r>
          </w:p>
        </w:tc>
        <w:tc>
          <w:tcPr>
            <w:tcW w:w="424" w:type="pct"/>
            <w:noWrap/>
            <w:hideMark/>
          </w:tcPr>
          <w:p w14:paraId="5CC94B84" w14:textId="1A7B65AA"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i/>
                <w:caps/>
                <w:color w:val="000000"/>
              </w:rPr>
              <w:t>p</w:t>
            </w:r>
            <w:r w:rsidR="00F81B92">
              <w:rPr>
                <w:rFonts w:ascii="Book Antiqua" w:eastAsia="Yu Gothic" w:hAnsi="Book Antiqua"/>
                <w:b/>
                <w:bCs/>
                <w:i/>
                <w:caps/>
                <w:color w:val="000000"/>
              </w:rPr>
              <w:t xml:space="preserve"> </w:t>
            </w:r>
            <w:r w:rsidRPr="003448EB">
              <w:rPr>
                <w:rFonts w:ascii="Book Antiqua" w:eastAsia="Yu Gothic" w:hAnsi="Book Antiqua"/>
                <w:b/>
                <w:bCs/>
                <w:color w:val="000000"/>
              </w:rPr>
              <w:t>value</w:t>
            </w:r>
          </w:p>
        </w:tc>
        <w:tc>
          <w:tcPr>
            <w:tcW w:w="104" w:type="pct"/>
            <w:noWrap/>
          </w:tcPr>
          <w:p w14:paraId="3162E597"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p>
        </w:tc>
        <w:tc>
          <w:tcPr>
            <w:tcW w:w="351" w:type="pct"/>
            <w:hideMark/>
          </w:tcPr>
          <w:p w14:paraId="3A0E9524"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HR</w:t>
            </w:r>
          </w:p>
        </w:tc>
        <w:tc>
          <w:tcPr>
            <w:tcW w:w="615" w:type="pct"/>
            <w:hideMark/>
          </w:tcPr>
          <w:p w14:paraId="5C7C6443"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95%CI</w:t>
            </w:r>
          </w:p>
        </w:tc>
        <w:tc>
          <w:tcPr>
            <w:tcW w:w="423" w:type="pct"/>
            <w:noWrap/>
            <w:hideMark/>
          </w:tcPr>
          <w:p w14:paraId="2B1F448B" w14:textId="639EFC8C"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i/>
                <w:caps/>
                <w:color w:val="000000"/>
              </w:rPr>
              <w:t>p</w:t>
            </w:r>
            <w:r w:rsidR="00F81B92">
              <w:rPr>
                <w:rFonts w:ascii="Book Antiqua" w:eastAsia="Yu Gothic" w:hAnsi="Book Antiqua"/>
                <w:b/>
                <w:bCs/>
                <w:i/>
                <w:caps/>
                <w:color w:val="000000"/>
              </w:rPr>
              <w:t xml:space="preserve"> </w:t>
            </w:r>
            <w:r w:rsidRPr="003448EB">
              <w:rPr>
                <w:rFonts w:ascii="Book Antiqua" w:eastAsia="Yu Gothic" w:hAnsi="Book Antiqua"/>
                <w:b/>
                <w:bCs/>
                <w:color w:val="000000"/>
              </w:rPr>
              <w:t>value</w:t>
            </w:r>
          </w:p>
        </w:tc>
      </w:tr>
      <w:tr w:rsidR="00372E57" w:rsidRPr="003448EB" w14:paraId="1E73C79C" w14:textId="77777777" w:rsidTr="00372E57">
        <w:trPr>
          <w:trHeight w:val="509"/>
        </w:trPr>
        <w:tc>
          <w:tcPr>
            <w:cnfStyle w:val="001000000000" w:firstRow="0" w:lastRow="0" w:firstColumn="1" w:lastColumn="0" w:oddVBand="0" w:evenVBand="0" w:oddHBand="0" w:evenHBand="0" w:firstRowFirstColumn="0" w:firstRowLastColumn="0" w:lastRowFirstColumn="0" w:lastRowLastColumn="0"/>
            <w:tcW w:w="2117" w:type="pct"/>
            <w:tcBorders>
              <w:top w:val="single" w:sz="4" w:space="0" w:color="7F7F7F" w:themeColor="text1" w:themeTint="80"/>
              <w:bottom w:val="nil"/>
            </w:tcBorders>
            <w:hideMark/>
          </w:tcPr>
          <w:p w14:paraId="2185DEF4"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 xml:space="preserve">Age (within 70 </w:t>
            </w:r>
            <w:proofErr w:type="spellStart"/>
            <w:r w:rsidRPr="003448EB">
              <w:rPr>
                <w:rFonts w:ascii="Book Antiqua" w:eastAsia="Yu Gothic" w:hAnsi="Book Antiqua"/>
                <w:color w:val="000000"/>
              </w:rPr>
              <w:t>yr</w:t>
            </w:r>
            <w:proofErr w:type="spellEnd"/>
            <w:r w:rsidRPr="003448EB">
              <w:rPr>
                <w:rFonts w:ascii="Book Antiqua" w:eastAsia="Yu Gothic" w:hAnsi="Book Antiqua"/>
                <w:color w:val="000000"/>
              </w:rPr>
              <w:t>)</w:t>
            </w:r>
          </w:p>
        </w:tc>
        <w:tc>
          <w:tcPr>
            <w:tcW w:w="351" w:type="pct"/>
            <w:tcBorders>
              <w:top w:val="single" w:sz="4" w:space="0" w:color="7F7F7F" w:themeColor="text1" w:themeTint="80"/>
              <w:bottom w:val="nil"/>
            </w:tcBorders>
            <w:hideMark/>
          </w:tcPr>
          <w:p w14:paraId="27C6F5F5"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0.867</w:t>
            </w:r>
          </w:p>
        </w:tc>
        <w:tc>
          <w:tcPr>
            <w:tcW w:w="615" w:type="pct"/>
            <w:tcBorders>
              <w:top w:val="single" w:sz="4" w:space="0" w:color="7F7F7F" w:themeColor="text1" w:themeTint="80"/>
              <w:bottom w:val="nil"/>
            </w:tcBorders>
            <w:hideMark/>
          </w:tcPr>
          <w:p w14:paraId="16D67E24"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0.603–1.246</w:t>
            </w:r>
          </w:p>
        </w:tc>
        <w:tc>
          <w:tcPr>
            <w:tcW w:w="424" w:type="pct"/>
            <w:tcBorders>
              <w:top w:val="single" w:sz="4" w:space="0" w:color="7F7F7F" w:themeColor="text1" w:themeTint="80"/>
              <w:bottom w:val="nil"/>
            </w:tcBorders>
            <w:noWrap/>
            <w:hideMark/>
          </w:tcPr>
          <w:p w14:paraId="3DB1DF27"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0.440</w:t>
            </w:r>
          </w:p>
        </w:tc>
        <w:tc>
          <w:tcPr>
            <w:tcW w:w="104" w:type="pct"/>
            <w:tcBorders>
              <w:top w:val="single" w:sz="4" w:space="0" w:color="7F7F7F" w:themeColor="text1" w:themeTint="80"/>
              <w:bottom w:val="nil"/>
            </w:tcBorders>
            <w:noWrap/>
            <w:hideMark/>
          </w:tcPr>
          <w:p w14:paraId="6BCABE39"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c>
          <w:tcPr>
            <w:tcW w:w="351" w:type="pct"/>
            <w:tcBorders>
              <w:top w:val="single" w:sz="4" w:space="0" w:color="7F7F7F" w:themeColor="text1" w:themeTint="80"/>
              <w:bottom w:val="nil"/>
            </w:tcBorders>
            <w:hideMark/>
          </w:tcPr>
          <w:p w14:paraId="5BF06F7D"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15" w:type="pct"/>
            <w:tcBorders>
              <w:top w:val="single" w:sz="4" w:space="0" w:color="7F7F7F" w:themeColor="text1" w:themeTint="80"/>
              <w:bottom w:val="nil"/>
            </w:tcBorders>
            <w:hideMark/>
          </w:tcPr>
          <w:p w14:paraId="31F20612"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23" w:type="pct"/>
            <w:tcBorders>
              <w:top w:val="single" w:sz="4" w:space="0" w:color="7F7F7F" w:themeColor="text1" w:themeTint="80"/>
              <w:bottom w:val="nil"/>
            </w:tcBorders>
            <w:hideMark/>
          </w:tcPr>
          <w:p w14:paraId="2CDFBD74"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r>
      <w:tr w:rsidR="00372E57" w:rsidRPr="003448EB" w14:paraId="70C2E83D"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5ABD758D"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Male</w:t>
            </w:r>
          </w:p>
        </w:tc>
        <w:tc>
          <w:tcPr>
            <w:tcW w:w="351" w:type="pct"/>
            <w:tcBorders>
              <w:top w:val="nil"/>
              <w:bottom w:val="nil"/>
            </w:tcBorders>
            <w:hideMark/>
          </w:tcPr>
          <w:p w14:paraId="31537FCF"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1.216</w:t>
            </w:r>
          </w:p>
        </w:tc>
        <w:tc>
          <w:tcPr>
            <w:tcW w:w="615" w:type="pct"/>
            <w:tcBorders>
              <w:top w:val="nil"/>
              <w:bottom w:val="nil"/>
            </w:tcBorders>
            <w:hideMark/>
          </w:tcPr>
          <w:p w14:paraId="6B5AFD04"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0.802–1.842</w:t>
            </w:r>
          </w:p>
        </w:tc>
        <w:tc>
          <w:tcPr>
            <w:tcW w:w="424" w:type="pct"/>
            <w:tcBorders>
              <w:top w:val="nil"/>
              <w:bottom w:val="nil"/>
            </w:tcBorders>
            <w:noWrap/>
            <w:hideMark/>
          </w:tcPr>
          <w:p w14:paraId="1CA973F9"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0.357</w:t>
            </w:r>
          </w:p>
        </w:tc>
        <w:tc>
          <w:tcPr>
            <w:tcW w:w="104" w:type="pct"/>
            <w:tcBorders>
              <w:top w:val="nil"/>
              <w:bottom w:val="nil"/>
            </w:tcBorders>
            <w:noWrap/>
            <w:hideMark/>
          </w:tcPr>
          <w:p w14:paraId="2BD2D22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51D3F814"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15" w:type="pct"/>
            <w:tcBorders>
              <w:top w:val="nil"/>
              <w:bottom w:val="nil"/>
            </w:tcBorders>
            <w:hideMark/>
          </w:tcPr>
          <w:p w14:paraId="4BE10B08"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23" w:type="pct"/>
            <w:tcBorders>
              <w:top w:val="nil"/>
              <w:bottom w:val="nil"/>
            </w:tcBorders>
            <w:hideMark/>
          </w:tcPr>
          <w:p w14:paraId="1370FDBD"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r>
      <w:tr w:rsidR="00372E57" w:rsidRPr="003448EB" w14:paraId="66DEECFC"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00546F4A"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Etiology (HBV)</w:t>
            </w:r>
          </w:p>
        </w:tc>
        <w:tc>
          <w:tcPr>
            <w:tcW w:w="351" w:type="pct"/>
            <w:tcBorders>
              <w:top w:val="nil"/>
              <w:bottom w:val="nil"/>
            </w:tcBorders>
            <w:hideMark/>
          </w:tcPr>
          <w:p w14:paraId="423E1890"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1.313</w:t>
            </w:r>
          </w:p>
        </w:tc>
        <w:tc>
          <w:tcPr>
            <w:tcW w:w="615" w:type="pct"/>
            <w:tcBorders>
              <w:top w:val="nil"/>
              <w:bottom w:val="nil"/>
            </w:tcBorders>
            <w:hideMark/>
          </w:tcPr>
          <w:p w14:paraId="63412C5F"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0.809–2.133</w:t>
            </w:r>
          </w:p>
        </w:tc>
        <w:tc>
          <w:tcPr>
            <w:tcW w:w="424" w:type="pct"/>
            <w:tcBorders>
              <w:top w:val="nil"/>
              <w:bottom w:val="nil"/>
            </w:tcBorders>
            <w:noWrap/>
            <w:hideMark/>
          </w:tcPr>
          <w:p w14:paraId="56501B7E"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0.271</w:t>
            </w:r>
          </w:p>
        </w:tc>
        <w:tc>
          <w:tcPr>
            <w:tcW w:w="104" w:type="pct"/>
            <w:tcBorders>
              <w:top w:val="nil"/>
              <w:bottom w:val="nil"/>
            </w:tcBorders>
            <w:noWrap/>
            <w:hideMark/>
          </w:tcPr>
          <w:p w14:paraId="5A3B8897"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38F3DE33"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15" w:type="pct"/>
            <w:tcBorders>
              <w:top w:val="nil"/>
              <w:bottom w:val="nil"/>
            </w:tcBorders>
            <w:hideMark/>
          </w:tcPr>
          <w:p w14:paraId="7EA02018"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23" w:type="pct"/>
            <w:tcBorders>
              <w:top w:val="nil"/>
              <w:bottom w:val="nil"/>
            </w:tcBorders>
            <w:hideMark/>
          </w:tcPr>
          <w:p w14:paraId="5FFC2331"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r>
      <w:tr w:rsidR="00372E57" w:rsidRPr="003448EB" w14:paraId="60029008"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113665C1"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BCLC stage B</w:t>
            </w:r>
          </w:p>
        </w:tc>
        <w:tc>
          <w:tcPr>
            <w:tcW w:w="351" w:type="pct"/>
            <w:tcBorders>
              <w:top w:val="nil"/>
              <w:bottom w:val="nil"/>
            </w:tcBorders>
            <w:hideMark/>
          </w:tcPr>
          <w:p w14:paraId="6EEA474C"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0.667</w:t>
            </w:r>
          </w:p>
        </w:tc>
        <w:tc>
          <w:tcPr>
            <w:tcW w:w="615" w:type="pct"/>
            <w:tcBorders>
              <w:top w:val="nil"/>
              <w:bottom w:val="nil"/>
            </w:tcBorders>
            <w:hideMark/>
          </w:tcPr>
          <w:p w14:paraId="2CBE129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0.459–0.969</w:t>
            </w:r>
          </w:p>
        </w:tc>
        <w:tc>
          <w:tcPr>
            <w:tcW w:w="424" w:type="pct"/>
            <w:tcBorders>
              <w:top w:val="nil"/>
              <w:bottom w:val="nil"/>
            </w:tcBorders>
            <w:noWrap/>
            <w:hideMark/>
          </w:tcPr>
          <w:p w14:paraId="12DB0425"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0.033</w:t>
            </w:r>
          </w:p>
        </w:tc>
        <w:tc>
          <w:tcPr>
            <w:tcW w:w="104" w:type="pct"/>
            <w:tcBorders>
              <w:top w:val="nil"/>
              <w:bottom w:val="nil"/>
            </w:tcBorders>
            <w:noWrap/>
            <w:hideMark/>
          </w:tcPr>
          <w:p w14:paraId="773AAD25"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21115D0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0.601</w:t>
            </w:r>
          </w:p>
        </w:tc>
        <w:tc>
          <w:tcPr>
            <w:tcW w:w="615" w:type="pct"/>
            <w:tcBorders>
              <w:top w:val="nil"/>
              <w:bottom w:val="nil"/>
            </w:tcBorders>
            <w:hideMark/>
          </w:tcPr>
          <w:p w14:paraId="3229ACE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0.405–0.891</w:t>
            </w:r>
          </w:p>
        </w:tc>
        <w:tc>
          <w:tcPr>
            <w:tcW w:w="423" w:type="pct"/>
            <w:tcBorders>
              <w:top w:val="nil"/>
              <w:bottom w:val="nil"/>
            </w:tcBorders>
            <w:noWrap/>
            <w:hideMark/>
          </w:tcPr>
          <w:p w14:paraId="03DA1274"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0.011</w:t>
            </w:r>
          </w:p>
        </w:tc>
      </w:tr>
      <w:tr w:rsidR="00372E57" w:rsidRPr="003448EB" w14:paraId="2A2672D6"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5D5C5CF8"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Portal vein thrombosis</w:t>
            </w:r>
          </w:p>
        </w:tc>
        <w:tc>
          <w:tcPr>
            <w:tcW w:w="351" w:type="pct"/>
            <w:tcBorders>
              <w:top w:val="nil"/>
              <w:bottom w:val="nil"/>
            </w:tcBorders>
            <w:hideMark/>
          </w:tcPr>
          <w:p w14:paraId="3B677CAC"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1.677</w:t>
            </w:r>
          </w:p>
        </w:tc>
        <w:tc>
          <w:tcPr>
            <w:tcW w:w="615" w:type="pct"/>
            <w:tcBorders>
              <w:top w:val="nil"/>
              <w:bottom w:val="nil"/>
            </w:tcBorders>
            <w:hideMark/>
          </w:tcPr>
          <w:p w14:paraId="0C269F84"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 xml:space="preserve">1.092–2.575 </w:t>
            </w:r>
          </w:p>
        </w:tc>
        <w:tc>
          <w:tcPr>
            <w:tcW w:w="424" w:type="pct"/>
            <w:tcBorders>
              <w:top w:val="nil"/>
              <w:bottom w:val="nil"/>
            </w:tcBorders>
            <w:noWrap/>
            <w:hideMark/>
          </w:tcPr>
          <w:p w14:paraId="40C233F0"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0.018</w:t>
            </w:r>
          </w:p>
        </w:tc>
        <w:tc>
          <w:tcPr>
            <w:tcW w:w="104" w:type="pct"/>
            <w:tcBorders>
              <w:top w:val="nil"/>
              <w:bottom w:val="nil"/>
            </w:tcBorders>
            <w:noWrap/>
            <w:hideMark/>
          </w:tcPr>
          <w:p w14:paraId="754F65BC"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01FEDE8D"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1.133</w:t>
            </w:r>
          </w:p>
        </w:tc>
        <w:tc>
          <w:tcPr>
            <w:tcW w:w="615" w:type="pct"/>
            <w:tcBorders>
              <w:top w:val="nil"/>
              <w:bottom w:val="nil"/>
            </w:tcBorders>
            <w:hideMark/>
          </w:tcPr>
          <w:p w14:paraId="29AC8770"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0.674–1.903</w:t>
            </w:r>
          </w:p>
        </w:tc>
        <w:tc>
          <w:tcPr>
            <w:tcW w:w="423" w:type="pct"/>
            <w:tcBorders>
              <w:top w:val="nil"/>
              <w:bottom w:val="nil"/>
            </w:tcBorders>
            <w:noWrap/>
            <w:hideMark/>
          </w:tcPr>
          <w:p w14:paraId="5AD4A0B7"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0.638</w:t>
            </w:r>
          </w:p>
        </w:tc>
      </w:tr>
      <w:tr w:rsidR="00372E57" w:rsidRPr="003448EB" w14:paraId="69955D0C"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201033DE"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Extrahepatic spread</w:t>
            </w:r>
          </w:p>
        </w:tc>
        <w:tc>
          <w:tcPr>
            <w:tcW w:w="351" w:type="pct"/>
            <w:tcBorders>
              <w:top w:val="nil"/>
              <w:bottom w:val="nil"/>
            </w:tcBorders>
            <w:hideMark/>
          </w:tcPr>
          <w:p w14:paraId="28A28100"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0.740</w:t>
            </w:r>
          </w:p>
        </w:tc>
        <w:tc>
          <w:tcPr>
            <w:tcW w:w="615" w:type="pct"/>
            <w:tcBorders>
              <w:top w:val="nil"/>
              <w:bottom w:val="nil"/>
            </w:tcBorders>
            <w:hideMark/>
          </w:tcPr>
          <w:p w14:paraId="7D3B9D0F"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0.509–1.074</w:t>
            </w:r>
          </w:p>
        </w:tc>
        <w:tc>
          <w:tcPr>
            <w:tcW w:w="424" w:type="pct"/>
            <w:tcBorders>
              <w:top w:val="nil"/>
              <w:bottom w:val="nil"/>
            </w:tcBorders>
            <w:noWrap/>
            <w:hideMark/>
          </w:tcPr>
          <w:p w14:paraId="73055443"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0.113</w:t>
            </w:r>
          </w:p>
        </w:tc>
        <w:tc>
          <w:tcPr>
            <w:tcW w:w="104" w:type="pct"/>
            <w:tcBorders>
              <w:top w:val="nil"/>
              <w:bottom w:val="nil"/>
            </w:tcBorders>
            <w:noWrap/>
            <w:hideMark/>
          </w:tcPr>
          <w:p w14:paraId="2E7E8C72"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47DEBFDD"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0.671</w:t>
            </w:r>
          </w:p>
        </w:tc>
        <w:tc>
          <w:tcPr>
            <w:tcW w:w="615" w:type="pct"/>
            <w:tcBorders>
              <w:top w:val="nil"/>
              <w:bottom w:val="nil"/>
            </w:tcBorders>
            <w:hideMark/>
          </w:tcPr>
          <w:p w14:paraId="477361F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0.419–1.076</w:t>
            </w:r>
          </w:p>
        </w:tc>
        <w:tc>
          <w:tcPr>
            <w:tcW w:w="423" w:type="pct"/>
            <w:tcBorders>
              <w:top w:val="nil"/>
              <w:bottom w:val="nil"/>
            </w:tcBorders>
            <w:noWrap/>
            <w:hideMark/>
          </w:tcPr>
          <w:p w14:paraId="30814088"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0.098</w:t>
            </w:r>
          </w:p>
        </w:tc>
      </w:tr>
      <w:tr w:rsidR="00372E57" w:rsidRPr="003448EB" w14:paraId="4F87570D"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221F85AE"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AFP (&gt;</w:t>
            </w:r>
            <w:r w:rsidRPr="003448EB">
              <w:rPr>
                <w:rFonts w:ascii="Book Antiqua" w:eastAsia="等线" w:hAnsi="Book Antiqua"/>
                <w:color w:val="000000"/>
                <w:lang w:eastAsia="zh-CN"/>
              </w:rPr>
              <w:t xml:space="preserve"> </w:t>
            </w:r>
            <w:r w:rsidRPr="003448EB">
              <w:rPr>
                <w:rFonts w:ascii="Book Antiqua" w:eastAsia="Yu Gothic" w:hAnsi="Book Antiqua"/>
                <w:color w:val="000000"/>
              </w:rPr>
              <w:t>400 ng/mL)</w:t>
            </w:r>
          </w:p>
        </w:tc>
        <w:tc>
          <w:tcPr>
            <w:tcW w:w="351" w:type="pct"/>
            <w:tcBorders>
              <w:top w:val="nil"/>
              <w:bottom w:val="nil"/>
            </w:tcBorders>
            <w:hideMark/>
          </w:tcPr>
          <w:p w14:paraId="2E582267"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1.282</w:t>
            </w:r>
          </w:p>
        </w:tc>
        <w:tc>
          <w:tcPr>
            <w:tcW w:w="615" w:type="pct"/>
            <w:tcBorders>
              <w:top w:val="nil"/>
              <w:bottom w:val="nil"/>
            </w:tcBorders>
            <w:hideMark/>
          </w:tcPr>
          <w:p w14:paraId="062C9A1F"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0.893–1.839</w:t>
            </w:r>
          </w:p>
        </w:tc>
        <w:tc>
          <w:tcPr>
            <w:tcW w:w="424" w:type="pct"/>
            <w:tcBorders>
              <w:top w:val="nil"/>
              <w:bottom w:val="nil"/>
            </w:tcBorders>
            <w:noWrap/>
            <w:hideMark/>
          </w:tcPr>
          <w:p w14:paraId="78213C6C"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0.178</w:t>
            </w:r>
          </w:p>
        </w:tc>
        <w:tc>
          <w:tcPr>
            <w:tcW w:w="104" w:type="pct"/>
            <w:tcBorders>
              <w:top w:val="nil"/>
              <w:bottom w:val="nil"/>
            </w:tcBorders>
            <w:noWrap/>
            <w:hideMark/>
          </w:tcPr>
          <w:p w14:paraId="2E17FF09"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699FC339"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1.370</w:t>
            </w:r>
          </w:p>
        </w:tc>
        <w:tc>
          <w:tcPr>
            <w:tcW w:w="615" w:type="pct"/>
            <w:tcBorders>
              <w:top w:val="nil"/>
              <w:bottom w:val="nil"/>
            </w:tcBorders>
            <w:hideMark/>
          </w:tcPr>
          <w:p w14:paraId="3111626F"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0.936–2.006</w:t>
            </w:r>
          </w:p>
        </w:tc>
        <w:tc>
          <w:tcPr>
            <w:tcW w:w="423" w:type="pct"/>
            <w:tcBorders>
              <w:top w:val="nil"/>
              <w:bottom w:val="nil"/>
            </w:tcBorders>
            <w:noWrap/>
            <w:hideMark/>
          </w:tcPr>
          <w:p w14:paraId="02FA186A"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0.105</w:t>
            </w:r>
          </w:p>
        </w:tc>
      </w:tr>
      <w:tr w:rsidR="00372E57" w:rsidRPr="003448EB" w14:paraId="43010DA4"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16235E93"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ECOG Performance status 1</w:t>
            </w:r>
          </w:p>
        </w:tc>
        <w:tc>
          <w:tcPr>
            <w:tcW w:w="351" w:type="pct"/>
            <w:tcBorders>
              <w:top w:val="nil"/>
              <w:bottom w:val="nil"/>
            </w:tcBorders>
            <w:hideMark/>
          </w:tcPr>
          <w:p w14:paraId="65EFF78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0.752</w:t>
            </w:r>
          </w:p>
        </w:tc>
        <w:tc>
          <w:tcPr>
            <w:tcW w:w="615" w:type="pct"/>
            <w:tcBorders>
              <w:top w:val="nil"/>
              <w:bottom w:val="nil"/>
            </w:tcBorders>
            <w:hideMark/>
          </w:tcPr>
          <w:p w14:paraId="41F7025B"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0.488–1.158</w:t>
            </w:r>
          </w:p>
        </w:tc>
        <w:tc>
          <w:tcPr>
            <w:tcW w:w="424" w:type="pct"/>
            <w:tcBorders>
              <w:top w:val="nil"/>
              <w:bottom w:val="nil"/>
            </w:tcBorders>
            <w:noWrap/>
            <w:hideMark/>
          </w:tcPr>
          <w:p w14:paraId="3C222584"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0.196</w:t>
            </w:r>
          </w:p>
        </w:tc>
        <w:tc>
          <w:tcPr>
            <w:tcW w:w="104" w:type="pct"/>
            <w:tcBorders>
              <w:top w:val="nil"/>
              <w:bottom w:val="nil"/>
            </w:tcBorders>
            <w:noWrap/>
            <w:hideMark/>
          </w:tcPr>
          <w:p w14:paraId="0506053C"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53037ED3"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1.042</w:t>
            </w:r>
          </w:p>
        </w:tc>
        <w:tc>
          <w:tcPr>
            <w:tcW w:w="615" w:type="pct"/>
            <w:tcBorders>
              <w:top w:val="nil"/>
              <w:bottom w:val="nil"/>
            </w:tcBorders>
            <w:hideMark/>
          </w:tcPr>
          <w:p w14:paraId="48254F0D"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0.636–1.708</w:t>
            </w:r>
          </w:p>
        </w:tc>
        <w:tc>
          <w:tcPr>
            <w:tcW w:w="423" w:type="pct"/>
            <w:tcBorders>
              <w:top w:val="nil"/>
              <w:bottom w:val="nil"/>
            </w:tcBorders>
            <w:noWrap/>
            <w:hideMark/>
          </w:tcPr>
          <w:p w14:paraId="5A567CDD"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0.869</w:t>
            </w:r>
          </w:p>
        </w:tc>
      </w:tr>
      <w:tr w:rsidR="00372E57" w:rsidRPr="003448EB" w14:paraId="19494B5A"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1A7520E0"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 xml:space="preserve">Group A </w:t>
            </w:r>
            <w:r w:rsidRPr="003448EB">
              <w:rPr>
                <w:rFonts w:ascii="Book Antiqua" w:eastAsia="Yu Gothic" w:hAnsi="Book Antiqua"/>
                <w:i/>
                <w:color w:val="000000"/>
              </w:rPr>
              <w:t>vs</w:t>
            </w:r>
            <w:r w:rsidRPr="003448EB">
              <w:rPr>
                <w:rFonts w:ascii="Book Antiqua" w:eastAsia="Yu Gothic" w:hAnsi="Book Antiqua"/>
                <w:color w:val="000000"/>
              </w:rPr>
              <w:t xml:space="preserve"> Group B</w:t>
            </w:r>
          </w:p>
        </w:tc>
        <w:tc>
          <w:tcPr>
            <w:tcW w:w="351" w:type="pct"/>
            <w:tcBorders>
              <w:top w:val="nil"/>
              <w:bottom w:val="nil"/>
            </w:tcBorders>
            <w:hideMark/>
          </w:tcPr>
          <w:p w14:paraId="1A7AF21E"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0.703</w:t>
            </w:r>
          </w:p>
        </w:tc>
        <w:tc>
          <w:tcPr>
            <w:tcW w:w="615" w:type="pct"/>
            <w:tcBorders>
              <w:top w:val="nil"/>
              <w:bottom w:val="nil"/>
            </w:tcBorders>
            <w:hideMark/>
          </w:tcPr>
          <w:p w14:paraId="79A719F9"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0.431–1.147</w:t>
            </w:r>
          </w:p>
        </w:tc>
        <w:tc>
          <w:tcPr>
            <w:tcW w:w="424" w:type="pct"/>
            <w:tcBorders>
              <w:top w:val="nil"/>
              <w:bottom w:val="nil"/>
            </w:tcBorders>
            <w:noWrap/>
            <w:hideMark/>
          </w:tcPr>
          <w:p w14:paraId="1A9C64B0"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0.159</w:t>
            </w:r>
          </w:p>
        </w:tc>
        <w:tc>
          <w:tcPr>
            <w:tcW w:w="104" w:type="pct"/>
            <w:tcBorders>
              <w:top w:val="nil"/>
              <w:bottom w:val="nil"/>
            </w:tcBorders>
            <w:noWrap/>
            <w:hideMark/>
          </w:tcPr>
          <w:p w14:paraId="7CCF77E5"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3E3782BA"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0.658</w:t>
            </w:r>
          </w:p>
        </w:tc>
        <w:tc>
          <w:tcPr>
            <w:tcW w:w="615" w:type="pct"/>
            <w:tcBorders>
              <w:top w:val="nil"/>
              <w:bottom w:val="nil"/>
            </w:tcBorders>
            <w:hideMark/>
          </w:tcPr>
          <w:p w14:paraId="729F0132"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0.398–1.088</w:t>
            </w:r>
          </w:p>
        </w:tc>
        <w:tc>
          <w:tcPr>
            <w:tcW w:w="423" w:type="pct"/>
            <w:tcBorders>
              <w:top w:val="nil"/>
              <w:bottom w:val="nil"/>
            </w:tcBorders>
            <w:noWrap/>
            <w:hideMark/>
          </w:tcPr>
          <w:p w14:paraId="58FDBD05"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0.103</w:t>
            </w:r>
          </w:p>
        </w:tc>
      </w:tr>
      <w:tr w:rsidR="00372E57" w:rsidRPr="003448EB" w14:paraId="094847DC"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17" w:type="pct"/>
            <w:tcBorders>
              <w:top w:val="nil"/>
              <w:bottom w:val="nil"/>
            </w:tcBorders>
            <w:hideMark/>
          </w:tcPr>
          <w:p w14:paraId="2BDC69B4"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 xml:space="preserve">Group A </w:t>
            </w:r>
            <w:r w:rsidRPr="003448EB">
              <w:rPr>
                <w:rFonts w:ascii="Book Antiqua" w:eastAsia="Yu Gothic" w:hAnsi="Book Antiqua"/>
                <w:i/>
                <w:color w:val="000000"/>
              </w:rPr>
              <w:t>vs</w:t>
            </w:r>
            <w:r w:rsidRPr="003448EB">
              <w:rPr>
                <w:rFonts w:ascii="Book Antiqua" w:eastAsia="Yu Gothic" w:hAnsi="Book Antiqua"/>
                <w:color w:val="000000"/>
              </w:rPr>
              <w:t xml:space="preserve"> Group C</w:t>
            </w:r>
          </w:p>
        </w:tc>
        <w:tc>
          <w:tcPr>
            <w:tcW w:w="351" w:type="pct"/>
            <w:tcBorders>
              <w:top w:val="nil"/>
              <w:bottom w:val="nil"/>
            </w:tcBorders>
            <w:hideMark/>
          </w:tcPr>
          <w:p w14:paraId="41CFE619"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0.431</w:t>
            </w:r>
          </w:p>
        </w:tc>
        <w:tc>
          <w:tcPr>
            <w:tcW w:w="615" w:type="pct"/>
            <w:tcBorders>
              <w:top w:val="nil"/>
              <w:bottom w:val="nil"/>
            </w:tcBorders>
            <w:hideMark/>
          </w:tcPr>
          <w:p w14:paraId="5FBB2067"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0.281–0.663</w:t>
            </w:r>
          </w:p>
        </w:tc>
        <w:tc>
          <w:tcPr>
            <w:tcW w:w="424" w:type="pct"/>
            <w:tcBorders>
              <w:top w:val="nil"/>
              <w:bottom w:val="nil"/>
            </w:tcBorders>
            <w:noWrap/>
            <w:hideMark/>
          </w:tcPr>
          <w:p w14:paraId="28D6E8A9"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c>
          <w:tcPr>
            <w:tcW w:w="104" w:type="pct"/>
            <w:tcBorders>
              <w:top w:val="nil"/>
              <w:bottom w:val="nil"/>
            </w:tcBorders>
            <w:noWrap/>
            <w:hideMark/>
          </w:tcPr>
          <w:p w14:paraId="57A85BAF"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p>
        </w:tc>
        <w:tc>
          <w:tcPr>
            <w:tcW w:w="351" w:type="pct"/>
            <w:tcBorders>
              <w:top w:val="nil"/>
              <w:bottom w:val="nil"/>
            </w:tcBorders>
            <w:hideMark/>
          </w:tcPr>
          <w:p w14:paraId="70D21C9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0.407</w:t>
            </w:r>
          </w:p>
        </w:tc>
        <w:tc>
          <w:tcPr>
            <w:tcW w:w="615" w:type="pct"/>
            <w:tcBorders>
              <w:top w:val="nil"/>
              <w:bottom w:val="nil"/>
            </w:tcBorders>
            <w:hideMark/>
          </w:tcPr>
          <w:p w14:paraId="479ED844"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0.253–0.654</w:t>
            </w:r>
          </w:p>
        </w:tc>
        <w:tc>
          <w:tcPr>
            <w:tcW w:w="423" w:type="pct"/>
            <w:tcBorders>
              <w:top w:val="nil"/>
              <w:bottom w:val="nil"/>
            </w:tcBorders>
            <w:noWrap/>
            <w:hideMark/>
          </w:tcPr>
          <w:p w14:paraId="33DB90A1" w14:textId="77777777" w:rsidR="00372E57" w:rsidRPr="003448EB" w:rsidRDefault="00372E57" w:rsidP="00B50B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r>
      <w:tr w:rsidR="00372E57" w:rsidRPr="003448EB" w14:paraId="27D33264" w14:textId="77777777" w:rsidTr="00372E57">
        <w:trPr>
          <w:trHeight w:val="408"/>
        </w:trPr>
        <w:tc>
          <w:tcPr>
            <w:cnfStyle w:val="001000000000" w:firstRow="0" w:lastRow="0" w:firstColumn="1" w:lastColumn="0" w:oddVBand="0" w:evenVBand="0" w:oddHBand="0" w:evenHBand="0" w:firstRowFirstColumn="0" w:firstRowLastColumn="0" w:lastRowFirstColumn="0" w:lastRowLastColumn="0"/>
            <w:tcW w:w="2117" w:type="pct"/>
            <w:tcBorders>
              <w:top w:val="nil"/>
              <w:bottom w:val="single" w:sz="4" w:space="0" w:color="7F7F7F" w:themeColor="text1" w:themeTint="80"/>
            </w:tcBorders>
            <w:hideMark/>
          </w:tcPr>
          <w:p w14:paraId="34F96E75" w14:textId="77777777" w:rsidR="00372E57" w:rsidRPr="003448EB" w:rsidRDefault="00372E57" w:rsidP="00B50B39">
            <w:pPr>
              <w:spacing w:line="360" w:lineRule="auto"/>
              <w:jc w:val="both"/>
              <w:rPr>
                <w:rFonts w:ascii="Book Antiqua" w:eastAsia="Yu Gothic" w:hAnsi="Book Antiqua"/>
                <w:color w:val="000000"/>
              </w:rPr>
            </w:pPr>
            <w:r w:rsidRPr="003448EB">
              <w:rPr>
                <w:rFonts w:ascii="Book Antiqua" w:eastAsia="Yu Gothic" w:hAnsi="Book Antiqua"/>
                <w:color w:val="000000"/>
              </w:rPr>
              <w:t xml:space="preserve">Sorafenib administration period (second half </w:t>
            </w:r>
            <w:r w:rsidRPr="003448EB">
              <w:rPr>
                <w:rFonts w:ascii="Book Antiqua" w:eastAsia="Yu Gothic" w:hAnsi="Book Antiqua"/>
                <w:i/>
                <w:color w:val="000000"/>
              </w:rPr>
              <w:t>vs</w:t>
            </w:r>
            <w:r w:rsidRPr="003448EB">
              <w:rPr>
                <w:rFonts w:ascii="Book Antiqua" w:eastAsia="Yu Gothic" w:hAnsi="Book Antiqua"/>
                <w:color w:val="000000"/>
              </w:rPr>
              <w:t xml:space="preserve"> first half)</w:t>
            </w:r>
          </w:p>
        </w:tc>
        <w:tc>
          <w:tcPr>
            <w:tcW w:w="351" w:type="pct"/>
            <w:tcBorders>
              <w:top w:val="nil"/>
              <w:bottom w:val="single" w:sz="4" w:space="0" w:color="7F7F7F" w:themeColor="text1" w:themeTint="80"/>
            </w:tcBorders>
            <w:hideMark/>
          </w:tcPr>
          <w:p w14:paraId="600F466F"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1.205</w:t>
            </w:r>
          </w:p>
        </w:tc>
        <w:tc>
          <w:tcPr>
            <w:tcW w:w="615" w:type="pct"/>
            <w:tcBorders>
              <w:top w:val="nil"/>
              <w:bottom w:val="single" w:sz="4" w:space="0" w:color="7F7F7F" w:themeColor="text1" w:themeTint="80"/>
            </w:tcBorders>
            <w:hideMark/>
          </w:tcPr>
          <w:p w14:paraId="450DF88D"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0.840–1.728</w:t>
            </w:r>
          </w:p>
        </w:tc>
        <w:tc>
          <w:tcPr>
            <w:tcW w:w="424" w:type="pct"/>
            <w:tcBorders>
              <w:top w:val="nil"/>
              <w:bottom w:val="single" w:sz="4" w:space="0" w:color="7F7F7F" w:themeColor="text1" w:themeTint="80"/>
            </w:tcBorders>
            <w:noWrap/>
            <w:hideMark/>
          </w:tcPr>
          <w:p w14:paraId="44050619"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0.311</w:t>
            </w:r>
          </w:p>
        </w:tc>
        <w:tc>
          <w:tcPr>
            <w:tcW w:w="104" w:type="pct"/>
            <w:tcBorders>
              <w:top w:val="nil"/>
              <w:bottom w:val="single" w:sz="4" w:space="0" w:color="7F7F7F" w:themeColor="text1" w:themeTint="80"/>
            </w:tcBorders>
            <w:noWrap/>
            <w:hideMark/>
          </w:tcPr>
          <w:p w14:paraId="0FC7D4DC"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p>
        </w:tc>
        <w:tc>
          <w:tcPr>
            <w:tcW w:w="351" w:type="pct"/>
            <w:tcBorders>
              <w:top w:val="nil"/>
              <w:bottom w:val="single" w:sz="4" w:space="0" w:color="7F7F7F" w:themeColor="text1" w:themeTint="80"/>
            </w:tcBorders>
            <w:hideMark/>
          </w:tcPr>
          <w:p w14:paraId="003DC55B"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615" w:type="pct"/>
            <w:tcBorders>
              <w:top w:val="nil"/>
              <w:bottom w:val="single" w:sz="4" w:space="0" w:color="7F7F7F" w:themeColor="text1" w:themeTint="80"/>
            </w:tcBorders>
            <w:hideMark/>
          </w:tcPr>
          <w:p w14:paraId="5CC8E7D5"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c>
          <w:tcPr>
            <w:tcW w:w="423" w:type="pct"/>
            <w:tcBorders>
              <w:top w:val="nil"/>
              <w:bottom w:val="single" w:sz="4" w:space="0" w:color="7F7F7F" w:themeColor="text1" w:themeTint="80"/>
            </w:tcBorders>
            <w:hideMark/>
          </w:tcPr>
          <w:p w14:paraId="2272C3ED" w14:textId="77777777" w:rsidR="00372E57" w:rsidRPr="003448EB" w:rsidRDefault="00372E57" w:rsidP="00B50B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w:t>
            </w:r>
          </w:p>
        </w:tc>
      </w:tr>
    </w:tbl>
    <w:bookmarkEnd w:id="4"/>
    <w:p w14:paraId="634627C2" w14:textId="14C34EBB" w:rsidR="00F81B92" w:rsidRDefault="00372E57" w:rsidP="00B50B39">
      <w:pPr>
        <w:snapToGrid w:val="0"/>
        <w:spacing w:line="360" w:lineRule="auto"/>
        <w:contextualSpacing/>
        <w:jc w:val="both"/>
        <w:rPr>
          <w:rFonts w:ascii="Book Antiqua" w:eastAsia="等线" w:hAnsi="Book Antiqua"/>
          <w:color w:val="000000"/>
          <w:lang w:eastAsia="zh-CN"/>
        </w:rPr>
      </w:pPr>
      <w:r w:rsidRPr="003448EB">
        <w:rPr>
          <w:rFonts w:ascii="Book Antiqua" w:eastAsia="Yu Gothic" w:hAnsi="Book Antiqua"/>
          <w:color w:val="000000"/>
        </w:rPr>
        <w:t>AFP</w:t>
      </w:r>
      <w:r w:rsidRPr="003448EB">
        <w:rPr>
          <w:rFonts w:ascii="Book Antiqua" w:eastAsia="等线" w:hAnsi="Book Antiqua"/>
          <w:color w:val="000000"/>
          <w:lang w:eastAsia="zh-CN"/>
        </w:rPr>
        <w:t xml:space="preserve">: </w:t>
      </w:r>
      <w:r w:rsidRPr="003448EB">
        <w:rPr>
          <w:rFonts w:ascii="Book Antiqua" w:eastAsia="Yu Gothic" w:hAnsi="Book Antiqua"/>
          <w:color w:val="000000"/>
        </w:rPr>
        <w:t>Alpha-fetoprotein; BCLC</w:t>
      </w:r>
      <w:r w:rsidRPr="003448EB">
        <w:rPr>
          <w:rFonts w:ascii="Book Antiqua" w:eastAsia="等线" w:hAnsi="Book Antiqua"/>
          <w:color w:val="000000"/>
          <w:lang w:eastAsia="zh-CN"/>
        </w:rPr>
        <w:t>:</w:t>
      </w:r>
      <w:r w:rsidRPr="003448EB">
        <w:rPr>
          <w:rFonts w:ascii="Book Antiqua" w:eastAsia="Yu Gothic" w:hAnsi="Book Antiqua"/>
          <w:color w:val="000000"/>
        </w:rPr>
        <w:t xml:space="preserve"> Barcelona Clinic Liver Cancer; HBV</w:t>
      </w:r>
      <w:r w:rsidRPr="003448EB">
        <w:rPr>
          <w:rFonts w:ascii="Book Antiqua" w:eastAsia="等线" w:hAnsi="Book Antiqua"/>
          <w:color w:val="000000"/>
          <w:lang w:eastAsia="zh-CN"/>
        </w:rPr>
        <w:t>:</w:t>
      </w:r>
      <w:r w:rsidRPr="003448EB">
        <w:rPr>
          <w:rFonts w:ascii="Book Antiqua" w:eastAsia="Yu Gothic" w:hAnsi="Book Antiqua"/>
          <w:color w:val="000000"/>
        </w:rPr>
        <w:t xml:space="preserve"> Hepatitis B virus; ECOG</w:t>
      </w:r>
      <w:r w:rsidRPr="003448EB">
        <w:rPr>
          <w:rFonts w:ascii="Book Antiqua" w:eastAsia="等线" w:hAnsi="Book Antiqua"/>
          <w:color w:val="000000"/>
          <w:lang w:eastAsia="zh-CN"/>
        </w:rPr>
        <w:t>:</w:t>
      </w:r>
      <w:r w:rsidRPr="003448EB">
        <w:rPr>
          <w:rFonts w:ascii="Book Antiqua" w:eastAsia="Yu Gothic" w:hAnsi="Book Antiqua"/>
          <w:color w:val="000000"/>
        </w:rPr>
        <w:t xml:space="preserve"> Eastern Cooperative Oncology Group</w:t>
      </w:r>
      <w:r w:rsidR="00F81B92">
        <w:rPr>
          <w:rFonts w:ascii="Book Antiqua" w:eastAsia="Yu Gothic" w:hAnsi="Book Antiqua"/>
          <w:color w:val="000000"/>
        </w:rPr>
        <w:t>.</w:t>
      </w:r>
    </w:p>
    <w:p w14:paraId="6C40F141" w14:textId="0AF7E62E" w:rsidR="00372E57" w:rsidRPr="003448EB" w:rsidRDefault="00372E57" w:rsidP="00B50B39">
      <w:pPr>
        <w:snapToGrid w:val="0"/>
        <w:spacing w:line="360" w:lineRule="auto"/>
        <w:contextualSpacing/>
        <w:jc w:val="both"/>
        <w:rPr>
          <w:rFonts w:ascii="Book Antiqua" w:eastAsia="MS Mincho" w:hAnsi="Book Antiqua"/>
          <w:b/>
          <w:bCs/>
        </w:rPr>
      </w:pPr>
      <w:r w:rsidRPr="003448EB">
        <w:rPr>
          <w:rFonts w:ascii="Book Antiqua" w:eastAsia="等线" w:hAnsi="Book Antiqua"/>
          <w:color w:val="000000"/>
          <w:lang w:eastAsia="zh-CN"/>
        </w:rPr>
        <w:br w:type="page"/>
      </w:r>
      <w:bookmarkStart w:id="5" w:name="_Hlk65098491"/>
      <w:r w:rsidRPr="003448EB">
        <w:rPr>
          <w:rFonts w:ascii="Book Antiqua" w:eastAsia="MS Mincho" w:hAnsi="Book Antiqua"/>
          <w:b/>
          <w:bCs/>
        </w:rPr>
        <w:lastRenderedPageBreak/>
        <w:t xml:space="preserve">Table 7 </w:t>
      </w:r>
      <w:bookmarkEnd w:id="5"/>
      <w:r w:rsidRPr="003448EB">
        <w:rPr>
          <w:rFonts w:ascii="Book Antiqua" w:eastAsia="MS Mincho" w:hAnsi="Book Antiqua"/>
          <w:b/>
          <w:bCs/>
        </w:rPr>
        <w:t>Prognostic factors of time-to-treatment failure by multivariable Cox regression analysis</w:t>
      </w:r>
    </w:p>
    <w:tbl>
      <w:tblPr>
        <w:tblStyle w:val="21"/>
        <w:tblW w:w="5000" w:type="pct"/>
        <w:tblLook w:val="04A0" w:firstRow="1" w:lastRow="0" w:firstColumn="1" w:lastColumn="0" w:noHBand="0" w:noVBand="1"/>
      </w:tblPr>
      <w:tblGrid>
        <w:gridCol w:w="4675"/>
        <w:gridCol w:w="756"/>
        <w:gridCol w:w="2329"/>
        <w:gridCol w:w="1043"/>
        <w:gridCol w:w="222"/>
        <w:gridCol w:w="757"/>
        <w:gridCol w:w="2543"/>
        <w:gridCol w:w="1043"/>
      </w:tblGrid>
      <w:tr w:rsidR="00372E57" w:rsidRPr="003448EB" w14:paraId="4241ABFD" w14:textId="77777777" w:rsidTr="00372E5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49" w:type="pct"/>
            <w:noWrap/>
            <w:hideMark/>
          </w:tcPr>
          <w:p w14:paraId="12743D08" w14:textId="77777777" w:rsidR="00372E57" w:rsidRPr="003448EB" w:rsidRDefault="00372E57" w:rsidP="00B50B39">
            <w:pPr>
              <w:snapToGrid w:val="0"/>
              <w:spacing w:line="360" w:lineRule="auto"/>
              <w:contextualSpacing/>
              <w:jc w:val="both"/>
              <w:rPr>
                <w:rFonts w:ascii="Book Antiqua" w:eastAsia="Yu Gothic" w:hAnsi="Book Antiqua"/>
                <w:b w:val="0"/>
                <w:bCs w:val="0"/>
              </w:rPr>
            </w:pPr>
          </w:p>
        </w:tc>
        <w:tc>
          <w:tcPr>
            <w:tcW w:w="283" w:type="pct"/>
            <w:noWrap/>
            <w:hideMark/>
          </w:tcPr>
          <w:p w14:paraId="10561D79"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c>
          <w:tcPr>
            <w:tcW w:w="871" w:type="pct"/>
            <w:noWrap/>
            <w:hideMark/>
          </w:tcPr>
          <w:p w14:paraId="52B55BF6"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Univariate analysis</w:t>
            </w:r>
          </w:p>
        </w:tc>
        <w:tc>
          <w:tcPr>
            <w:tcW w:w="390" w:type="pct"/>
            <w:noWrap/>
            <w:hideMark/>
          </w:tcPr>
          <w:p w14:paraId="1295BE44"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c>
          <w:tcPr>
            <w:tcW w:w="83" w:type="pct"/>
            <w:noWrap/>
            <w:hideMark/>
          </w:tcPr>
          <w:p w14:paraId="15B0FEA3"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c>
          <w:tcPr>
            <w:tcW w:w="283" w:type="pct"/>
            <w:noWrap/>
            <w:hideMark/>
          </w:tcPr>
          <w:p w14:paraId="42257514"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c>
          <w:tcPr>
            <w:tcW w:w="951" w:type="pct"/>
            <w:noWrap/>
            <w:hideMark/>
          </w:tcPr>
          <w:p w14:paraId="32094D25"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rPr>
            </w:pPr>
            <w:r w:rsidRPr="003448EB">
              <w:rPr>
                <w:rFonts w:ascii="Book Antiqua" w:eastAsia="Yu Gothic" w:hAnsi="Book Antiqua"/>
              </w:rPr>
              <w:t>Multivariate analysis</w:t>
            </w:r>
          </w:p>
        </w:tc>
        <w:tc>
          <w:tcPr>
            <w:tcW w:w="390" w:type="pct"/>
            <w:noWrap/>
            <w:hideMark/>
          </w:tcPr>
          <w:p w14:paraId="29E145DB" w14:textId="77777777" w:rsidR="00372E57" w:rsidRPr="003448EB" w:rsidRDefault="00372E57" w:rsidP="00B50B39">
            <w:pPr>
              <w:snapToGri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rPr>
            </w:pPr>
          </w:p>
        </w:tc>
      </w:tr>
      <w:tr w:rsidR="00372E57" w:rsidRPr="003448EB" w14:paraId="741A569E" w14:textId="77777777" w:rsidTr="00372E5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49" w:type="pct"/>
            <w:hideMark/>
          </w:tcPr>
          <w:p w14:paraId="6C6FE30C" w14:textId="77777777" w:rsidR="00372E57" w:rsidRPr="003448EB" w:rsidRDefault="00372E57" w:rsidP="00B50B39">
            <w:pPr>
              <w:snapToGrid w:val="0"/>
              <w:spacing w:line="360" w:lineRule="auto"/>
              <w:contextualSpacing/>
              <w:jc w:val="both"/>
              <w:rPr>
                <w:rFonts w:ascii="Book Antiqua" w:eastAsia="Yu Gothic" w:hAnsi="Book Antiqua"/>
                <w:b w:val="0"/>
                <w:bCs w:val="0"/>
              </w:rPr>
            </w:pPr>
          </w:p>
        </w:tc>
        <w:tc>
          <w:tcPr>
            <w:tcW w:w="283" w:type="pct"/>
            <w:hideMark/>
          </w:tcPr>
          <w:p w14:paraId="1B6630E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HR</w:t>
            </w:r>
          </w:p>
        </w:tc>
        <w:tc>
          <w:tcPr>
            <w:tcW w:w="871" w:type="pct"/>
            <w:hideMark/>
          </w:tcPr>
          <w:p w14:paraId="3A6EFD56"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95%CI</w:t>
            </w:r>
          </w:p>
        </w:tc>
        <w:tc>
          <w:tcPr>
            <w:tcW w:w="390" w:type="pct"/>
            <w:noWrap/>
            <w:hideMark/>
          </w:tcPr>
          <w:p w14:paraId="4EF9A9E7" w14:textId="769DD3F3"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i/>
                <w:caps/>
              </w:rPr>
              <w:t>p</w:t>
            </w:r>
            <w:r w:rsidR="00F81B92">
              <w:rPr>
                <w:rFonts w:ascii="Book Antiqua" w:eastAsia="Yu Gothic" w:hAnsi="Book Antiqua"/>
                <w:b/>
                <w:bCs/>
                <w:i/>
                <w:caps/>
              </w:rPr>
              <w:t xml:space="preserve"> </w:t>
            </w:r>
            <w:r w:rsidRPr="003448EB">
              <w:rPr>
                <w:rFonts w:ascii="Book Antiqua" w:eastAsia="Yu Gothic" w:hAnsi="Book Antiqua"/>
                <w:b/>
                <w:bCs/>
              </w:rPr>
              <w:t>value</w:t>
            </w:r>
          </w:p>
        </w:tc>
        <w:tc>
          <w:tcPr>
            <w:tcW w:w="83" w:type="pct"/>
            <w:noWrap/>
            <w:hideMark/>
          </w:tcPr>
          <w:p w14:paraId="5AF7DEB4"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283" w:type="pct"/>
            <w:hideMark/>
          </w:tcPr>
          <w:p w14:paraId="72278CC8"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HR</w:t>
            </w:r>
          </w:p>
        </w:tc>
        <w:tc>
          <w:tcPr>
            <w:tcW w:w="951" w:type="pct"/>
            <w:hideMark/>
          </w:tcPr>
          <w:p w14:paraId="7250DC59"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rPr>
              <w:t>95%CI</w:t>
            </w:r>
          </w:p>
        </w:tc>
        <w:tc>
          <w:tcPr>
            <w:tcW w:w="390" w:type="pct"/>
            <w:noWrap/>
            <w:hideMark/>
          </w:tcPr>
          <w:p w14:paraId="232240BD" w14:textId="37234019"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rPr>
            </w:pPr>
            <w:r w:rsidRPr="003448EB">
              <w:rPr>
                <w:rFonts w:ascii="Book Antiqua" w:eastAsia="Yu Gothic" w:hAnsi="Book Antiqua"/>
                <w:b/>
                <w:bCs/>
                <w:i/>
                <w:caps/>
              </w:rPr>
              <w:t>p</w:t>
            </w:r>
            <w:r w:rsidR="00F81B92">
              <w:rPr>
                <w:rFonts w:ascii="Book Antiqua" w:eastAsia="Yu Gothic" w:hAnsi="Book Antiqua"/>
                <w:b/>
                <w:bCs/>
                <w:i/>
                <w:caps/>
              </w:rPr>
              <w:t xml:space="preserve"> </w:t>
            </w:r>
            <w:r w:rsidRPr="003448EB">
              <w:rPr>
                <w:rFonts w:ascii="Book Antiqua" w:eastAsia="Yu Gothic" w:hAnsi="Book Antiqua"/>
                <w:b/>
                <w:bCs/>
              </w:rPr>
              <w:t>value</w:t>
            </w:r>
          </w:p>
        </w:tc>
      </w:tr>
      <w:tr w:rsidR="00372E57" w:rsidRPr="003448EB" w14:paraId="36A1EF19"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single" w:sz="4" w:space="0" w:color="7F7F7F" w:themeColor="text1" w:themeTint="80"/>
              <w:bottom w:val="nil"/>
            </w:tcBorders>
            <w:hideMark/>
          </w:tcPr>
          <w:p w14:paraId="3179E1F0"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 xml:space="preserve">Age (within 70 </w:t>
            </w:r>
            <w:proofErr w:type="spellStart"/>
            <w:r w:rsidRPr="003448EB">
              <w:rPr>
                <w:rFonts w:ascii="Book Antiqua" w:eastAsia="Yu Gothic" w:hAnsi="Book Antiqua"/>
              </w:rPr>
              <w:t>yr</w:t>
            </w:r>
            <w:proofErr w:type="spellEnd"/>
            <w:r w:rsidRPr="003448EB">
              <w:rPr>
                <w:rFonts w:ascii="Book Antiqua" w:eastAsia="Yu Gothic" w:hAnsi="Book Antiqua"/>
              </w:rPr>
              <w:t>)</w:t>
            </w:r>
          </w:p>
        </w:tc>
        <w:tc>
          <w:tcPr>
            <w:tcW w:w="283" w:type="pct"/>
            <w:tcBorders>
              <w:top w:val="single" w:sz="4" w:space="0" w:color="7F7F7F" w:themeColor="text1" w:themeTint="80"/>
              <w:bottom w:val="nil"/>
            </w:tcBorders>
            <w:hideMark/>
          </w:tcPr>
          <w:p w14:paraId="2BDD757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1.059</w:t>
            </w:r>
          </w:p>
        </w:tc>
        <w:tc>
          <w:tcPr>
            <w:tcW w:w="871" w:type="pct"/>
            <w:tcBorders>
              <w:top w:val="single" w:sz="4" w:space="0" w:color="7F7F7F" w:themeColor="text1" w:themeTint="80"/>
              <w:bottom w:val="nil"/>
            </w:tcBorders>
            <w:hideMark/>
          </w:tcPr>
          <w:p w14:paraId="69EF9EA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0.747</w:t>
            </w:r>
            <w:r w:rsidRPr="003448EB">
              <w:rPr>
                <w:rFonts w:ascii="Book Antiqua" w:eastAsia="MS Mincho" w:hAnsi="Book Antiqua"/>
                <w:bCs/>
                <w:iCs/>
              </w:rPr>
              <w:t>–</w:t>
            </w:r>
            <w:r w:rsidRPr="003448EB">
              <w:rPr>
                <w:rFonts w:ascii="Book Antiqua" w:eastAsia="Yu Gothic" w:hAnsi="Book Antiqua"/>
              </w:rPr>
              <w:t>1.501</w:t>
            </w:r>
          </w:p>
        </w:tc>
        <w:tc>
          <w:tcPr>
            <w:tcW w:w="390" w:type="pct"/>
            <w:tcBorders>
              <w:top w:val="single" w:sz="4" w:space="0" w:color="7F7F7F" w:themeColor="text1" w:themeTint="80"/>
              <w:bottom w:val="nil"/>
            </w:tcBorders>
            <w:noWrap/>
            <w:hideMark/>
          </w:tcPr>
          <w:p w14:paraId="28A58F3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0.747</w:t>
            </w:r>
          </w:p>
        </w:tc>
        <w:tc>
          <w:tcPr>
            <w:tcW w:w="83" w:type="pct"/>
            <w:tcBorders>
              <w:top w:val="single" w:sz="4" w:space="0" w:color="7F7F7F" w:themeColor="text1" w:themeTint="80"/>
              <w:bottom w:val="nil"/>
            </w:tcBorders>
            <w:noWrap/>
            <w:hideMark/>
          </w:tcPr>
          <w:p w14:paraId="7274B73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283" w:type="pct"/>
            <w:tcBorders>
              <w:top w:val="single" w:sz="4" w:space="0" w:color="7F7F7F" w:themeColor="text1" w:themeTint="80"/>
              <w:bottom w:val="nil"/>
            </w:tcBorders>
            <w:hideMark/>
          </w:tcPr>
          <w:p w14:paraId="02A6226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51" w:type="pct"/>
            <w:tcBorders>
              <w:top w:val="single" w:sz="4" w:space="0" w:color="7F7F7F" w:themeColor="text1" w:themeTint="80"/>
              <w:bottom w:val="nil"/>
            </w:tcBorders>
            <w:hideMark/>
          </w:tcPr>
          <w:p w14:paraId="3A81DC4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0" w:type="pct"/>
            <w:tcBorders>
              <w:top w:val="single" w:sz="4" w:space="0" w:color="7F7F7F" w:themeColor="text1" w:themeTint="80"/>
              <w:bottom w:val="nil"/>
            </w:tcBorders>
            <w:hideMark/>
          </w:tcPr>
          <w:p w14:paraId="22EB442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372E57" w:rsidRPr="003448EB" w14:paraId="475ACCEA"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7D5E59A3"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Male</w:t>
            </w:r>
          </w:p>
        </w:tc>
        <w:tc>
          <w:tcPr>
            <w:tcW w:w="283" w:type="pct"/>
            <w:tcBorders>
              <w:top w:val="nil"/>
              <w:bottom w:val="nil"/>
            </w:tcBorders>
            <w:hideMark/>
          </w:tcPr>
          <w:p w14:paraId="27A1ADF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0.926</w:t>
            </w:r>
          </w:p>
        </w:tc>
        <w:tc>
          <w:tcPr>
            <w:tcW w:w="871" w:type="pct"/>
            <w:tcBorders>
              <w:top w:val="nil"/>
              <w:bottom w:val="nil"/>
            </w:tcBorders>
            <w:hideMark/>
          </w:tcPr>
          <w:p w14:paraId="009B980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0.625</w:t>
            </w:r>
            <w:r w:rsidRPr="003448EB">
              <w:rPr>
                <w:rFonts w:ascii="Book Antiqua" w:eastAsia="MS Mincho" w:hAnsi="Book Antiqua"/>
                <w:bCs/>
                <w:iCs/>
              </w:rPr>
              <w:t>–</w:t>
            </w:r>
            <w:r w:rsidRPr="003448EB">
              <w:rPr>
                <w:rFonts w:ascii="Book Antiqua" w:eastAsia="Yu Gothic" w:hAnsi="Book Antiqua"/>
              </w:rPr>
              <w:t>1.372</w:t>
            </w:r>
          </w:p>
        </w:tc>
        <w:tc>
          <w:tcPr>
            <w:tcW w:w="390" w:type="pct"/>
            <w:tcBorders>
              <w:top w:val="nil"/>
              <w:bottom w:val="nil"/>
            </w:tcBorders>
            <w:noWrap/>
            <w:hideMark/>
          </w:tcPr>
          <w:p w14:paraId="6C230579"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0.703</w:t>
            </w:r>
          </w:p>
        </w:tc>
        <w:tc>
          <w:tcPr>
            <w:tcW w:w="83" w:type="pct"/>
            <w:tcBorders>
              <w:top w:val="nil"/>
              <w:bottom w:val="nil"/>
            </w:tcBorders>
            <w:noWrap/>
            <w:hideMark/>
          </w:tcPr>
          <w:p w14:paraId="1695EC1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1090155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51" w:type="pct"/>
            <w:tcBorders>
              <w:top w:val="nil"/>
              <w:bottom w:val="nil"/>
            </w:tcBorders>
            <w:hideMark/>
          </w:tcPr>
          <w:p w14:paraId="028F674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0" w:type="pct"/>
            <w:tcBorders>
              <w:top w:val="nil"/>
              <w:bottom w:val="nil"/>
            </w:tcBorders>
            <w:hideMark/>
          </w:tcPr>
          <w:p w14:paraId="527AAD6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372E57" w:rsidRPr="003448EB" w14:paraId="6FE20E07"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017419F5"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Etiology (HBV)</w:t>
            </w:r>
          </w:p>
        </w:tc>
        <w:tc>
          <w:tcPr>
            <w:tcW w:w="283" w:type="pct"/>
            <w:tcBorders>
              <w:top w:val="nil"/>
              <w:bottom w:val="nil"/>
            </w:tcBorders>
            <w:hideMark/>
          </w:tcPr>
          <w:p w14:paraId="5E14838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1.208</w:t>
            </w:r>
          </w:p>
        </w:tc>
        <w:tc>
          <w:tcPr>
            <w:tcW w:w="871" w:type="pct"/>
            <w:tcBorders>
              <w:top w:val="nil"/>
              <w:bottom w:val="nil"/>
            </w:tcBorders>
            <w:hideMark/>
          </w:tcPr>
          <w:p w14:paraId="54069C5F"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0.768</w:t>
            </w:r>
            <w:r w:rsidRPr="003448EB">
              <w:rPr>
                <w:rFonts w:ascii="Book Antiqua" w:eastAsia="MS Mincho" w:hAnsi="Book Antiqua"/>
                <w:bCs/>
                <w:iCs/>
              </w:rPr>
              <w:t>–</w:t>
            </w:r>
            <w:r w:rsidRPr="003448EB">
              <w:rPr>
                <w:rFonts w:ascii="Book Antiqua" w:eastAsia="Yu Gothic" w:hAnsi="Book Antiqua"/>
              </w:rPr>
              <w:t>1.901</w:t>
            </w:r>
          </w:p>
        </w:tc>
        <w:tc>
          <w:tcPr>
            <w:tcW w:w="390" w:type="pct"/>
            <w:tcBorders>
              <w:top w:val="nil"/>
              <w:bottom w:val="nil"/>
            </w:tcBorders>
            <w:noWrap/>
            <w:hideMark/>
          </w:tcPr>
          <w:p w14:paraId="1CA9D50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0.413</w:t>
            </w:r>
          </w:p>
        </w:tc>
        <w:tc>
          <w:tcPr>
            <w:tcW w:w="83" w:type="pct"/>
            <w:tcBorders>
              <w:top w:val="nil"/>
              <w:bottom w:val="nil"/>
            </w:tcBorders>
            <w:noWrap/>
            <w:hideMark/>
          </w:tcPr>
          <w:p w14:paraId="3A5D882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313D965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51" w:type="pct"/>
            <w:tcBorders>
              <w:top w:val="nil"/>
              <w:bottom w:val="nil"/>
            </w:tcBorders>
            <w:hideMark/>
          </w:tcPr>
          <w:p w14:paraId="22BC59D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0" w:type="pct"/>
            <w:tcBorders>
              <w:top w:val="nil"/>
              <w:bottom w:val="nil"/>
            </w:tcBorders>
            <w:hideMark/>
          </w:tcPr>
          <w:p w14:paraId="2ECFAB0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372E57" w:rsidRPr="003448EB" w14:paraId="538EAA06"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4E41097E"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BCLC stage C</w:t>
            </w:r>
          </w:p>
        </w:tc>
        <w:tc>
          <w:tcPr>
            <w:tcW w:w="283" w:type="pct"/>
            <w:tcBorders>
              <w:top w:val="nil"/>
              <w:bottom w:val="nil"/>
            </w:tcBorders>
            <w:hideMark/>
          </w:tcPr>
          <w:p w14:paraId="301616C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1.311</w:t>
            </w:r>
          </w:p>
        </w:tc>
        <w:tc>
          <w:tcPr>
            <w:tcW w:w="871" w:type="pct"/>
            <w:tcBorders>
              <w:top w:val="nil"/>
              <w:bottom w:val="nil"/>
            </w:tcBorders>
            <w:hideMark/>
          </w:tcPr>
          <w:p w14:paraId="5A75326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0.921</w:t>
            </w:r>
            <w:r w:rsidRPr="003448EB">
              <w:rPr>
                <w:rFonts w:ascii="Book Antiqua" w:eastAsia="MS Mincho" w:hAnsi="Book Antiqua"/>
                <w:bCs/>
                <w:iCs/>
              </w:rPr>
              <w:t>–</w:t>
            </w:r>
            <w:r w:rsidRPr="003448EB">
              <w:rPr>
                <w:rFonts w:ascii="Book Antiqua" w:eastAsia="Yu Gothic" w:hAnsi="Book Antiqua"/>
              </w:rPr>
              <w:t>1.866</w:t>
            </w:r>
          </w:p>
        </w:tc>
        <w:tc>
          <w:tcPr>
            <w:tcW w:w="390" w:type="pct"/>
            <w:tcBorders>
              <w:top w:val="nil"/>
              <w:bottom w:val="nil"/>
            </w:tcBorders>
            <w:noWrap/>
            <w:hideMark/>
          </w:tcPr>
          <w:p w14:paraId="5D1C60C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0.132</w:t>
            </w:r>
          </w:p>
        </w:tc>
        <w:tc>
          <w:tcPr>
            <w:tcW w:w="83" w:type="pct"/>
            <w:tcBorders>
              <w:top w:val="nil"/>
              <w:bottom w:val="nil"/>
            </w:tcBorders>
            <w:noWrap/>
            <w:hideMark/>
          </w:tcPr>
          <w:p w14:paraId="24B9A2B0"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00A2FF1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51" w:type="pct"/>
            <w:tcBorders>
              <w:top w:val="nil"/>
              <w:bottom w:val="nil"/>
            </w:tcBorders>
            <w:hideMark/>
          </w:tcPr>
          <w:p w14:paraId="08212EA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0" w:type="pct"/>
            <w:tcBorders>
              <w:top w:val="nil"/>
              <w:bottom w:val="nil"/>
            </w:tcBorders>
            <w:hideMark/>
          </w:tcPr>
          <w:p w14:paraId="7C07D54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372E57" w:rsidRPr="003448EB" w14:paraId="595C552D"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231D8F82"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Portal vein thrombosis</w:t>
            </w:r>
          </w:p>
        </w:tc>
        <w:tc>
          <w:tcPr>
            <w:tcW w:w="283" w:type="pct"/>
            <w:tcBorders>
              <w:top w:val="nil"/>
              <w:bottom w:val="nil"/>
            </w:tcBorders>
            <w:hideMark/>
          </w:tcPr>
          <w:p w14:paraId="4017343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1.379</w:t>
            </w:r>
          </w:p>
        </w:tc>
        <w:tc>
          <w:tcPr>
            <w:tcW w:w="871" w:type="pct"/>
            <w:tcBorders>
              <w:top w:val="nil"/>
              <w:bottom w:val="nil"/>
            </w:tcBorders>
            <w:hideMark/>
          </w:tcPr>
          <w:p w14:paraId="553AC81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0.925</w:t>
            </w:r>
            <w:r w:rsidRPr="003448EB">
              <w:rPr>
                <w:rFonts w:ascii="Book Antiqua" w:eastAsia="MS Mincho" w:hAnsi="Book Antiqua"/>
                <w:bCs/>
                <w:iCs/>
              </w:rPr>
              <w:t>–</w:t>
            </w:r>
            <w:r w:rsidRPr="003448EB">
              <w:rPr>
                <w:rFonts w:ascii="Book Antiqua" w:eastAsia="Yu Gothic" w:hAnsi="Book Antiqua"/>
              </w:rPr>
              <w:t xml:space="preserve">2.056 </w:t>
            </w:r>
          </w:p>
        </w:tc>
        <w:tc>
          <w:tcPr>
            <w:tcW w:w="390" w:type="pct"/>
            <w:tcBorders>
              <w:top w:val="nil"/>
              <w:bottom w:val="nil"/>
            </w:tcBorders>
            <w:noWrap/>
            <w:hideMark/>
          </w:tcPr>
          <w:p w14:paraId="4B1C123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0.115</w:t>
            </w:r>
          </w:p>
        </w:tc>
        <w:tc>
          <w:tcPr>
            <w:tcW w:w="83" w:type="pct"/>
            <w:tcBorders>
              <w:top w:val="nil"/>
              <w:bottom w:val="nil"/>
            </w:tcBorders>
            <w:noWrap/>
            <w:hideMark/>
          </w:tcPr>
          <w:p w14:paraId="0EF2E63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17760AC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1.011</w:t>
            </w:r>
          </w:p>
        </w:tc>
        <w:tc>
          <w:tcPr>
            <w:tcW w:w="951" w:type="pct"/>
            <w:tcBorders>
              <w:top w:val="nil"/>
              <w:bottom w:val="nil"/>
            </w:tcBorders>
            <w:hideMark/>
          </w:tcPr>
          <w:p w14:paraId="2688E68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0.662</w:t>
            </w:r>
            <w:r w:rsidRPr="003448EB">
              <w:rPr>
                <w:rFonts w:ascii="Book Antiqua" w:eastAsia="MS Mincho" w:hAnsi="Book Antiqua"/>
                <w:bCs/>
                <w:iCs/>
              </w:rPr>
              <w:t>–</w:t>
            </w:r>
            <w:r w:rsidRPr="003448EB">
              <w:rPr>
                <w:rFonts w:ascii="Book Antiqua" w:eastAsia="Yu Gothic" w:hAnsi="Book Antiqua"/>
              </w:rPr>
              <w:t>1.545</w:t>
            </w:r>
          </w:p>
        </w:tc>
        <w:tc>
          <w:tcPr>
            <w:tcW w:w="390" w:type="pct"/>
            <w:tcBorders>
              <w:top w:val="nil"/>
              <w:bottom w:val="nil"/>
            </w:tcBorders>
            <w:noWrap/>
            <w:hideMark/>
          </w:tcPr>
          <w:p w14:paraId="6D00F8F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0.958</w:t>
            </w:r>
          </w:p>
        </w:tc>
      </w:tr>
      <w:tr w:rsidR="00372E57" w:rsidRPr="003448EB" w14:paraId="5712D52B"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463C8EC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Diarrhea</w:t>
            </w:r>
          </w:p>
        </w:tc>
        <w:tc>
          <w:tcPr>
            <w:tcW w:w="283" w:type="pct"/>
            <w:tcBorders>
              <w:top w:val="nil"/>
              <w:bottom w:val="nil"/>
            </w:tcBorders>
            <w:hideMark/>
          </w:tcPr>
          <w:p w14:paraId="1C3DD2D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0.675</w:t>
            </w:r>
          </w:p>
        </w:tc>
        <w:tc>
          <w:tcPr>
            <w:tcW w:w="871" w:type="pct"/>
            <w:tcBorders>
              <w:top w:val="nil"/>
              <w:bottom w:val="nil"/>
            </w:tcBorders>
            <w:hideMark/>
          </w:tcPr>
          <w:p w14:paraId="0ACF4413"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0.473</w:t>
            </w:r>
            <w:r w:rsidRPr="003448EB">
              <w:rPr>
                <w:rFonts w:ascii="Book Antiqua" w:eastAsia="MS Mincho" w:hAnsi="Book Antiqua"/>
                <w:bCs/>
                <w:iCs/>
              </w:rPr>
              <w:t>–</w:t>
            </w:r>
            <w:r w:rsidRPr="003448EB">
              <w:rPr>
                <w:rFonts w:ascii="Book Antiqua" w:eastAsia="Yu Gothic" w:hAnsi="Book Antiqua"/>
              </w:rPr>
              <w:t>0.965</w:t>
            </w:r>
          </w:p>
        </w:tc>
        <w:tc>
          <w:tcPr>
            <w:tcW w:w="390" w:type="pct"/>
            <w:tcBorders>
              <w:top w:val="nil"/>
              <w:bottom w:val="nil"/>
            </w:tcBorders>
            <w:noWrap/>
            <w:hideMark/>
          </w:tcPr>
          <w:p w14:paraId="4C7353E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0.031</w:t>
            </w:r>
          </w:p>
        </w:tc>
        <w:tc>
          <w:tcPr>
            <w:tcW w:w="83" w:type="pct"/>
            <w:tcBorders>
              <w:top w:val="nil"/>
              <w:bottom w:val="nil"/>
            </w:tcBorders>
            <w:noWrap/>
            <w:hideMark/>
          </w:tcPr>
          <w:p w14:paraId="7F67D92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4E02AB7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0.654</w:t>
            </w:r>
          </w:p>
        </w:tc>
        <w:tc>
          <w:tcPr>
            <w:tcW w:w="951" w:type="pct"/>
            <w:tcBorders>
              <w:top w:val="nil"/>
              <w:bottom w:val="nil"/>
            </w:tcBorders>
            <w:hideMark/>
          </w:tcPr>
          <w:p w14:paraId="577A0A9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0.449</w:t>
            </w:r>
            <w:r w:rsidRPr="003448EB">
              <w:rPr>
                <w:rFonts w:ascii="Book Antiqua" w:eastAsia="MS Mincho" w:hAnsi="Book Antiqua"/>
                <w:iCs/>
              </w:rPr>
              <w:t>–</w:t>
            </w:r>
            <w:r w:rsidRPr="003448EB">
              <w:rPr>
                <w:rFonts w:ascii="Book Antiqua" w:eastAsia="Yu Gothic" w:hAnsi="Book Antiqua"/>
              </w:rPr>
              <w:t>0.952</w:t>
            </w:r>
          </w:p>
        </w:tc>
        <w:tc>
          <w:tcPr>
            <w:tcW w:w="390" w:type="pct"/>
            <w:tcBorders>
              <w:top w:val="nil"/>
              <w:bottom w:val="nil"/>
            </w:tcBorders>
            <w:noWrap/>
            <w:hideMark/>
          </w:tcPr>
          <w:p w14:paraId="7FF437E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0.027</w:t>
            </w:r>
          </w:p>
        </w:tc>
      </w:tr>
      <w:tr w:rsidR="00372E57" w:rsidRPr="003448EB" w14:paraId="2B7FB6CD"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0888AA84"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Hypertension</w:t>
            </w:r>
          </w:p>
        </w:tc>
        <w:tc>
          <w:tcPr>
            <w:tcW w:w="283" w:type="pct"/>
            <w:tcBorders>
              <w:top w:val="nil"/>
              <w:bottom w:val="nil"/>
            </w:tcBorders>
            <w:hideMark/>
          </w:tcPr>
          <w:p w14:paraId="7E023FE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1.070</w:t>
            </w:r>
          </w:p>
        </w:tc>
        <w:tc>
          <w:tcPr>
            <w:tcW w:w="871" w:type="pct"/>
            <w:tcBorders>
              <w:top w:val="nil"/>
              <w:bottom w:val="nil"/>
            </w:tcBorders>
            <w:hideMark/>
          </w:tcPr>
          <w:p w14:paraId="375A525E"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0.735</w:t>
            </w:r>
            <w:r w:rsidRPr="003448EB">
              <w:rPr>
                <w:rFonts w:ascii="Book Antiqua" w:eastAsia="MS Mincho" w:hAnsi="Book Antiqua"/>
                <w:bCs/>
                <w:iCs/>
              </w:rPr>
              <w:t>–</w:t>
            </w:r>
            <w:r w:rsidRPr="003448EB">
              <w:rPr>
                <w:rFonts w:ascii="Book Antiqua" w:eastAsia="Yu Gothic" w:hAnsi="Book Antiqua"/>
              </w:rPr>
              <w:t>1.556</w:t>
            </w:r>
          </w:p>
        </w:tc>
        <w:tc>
          <w:tcPr>
            <w:tcW w:w="390" w:type="pct"/>
            <w:tcBorders>
              <w:top w:val="nil"/>
              <w:bottom w:val="nil"/>
            </w:tcBorders>
            <w:noWrap/>
            <w:hideMark/>
          </w:tcPr>
          <w:p w14:paraId="1F16A4B6"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0.725</w:t>
            </w:r>
          </w:p>
        </w:tc>
        <w:tc>
          <w:tcPr>
            <w:tcW w:w="83" w:type="pct"/>
            <w:tcBorders>
              <w:top w:val="nil"/>
              <w:bottom w:val="nil"/>
            </w:tcBorders>
            <w:noWrap/>
            <w:hideMark/>
          </w:tcPr>
          <w:p w14:paraId="42B9955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64A1E491"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51" w:type="pct"/>
            <w:tcBorders>
              <w:top w:val="nil"/>
              <w:bottom w:val="nil"/>
            </w:tcBorders>
            <w:hideMark/>
          </w:tcPr>
          <w:p w14:paraId="31CA8BF5"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0" w:type="pct"/>
            <w:tcBorders>
              <w:top w:val="nil"/>
              <w:bottom w:val="nil"/>
            </w:tcBorders>
            <w:hideMark/>
          </w:tcPr>
          <w:p w14:paraId="4268047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r w:rsidR="00372E57" w:rsidRPr="003448EB" w14:paraId="53ED7C04"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5D949616"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ECOG Performance status 1</w:t>
            </w:r>
          </w:p>
        </w:tc>
        <w:tc>
          <w:tcPr>
            <w:tcW w:w="283" w:type="pct"/>
            <w:tcBorders>
              <w:top w:val="nil"/>
              <w:bottom w:val="nil"/>
            </w:tcBorders>
            <w:hideMark/>
          </w:tcPr>
          <w:p w14:paraId="284EAC00"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0.687</w:t>
            </w:r>
          </w:p>
        </w:tc>
        <w:tc>
          <w:tcPr>
            <w:tcW w:w="871" w:type="pct"/>
            <w:tcBorders>
              <w:top w:val="nil"/>
              <w:bottom w:val="nil"/>
            </w:tcBorders>
            <w:hideMark/>
          </w:tcPr>
          <w:p w14:paraId="6D2945F4"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0.446</w:t>
            </w:r>
            <w:r w:rsidRPr="003448EB">
              <w:rPr>
                <w:rFonts w:ascii="Book Antiqua" w:eastAsia="MS Mincho" w:hAnsi="Book Antiqua"/>
                <w:bCs/>
                <w:iCs/>
              </w:rPr>
              <w:t>–</w:t>
            </w:r>
            <w:r w:rsidRPr="003448EB">
              <w:rPr>
                <w:rFonts w:ascii="Book Antiqua" w:eastAsia="Yu Gothic" w:hAnsi="Book Antiqua"/>
              </w:rPr>
              <w:t>1.058</w:t>
            </w:r>
          </w:p>
        </w:tc>
        <w:tc>
          <w:tcPr>
            <w:tcW w:w="390" w:type="pct"/>
            <w:tcBorders>
              <w:top w:val="nil"/>
              <w:bottom w:val="nil"/>
            </w:tcBorders>
            <w:noWrap/>
            <w:hideMark/>
          </w:tcPr>
          <w:p w14:paraId="636D8631"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0.089</w:t>
            </w:r>
          </w:p>
        </w:tc>
        <w:tc>
          <w:tcPr>
            <w:tcW w:w="83" w:type="pct"/>
            <w:tcBorders>
              <w:top w:val="nil"/>
              <w:bottom w:val="nil"/>
            </w:tcBorders>
            <w:noWrap/>
            <w:hideMark/>
          </w:tcPr>
          <w:p w14:paraId="7BC1FD0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5C14358E"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0.725</w:t>
            </w:r>
          </w:p>
        </w:tc>
        <w:tc>
          <w:tcPr>
            <w:tcW w:w="951" w:type="pct"/>
            <w:tcBorders>
              <w:top w:val="nil"/>
              <w:bottom w:val="nil"/>
            </w:tcBorders>
            <w:hideMark/>
          </w:tcPr>
          <w:p w14:paraId="0E575DEF"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0.463</w:t>
            </w:r>
            <w:r w:rsidRPr="003448EB">
              <w:rPr>
                <w:rFonts w:ascii="Book Antiqua" w:eastAsia="MS Mincho" w:hAnsi="Book Antiqua"/>
                <w:iCs/>
              </w:rPr>
              <w:t>–</w:t>
            </w:r>
            <w:r w:rsidRPr="003448EB">
              <w:rPr>
                <w:rFonts w:ascii="Book Antiqua" w:eastAsia="Yu Gothic" w:hAnsi="Book Antiqua"/>
              </w:rPr>
              <w:t>1.135</w:t>
            </w:r>
          </w:p>
        </w:tc>
        <w:tc>
          <w:tcPr>
            <w:tcW w:w="390" w:type="pct"/>
            <w:tcBorders>
              <w:top w:val="nil"/>
              <w:bottom w:val="nil"/>
            </w:tcBorders>
            <w:noWrap/>
            <w:hideMark/>
          </w:tcPr>
          <w:p w14:paraId="48BB4907"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0.159</w:t>
            </w:r>
          </w:p>
        </w:tc>
      </w:tr>
      <w:tr w:rsidR="00372E57" w:rsidRPr="003448EB" w14:paraId="38C01C70"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58BB8390"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 xml:space="preserve">Group B </w:t>
            </w:r>
            <w:r w:rsidRPr="003448EB">
              <w:rPr>
                <w:rFonts w:ascii="Book Antiqua" w:eastAsia="Yu Gothic" w:hAnsi="Book Antiqua"/>
                <w:i/>
              </w:rPr>
              <w:t>vs</w:t>
            </w:r>
            <w:r w:rsidRPr="003448EB">
              <w:rPr>
                <w:rFonts w:ascii="Book Antiqua" w:eastAsia="Yu Gothic" w:hAnsi="Book Antiqua"/>
              </w:rPr>
              <w:t xml:space="preserve"> Group A</w:t>
            </w:r>
          </w:p>
        </w:tc>
        <w:tc>
          <w:tcPr>
            <w:tcW w:w="283" w:type="pct"/>
            <w:tcBorders>
              <w:top w:val="nil"/>
              <w:bottom w:val="nil"/>
            </w:tcBorders>
            <w:hideMark/>
          </w:tcPr>
          <w:p w14:paraId="2CB30A8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1.670</w:t>
            </w:r>
          </w:p>
        </w:tc>
        <w:tc>
          <w:tcPr>
            <w:tcW w:w="871" w:type="pct"/>
            <w:tcBorders>
              <w:top w:val="nil"/>
              <w:bottom w:val="nil"/>
            </w:tcBorders>
            <w:hideMark/>
          </w:tcPr>
          <w:p w14:paraId="6BA87187"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1.034</w:t>
            </w:r>
            <w:r w:rsidRPr="003448EB">
              <w:rPr>
                <w:rFonts w:ascii="Book Antiqua" w:eastAsia="MS Mincho" w:hAnsi="Book Antiqua"/>
                <w:bCs/>
                <w:iCs/>
              </w:rPr>
              <w:t>–</w:t>
            </w:r>
            <w:r w:rsidRPr="003448EB">
              <w:rPr>
                <w:rFonts w:ascii="Book Antiqua" w:eastAsia="Yu Gothic" w:hAnsi="Book Antiqua"/>
              </w:rPr>
              <w:t>2.698</w:t>
            </w:r>
          </w:p>
        </w:tc>
        <w:tc>
          <w:tcPr>
            <w:tcW w:w="390" w:type="pct"/>
            <w:tcBorders>
              <w:top w:val="nil"/>
              <w:bottom w:val="nil"/>
            </w:tcBorders>
            <w:noWrap/>
            <w:hideMark/>
          </w:tcPr>
          <w:p w14:paraId="38182BA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0.036</w:t>
            </w:r>
          </w:p>
        </w:tc>
        <w:tc>
          <w:tcPr>
            <w:tcW w:w="83" w:type="pct"/>
            <w:tcBorders>
              <w:top w:val="nil"/>
              <w:bottom w:val="nil"/>
            </w:tcBorders>
            <w:noWrap/>
            <w:hideMark/>
          </w:tcPr>
          <w:p w14:paraId="124E5C0A"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632DA6F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1.694</w:t>
            </w:r>
          </w:p>
        </w:tc>
        <w:tc>
          <w:tcPr>
            <w:tcW w:w="951" w:type="pct"/>
            <w:tcBorders>
              <w:top w:val="nil"/>
              <w:bottom w:val="nil"/>
            </w:tcBorders>
            <w:hideMark/>
          </w:tcPr>
          <w:p w14:paraId="696B9943"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1.044</w:t>
            </w:r>
            <w:r w:rsidRPr="003448EB">
              <w:rPr>
                <w:rFonts w:ascii="Book Antiqua" w:eastAsia="MS Mincho" w:hAnsi="Book Antiqua"/>
                <w:iCs/>
              </w:rPr>
              <w:t>–</w:t>
            </w:r>
            <w:r w:rsidRPr="003448EB">
              <w:rPr>
                <w:rFonts w:ascii="Book Antiqua" w:eastAsia="Yu Gothic" w:hAnsi="Book Antiqua"/>
              </w:rPr>
              <w:t>2.748</w:t>
            </w:r>
          </w:p>
        </w:tc>
        <w:tc>
          <w:tcPr>
            <w:tcW w:w="390" w:type="pct"/>
            <w:tcBorders>
              <w:top w:val="nil"/>
              <w:bottom w:val="nil"/>
            </w:tcBorders>
            <w:noWrap/>
            <w:hideMark/>
          </w:tcPr>
          <w:p w14:paraId="5FE3946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0.033</w:t>
            </w:r>
          </w:p>
        </w:tc>
      </w:tr>
      <w:tr w:rsidR="00372E57" w:rsidRPr="003448EB" w14:paraId="765C47D2"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49" w:type="pct"/>
            <w:tcBorders>
              <w:top w:val="nil"/>
              <w:bottom w:val="nil"/>
            </w:tcBorders>
            <w:hideMark/>
          </w:tcPr>
          <w:p w14:paraId="3D0FCE4D"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 xml:space="preserve">Group C </w:t>
            </w:r>
            <w:r w:rsidRPr="003448EB">
              <w:rPr>
                <w:rFonts w:ascii="Book Antiqua" w:eastAsia="Yu Gothic" w:hAnsi="Book Antiqua"/>
                <w:i/>
              </w:rPr>
              <w:t>vs</w:t>
            </w:r>
            <w:r w:rsidRPr="003448EB">
              <w:rPr>
                <w:rFonts w:ascii="Book Antiqua" w:eastAsia="Yu Gothic" w:hAnsi="Book Antiqua"/>
              </w:rPr>
              <w:t xml:space="preserve"> Group A</w:t>
            </w:r>
          </w:p>
        </w:tc>
        <w:tc>
          <w:tcPr>
            <w:tcW w:w="283" w:type="pct"/>
            <w:tcBorders>
              <w:top w:val="nil"/>
              <w:bottom w:val="nil"/>
            </w:tcBorders>
            <w:hideMark/>
          </w:tcPr>
          <w:p w14:paraId="226A431B"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0.495</w:t>
            </w:r>
          </w:p>
        </w:tc>
        <w:tc>
          <w:tcPr>
            <w:tcW w:w="871" w:type="pct"/>
            <w:tcBorders>
              <w:top w:val="nil"/>
              <w:bottom w:val="nil"/>
            </w:tcBorders>
            <w:hideMark/>
          </w:tcPr>
          <w:p w14:paraId="619D2232"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0.328</w:t>
            </w:r>
            <w:r w:rsidRPr="003448EB">
              <w:rPr>
                <w:rFonts w:ascii="Book Antiqua" w:eastAsia="MS Mincho" w:hAnsi="Book Antiqua"/>
                <w:bCs/>
                <w:iCs/>
              </w:rPr>
              <w:t>–</w:t>
            </w:r>
            <w:r w:rsidRPr="003448EB">
              <w:rPr>
                <w:rFonts w:ascii="Book Antiqua" w:eastAsia="Yu Gothic" w:hAnsi="Book Antiqua"/>
              </w:rPr>
              <w:t>0.747</w:t>
            </w:r>
          </w:p>
        </w:tc>
        <w:tc>
          <w:tcPr>
            <w:tcW w:w="390" w:type="pct"/>
            <w:tcBorders>
              <w:top w:val="nil"/>
              <w:bottom w:val="nil"/>
            </w:tcBorders>
            <w:noWrap/>
            <w:hideMark/>
          </w:tcPr>
          <w:p w14:paraId="6435CBA0"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&lt; 0.001</w:t>
            </w:r>
          </w:p>
        </w:tc>
        <w:tc>
          <w:tcPr>
            <w:tcW w:w="83" w:type="pct"/>
            <w:tcBorders>
              <w:top w:val="nil"/>
              <w:bottom w:val="nil"/>
            </w:tcBorders>
            <w:noWrap/>
            <w:hideMark/>
          </w:tcPr>
          <w:p w14:paraId="7ED1B5CD"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p>
        </w:tc>
        <w:tc>
          <w:tcPr>
            <w:tcW w:w="283" w:type="pct"/>
            <w:tcBorders>
              <w:top w:val="nil"/>
              <w:bottom w:val="nil"/>
            </w:tcBorders>
            <w:hideMark/>
          </w:tcPr>
          <w:p w14:paraId="4E388344"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0.529</w:t>
            </w:r>
          </w:p>
        </w:tc>
        <w:tc>
          <w:tcPr>
            <w:tcW w:w="951" w:type="pct"/>
            <w:tcBorders>
              <w:top w:val="nil"/>
              <w:bottom w:val="nil"/>
            </w:tcBorders>
            <w:hideMark/>
          </w:tcPr>
          <w:p w14:paraId="6910A30A"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0.346</w:t>
            </w:r>
            <w:r w:rsidRPr="003448EB">
              <w:rPr>
                <w:rFonts w:ascii="Book Antiqua" w:eastAsia="MS Mincho" w:hAnsi="Book Antiqua"/>
                <w:iCs/>
              </w:rPr>
              <w:t>–</w:t>
            </w:r>
            <w:r w:rsidRPr="003448EB">
              <w:rPr>
                <w:rFonts w:ascii="Book Antiqua" w:eastAsia="Yu Gothic" w:hAnsi="Book Antiqua"/>
              </w:rPr>
              <w:t>0.811</w:t>
            </w:r>
          </w:p>
        </w:tc>
        <w:tc>
          <w:tcPr>
            <w:tcW w:w="390" w:type="pct"/>
            <w:tcBorders>
              <w:top w:val="nil"/>
              <w:bottom w:val="nil"/>
            </w:tcBorders>
            <w:noWrap/>
            <w:hideMark/>
          </w:tcPr>
          <w:p w14:paraId="3E4BA095" w14:textId="77777777" w:rsidR="00372E57" w:rsidRPr="003448EB" w:rsidRDefault="00372E57" w:rsidP="00B50B39">
            <w:pPr>
              <w:snapToGri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0.003</w:t>
            </w:r>
          </w:p>
        </w:tc>
      </w:tr>
      <w:tr w:rsidR="00372E57" w:rsidRPr="003448EB" w14:paraId="4505718C" w14:textId="77777777" w:rsidTr="00372E57">
        <w:trPr>
          <w:trHeight w:val="408"/>
        </w:trPr>
        <w:tc>
          <w:tcPr>
            <w:cnfStyle w:val="001000000000" w:firstRow="0" w:lastRow="0" w:firstColumn="1" w:lastColumn="0" w:oddVBand="0" w:evenVBand="0" w:oddHBand="0" w:evenHBand="0" w:firstRowFirstColumn="0" w:firstRowLastColumn="0" w:lastRowFirstColumn="0" w:lastRowLastColumn="0"/>
            <w:tcW w:w="1749" w:type="pct"/>
            <w:tcBorders>
              <w:top w:val="nil"/>
              <w:bottom w:val="single" w:sz="4" w:space="0" w:color="7F7F7F" w:themeColor="text1" w:themeTint="80"/>
            </w:tcBorders>
            <w:hideMark/>
          </w:tcPr>
          <w:p w14:paraId="4D3C3F5F" w14:textId="77777777" w:rsidR="00372E57" w:rsidRPr="003448EB" w:rsidRDefault="00372E57" w:rsidP="00B50B39">
            <w:pPr>
              <w:snapToGrid w:val="0"/>
              <w:spacing w:line="360" w:lineRule="auto"/>
              <w:contextualSpacing/>
              <w:jc w:val="both"/>
              <w:rPr>
                <w:rFonts w:ascii="Book Antiqua" w:eastAsia="Yu Gothic" w:hAnsi="Book Antiqua"/>
              </w:rPr>
            </w:pPr>
            <w:r w:rsidRPr="003448EB">
              <w:rPr>
                <w:rFonts w:ascii="Book Antiqua" w:eastAsia="Yu Gothic" w:hAnsi="Book Antiqua"/>
              </w:rPr>
              <w:t xml:space="preserve">Sorafenib administration period (second half </w:t>
            </w:r>
            <w:r w:rsidRPr="003448EB">
              <w:rPr>
                <w:rFonts w:ascii="Book Antiqua" w:eastAsia="Yu Gothic" w:hAnsi="Book Antiqua"/>
                <w:i/>
              </w:rPr>
              <w:t>vs</w:t>
            </w:r>
            <w:r w:rsidRPr="003448EB">
              <w:rPr>
                <w:rFonts w:ascii="Book Antiqua" w:eastAsia="Yu Gothic" w:hAnsi="Book Antiqua"/>
              </w:rPr>
              <w:t xml:space="preserve"> first half)</w:t>
            </w:r>
          </w:p>
        </w:tc>
        <w:tc>
          <w:tcPr>
            <w:tcW w:w="283" w:type="pct"/>
            <w:tcBorders>
              <w:top w:val="nil"/>
              <w:bottom w:val="single" w:sz="4" w:space="0" w:color="7F7F7F" w:themeColor="text1" w:themeTint="80"/>
            </w:tcBorders>
            <w:hideMark/>
          </w:tcPr>
          <w:p w14:paraId="1B57F190"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0.980</w:t>
            </w:r>
          </w:p>
        </w:tc>
        <w:tc>
          <w:tcPr>
            <w:tcW w:w="871" w:type="pct"/>
            <w:tcBorders>
              <w:top w:val="nil"/>
              <w:bottom w:val="single" w:sz="4" w:space="0" w:color="7F7F7F" w:themeColor="text1" w:themeTint="80"/>
            </w:tcBorders>
            <w:hideMark/>
          </w:tcPr>
          <w:p w14:paraId="17DAD0D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0.694</w:t>
            </w:r>
            <w:r w:rsidRPr="003448EB">
              <w:rPr>
                <w:rFonts w:ascii="Book Antiqua" w:eastAsia="MS Mincho" w:hAnsi="Book Antiqua"/>
                <w:bCs/>
                <w:iCs/>
              </w:rPr>
              <w:t>–</w:t>
            </w:r>
            <w:r w:rsidRPr="003448EB">
              <w:rPr>
                <w:rFonts w:ascii="Book Antiqua" w:eastAsia="Yu Gothic" w:hAnsi="Book Antiqua"/>
              </w:rPr>
              <w:t>1.384</w:t>
            </w:r>
          </w:p>
        </w:tc>
        <w:tc>
          <w:tcPr>
            <w:tcW w:w="390" w:type="pct"/>
            <w:tcBorders>
              <w:top w:val="nil"/>
              <w:bottom w:val="single" w:sz="4" w:space="0" w:color="7F7F7F" w:themeColor="text1" w:themeTint="80"/>
            </w:tcBorders>
            <w:noWrap/>
            <w:hideMark/>
          </w:tcPr>
          <w:p w14:paraId="4089C1E9"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0.908</w:t>
            </w:r>
          </w:p>
        </w:tc>
        <w:tc>
          <w:tcPr>
            <w:tcW w:w="83" w:type="pct"/>
            <w:tcBorders>
              <w:top w:val="nil"/>
              <w:bottom w:val="single" w:sz="4" w:space="0" w:color="7F7F7F" w:themeColor="text1" w:themeTint="80"/>
            </w:tcBorders>
            <w:noWrap/>
            <w:hideMark/>
          </w:tcPr>
          <w:p w14:paraId="7FE0D544"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p>
        </w:tc>
        <w:tc>
          <w:tcPr>
            <w:tcW w:w="283" w:type="pct"/>
            <w:tcBorders>
              <w:top w:val="nil"/>
              <w:bottom w:val="single" w:sz="4" w:space="0" w:color="7F7F7F" w:themeColor="text1" w:themeTint="80"/>
            </w:tcBorders>
            <w:hideMark/>
          </w:tcPr>
          <w:p w14:paraId="6F6298CC"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951" w:type="pct"/>
            <w:tcBorders>
              <w:top w:val="nil"/>
              <w:bottom w:val="single" w:sz="4" w:space="0" w:color="7F7F7F" w:themeColor="text1" w:themeTint="80"/>
            </w:tcBorders>
            <w:hideMark/>
          </w:tcPr>
          <w:p w14:paraId="348CB722"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c>
          <w:tcPr>
            <w:tcW w:w="390" w:type="pct"/>
            <w:tcBorders>
              <w:top w:val="nil"/>
              <w:bottom w:val="single" w:sz="4" w:space="0" w:color="7F7F7F" w:themeColor="text1" w:themeTint="80"/>
            </w:tcBorders>
            <w:hideMark/>
          </w:tcPr>
          <w:p w14:paraId="155A51EB" w14:textId="77777777" w:rsidR="00372E57" w:rsidRPr="003448EB" w:rsidRDefault="00372E57" w:rsidP="00B50B39">
            <w:pPr>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w:t>
            </w:r>
          </w:p>
        </w:tc>
      </w:tr>
    </w:tbl>
    <w:p w14:paraId="6219748A" w14:textId="13152850" w:rsidR="00372E57" w:rsidRDefault="00372E57" w:rsidP="00B50B39">
      <w:pPr>
        <w:spacing w:line="360" w:lineRule="auto"/>
        <w:jc w:val="both"/>
        <w:rPr>
          <w:rFonts w:ascii="Book Antiqua" w:eastAsia="等线" w:hAnsi="Book Antiqua"/>
          <w:lang w:eastAsia="zh-CN"/>
        </w:rPr>
      </w:pPr>
      <w:r w:rsidRPr="003448EB">
        <w:rPr>
          <w:rFonts w:ascii="Book Antiqua" w:eastAsia="Yu Gothic" w:hAnsi="Book Antiqua"/>
        </w:rPr>
        <w:t>AFP</w:t>
      </w:r>
      <w:r w:rsidRPr="003448EB">
        <w:rPr>
          <w:rFonts w:ascii="Book Antiqua" w:eastAsia="等线" w:hAnsi="Book Antiqua"/>
          <w:lang w:eastAsia="zh-CN"/>
        </w:rPr>
        <w:t>:</w:t>
      </w:r>
      <w:r w:rsidRPr="003448EB">
        <w:rPr>
          <w:rFonts w:ascii="Book Antiqua" w:eastAsia="Yu Gothic" w:hAnsi="Book Antiqua"/>
        </w:rPr>
        <w:t xml:space="preserve"> Alpha-fetoprotein; BCLC</w:t>
      </w:r>
      <w:r w:rsidRPr="003448EB">
        <w:rPr>
          <w:rFonts w:ascii="Book Antiqua" w:eastAsia="等线" w:hAnsi="Book Antiqua"/>
          <w:lang w:eastAsia="zh-CN"/>
        </w:rPr>
        <w:t xml:space="preserve">: </w:t>
      </w:r>
      <w:r w:rsidRPr="003448EB">
        <w:rPr>
          <w:rFonts w:ascii="Book Antiqua" w:eastAsia="Yu Gothic" w:hAnsi="Book Antiqua"/>
        </w:rPr>
        <w:t>Barcelona Clinic Liver Cancer; HBV</w:t>
      </w:r>
      <w:r w:rsidRPr="003448EB">
        <w:rPr>
          <w:rFonts w:ascii="Book Antiqua" w:eastAsia="等线" w:hAnsi="Book Antiqua"/>
          <w:lang w:eastAsia="zh-CN"/>
        </w:rPr>
        <w:t>:</w:t>
      </w:r>
      <w:r w:rsidRPr="003448EB">
        <w:rPr>
          <w:rFonts w:ascii="Book Antiqua" w:eastAsia="Yu Gothic" w:hAnsi="Book Antiqua"/>
        </w:rPr>
        <w:t xml:space="preserve"> Hepatitis B virus; ECOG</w:t>
      </w:r>
      <w:r w:rsidRPr="003448EB">
        <w:rPr>
          <w:rFonts w:ascii="Book Antiqua" w:eastAsia="等线" w:hAnsi="Book Antiqua"/>
          <w:lang w:eastAsia="zh-CN"/>
        </w:rPr>
        <w:t xml:space="preserve">: </w:t>
      </w:r>
      <w:r w:rsidRPr="003448EB">
        <w:rPr>
          <w:rFonts w:ascii="Book Antiqua" w:eastAsia="Yu Gothic" w:hAnsi="Book Antiqua"/>
        </w:rPr>
        <w:t>Eastern Cooperative Oncology Group</w:t>
      </w:r>
      <w:r w:rsidRPr="003448EB">
        <w:rPr>
          <w:rFonts w:ascii="Book Antiqua" w:eastAsia="等线" w:hAnsi="Book Antiqua"/>
          <w:lang w:eastAsia="zh-CN"/>
        </w:rPr>
        <w:t>.</w:t>
      </w:r>
    </w:p>
    <w:p w14:paraId="7CE1E524" w14:textId="1FD8FAC7" w:rsidR="00F81B92" w:rsidRPr="00F81B92" w:rsidRDefault="00F81B92" w:rsidP="00B50B39">
      <w:pPr>
        <w:spacing w:line="360" w:lineRule="auto"/>
        <w:jc w:val="both"/>
        <w:rPr>
          <w:rFonts w:ascii="Book Antiqua" w:eastAsia="等线" w:hAnsi="Book Antiqua"/>
          <w:lang w:eastAsia="zh-CN"/>
        </w:rPr>
        <w:sectPr w:rsidR="00F81B92" w:rsidRPr="00F81B92" w:rsidSect="00F81B92">
          <w:headerReference w:type="default" r:id="rId10"/>
          <w:pgSz w:w="16838" w:h="11906" w:orient="landscape" w:code="9"/>
          <w:pgMar w:top="1701" w:right="1701" w:bottom="1701" w:left="1985" w:header="851" w:footer="992" w:gutter="0"/>
          <w:cols w:space="425"/>
          <w:docGrid w:type="linesAndChars" w:linePitch="360"/>
        </w:sectPr>
      </w:pPr>
    </w:p>
    <w:p w14:paraId="01209BC1" w14:textId="77777777" w:rsidR="00372E57" w:rsidRPr="003448EB" w:rsidRDefault="00372E57" w:rsidP="00B50B39">
      <w:pPr>
        <w:snapToGrid w:val="0"/>
        <w:spacing w:line="360" w:lineRule="auto"/>
        <w:jc w:val="both"/>
        <w:rPr>
          <w:rFonts w:ascii="Book Antiqua" w:eastAsia="MS Mincho" w:hAnsi="Book Antiqua"/>
          <w:b/>
          <w:bCs/>
        </w:rPr>
      </w:pPr>
      <w:r w:rsidRPr="003448EB">
        <w:rPr>
          <w:rFonts w:ascii="Book Antiqua" w:eastAsia="MS Mincho" w:hAnsi="Book Antiqua"/>
          <w:b/>
          <w:bCs/>
        </w:rPr>
        <w:lastRenderedPageBreak/>
        <w:t>Table 8 Prognostic factors of proportion of days covered by logistic regression analyses</w:t>
      </w:r>
    </w:p>
    <w:tbl>
      <w:tblPr>
        <w:tblStyle w:val="21"/>
        <w:tblW w:w="5000" w:type="pct"/>
        <w:tblLook w:val="04A0" w:firstRow="1" w:lastRow="0" w:firstColumn="1" w:lastColumn="0" w:noHBand="0" w:noVBand="1"/>
      </w:tblPr>
      <w:tblGrid>
        <w:gridCol w:w="5069"/>
        <w:gridCol w:w="1383"/>
        <w:gridCol w:w="1965"/>
        <w:gridCol w:w="1159"/>
      </w:tblGrid>
      <w:tr w:rsidR="00372E57" w:rsidRPr="003448EB" w14:paraId="7F535545" w14:textId="77777777" w:rsidTr="00372E5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47" w:type="pct"/>
            <w:noWrap/>
            <w:hideMark/>
          </w:tcPr>
          <w:p w14:paraId="5B03F063" w14:textId="77777777" w:rsidR="00372E57" w:rsidRPr="003448EB" w:rsidRDefault="00372E57" w:rsidP="00B50B39">
            <w:pPr>
              <w:snapToGrid w:val="0"/>
              <w:spacing w:line="360" w:lineRule="auto"/>
              <w:jc w:val="both"/>
              <w:rPr>
                <w:rFonts w:ascii="Book Antiqua" w:eastAsia="Yu Gothic" w:hAnsi="Book Antiqua"/>
                <w:b w:val="0"/>
                <w:bCs w:val="0"/>
                <w:color w:val="000000"/>
              </w:rPr>
            </w:pPr>
          </w:p>
        </w:tc>
        <w:tc>
          <w:tcPr>
            <w:tcW w:w="2353" w:type="pct"/>
            <w:gridSpan w:val="3"/>
            <w:noWrap/>
            <w:hideMark/>
          </w:tcPr>
          <w:p w14:paraId="4129E56D" w14:textId="77777777" w:rsidR="00372E57" w:rsidRPr="003448EB" w:rsidRDefault="00372E57" w:rsidP="00B50B3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Yu Gothic" w:hAnsi="Book Antiqua"/>
                <w:b w:val="0"/>
                <w:bCs w:val="0"/>
                <w:color w:val="000000"/>
              </w:rPr>
            </w:pPr>
            <w:r w:rsidRPr="003448EB">
              <w:rPr>
                <w:rFonts w:ascii="Book Antiqua" w:eastAsia="Yu Gothic" w:hAnsi="Book Antiqua"/>
                <w:color w:val="000000"/>
              </w:rPr>
              <w:t>Adjusted analyses</w:t>
            </w:r>
          </w:p>
        </w:tc>
      </w:tr>
      <w:tr w:rsidR="00372E57" w:rsidRPr="003448EB" w14:paraId="5445DBD6" w14:textId="77777777" w:rsidTr="00372E5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647" w:type="pct"/>
            <w:hideMark/>
          </w:tcPr>
          <w:p w14:paraId="3AFB2DA1" w14:textId="77777777" w:rsidR="00372E57" w:rsidRPr="003448EB" w:rsidRDefault="00372E57" w:rsidP="00B50B39">
            <w:pPr>
              <w:snapToGrid w:val="0"/>
              <w:spacing w:line="360" w:lineRule="auto"/>
              <w:jc w:val="both"/>
              <w:rPr>
                <w:rFonts w:ascii="Book Antiqua" w:eastAsia="Yu Gothic" w:hAnsi="Book Antiqua"/>
                <w:b w:val="0"/>
                <w:bCs w:val="0"/>
                <w:color w:val="000000"/>
              </w:rPr>
            </w:pPr>
          </w:p>
        </w:tc>
        <w:tc>
          <w:tcPr>
            <w:tcW w:w="722" w:type="pct"/>
            <w:hideMark/>
          </w:tcPr>
          <w:p w14:paraId="5112532D"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OR</w:t>
            </w:r>
          </w:p>
        </w:tc>
        <w:tc>
          <w:tcPr>
            <w:tcW w:w="1026" w:type="pct"/>
            <w:hideMark/>
          </w:tcPr>
          <w:p w14:paraId="470DCF72"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color w:val="000000"/>
              </w:rPr>
              <w:t>95%CI</w:t>
            </w:r>
          </w:p>
        </w:tc>
        <w:tc>
          <w:tcPr>
            <w:tcW w:w="605" w:type="pct"/>
            <w:noWrap/>
            <w:hideMark/>
          </w:tcPr>
          <w:p w14:paraId="77DC2A0B" w14:textId="11913E76"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b/>
                <w:bCs/>
                <w:color w:val="000000"/>
              </w:rPr>
            </w:pPr>
            <w:r w:rsidRPr="003448EB">
              <w:rPr>
                <w:rFonts w:ascii="Book Antiqua" w:eastAsia="Yu Gothic" w:hAnsi="Book Antiqua"/>
                <w:b/>
                <w:bCs/>
                <w:i/>
                <w:caps/>
                <w:color w:val="000000"/>
              </w:rPr>
              <w:t>p</w:t>
            </w:r>
            <w:r w:rsidR="00F81B92">
              <w:rPr>
                <w:rFonts w:ascii="Book Antiqua" w:eastAsia="Yu Gothic" w:hAnsi="Book Antiqua"/>
                <w:b/>
                <w:bCs/>
                <w:i/>
                <w:caps/>
                <w:color w:val="000000"/>
              </w:rPr>
              <w:t xml:space="preserve"> </w:t>
            </w:r>
            <w:r w:rsidRPr="003448EB">
              <w:rPr>
                <w:rFonts w:ascii="Book Antiqua" w:eastAsia="Yu Gothic" w:hAnsi="Book Antiqua"/>
                <w:b/>
                <w:bCs/>
                <w:color w:val="000000"/>
              </w:rPr>
              <w:t>value</w:t>
            </w:r>
          </w:p>
        </w:tc>
      </w:tr>
      <w:tr w:rsidR="00372E57" w:rsidRPr="003448EB" w14:paraId="619BEF65"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7F7F7F" w:themeColor="text1" w:themeTint="80"/>
              <w:bottom w:val="nil"/>
            </w:tcBorders>
            <w:hideMark/>
          </w:tcPr>
          <w:p w14:paraId="170F73B1" w14:textId="77777777" w:rsidR="00372E57" w:rsidRPr="003448EB" w:rsidRDefault="00372E57" w:rsidP="00B50B39">
            <w:pPr>
              <w:snapToGrid w:val="0"/>
              <w:spacing w:line="360" w:lineRule="auto"/>
              <w:jc w:val="both"/>
              <w:rPr>
                <w:rFonts w:ascii="Book Antiqua" w:eastAsia="Yu Gothic" w:hAnsi="Book Antiqua"/>
                <w:color w:val="000000"/>
              </w:rPr>
            </w:pPr>
            <w:r w:rsidRPr="003448EB">
              <w:rPr>
                <w:rFonts w:ascii="Book Antiqua" w:eastAsia="Yu Gothic" w:hAnsi="Book Antiqua"/>
                <w:color w:val="000000"/>
              </w:rPr>
              <w:t>Male</w:t>
            </w:r>
          </w:p>
        </w:tc>
        <w:tc>
          <w:tcPr>
            <w:tcW w:w="722" w:type="pct"/>
            <w:tcBorders>
              <w:top w:val="single" w:sz="4" w:space="0" w:color="7F7F7F" w:themeColor="text1" w:themeTint="80"/>
              <w:bottom w:val="nil"/>
            </w:tcBorders>
            <w:hideMark/>
          </w:tcPr>
          <w:p w14:paraId="46D603B3"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0.352</w:t>
            </w:r>
          </w:p>
        </w:tc>
        <w:tc>
          <w:tcPr>
            <w:tcW w:w="1026" w:type="pct"/>
            <w:tcBorders>
              <w:top w:val="single" w:sz="4" w:space="0" w:color="7F7F7F" w:themeColor="text1" w:themeTint="80"/>
              <w:bottom w:val="nil"/>
            </w:tcBorders>
            <w:hideMark/>
          </w:tcPr>
          <w:p w14:paraId="1B58BEEC"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0.141–0.877</w:t>
            </w:r>
          </w:p>
        </w:tc>
        <w:tc>
          <w:tcPr>
            <w:tcW w:w="605" w:type="pct"/>
            <w:tcBorders>
              <w:top w:val="single" w:sz="4" w:space="0" w:color="7F7F7F" w:themeColor="text1" w:themeTint="80"/>
              <w:bottom w:val="nil"/>
            </w:tcBorders>
            <w:noWrap/>
            <w:hideMark/>
          </w:tcPr>
          <w:p w14:paraId="36A135DB"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rPr>
            </w:pPr>
            <w:r w:rsidRPr="003448EB">
              <w:rPr>
                <w:rFonts w:ascii="Book Antiqua" w:eastAsia="Yu Gothic" w:hAnsi="Book Antiqua"/>
              </w:rPr>
              <w:t>0.025</w:t>
            </w:r>
          </w:p>
        </w:tc>
      </w:tr>
      <w:tr w:rsidR="00372E57" w:rsidRPr="003448EB" w14:paraId="1F9F2BB2"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nil"/>
              <w:bottom w:val="nil"/>
            </w:tcBorders>
            <w:hideMark/>
          </w:tcPr>
          <w:p w14:paraId="363BD18E" w14:textId="77777777" w:rsidR="00372E57" w:rsidRPr="003448EB" w:rsidRDefault="00372E57" w:rsidP="00B50B39">
            <w:pPr>
              <w:snapToGrid w:val="0"/>
              <w:spacing w:line="360" w:lineRule="auto"/>
              <w:jc w:val="both"/>
              <w:rPr>
                <w:rFonts w:ascii="Book Antiqua" w:eastAsia="Yu Gothic" w:hAnsi="Book Antiqua"/>
                <w:color w:val="000000"/>
              </w:rPr>
            </w:pPr>
            <w:r w:rsidRPr="003448EB">
              <w:rPr>
                <w:rFonts w:ascii="Book Antiqua" w:eastAsia="Yu Gothic" w:hAnsi="Book Antiqua"/>
                <w:color w:val="000000"/>
              </w:rPr>
              <w:t>Child-Pugh stage B</w:t>
            </w:r>
          </w:p>
        </w:tc>
        <w:tc>
          <w:tcPr>
            <w:tcW w:w="722" w:type="pct"/>
            <w:tcBorders>
              <w:top w:val="nil"/>
              <w:bottom w:val="nil"/>
            </w:tcBorders>
            <w:hideMark/>
          </w:tcPr>
          <w:p w14:paraId="2FE30296"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 xml:space="preserve">3.830 </w:t>
            </w:r>
          </w:p>
        </w:tc>
        <w:tc>
          <w:tcPr>
            <w:tcW w:w="1026" w:type="pct"/>
            <w:tcBorders>
              <w:top w:val="nil"/>
              <w:bottom w:val="nil"/>
            </w:tcBorders>
            <w:hideMark/>
          </w:tcPr>
          <w:p w14:paraId="32E711B4"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1.180–12.400</w:t>
            </w:r>
          </w:p>
        </w:tc>
        <w:tc>
          <w:tcPr>
            <w:tcW w:w="605" w:type="pct"/>
            <w:tcBorders>
              <w:top w:val="nil"/>
              <w:bottom w:val="nil"/>
            </w:tcBorders>
            <w:noWrap/>
            <w:hideMark/>
          </w:tcPr>
          <w:p w14:paraId="659EFEBB"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rPr>
            </w:pPr>
            <w:r w:rsidRPr="003448EB">
              <w:rPr>
                <w:rFonts w:ascii="Book Antiqua" w:eastAsia="Yu Gothic" w:hAnsi="Book Antiqua"/>
              </w:rPr>
              <w:t>0.025</w:t>
            </w:r>
          </w:p>
        </w:tc>
      </w:tr>
      <w:tr w:rsidR="00372E57" w:rsidRPr="003448EB" w14:paraId="4D91FAEB" w14:textId="77777777" w:rsidTr="00372E57">
        <w:trPr>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nil"/>
              <w:bottom w:val="nil"/>
            </w:tcBorders>
            <w:hideMark/>
          </w:tcPr>
          <w:p w14:paraId="385C0463" w14:textId="77777777" w:rsidR="00372E57" w:rsidRPr="003448EB" w:rsidRDefault="00372E57" w:rsidP="00B50B39">
            <w:pPr>
              <w:snapToGrid w:val="0"/>
              <w:spacing w:line="360" w:lineRule="auto"/>
              <w:jc w:val="both"/>
              <w:rPr>
                <w:rFonts w:ascii="Book Antiqua" w:eastAsia="Yu Gothic" w:hAnsi="Book Antiqua"/>
                <w:color w:val="000000"/>
              </w:rPr>
            </w:pPr>
            <w:r w:rsidRPr="003448EB">
              <w:rPr>
                <w:rFonts w:ascii="Book Antiqua" w:eastAsia="Yu Gothic" w:hAnsi="Book Antiqua"/>
                <w:color w:val="000000"/>
              </w:rPr>
              <w:t>Diarrhea</w:t>
            </w:r>
          </w:p>
        </w:tc>
        <w:tc>
          <w:tcPr>
            <w:tcW w:w="722" w:type="pct"/>
            <w:tcBorders>
              <w:top w:val="nil"/>
              <w:bottom w:val="nil"/>
            </w:tcBorders>
            <w:hideMark/>
          </w:tcPr>
          <w:p w14:paraId="3D2110B3"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0.472</w:t>
            </w:r>
          </w:p>
        </w:tc>
        <w:tc>
          <w:tcPr>
            <w:tcW w:w="1026" w:type="pct"/>
            <w:tcBorders>
              <w:top w:val="nil"/>
              <w:bottom w:val="nil"/>
            </w:tcBorders>
            <w:hideMark/>
          </w:tcPr>
          <w:p w14:paraId="388A687D"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0.198–1.120</w:t>
            </w:r>
          </w:p>
        </w:tc>
        <w:tc>
          <w:tcPr>
            <w:tcW w:w="605" w:type="pct"/>
            <w:tcBorders>
              <w:top w:val="nil"/>
              <w:bottom w:val="nil"/>
            </w:tcBorders>
            <w:noWrap/>
            <w:hideMark/>
          </w:tcPr>
          <w:p w14:paraId="30D74580"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0.089</w:t>
            </w:r>
          </w:p>
        </w:tc>
      </w:tr>
      <w:tr w:rsidR="00372E57" w:rsidRPr="003448EB" w14:paraId="64739C6C" w14:textId="77777777" w:rsidTr="00372E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47" w:type="pct"/>
            <w:tcBorders>
              <w:top w:val="nil"/>
              <w:bottom w:val="nil"/>
            </w:tcBorders>
            <w:hideMark/>
          </w:tcPr>
          <w:p w14:paraId="7453E4C8" w14:textId="77777777" w:rsidR="00372E57" w:rsidRPr="003448EB" w:rsidRDefault="00372E57" w:rsidP="00B50B39">
            <w:pPr>
              <w:snapToGrid w:val="0"/>
              <w:spacing w:line="360" w:lineRule="auto"/>
              <w:jc w:val="both"/>
              <w:rPr>
                <w:rFonts w:ascii="Book Antiqua" w:eastAsia="Yu Gothic" w:hAnsi="Book Antiqua"/>
                <w:color w:val="000000"/>
              </w:rPr>
            </w:pPr>
            <w:r w:rsidRPr="003448EB">
              <w:rPr>
                <w:rFonts w:ascii="Book Antiqua" w:eastAsia="Yu Gothic" w:hAnsi="Book Antiqua"/>
                <w:color w:val="000000"/>
              </w:rPr>
              <w:t xml:space="preserve">Group B </w:t>
            </w:r>
            <w:r w:rsidRPr="003448EB">
              <w:rPr>
                <w:rFonts w:ascii="Book Antiqua" w:eastAsia="Yu Gothic" w:hAnsi="Book Antiqua"/>
                <w:i/>
                <w:color w:val="000000"/>
              </w:rPr>
              <w:t>vs</w:t>
            </w:r>
            <w:r w:rsidRPr="003448EB">
              <w:rPr>
                <w:rFonts w:ascii="Book Antiqua" w:eastAsia="Yu Gothic" w:hAnsi="Book Antiqua"/>
                <w:color w:val="000000"/>
              </w:rPr>
              <w:t xml:space="preserve"> Group A</w:t>
            </w:r>
          </w:p>
        </w:tc>
        <w:tc>
          <w:tcPr>
            <w:tcW w:w="722" w:type="pct"/>
            <w:tcBorders>
              <w:top w:val="nil"/>
              <w:bottom w:val="nil"/>
            </w:tcBorders>
            <w:hideMark/>
          </w:tcPr>
          <w:p w14:paraId="517CBD93"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0.113</w:t>
            </w:r>
          </w:p>
        </w:tc>
        <w:tc>
          <w:tcPr>
            <w:tcW w:w="1026" w:type="pct"/>
            <w:tcBorders>
              <w:top w:val="nil"/>
              <w:bottom w:val="nil"/>
            </w:tcBorders>
            <w:hideMark/>
          </w:tcPr>
          <w:p w14:paraId="3981800D"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0.036–0.356</w:t>
            </w:r>
          </w:p>
        </w:tc>
        <w:tc>
          <w:tcPr>
            <w:tcW w:w="605" w:type="pct"/>
            <w:tcBorders>
              <w:top w:val="nil"/>
              <w:bottom w:val="nil"/>
            </w:tcBorders>
            <w:noWrap/>
            <w:hideMark/>
          </w:tcPr>
          <w:p w14:paraId="381A4FC9" w14:textId="77777777" w:rsidR="00372E57" w:rsidRPr="003448EB" w:rsidRDefault="00372E57" w:rsidP="00B50B3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r>
      <w:tr w:rsidR="00372E57" w:rsidRPr="003448EB" w14:paraId="37E5C907" w14:textId="77777777" w:rsidTr="00372E57">
        <w:trPr>
          <w:trHeight w:val="408"/>
        </w:trPr>
        <w:tc>
          <w:tcPr>
            <w:cnfStyle w:val="001000000000" w:firstRow="0" w:lastRow="0" w:firstColumn="1" w:lastColumn="0" w:oddVBand="0" w:evenVBand="0" w:oddHBand="0" w:evenHBand="0" w:firstRowFirstColumn="0" w:firstRowLastColumn="0" w:lastRowFirstColumn="0" w:lastRowLastColumn="0"/>
            <w:tcW w:w="2647" w:type="pct"/>
            <w:tcBorders>
              <w:top w:val="nil"/>
              <w:bottom w:val="single" w:sz="4" w:space="0" w:color="7F7F7F" w:themeColor="text1" w:themeTint="80"/>
            </w:tcBorders>
            <w:hideMark/>
          </w:tcPr>
          <w:p w14:paraId="4244C33C" w14:textId="77777777" w:rsidR="00372E57" w:rsidRPr="003448EB" w:rsidRDefault="00372E57" w:rsidP="00B50B39">
            <w:pPr>
              <w:snapToGrid w:val="0"/>
              <w:spacing w:line="360" w:lineRule="auto"/>
              <w:jc w:val="both"/>
              <w:rPr>
                <w:rFonts w:ascii="Book Antiqua" w:eastAsia="Yu Gothic" w:hAnsi="Book Antiqua"/>
                <w:color w:val="000000"/>
              </w:rPr>
            </w:pPr>
            <w:r w:rsidRPr="003448EB">
              <w:rPr>
                <w:rFonts w:ascii="Book Antiqua" w:eastAsia="Yu Gothic" w:hAnsi="Book Antiqua"/>
                <w:color w:val="000000"/>
              </w:rPr>
              <w:t xml:space="preserve">Group B </w:t>
            </w:r>
            <w:r w:rsidRPr="003448EB">
              <w:rPr>
                <w:rFonts w:ascii="Book Antiqua" w:eastAsia="Yu Gothic" w:hAnsi="Book Antiqua"/>
                <w:i/>
                <w:color w:val="000000"/>
              </w:rPr>
              <w:t>vs</w:t>
            </w:r>
            <w:r w:rsidRPr="003448EB">
              <w:rPr>
                <w:rFonts w:ascii="Book Antiqua" w:eastAsia="Yu Gothic" w:hAnsi="Book Antiqua"/>
                <w:color w:val="000000"/>
              </w:rPr>
              <w:t xml:space="preserve"> Group C</w:t>
            </w:r>
          </w:p>
        </w:tc>
        <w:tc>
          <w:tcPr>
            <w:tcW w:w="722" w:type="pct"/>
            <w:tcBorders>
              <w:top w:val="nil"/>
              <w:bottom w:val="single" w:sz="4" w:space="0" w:color="7F7F7F" w:themeColor="text1" w:themeTint="80"/>
            </w:tcBorders>
            <w:hideMark/>
          </w:tcPr>
          <w:p w14:paraId="6302B321"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0.091</w:t>
            </w:r>
          </w:p>
        </w:tc>
        <w:tc>
          <w:tcPr>
            <w:tcW w:w="1026" w:type="pct"/>
            <w:tcBorders>
              <w:top w:val="nil"/>
              <w:bottom w:val="single" w:sz="4" w:space="0" w:color="7F7F7F" w:themeColor="text1" w:themeTint="80"/>
            </w:tcBorders>
            <w:hideMark/>
          </w:tcPr>
          <w:p w14:paraId="799EED20"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0.031–0.266</w:t>
            </w:r>
          </w:p>
        </w:tc>
        <w:tc>
          <w:tcPr>
            <w:tcW w:w="605" w:type="pct"/>
            <w:tcBorders>
              <w:top w:val="nil"/>
              <w:bottom w:val="single" w:sz="4" w:space="0" w:color="7F7F7F" w:themeColor="text1" w:themeTint="80"/>
            </w:tcBorders>
            <w:noWrap/>
            <w:hideMark/>
          </w:tcPr>
          <w:p w14:paraId="60FBD34B" w14:textId="77777777" w:rsidR="00372E57" w:rsidRPr="003448EB" w:rsidRDefault="00372E57" w:rsidP="00B50B3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Yu Gothic" w:hAnsi="Book Antiqua"/>
                <w:color w:val="000000"/>
              </w:rPr>
            </w:pPr>
            <w:r w:rsidRPr="003448EB">
              <w:rPr>
                <w:rFonts w:ascii="Book Antiqua" w:eastAsia="Yu Gothic" w:hAnsi="Book Antiqua"/>
                <w:color w:val="000000"/>
              </w:rPr>
              <w:t>&lt; 0.001</w:t>
            </w:r>
          </w:p>
        </w:tc>
      </w:tr>
    </w:tbl>
    <w:p w14:paraId="055DD0C9" w14:textId="77777777" w:rsidR="00372E57" w:rsidRPr="003448EB" w:rsidRDefault="00372E57" w:rsidP="00B50B39">
      <w:pPr>
        <w:spacing w:line="360" w:lineRule="auto"/>
        <w:jc w:val="both"/>
        <w:rPr>
          <w:rFonts w:ascii="Book Antiqua" w:hAnsi="Book Antiqua"/>
          <w:lang w:eastAsia="zh-CN"/>
        </w:rPr>
      </w:pPr>
    </w:p>
    <w:sectPr w:rsidR="00372E57" w:rsidRPr="00344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434B" w14:textId="77777777" w:rsidR="00273CED" w:rsidRDefault="00273CED" w:rsidP="00FB718C">
      <w:r>
        <w:separator/>
      </w:r>
    </w:p>
  </w:endnote>
  <w:endnote w:type="continuationSeparator" w:id="0">
    <w:p w14:paraId="779F8E07" w14:textId="77777777" w:rsidR="00273CED" w:rsidRDefault="00273CED" w:rsidP="00FB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35960"/>
      <w:docPartObj>
        <w:docPartGallery w:val="Page Numbers (Bottom of Page)"/>
        <w:docPartUnique/>
      </w:docPartObj>
    </w:sdtPr>
    <w:sdtEndPr/>
    <w:sdtContent>
      <w:sdt>
        <w:sdtPr>
          <w:id w:val="98381352"/>
          <w:docPartObj>
            <w:docPartGallery w:val="Page Numbers (Top of Page)"/>
            <w:docPartUnique/>
          </w:docPartObj>
        </w:sdtPr>
        <w:sdtEndPr/>
        <w:sdtContent>
          <w:p w14:paraId="64B7F468" w14:textId="77777777" w:rsidR="00FB718C" w:rsidRDefault="00FB718C" w:rsidP="00FB718C">
            <w:pPr>
              <w:pStyle w:val="a7"/>
              <w:jc w:val="right"/>
            </w:pPr>
            <w:r w:rsidRPr="00FB718C">
              <w:rPr>
                <w:rFonts w:ascii="Book Antiqua" w:hAnsi="Book Antiqua"/>
                <w:lang w:val="zh-CN" w:eastAsia="zh-CN"/>
              </w:rPr>
              <w:t xml:space="preserve"> </w:t>
            </w:r>
            <w:r w:rsidRPr="00FB718C">
              <w:rPr>
                <w:rFonts w:ascii="Book Antiqua" w:hAnsi="Book Antiqua"/>
                <w:b/>
                <w:bCs/>
                <w:sz w:val="24"/>
                <w:szCs w:val="24"/>
              </w:rPr>
              <w:fldChar w:fldCharType="begin"/>
            </w:r>
            <w:r w:rsidRPr="00FB718C">
              <w:rPr>
                <w:rFonts w:ascii="Book Antiqua" w:hAnsi="Book Antiqua"/>
                <w:b/>
                <w:bCs/>
              </w:rPr>
              <w:instrText>PAGE</w:instrText>
            </w:r>
            <w:r w:rsidRPr="00FB718C">
              <w:rPr>
                <w:rFonts w:ascii="Book Antiqua" w:hAnsi="Book Antiqua"/>
                <w:b/>
                <w:bCs/>
                <w:sz w:val="24"/>
                <w:szCs w:val="24"/>
              </w:rPr>
              <w:fldChar w:fldCharType="separate"/>
            </w:r>
            <w:r w:rsidR="00FB45BD">
              <w:rPr>
                <w:rFonts w:ascii="Book Antiqua" w:hAnsi="Book Antiqua"/>
                <w:b/>
                <w:bCs/>
                <w:noProof/>
              </w:rPr>
              <w:t>22</w:t>
            </w:r>
            <w:r w:rsidRPr="00FB718C">
              <w:rPr>
                <w:rFonts w:ascii="Book Antiqua" w:hAnsi="Book Antiqua"/>
                <w:b/>
                <w:bCs/>
                <w:sz w:val="24"/>
                <w:szCs w:val="24"/>
              </w:rPr>
              <w:fldChar w:fldCharType="end"/>
            </w:r>
            <w:r w:rsidRPr="00FB718C">
              <w:rPr>
                <w:rFonts w:ascii="Book Antiqua" w:hAnsi="Book Antiqua"/>
                <w:lang w:val="zh-CN" w:eastAsia="zh-CN"/>
              </w:rPr>
              <w:t xml:space="preserve"> / </w:t>
            </w:r>
            <w:r w:rsidRPr="00FB718C">
              <w:rPr>
                <w:rFonts w:ascii="Book Antiqua" w:hAnsi="Book Antiqua"/>
                <w:b/>
                <w:bCs/>
                <w:sz w:val="24"/>
                <w:szCs w:val="24"/>
              </w:rPr>
              <w:fldChar w:fldCharType="begin"/>
            </w:r>
            <w:r w:rsidRPr="00FB718C">
              <w:rPr>
                <w:rFonts w:ascii="Book Antiqua" w:hAnsi="Book Antiqua"/>
                <w:b/>
                <w:bCs/>
              </w:rPr>
              <w:instrText>NUMPAGES</w:instrText>
            </w:r>
            <w:r w:rsidRPr="00FB718C">
              <w:rPr>
                <w:rFonts w:ascii="Book Antiqua" w:hAnsi="Book Antiqua"/>
                <w:b/>
                <w:bCs/>
                <w:sz w:val="24"/>
                <w:szCs w:val="24"/>
              </w:rPr>
              <w:fldChar w:fldCharType="separate"/>
            </w:r>
            <w:r w:rsidR="00FB45BD">
              <w:rPr>
                <w:rFonts w:ascii="Book Antiqua" w:hAnsi="Book Antiqua"/>
                <w:b/>
                <w:bCs/>
                <w:noProof/>
              </w:rPr>
              <w:t>39</w:t>
            </w:r>
            <w:r w:rsidRPr="00FB718C">
              <w:rPr>
                <w:rFonts w:ascii="Book Antiqua" w:hAnsi="Book Antiqua"/>
                <w:b/>
                <w:bCs/>
                <w:sz w:val="24"/>
                <w:szCs w:val="24"/>
              </w:rPr>
              <w:fldChar w:fldCharType="end"/>
            </w:r>
          </w:p>
        </w:sdtContent>
      </w:sdt>
    </w:sdtContent>
  </w:sdt>
  <w:p w14:paraId="00283963" w14:textId="77777777" w:rsidR="00FB718C" w:rsidRDefault="00FB71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5208" w14:textId="77777777" w:rsidR="00273CED" w:rsidRDefault="00273CED" w:rsidP="00FB718C">
      <w:r>
        <w:separator/>
      </w:r>
    </w:p>
  </w:footnote>
  <w:footnote w:type="continuationSeparator" w:id="0">
    <w:p w14:paraId="735D5FA0" w14:textId="77777777" w:rsidR="00273CED" w:rsidRDefault="00273CED" w:rsidP="00FB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EC8" w14:textId="77777777" w:rsidR="00F81B92" w:rsidRDefault="00F81B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60CC"/>
    <w:rsid w:val="00273CED"/>
    <w:rsid w:val="003448EB"/>
    <w:rsid w:val="00372E57"/>
    <w:rsid w:val="0095497D"/>
    <w:rsid w:val="00A77B3E"/>
    <w:rsid w:val="00B50B39"/>
    <w:rsid w:val="00B95AB9"/>
    <w:rsid w:val="00CA2A55"/>
    <w:rsid w:val="00D0271F"/>
    <w:rsid w:val="00F81B92"/>
    <w:rsid w:val="00FB45BD"/>
    <w:rsid w:val="00FB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135A7"/>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72E57"/>
    <w:rPr>
      <w:sz w:val="18"/>
      <w:szCs w:val="18"/>
    </w:rPr>
  </w:style>
  <w:style w:type="character" w:customStyle="1" w:styleId="a4">
    <w:name w:val="批注框文本 字符"/>
    <w:basedOn w:val="a0"/>
    <w:link w:val="a3"/>
    <w:rsid w:val="00372E57"/>
    <w:rPr>
      <w:sz w:val="18"/>
      <w:szCs w:val="18"/>
    </w:rPr>
  </w:style>
  <w:style w:type="table" w:customStyle="1" w:styleId="21">
    <w:name w:val="无格式表格 21"/>
    <w:basedOn w:val="a1"/>
    <w:uiPriority w:val="42"/>
    <w:rsid w:val="00372E57"/>
    <w:rPr>
      <w:rFonts w:ascii="Yu Mincho" w:eastAsia="Yu Mincho" w:hAnsi="Yu Mincho"/>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rsid w:val="00FB71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B718C"/>
    <w:rPr>
      <w:sz w:val="18"/>
      <w:szCs w:val="18"/>
    </w:rPr>
  </w:style>
  <w:style w:type="paragraph" w:styleId="a7">
    <w:name w:val="footer"/>
    <w:basedOn w:val="a"/>
    <w:link w:val="a8"/>
    <w:uiPriority w:val="99"/>
    <w:rsid w:val="00FB718C"/>
    <w:pPr>
      <w:tabs>
        <w:tab w:val="center" w:pos="4153"/>
        <w:tab w:val="right" w:pos="8306"/>
      </w:tabs>
      <w:snapToGrid w:val="0"/>
    </w:pPr>
    <w:rPr>
      <w:sz w:val="18"/>
      <w:szCs w:val="18"/>
    </w:rPr>
  </w:style>
  <w:style w:type="character" w:customStyle="1" w:styleId="a8">
    <w:name w:val="页脚 字符"/>
    <w:basedOn w:val="a0"/>
    <w:link w:val="a7"/>
    <w:uiPriority w:val="99"/>
    <w:rsid w:val="00FB7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37</Pages>
  <Words>7134</Words>
  <Characters>40666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7</cp:revision>
  <dcterms:created xsi:type="dcterms:W3CDTF">2021-08-06T02:19:00Z</dcterms:created>
  <dcterms:modified xsi:type="dcterms:W3CDTF">2021-08-10T08:15:00Z</dcterms:modified>
</cp:coreProperties>
</file>