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66715</w:t>
      </w:r>
    </w:p>
    <w:p>
      <w:pPr>
        <w:spacing w:line="360" w:lineRule="auto"/>
        <w:jc w:val="both"/>
      </w:pPr>
      <w:r>
        <w:rPr>
          <w:rFonts w:ascii="Book Antiqua" w:hAnsi="Book Antiqua" w:eastAsia="Book Antiqua" w:cs="Book Antiqua"/>
          <w:b/>
          <w:color w:val="000000"/>
        </w:rPr>
        <w:t xml:space="preserve">Manuscript Type: </w:t>
      </w:r>
      <w:bookmarkStart w:id="0" w:name="OLE_LINK427"/>
      <w:bookmarkStart w:id="1" w:name="OLE_LINK426"/>
      <w:r>
        <w:rPr>
          <w:rFonts w:ascii="Book Antiqua" w:hAnsi="Book Antiqua" w:eastAsia="Book Antiqua" w:cs="Book Antiqua"/>
          <w:color w:val="000000"/>
        </w:rPr>
        <w:t>MINIREVIEWS</w:t>
      </w:r>
      <w:bookmarkEnd w:id="0"/>
      <w:bookmarkEnd w:id="1"/>
    </w:p>
    <w:p>
      <w:pPr>
        <w:spacing w:line="360" w:lineRule="auto"/>
        <w:jc w:val="both"/>
      </w:pPr>
    </w:p>
    <w:p>
      <w:pPr>
        <w:spacing w:line="360" w:lineRule="auto"/>
        <w:jc w:val="both"/>
      </w:pPr>
      <w:bookmarkStart w:id="2" w:name="OLE_LINK417"/>
      <w:bookmarkStart w:id="3" w:name="OLE_LINK416"/>
      <w:r>
        <w:rPr>
          <w:rFonts w:ascii="Book Antiqua" w:hAnsi="Book Antiqua" w:eastAsia="Book Antiqua" w:cs="Book Antiqua"/>
          <w:b/>
          <w:color w:val="000000"/>
        </w:rPr>
        <w:t>Role of immune dysfunction in drug induced liver injury</w:t>
      </w:r>
    </w:p>
    <w:bookmarkEnd w:id="2"/>
    <w:bookmarkEnd w:id="3"/>
    <w:p>
      <w:pPr>
        <w:spacing w:line="360" w:lineRule="auto"/>
        <w:jc w:val="both"/>
      </w:pPr>
    </w:p>
    <w:p>
      <w:pPr>
        <w:spacing w:line="360" w:lineRule="auto"/>
        <w:jc w:val="both"/>
      </w:pPr>
      <w:r>
        <w:rPr>
          <w:rFonts w:ascii="Book Antiqua" w:hAnsi="Book Antiqua" w:eastAsia="Book Antiqua" w:cs="Book Antiqua"/>
          <w:color w:val="000000"/>
        </w:rPr>
        <w:t xml:space="preserve">Girish </w:t>
      </w:r>
      <w:r>
        <w:rPr>
          <w:rFonts w:hint="eastAsia" w:ascii="Book Antiqua" w:hAnsi="Book Antiqua" w:cs="Book Antiqua"/>
          <w:color w:val="000000"/>
          <w:lang w:eastAsia="zh-CN"/>
        </w:rPr>
        <w:t xml:space="preserve">C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4" w:name="OLE_LINK418"/>
      <w:bookmarkStart w:id="5" w:name="OLE_LINK419"/>
      <w:r>
        <w:rPr>
          <w:rFonts w:ascii="Book Antiqua" w:hAnsi="Book Antiqua" w:eastAsia="Book Antiqua" w:cs="Book Antiqua"/>
          <w:color w:val="000000"/>
        </w:rPr>
        <w:t>Immune dysfunction in drug induced liver injury</w:t>
      </w:r>
      <w:bookmarkEnd w:id="4"/>
      <w:bookmarkEnd w:id="5"/>
    </w:p>
    <w:p>
      <w:pPr>
        <w:spacing w:line="360" w:lineRule="auto"/>
        <w:jc w:val="both"/>
      </w:pPr>
    </w:p>
    <w:p>
      <w:pPr>
        <w:spacing w:line="360" w:lineRule="auto"/>
        <w:jc w:val="both"/>
      </w:pPr>
      <w:r>
        <w:rPr>
          <w:rFonts w:ascii="Book Antiqua" w:hAnsi="Book Antiqua" w:eastAsia="Book Antiqua" w:cs="Book Antiqua"/>
          <w:color w:val="000000"/>
        </w:rPr>
        <w:t xml:space="preserve">Chandrashekaran </w:t>
      </w:r>
      <w:bookmarkStart w:id="6" w:name="OLE_LINK342"/>
      <w:bookmarkStart w:id="7" w:name="OLE_LINK343"/>
      <w:r>
        <w:rPr>
          <w:rFonts w:ascii="Book Antiqua" w:hAnsi="Book Antiqua" w:eastAsia="Book Antiqua" w:cs="Book Antiqua"/>
          <w:color w:val="000000"/>
        </w:rPr>
        <w:t>Girish</w:t>
      </w:r>
      <w:bookmarkEnd w:id="6"/>
      <w:bookmarkEnd w:id="7"/>
      <w:r>
        <w:rPr>
          <w:rFonts w:ascii="Book Antiqua" w:hAnsi="Book Antiqua" w:eastAsia="Book Antiqua" w:cs="Book Antiqua"/>
          <w:color w:val="000000"/>
        </w:rPr>
        <w:t>, Sukumaran Sanjay</w:t>
      </w:r>
    </w:p>
    <w:p>
      <w:pPr>
        <w:spacing w:line="360" w:lineRule="auto"/>
        <w:jc w:val="both"/>
      </w:pPr>
    </w:p>
    <w:p>
      <w:pPr>
        <w:spacing w:line="360" w:lineRule="auto"/>
        <w:jc w:val="both"/>
      </w:pPr>
      <w:r>
        <w:rPr>
          <w:rFonts w:ascii="Book Antiqua" w:hAnsi="Book Antiqua" w:eastAsia="Book Antiqua" w:cs="Book Antiqua"/>
          <w:b/>
          <w:bCs/>
          <w:color w:val="000000"/>
        </w:rPr>
        <w:t xml:space="preserve">Chandrashekaran Girish, Sukumaran Sanjay, </w:t>
      </w:r>
      <w:bookmarkStart w:id="8" w:name="OLE_LINK410"/>
      <w:bookmarkStart w:id="9" w:name="OLE_LINK409"/>
      <w:r>
        <w:rPr>
          <w:rFonts w:ascii="Book Antiqua" w:hAnsi="Book Antiqua" w:eastAsia="Book Antiqua" w:cs="Book Antiqua"/>
          <w:color w:val="000000"/>
        </w:rPr>
        <w:t>Department of Pharmacology</w:t>
      </w:r>
      <w:bookmarkEnd w:id="8"/>
      <w:bookmarkEnd w:id="9"/>
      <w:r>
        <w:rPr>
          <w:rFonts w:ascii="Book Antiqua" w:hAnsi="Book Antiqua" w:eastAsia="Book Antiqua" w:cs="Book Antiqua"/>
          <w:color w:val="000000"/>
        </w:rPr>
        <w:t xml:space="preserve">, </w:t>
      </w:r>
      <w:bookmarkStart w:id="10" w:name="OLE_LINK411"/>
      <w:bookmarkStart w:id="11" w:name="OLE_LINK412"/>
      <w:r>
        <w:rPr>
          <w:rFonts w:ascii="Book Antiqua" w:hAnsi="Book Antiqua" w:eastAsia="Book Antiqua" w:cs="Book Antiqua"/>
          <w:color w:val="000000"/>
        </w:rPr>
        <w:t>Jawaharlal Institute of Postgraduate Medical Education and Research</w:t>
      </w:r>
      <w:bookmarkEnd w:id="10"/>
      <w:bookmarkEnd w:id="11"/>
      <w:r>
        <w:rPr>
          <w:rFonts w:ascii="Book Antiqua" w:hAnsi="Book Antiqua" w:eastAsia="Book Antiqua" w:cs="Book Antiqua"/>
          <w:color w:val="000000"/>
        </w:rPr>
        <w:t>, Puducherry 605006, India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Girish C and Sanjay S</w:t>
      </w:r>
      <w:r>
        <w:rPr>
          <w:rFonts w:hint="eastAsia" w:ascii="Book Antiqua" w:hAnsi="Book Antiqua" w:cs="Book Antiqua"/>
          <w:color w:val="000000"/>
          <w:lang w:eastAsia="zh-CN"/>
        </w:rPr>
        <w:t xml:space="preserve"> </w:t>
      </w:r>
      <w:r>
        <w:rPr>
          <w:rFonts w:ascii="Book Antiqua" w:hAnsi="Book Antiqua" w:eastAsia="Book Antiqua" w:cs="Book Antiqua"/>
          <w:color w:val="000000"/>
        </w:rPr>
        <w:t>contributed equally to this work; Girish</w:t>
      </w:r>
      <w:r>
        <w:rPr>
          <w:rFonts w:hint="eastAsia" w:ascii="Book Antiqua" w:hAnsi="Book Antiqua" w:cs="Book Antiqua"/>
          <w:color w:val="000000"/>
          <w:lang w:eastAsia="zh-CN"/>
        </w:rPr>
        <w:t xml:space="preserve"> </w:t>
      </w:r>
      <w:r>
        <w:rPr>
          <w:rFonts w:ascii="Book Antiqua" w:hAnsi="Book Antiqua" w:eastAsia="Book Antiqua" w:cs="Book Antiqua"/>
          <w:color w:val="000000"/>
        </w:rPr>
        <w:t>C</w:t>
      </w:r>
      <w:r>
        <w:rPr>
          <w:rFonts w:hint="eastAsia" w:ascii="Book Antiqua" w:hAnsi="Book Antiqua" w:cs="Book Antiqua"/>
          <w:color w:val="000000"/>
          <w:lang w:eastAsia="zh-CN"/>
        </w:rPr>
        <w:t xml:space="preserve"> </w:t>
      </w:r>
      <w:r>
        <w:rPr>
          <w:rFonts w:ascii="Book Antiqua" w:hAnsi="Book Antiqua" w:eastAsia="Book Antiqua" w:cs="Book Antiqua"/>
          <w:color w:val="000000"/>
        </w:rPr>
        <w:t>planned the contents and edited the manuscript; Sanjay</w:t>
      </w:r>
      <w:r>
        <w:rPr>
          <w:rFonts w:hint="eastAsia" w:ascii="Book Antiqua" w:hAnsi="Book Antiqua" w:cs="Book Antiqua"/>
          <w:color w:val="000000"/>
          <w:lang w:eastAsia="zh-CN"/>
        </w:rPr>
        <w:t xml:space="preserve"> </w:t>
      </w:r>
      <w:r>
        <w:rPr>
          <w:rFonts w:ascii="Book Antiqua" w:hAnsi="Book Antiqua" w:eastAsia="Book Antiqua" w:cs="Book Antiqua"/>
          <w:color w:val="000000"/>
        </w:rPr>
        <w:t>S reviewed the literature, wrote the manuscript;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Chandrashekaran Girish, MSc, PhD, Additional Professor, </w:t>
      </w:r>
      <w:bookmarkStart w:id="12" w:name="OLE_LINK413"/>
      <w:bookmarkStart w:id="13" w:name="OLE_LINK414"/>
      <w:r>
        <w:rPr>
          <w:rFonts w:ascii="Book Antiqua" w:hAnsi="Book Antiqua" w:eastAsia="Book Antiqua" w:cs="Book Antiqua"/>
          <w:color w:val="000000"/>
        </w:rPr>
        <w:t>Department of Pharmacology</w:t>
      </w:r>
      <w:bookmarkEnd w:id="12"/>
      <w:bookmarkEnd w:id="13"/>
      <w:r>
        <w:rPr>
          <w:rFonts w:ascii="Book Antiqua" w:hAnsi="Book Antiqua" w:eastAsia="Book Antiqua" w:cs="Book Antiqua"/>
          <w:color w:val="000000"/>
        </w:rPr>
        <w:t>, Jawaharlal Institute of Postgraduate Medical Education and Research, Puducherry 605006, India. gcnx@rediffmail.com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3,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July 15,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16,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27</w:t>
      </w:r>
      <w:r>
        <w:rPr>
          <w:rFonts w:hint="eastAsia" w:ascii="Book Antiqua" w:hAnsi="Book Antiqua"/>
          <w:color w:val="000000"/>
          <w:shd w:val="clear" w:color="auto" w:fill="FFFFFF"/>
          <w:lang w:eastAsia="zh-CN"/>
        </w:rPr>
        <w:t>,</w:t>
      </w:r>
      <w:r>
        <w:rPr>
          <w:rFonts w:ascii="Book Antiqua" w:hAnsi="Book Antiqua"/>
          <w:color w:val="000000"/>
          <w:shd w:val="clear" w:color="auto" w:fill="FFFFFF"/>
          <w:lang w:eastAsia="zh-CN"/>
        </w:rPr>
        <w:t xml:space="preserve">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Drug-induced liver injury (DILI) is one of the leading causes of liver failure and withdrawal of drugs from the market. A poor understanding of the precipitating event aetiology and mechanisms of disease progression has rendered the prediction and subsequent treatment intractable. Recent literature suggests that some drugs can alter the liver’s repair systems resulting in injury. The pathophysiology of DILI is complex, and immune dysfunction plays an important role in determining the course and severity of the disease.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Immune dysfunction is influenced by the host response to drug toxicity. A deeper understanding of these processes may be beneficial in the management of DILI and aid in drug development. This review provides a structured framework presenting DILI in three progressive stages that summarize the interplay between drugs and the host defence networks.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Immune dysfunction; Liver damage; Hepatotoxic drugs; Drug-induced liver injury; </w:t>
      </w:r>
      <w:r>
        <w:rPr>
          <w:rFonts w:ascii="Book Antiqua" w:hAnsi="Book Antiqua" w:eastAsia="Book Antiqua" w:cs="Book Antiqua"/>
          <w:caps/>
          <w:color w:val="000000"/>
        </w:rPr>
        <w:t>h</w:t>
      </w:r>
      <w:r>
        <w:rPr>
          <w:rFonts w:ascii="Book Antiqua" w:hAnsi="Book Antiqua" w:eastAsia="Book Antiqua" w:cs="Book Antiqua"/>
          <w:color w:val="000000"/>
        </w:rPr>
        <w:t>igh mobility group box 1</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Girish C, Sanjay S. Role of immune dysfunction in drug induced liver injury.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w:t>
      </w:r>
      <w:bookmarkStart w:id="14" w:name="_Hlk87378010"/>
      <w:r>
        <w:rPr>
          <w:rFonts w:ascii="Book Antiqua" w:hAnsi="Book Antiqua" w:eastAsia="Book Antiqua" w:cs="Book Antiqua"/>
          <w:color w:val="000000"/>
        </w:rPr>
        <w:t xml:space="preserve"> 13(11): </w:t>
      </w:r>
      <w:r>
        <w:rPr>
          <w:rFonts w:hint="default" w:ascii="Book Antiqua" w:hAnsi="Book Antiqua" w:eastAsia="Book Antiqua" w:cs="Book Antiqua"/>
          <w:i w:val="0"/>
          <w:iCs w:val="0"/>
          <w:color w:val="000000"/>
          <w:kern w:val="0"/>
          <w:sz w:val="24"/>
          <w:szCs w:val="24"/>
          <w:u w:val="none"/>
          <w:lang w:val="en-US" w:eastAsia="zh-CN" w:bidi="ar"/>
        </w:rPr>
        <w:t>1677-1687</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hint="eastAsia" w:ascii="Book Antiqua" w:hAnsi="Book Antiqua" w:eastAsia="Book Antiqua" w:cs="Book Antiqua"/>
          <w:color w:val="000000" w:themeColor="text1"/>
          <w:highlight w:val="none"/>
          <w14:textFill>
            <w14:solidFill>
              <w14:schemeClr w14:val="tx1"/>
            </w14:solidFill>
          </w14:textFill>
        </w:rPr>
        <w:t>https://www.wjgnet.com/1948-5182/full/v13/i1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1677</w:t>
      </w:r>
      <w:r>
        <w:rPr>
          <w:rFonts w:hint="eastAsia" w:ascii="Book Antiqua" w:hAnsi="Book Antiqua" w:eastAsia="Book Antiqua" w:cs="Book Antiqua"/>
          <w:color w:val="000000" w:themeColor="text1"/>
          <w:highlight w:val="none"/>
          <w14:textFill>
            <w14:solidFill>
              <w14:schemeClr w14:val="tx1"/>
            </w14:solidFill>
          </w14:textFill>
        </w:rPr>
        <w:t>.htm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https://dx.doi.org/10.4254/wjh.v13.i11.</w:t>
      </w:r>
      <w:bookmarkEnd w:id="14"/>
      <w:r>
        <w:rPr>
          <w:rFonts w:hint="default" w:ascii="Book Antiqua" w:hAnsi="Book Antiqua" w:eastAsia="Book Antiqua" w:cs="Book Antiqua"/>
          <w:i w:val="0"/>
          <w:iCs w:val="0"/>
          <w:color w:val="000000"/>
          <w:kern w:val="0"/>
          <w:sz w:val="24"/>
          <w:szCs w:val="24"/>
          <w:u w:val="none"/>
          <w:lang w:val="en-US" w:eastAsia="zh-CN" w:bidi="ar"/>
        </w:rPr>
        <w:t>1677</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review demonstrates the critical role of the immune system in the progression of drug-induced liver injury and also in determining the severity of the damage. Drugs affect the normal functioning of hepatocytes through several direct and indirect mechanisms leading to the dysfunctional immune response. The major effector cells in amplifying liver damage are Kupffer cells, monocytes and neutrophils. Genetic predispositions and environmental factors also make individuals vulnerable to immune dysfunction.</w:t>
      </w:r>
    </w:p>
    <w:p>
      <w:pPr>
        <w:spacing w:line="360" w:lineRule="auto"/>
        <w:jc w:val="both"/>
        <w:rPr>
          <w:lang w:eastAsia="zh-CN"/>
        </w:rPr>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The liver plays a central role in the complex process of metabolism and elimination of drugs from the body. The liver is equipped with a wide array of detoxification systems that have evolved over time with exposure to xenobiotics. The primary role of this system is to convert a drug to a more hydrophilic form so that it can be eliminated through bile or urine. Despite the liver’s detox potential, certain drugs can still cause hepatotoxicity that can range from mild asymptomatic liver damage to liver failure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 study showed that, out of the 462 pharmaceuticals withdrawn due to adverse drug reactions between 1953 and 2013, hepatotoxicity ranked first with 81 cases (18%). It is estimated that over 1000 drugs currently available on the market that cause liver damage</w:t>
      </w:r>
      <w:r>
        <w:rPr>
          <w:rFonts w:ascii="Book Antiqua" w:hAnsi="Book Antiqua" w:eastAsia="Book Antiqua" w:cs="Book Antiqua"/>
          <w:color w:val="000000"/>
          <w:szCs w:val="30"/>
          <w:vertAlign w:val="superscript"/>
        </w:rPr>
        <w:t>[3]</w:t>
      </w:r>
      <w:r>
        <w:rPr>
          <w:rFonts w:hint="eastAsia" w:ascii="Book Antiqua" w:hAnsi="Book Antiqua" w:cs="Book Antiqua"/>
          <w:color w:val="000000"/>
          <w:lang w:eastAsia="zh-CN"/>
        </w:rPr>
        <w:t xml:space="preserve"> </w:t>
      </w:r>
      <w:r>
        <w:rPr>
          <w:rFonts w:ascii="Book Antiqua" w:hAnsi="Book Antiqua" w:eastAsia="Book Antiqua" w:cs="Book Antiqua"/>
          <w:color w:val="000000"/>
        </w:rPr>
        <w:t>despite</w:t>
      </w:r>
      <w:r>
        <w:rPr>
          <w:rFonts w:hint="eastAsia" w:ascii="Book Antiqua" w:hAnsi="Book Antiqua" w:cs="Book Antiqua"/>
          <w:color w:val="000000"/>
          <w:szCs w:val="30"/>
          <w:vertAlign w:val="superscript"/>
          <w:lang w:eastAsia="zh-CN"/>
        </w:rPr>
        <w:t xml:space="preserve"> </w:t>
      </w:r>
      <w:r>
        <w:rPr>
          <w:rFonts w:ascii="Book Antiqua" w:hAnsi="Book Antiqua" w:eastAsia="Book Antiqua" w:cs="Book Antiqua"/>
          <w:color w:val="000000"/>
        </w:rPr>
        <w:t>these drugs passing the safety measures of clinical trials before entering the market. Some drugs that are hepatotoxic at doses higher than the therapeutic range can also cause drug-induced liver injury (DILI) at doses within the therapeutic range</w:t>
      </w:r>
      <w:r>
        <w:rPr>
          <w:rFonts w:ascii="Book Antiqua" w:hAnsi="Book Antiqua" w:eastAsia="Book Antiqua" w:cs="Book Antiqua"/>
          <w:color w:val="000000"/>
          <w:szCs w:val="30"/>
          <w:vertAlign w:val="superscript"/>
        </w:rPr>
        <w:t>[2,4-6]</w:t>
      </w:r>
      <w:r>
        <w:rPr>
          <w:rFonts w:ascii="Book Antiqua" w:hAnsi="Book Antiqua" w:eastAsia="Book Antiqua" w:cs="Book Antiqua"/>
          <w:color w:val="000000"/>
        </w:rPr>
        <w:t>. This implies that the dose may not be the only contributing factor.</w:t>
      </w:r>
    </w:p>
    <w:p>
      <w:pPr>
        <w:spacing w:line="360" w:lineRule="auto"/>
        <w:ind w:firstLine="480" w:firstLineChars="200"/>
        <w:jc w:val="both"/>
        <w:rPr>
          <w:lang w:eastAsia="zh-CN"/>
        </w:rPr>
      </w:pPr>
      <w:r>
        <w:rPr>
          <w:rFonts w:ascii="Book Antiqua" w:hAnsi="Book Antiqua" w:eastAsia="Book Antiqua" w:cs="Book Antiqua"/>
          <w:color w:val="000000"/>
        </w:rPr>
        <w:t>Despite</w:t>
      </w:r>
      <w:r>
        <w:rPr>
          <w:rFonts w:hint="eastAsia" w:ascii="Book Antiqua" w:hAnsi="Book Antiqua" w:cs="Book Antiqua"/>
          <w:color w:val="000000"/>
          <w:lang w:eastAsia="zh-CN"/>
        </w:rPr>
        <w:t xml:space="preserve"> </w:t>
      </w:r>
      <w:r>
        <w:rPr>
          <w:rFonts w:ascii="Book Antiqua" w:hAnsi="Book Antiqua" w:eastAsia="Book Antiqua" w:cs="Book Antiqua"/>
          <w:color w:val="000000"/>
        </w:rPr>
        <w:t>large number of drugs known to cause liver injury, the incidence of DILI is rare. DILI is reported in 1 in every 10000 to 100000 individuals annually. This suggests that drug-host interactions in these susceptible individuals may play an important role in DILI</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Recent data shows that this interaction can result in an imbalance between damage and repair mechanisms resulting in DILI with immune dysfunction being cited as an important precipitating event in the pathophysiology of DILI</w:t>
      </w:r>
      <w:r>
        <w:rPr>
          <w:rFonts w:ascii="Book Antiqua" w:hAnsi="Book Antiqua" w:eastAsia="Book Antiqua" w:cs="Book Antiqua"/>
          <w:color w:val="000000"/>
          <w:szCs w:val="30"/>
          <w:vertAlign w:val="superscript"/>
        </w:rPr>
        <w:t>[10-12]</w:t>
      </w:r>
      <w:r>
        <w:rPr>
          <w:rFonts w:ascii="Book Antiqua" w:hAnsi="Book Antiqua" w:eastAsia="Book Antiqua" w:cs="Book Antiqua"/>
          <w:color w:val="000000"/>
        </w:rPr>
        <w:t>. This is supported by evidence from experimental studies. Some drugs that are hepatotoxic in humans do not cause liver damage in animal models, but the administration of these drugs along with low doses of lipopolysaccharide (LPS) result in a similar pattern of liver injury as observed in humans. For example, Trovafloxacin (TVX) is a broad-spectrum fluoroquinolone antibiotic, and a study reported that TVX use caused 140 severe hepatic reactions resulting in 14 cases of liver failure. Examination of the case reports suggest that the duration of TVX therapy in patients does not correlate with the toxic response, so TVX hepatotoxicity is classified as idiosyncratic. In rodent models, TVX did not cause liver damage, even at high doses. However, further studies with a normally nontoxic dose of TVX coupled with LPS induced inflammatory stress caused acute liver injury</w:t>
      </w:r>
      <w:r>
        <w:rPr>
          <w:rFonts w:ascii="Book Antiqua" w:hAnsi="Book Antiqua" w:eastAsia="Book Antiqua" w:cs="Book Antiqua"/>
          <w:color w:val="000000"/>
          <w:szCs w:val="30"/>
          <w:vertAlign w:val="superscript"/>
        </w:rPr>
        <w:t>[13,14]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upcoming sections provide a structured framework presenting DILI in three progressive stages, summarizing the interplay between drugs and the host defence networks that lead to immune system dysfunction.</w:t>
      </w:r>
    </w:p>
    <w:p>
      <w:pPr>
        <w:spacing w:line="360" w:lineRule="auto"/>
        <w:jc w:val="both"/>
        <w:rPr>
          <w:rFonts w:ascii="Book Antiqua" w:hAnsi="Book Antiqua" w:cs="Book Antiqua"/>
          <w:b/>
          <w:bCs/>
          <w:color w:val="000000"/>
          <w:szCs w:val="28"/>
          <w:lang w:eastAsia="zh-CN"/>
        </w:rPr>
      </w:pPr>
    </w:p>
    <w:p>
      <w:pPr>
        <w:spacing w:line="360" w:lineRule="auto"/>
        <w:jc w:val="both"/>
        <w:rPr>
          <w:caps/>
          <w:u w:val="single"/>
        </w:rPr>
      </w:pPr>
      <w:bookmarkStart w:id="15" w:name="OLE_LINK421"/>
      <w:bookmarkStart w:id="16" w:name="OLE_LINK420"/>
      <w:r>
        <w:rPr>
          <w:rFonts w:ascii="Book Antiqua" w:hAnsi="Book Antiqua" w:eastAsia="Book Antiqua" w:cs="Book Antiqua"/>
          <w:b/>
          <w:bCs/>
          <w:caps/>
          <w:color w:val="000000"/>
          <w:szCs w:val="28"/>
          <w:u w:val="single"/>
        </w:rPr>
        <w:t>Stages of DILI</w:t>
      </w:r>
    </w:p>
    <w:bookmarkEnd w:id="15"/>
    <w:bookmarkEnd w:id="16"/>
    <w:p>
      <w:pPr>
        <w:spacing w:line="360" w:lineRule="auto"/>
        <w:jc w:val="both"/>
        <w:rPr>
          <w:i/>
        </w:rPr>
      </w:pPr>
      <w:r>
        <w:rPr>
          <w:rFonts w:ascii="Book Antiqua" w:hAnsi="Book Antiqua" w:eastAsia="Book Antiqua" w:cs="Book Antiqua"/>
          <w:b/>
          <w:bCs/>
          <w:i/>
          <w:color w:val="000000"/>
        </w:rPr>
        <w:t>Initiation of DILI</w:t>
      </w:r>
    </w:p>
    <w:p>
      <w:pPr>
        <w:spacing w:line="360" w:lineRule="auto"/>
        <w:jc w:val="both"/>
        <w:rPr>
          <w:lang w:eastAsia="zh-CN"/>
        </w:rPr>
      </w:pPr>
      <w:r>
        <w:rPr>
          <w:rFonts w:ascii="Book Antiqua" w:hAnsi="Book Antiqua" w:eastAsia="Book Antiqua" w:cs="Book Antiqua"/>
          <w:b/>
          <w:color w:val="000000"/>
        </w:rPr>
        <w:t>Direct initiation</w:t>
      </w:r>
      <w:r>
        <w:rPr>
          <w:rFonts w:hint="eastAsia" w:ascii="Book Antiqua" w:hAnsi="Book Antiqua" w:cs="Book Antiqua"/>
          <w:b/>
          <w:color w:val="000000"/>
          <w:lang w:eastAsia="zh-CN"/>
        </w:rPr>
        <w:t>:</w:t>
      </w:r>
      <w:r>
        <w:rPr>
          <w:rFonts w:hint="eastAsia" w:ascii="Book Antiqua" w:hAnsi="Book Antiqua" w:eastAsia="Book Antiqua" w:cs="Book Antiqua"/>
          <w:color w:val="000000"/>
        </w:rPr>
        <w:t xml:space="preserve"> </w:t>
      </w:r>
      <w:r>
        <w:rPr>
          <w:rFonts w:ascii="Book Antiqua" w:hAnsi="Book Antiqua" w:eastAsia="Book Antiqua" w:cs="Book Antiqua"/>
          <w:color w:val="000000"/>
        </w:rPr>
        <w:t>The metabolism of drugs by phase 1 enzymes results in the production of intermediary metabolites and free radicals, in some instances. These intermediary metabolites may also be unstable and reactive, but they are subsequently neutralized by phase 2 conjugation. DILI is initiated when there is an imbalance between the production of reactive metabolites and their subsequent detoxification</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xml:space="preserve"> (Figure 1)</w:t>
      </w:r>
      <w:r>
        <w:rPr>
          <w:rFonts w:hint="eastAsia" w:ascii="Book Antiqua" w:hAnsi="Book Antiqua" w:cs="Book Antiqua"/>
          <w:color w:val="000000"/>
          <w:lang w:eastAsia="zh-CN"/>
        </w:rPr>
        <w:t>.</w:t>
      </w:r>
    </w:p>
    <w:p>
      <w:pPr>
        <w:spacing w:line="360" w:lineRule="auto"/>
        <w:ind w:firstLine="480" w:firstLineChars="200"/>
        <w:jc w:val="both"/>
        <w:rPr>
          <w:lang w:eastAsia="zh-CN"/>
        </w:rPr>
      </w:pPr>
      <w:r>
        <w:rPr>
          <w:rFonts w:ascii="Book Antiqua" w:hAnsi="Book Antiqua" w:eastAsia="Book Antiqua" w:cs="Book Antiqua"/>
          <w:color w:val="000000"/>
        </w:rPr>
        <w:t>Certain drugs and reactive metabolites can bind to cellular organelles resulting in loss of function and likely cell death.</w:t>
      </w:r>
      <w:r>
        <w:rPr>
          <w:rFonts w:hint="eastAsia" w:ascii="Book Antiqua" w:hAnsi="Book Antiqua" w:cs="Book Antiqua"/>
          <w:color w:val="000000"/>
          <w:lang w:eastAsia="zh-CN"/>
        </w:rPr>
        <w:t xml:space="preserve"> </w:t>
      </w:r>
      <w:r>
        <w:rPr>
          <w:rFonts w:ascii="Book Antiqua" w:hAnsi="Book Antiqua" w:eastAsia="Book Antiqua" w:cs="Book Antiqua"/>
          <w:color w:val="000000"/>
        </w:rPr>
        <w:t>One such case is the damage caused by drugs acting on the endoplasmic reticulum (ER). The ER plays an important role in protein synthesis, folding, assembly, trafficking, and regulation of intracellular calcium homeostasis. Drug related oxidative stress can disturb ER function and lead to the accumulation of unfolded proteins in the ER. This process is termed ER stress. A variety of common drugs cause ER stress, including paracetamol, lopinavir, ritonavir, saquinavir, nelfinavir, atazanavir, and amprenavir</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During drug metabolism, free radicals are released that are normally detoxified by cell defence mechanisms. Excessive free radical generation can be caused by enzyme induction or genetic defects in enzyme systems. Free radicals damage the cellular organelles and the lipid bilayer, which results in amplification of damage. Lipid bilayer damage can lead to the release of cytosolic components and alarmins that attract the liver’s resident immune cells. This initial immune response can amplify the sterile damage. Some of the alarmins associated with DILI are high mobility group box 1, S100 proteins, hepatoma-derived growth factor and heat shock proteins</w:t>
      </w:r>
      <w:r>
        <w:rPr>
          <w:rFonts w:ascii="Book Antiqua" w:hAnsi="Book Antiqua" w:eastAsia="Book Antiqua" w:cs="Book Antiqua"/>
          <w:color w:val="000000"/>
          <w:szCs w:val="30"/>
          <w:vertAlign w:val="superscript"/>
        </w:rPr>
        <w:t>[16-20]</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Free radicals can also damage the mitochondrial membrane leading to cell dysfunction and death. Mitochondrial dysfunction includes disruption or disturbance to different metabolic pathways and damage to mitochondrial components. In addition, these mitochondrial alterations can have several deleterious consequences, such as oxidative stress, ATP depletion, triglycerides accumulation, and necrotic cell death</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w:t>
      </w:r>
    </w:p>
    <w:p>
      <w:pPr>
        <w:spacing w:line="360" w:lineRule="auto"/>
        <w:ind w:firstLine="480" w:firstLineChars="200"/>
        <w:jc w:val="both"/>
        <w:rPr>
          <w:lang w:eastAsia="zh-CN"/>
        </w:rPr>
      </w:pPr>
    </w:p>
    <w:p>
      <w:pPr>
        <w:spacing w:line="360" w:lineRule="auto"/>
        <w:jc w:val="both"/>
        <w:rPr>
          <w:lang w:eastAsia="zh-CN"/>
        </w:rPr>
      </w:pPr>
      <w:r>
        <w:rPr>
          <w:rFonts w:ascii="Book Antiqua" w:hAnsi="Book Antiqua" w:eastAsia="Book Antiqua" w:cs="Book Antiqua"/>
          <w:b/>
          <w:color w:val="000000"/>
        </w:rPr>
        <w:t>Indirect initiation of DILI</w:t>
      </w:r>
      <w:r>
        <w:rPr>
          <w:rFonts w:hint="eastAsia" w:ascii="Book Antiqua" w:hAnsi="Book Antiqua" w:cs="Book Antiqua"/>
          <w:color w:val="000000"/>
          <w:lang w:eastAsia="zh-CN"/>
        </w:rPr>
        <w:t>:</w:t>
      </w:r>
      <w:r>
        <w:rPr>
          <w:rFonts w:hint="eastAsia" w:ascii="Book Antiqua" w:hAnsi="Book Antiqua" w:eastAsia="Book Antiqua" w:cs="Book Antiqua"/>
          <w:color w:val="000000"/>
        </w:rPr>
        <w:t xml:space="preserve"> </w:t>
      </w:r>
      <w:r>
        <w:rPr>
          <w:rFonts w:ascii="Book Antiqua" w:hAnsi="Book Antiqua" w:eastAsia="Book Antiqua" w:cs="Book Antiqua"/>
          <w:color w:val="000000"/>
        </w:rPr>
        <w:t>There are two main mechanisms of indirect initiation of DILI.  Inhibition of efflux transporters.</w:t>
      </w:r>
      <w:r>
        <w:rPr>
          <w:rFonts w:hint="eastAsia" w:ascii="Book Antiqua" w:hAnsi="Book Antiqua" w:eastAsia="Book Antiqua" w:cs="Book Antiqua"/>
          <w:color w:val="000000"/>
        </w:rPr>
        <w:t xml:space="preserve"> </w:t>
      </w:r>
      <w:r>
        <w:rPr>
          <w:rFonts w:ascii="Book Antiqua" w:hAnsi="Book Antiqua" w:eastAsia="Book Antiqua" w:cs="Book Antiqua"/>
          <w:color w:val="000000"/>
        </w:rPr>
        <w:t>Bile salt export pump (BSEP) is a member of the ABC transporter superfamily located in the canalicular membrane of hepatocytes. BSEP is responsible for the biliary excretion of bile acids. Drug metabolites inhibit BSEP function, resulting in toxicity. One such metabolite, Troglitazone sulphate, a metabolite of troglitazone, inhibits BSEP mediated taurocholate transport which contributes to troglitazone toxicity. Other potent BSEP inhibitors with the potential to cause DILI include cyclosporin A, bosentan, sulindac, rifamycin, and glibenclamide</w:t>
      </w:r>
      <w:r>
        <w:rPr>
          <w:rFonts w:ascii="Book Antiqua" w:hAnsi="Book Antiqua" w:eastAsia="Book Antiqua" w:cs="Book Antiqua"/>
          <w:color w:val="000000"/>
          <w:szCs w:val="30"/>
          <w:vertAlign w:val="superscript"/>
        </w:rPr>
        <w:t>[2,22]</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color w:val="000000"/>
        </w:rPr>
        <w:t>Enzyme induction:</w:t>
      </w:r>
      <w:r>
        <w:rPr>
          <w:rFonts w:hint="eastAsia"/>
          <w:lang w:eastAsia="zh-CN"/>
        </w:rPr>
        <w:t xml:space="preserve"> </w:t>
      </w:r>
      <w:r>
        <w:rPr>
          <w:rFonts w:ascii="Book Antiqua" w:hAnsi="Book Antiqua" w:eastAsia="Book Antiqua" w:cs="Book Antiqua"/>
          <w:color w:val="000000"/>
        </w:rPr>
        <w:t>Paracetamol is known to cause liver injury through enzyme induction due to CYP2E1 induction by ethanol. A minor percentage of ethanol is metabolised by CYP2E1. When ethanol and paracetamol are taken simultaneously, ethanol slows the degradation of the CYP enzyme increasing its half-life from 7 h to 37 h. Until ethanol is present in the body more CYP2E1 is induced and a portion is blocked from paracetamol for ethanol metabolism.</w:t>
      </w:r>
      <w:r>
        <w:rPr>
          <w:rFonts w:hint="eastAsia" w:ascii="Book Antiqua" w:hAnsi="Book Antiqua" w:cs="Book Antiqua"/>
          <w:color w:val="000000"/>
          <w:lang w:eastAsia="zh-CN"/>
        </w:rPr>
        <w:t xml:space="preserve"> </w:t>
      </w:r>
      <w:r>
        <w:rPr>
          <w:rFonts w:ascii="Book Antiqua" w:hAnsi="Book Antiqua" w:eastAsia="Book Antiqua" w:cs="Book Antiqua"/>
          <w:color w:val="000000"/>
        </w:rPr>
        <w:t>Once ethanol is completely removed, CYP2E1 enhances paracetamol metabolism resulting in the excess production of toxic intermediary metabolite, NAPQI, causing liver injury</w:t>
      </w:r>
      <w:r>
        <w:rPr>
          <w:rFonts w:ascii="Book Antiqua" w:hAnsi="Book Antiqua" w:eastAsia="Book Antiqua" w:cs="Book Antiqua"/>
          <w:color w:val="000000"/>
          <w:szCs w:val="30"/>
          <w:vertAlign w:val="superscript"/>
        </w:rPr>
        <w:t>[2,23]</w:t>
      </w:r>
      <w:r>
        <w:rPr>
          <w:rFonts w:ascii="Book Antiqua" w:hAnsi="Book Antiqua" w:eastAsia="Book Antiqua" w:cs="Book Antiqua"/>
          <w:color w:val="000000"/>
        </w:rPr>
        <w:t xml:space="preserve"> (Figure 2)</w:t>
      </w:r>
      <w:r>
        <w:rPr>
          <w:rFonts w:hint="eastAsia" w:ascii="Book Antiqua" w:hAnsi="Book Antiqua" w:cs="Book Antiqua"/>
          <w:color w:val="000000"/>
          <w:lang w:eastAsia="zh-CN"/>
        </w:rPr>
        <w:t>.</w:t>
      </w:r>
    </w:p>
    <w:p>
      <w:pPr>
        <w:spacing w:line="360" w:lineRule="auto"/>
        <w:jc w:val="both"/>
        <w:rPr>
          <w:lang w:eastAsia="zh-CN"/>
        </w:rPr>
      </w:pPr>
    </w:p>
    <w:p>
      <w:pPr>
        <w:spacing w:line="360" w:lineRule="auto"/>
        <w:jc w:val="both"/>
        <w:rPr>
          <w:caps/>
          <w:u w:val="single"/>
          <w:lang w:eastAsia="zh-CN"/>
        </w:rPr>
      </w:pPr>
      <w:bookmarkStart w:id="17" w:name="OLE_LINK423"/>
      <w:bookmarkStart w:id="18" w:name="OLE_LINK422"/>
      <w:r>
        <w:rPr>
          <w:rFonts w:ascii="Book Antiqua" w:hAnsi="Book Antiqua" w:eastAsia="Book Antiqua" w:cs="Book Antiqua"/>
          <w:b/>
          <w:bCs/>
          <w:caps/>
          <w:color w:val="000000"/>
          <w:u w:val="single"/>
        </w:rPr>
        <w:t>Progression</w:t>
      </w:r>
    </w:p>
    <w:bookmarkEnd w:id="17"/>
    <w:bookmarkEnd w:id="18"/>
    <w:p>
      <w:pPr>
        <w:spacing w:line="360" w:lineRule="auto"/>
        <w:jc w:val="both"/>
        <w:rPr>
          <w:lang w:eastAsia="zh-CN"/>
        </w:rPr>
      </w:pPr>
      <w:r>
        <w:rPr>
          <w:rFonts w:ascii="Book Antiqua" w:hAnsi="Book Antiqua" w:eastAsia="Book Antiqua" w:cs="Book Antiqua"/>
          <w:color w:val="000000"/>
        </w:rPr>
        <w:t>The initiation of DILI does not necessarily result in adverse outcomes. In experimental models, the progression of DILI mainly depends on the persistent and recurrent assault by the toxins that deplete the liver’s resources leading to irreversible damage. This is unlikely at the therapeutic dose of most drugs, as the liver has highly developed protective and regenerative mechanisms. Experimental and clinical data suggest that a myriad of host and drug-related factors contribute to the progressive dysfunction of survival mechanisms that lead to DILI. This is further complicated by the fact that each drug can cause multiple patterns of liver disease, implying an important role for host-drug interactions in the progression of DILI. Immune dysfunction is a major determinant of hepatic cell death and DILI progression</w:t>
      </w:r>
      <w:r>
        <w:rPr>
          <w:rFonts w:ascii="Book Antiqua" w:hAnsi="Book Antiqua" w:eastAsia="Book Antiqua" w:cs="Book Antiqua"/>
          <w:color w:val="000000"/>
          <w:szCs w:val="30"/>
          <w:vertAlign w:val="superscript"/>
        </w:rPr>
        <w:t>[2,4,6,24-26]</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This section covers the two main mechanisms of immune reactions induced by drugs and the influence of host factors on them.</w:t>
      </w:r>
    </w:p>
    <w:p>
      <w:pPr>
        <w:spacing w:line="360" w:lineRule="auto"/>
        <w:ind w:firstLine="480" w:firstLineChars="200"/>
        <w:jc w:val="both"/>
        <w:rPr>
          <w:lang w:eastAsia="zh-CN"/>
        </w:rPr>
      </w:pPr>
    </w:p>
    <w:p>
      <w:pPr>
        <w:spacing w:line="360" w:lineRule="auto"/>
        <w:jc w:val="both"/>
        <w:rPr>
          <w:b/>
          <w:i/>
        </w:rPr>
      </w:pPr>
      <w:r>
        <w:rPr>
          <w:rFonts w:ascii="Book Antiqua" w:hAnsi="Book Antiqua" w:eastAsia="Book Antiqua" w:cs="Book Antiqua"/>
          <w:b/>
          <w:i/>
          <w:color w:val="000000"/>
        </w:rPr>
        <w:t>Immune allergic DILI</w:t>
      </w:r>
    </w:p>
    <w:p>
      <w:pPr>
        <w:spacing w:line="360" w:lineRule="auto"/>
        <w:jc w:val="both"/>
        <w:rPr>
          <w:lang w:eastAsia="zh-CN"/>
        </w:rPr>
      </w:pPr>
      <w:r>
        <w:rPr>
          <w:rFonts w:ascii="Book Antiqua" w:hAnsi="Book Antiqua" w:eastAsia="Book Antiqua" w:cs="Book Antiqua"/>
          <w:color w:val="000000"/>
        </w:rPr>
        <w:t>A drug or its metabolites alone cannot activate an immune response due to their small size, but a drug’s reactive metabolites or the drug itself can bind to cellular proteins and form protein-drug adducts that elicit an immune response. In normal individuals, this complex is degraded by cellular detoxification but in susceptible individuals, these adducts act as immunogens and are taken up by antigen-presenting cells and presented by major histocompatibility complexes to helper T cells, and further activation by cytokines stimulates an immune response and anti-drug antibodies are also produced, resulting in extensive death of cells where the drug has accumulated</w:t>
      </w:r>
      <w:r>
        <w:rPr>
          <w:rFonts w:ascii="Book Antiqua" w:hAnsi="Book Antiqua" w:eastAsia="Book Antiqua" w:cs="Book Antiqua"/>
          <w:color w:val="000000"/>
          <w:szCs w:val="30"/>
          <w:vertAlign w:val="superscript"/>
        </w:rPr>
        <w:t>[6,27-29]</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3)</w:t>
      </w:r>
      <w:r>
        <w:rPr>
          <w:rFonts w:hint="eastAsia" w:ascii="Book Antiqua" w:hAnsi="Book Antiqua" w:cs="Book Antiqua"/>
          <w:color w:val="000000"/>
          <w:lang w:eastAsia="zh-CN"/>
        </w:rPr>
        <w:t>.</w:t>
      </w:r>
    </w:p>
    <w:p>
      <w:pPr>
        <w:spacing w:line="360" w:lineRule="auto"/>
        <w:ind w:firstLine="480" w:firstLineChars="200"/>
        <w:jc w:val="both"/>
        <w:rPr>
          <w:lang w:eastAsia="zh-CN"/>
        </w:rPr>
      </w:pPr>
      <w:r>
        <w:rPr>
          <w:rFonts w:ascii="Book Antiqua" w:hAnsi="Book Antiqua" w:eastAsia="Book Antiqua" w:cs="Book Antiqua"/>
          <w:color w:val="000000"/>
        </w:rPr>
        <w:t>It is hypothesized that ER stress is a contributing factor for this type of reaction. Accumulation of drug/metabolite causes ER stress, which results in misfolding of proteins. These misfolded proteins are more susceptible to drug-protein adduct formations that elicit an immune response</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An example of this type of reaction is abacavir, a reverse transcriptase inhibitor employed in the treatment of AIDS, which causes a rare, but serious hypersensitivity reaction that resembles an immune allergic drug reaction.</w:t>
      </w:r>
      <w:r>
        <w:rPr>
          <w:rFonts w:ascii="Book Antiqua" w:hAnsi="Book Antiqua" w:eastAsia="Book Antiqua" w:cs="Book Antiqua"/>
          <w:color w:val="000000"/>
          <w:szCs w:val="30"/>
          <w:vertAlign w:val="superscript"/>
        </w:rPr>
        <w:t> </w:t>
      </w:r>
      <w:r>
        <w:rPr>
          <w:rFonts w:ascii="Book Antiqua" w:hAnsi="Book Antiqua" w:eastAsia="Book Antiqua" w:cs="Book Antiqua"/>
          <w:color w:val="000000"/>
        </w:rPr>
        <w:t>Several genetic variants in the HLA regions are identified as risk factors for DILI, the incidence of hypersensitivity reactions to abacavir is markedly elevated in subjects who carry the B*57:01 variant in the human leukocyte antigen B (</w:t>
      </w:r>
      <w:r>
        <w:rPr>
          <w:rFonts w:ascii="Book Antiqua" w:hAnsi="Book Antiqua" w:eastAsia="Book Antiqua" w:cs="Book Antiqua"/>
          <w:i/>
          <w:color w:val="000000"/>
        </w:rPr>
        <w:t>HLA-B</w:t>
      </w:r>
      <w:r>
        <w:rPr>
          <w:rFonts w:ascii="Book Antiqua" w:hAnsi="Book Antiqua" w:eastAsia="Book Antiqua" w:cs="Book Antiqua"/>
          <w:color w:val="000000"/>
        </w:rPr>
        <w:t>) gene. Furthermore, carriers of this genotype are at increased risk of flucloxacillin-induced DILI.</w:t>
      </w:r>
      <w:r>
        <w:rPr>
          <w:rFonts w:hint="eastAsia" w:ascii="Book Antiqua" w:hAnsi="Book Antiqua" w:cs="Book Antiqua"/>
          <w:color w:val="000000"/>
          <w:lang w:eastAsia="zh-CN"/>
        </w:rPr>
        <w:t xml:space="preserve"> </w:t>
      </w:r>
      <w:r>
        <w:rPr>
          <w:rFonts w:ascii="Book Antiqua" w:hAnsi="Book Antiqua" w:eastAsia="Book Antiqua" w:cs="Book Antiqua"/>
          <w:color w:val="000000"/>
        </w:rPr>
        <w:t>Studies have shown an association between HLA-B1*15:01 and amoxicillin/clavulanate DILI. The HLA-B*35:02 allele is reported to have a significant association with minocycline DILI</w:t>
      </w:r>
      <w:r>
        <w:rPr>
          <w:rFonts w:ascii="Book Antiqua" w:hAnsi="Book Antiqua" w:eastAsia="Book Antiqua" w:cs="Book Antiqua"/>
          <w:color w:val="000000"/>
          <w:szCs w:val="30"/>
          <w:vertAlign w:val="superscript"/>
        </w:rPr>
        <w:t>[10,25,30,31]</w:t>
      </w:r>
      <w:r>
        <w:rPr>
          <w:rFonts w:ascii="Book Antiqua" w:hAnsi="Book Antiqua" w:eastAsia="Book Antiqua" w:cs="Book Antiqua"/>
          <w:color w:val="000000"/>
        </w:rPr>
        <w:t>. DILI caused by other drugs such as amoxicillin-clavulanate, lumiracoxib, ticlopidine, lapatinib, and ximelagatran is also associated with HLA genotypes, suggesting an important role of the immune system in DILI</w:t>
      </w:r>
      <w:r>
        <w:rPr>
          <w:rFonts w:ascii="Book Antiqua" w:hAnsi="Book Antiqua" w:eastAsia="Book Antiqua" w:cs="Book Antiqua"/>
          <w:color w:val="000000"/>
          <w:szCs w:val="30"/>
          <w:vertAlign w:val="superscript"/>
        </w:rPr>
        <w:t>[25,31]</w:t>
      </w:r>
      <w:r>
        <w:rPr>
          <w:rFonts w:ascii="Book Antiqua" w:hAnsi="Book Antiqua" w:eastAsia="Book Antiqua" w:cs="Book Antiqua"/>
          <w:color w:val="000000"/>
        </w:rPr>
        <w:t>.</w:t>
      </w:r>
    </w:p>
    <w:p>
      <w:pPr>
        <w:spacing w:line="360" w:lineRule="auto"/>
        <w:ind w:firstLine="480" w:firstLineChars="200"/>
        <w:jc w:val="both"/>
        <w:rPr>
          <w:lang w:eastAsia="zh-CN"/>
        </w:rPr>
      </w:pPr>
    </w:p>
    <w:p>
      <w:pPr>
        <w:spacing w:line="360" w:lineRule="auto"/>
        <w:jc w:val="both"/>
        <w:rPr>
          <w:b/>
          <w:i/>
        </w:rPr>
      </w:pPr>
      <w:r>
        <w:rPr>
          <w:rFonts w:ascii="Book Antiqua" w:hAnsi="Book Antiqua" w:eastAsia="Book Antiqua" w:cs="Book Antiqua"/>
          <w:b/>
          <w:i/>
          <w:color w:val="000000"/>
        </w:rPr>
        <w:t>Autoimmune DILI</w:t>
      </w:r>
    </w:p>
    <w:p>
      <w:pPr>
        <w:spacing w:line="360" w:lineRule="auto"/>
        <w:jc w:val="both"/>
        <w:rPr>
          <w:lang w:eastAsia="zh-CN"/>
        </w:rPr>
      </w:pPr>
      <w:r>
        <w:rPr>
          <w:rFonts w:ascii="Book Antiqua" w:hAnsi="Book Antiqua" w:eastAsia="Book Antiqua" w:cs="Book Antiqua"/>
          <w:color w:val="000000"/>
        </w:rPr>
        <w:t>Autoimmune DILI is caused by the release of alarmins from necrotic cells or cells with leaky cell membranes. This results in the activation of innate immune cells. Alarmins are rapidly released following necrotic cell death that are not released by apoptotic cells. The immune system also can be induced to produce and release alarmins to recruit and activate innate immune cells</w:t>
      </w:r>
      <w:r>
        <w:rPr>
          <w:rFonts w:ascii="Book Antiqua" w:hAnsi="Book Antiqua" w:eastAsia="Book Antiqua" w:cs="Book Antiqua"/>
          <w:color w:val="000000"/>
          <w:szCs w:val="30"/>
          <w:vertAlign w:val="superscript"/>
        </w:rPr>
        <w:t>[19,32]</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4)</w:t>
      </w:r>
      <w:r>
        <w:rPr>
          <w:rFonts w:hint="eastAsia" w:ascii="Book Antiqua" w:hAnsi="Book Antiqua" w:cs="Book Antiqua"/>
          <w:color w:val="000000"/>
          <w:lang w:eastAsia="zh-CN"/>
        </w:rPr>
        <w:t>.</w:t>
      </w:r>
    </w:p>
    <w:p>
      <w:pPr>
        <w:spacing w:line="360" w:lineRule="auto"/>
        <w:ind w:firstLine="480" w:firstLineChars="200"/>
        <w:jc w:val="both"/>
      </w:pPr>
      <w:r>
        <w:rPr>
          <w:rFonts w:ascii="Book Antiqua" w:hAnsi="Book Antiqua" w:eastAsia="Book Antiqua" w:cs="Book Antiqua"/>
          <w:color w:val="000000"/>
        </w:rPr>
        <w:t>Mitochondrial dysfunction is reported to play a critical role in the pathogenesis of autoimmune DILI. NSAIDs, such as diclofenac and nimesulide, and other drugs can cause mitochondrial dysfunction that leads to the formation of the mitochondrial permeability transition pore (MPTP). MPTP formation is induced by increased oxidative stress that results in a dissipation of membrane potential, uncoupling of oxidative phosphorylation leading to necrotic cell death and the release of alarmins</w:t>
      </w:r>
      <w:r>
        <w:rPr>
          <w:rFonts w:ascii="Book Antiqua" w:hAnsi="Book Antiqua" w:eastAsia="Book Antiqua" w:cs="Book Antiqua"/>
          <w:color w:val="000000"/>
          <w:szCs w:val="30"/>
          <w:vertAlign w:val="superscript"/>
        </w:rPr>
        <w:t>[18,21,33]</w:t>
      </w:r>
      <w:r>
        <w:rPr>
          <w:rFonts w:ascii="Book Antiqua" w:hAnsi="Book Antiqua" w:eastAsia="Book Antiqua" w:cs="Book Antiqua"/>
          <w:color w:val="000000"/>
        </w:rPr>
        <w:t>.</w:t>
      </w:r>
    </w:p>
    <w:p>
      <w:pPr>
        <w:spacing w:line="360" w:lineRule="auto"/>
        <w:ind w:firstLine="480" w:firstLineChars="200"/>
        <w:jc w:val="both"/>
        <w:rPr>
          <w:lang w:eastAsia="zh-CN"/>
        </w:rPr>
      </w:pPr>
      <w:r>
        <w:rPr>
          <w:rFonts w:ascii="Book Antiqua" w:hAnsi="Book Antiqua" w:eastAsia="Book Antiqua" w:cs="Book Antiqua"/>
          <w:color w:val="000000"/>
        </w:rPr>
        <w:t xml:space="preserve">HMGB-1 is an alarmin released by necrotic cells that binds to TLR4 receptors of kupffer cells (KCs) and hepatic stellate cells (HSC), and activates them. Activated KCs produce mediators that directly induce cell death, such as </w:t>
      </w:r>
      <w:bookmarkStart w:id="19" w:name="OLE_LINK351"/>
      <w:bookmarkStart w:id="20" w:name="OLE_LINK350"/>
      <w:r>
        <w:rPr>
          <w:rFonts w:ascii="Book Antiqua" w:hAnsi="Book Antiqua" w:eastAsia="Book Antiqua" w:cs="Book Antiqua"/>
          <w:color w:val="000000"/>
        </w:rPr>
        <w:t xml:space="preserve">tumor necrosis factor </w:t>
      </w:r>
      <w:r>
        <w:rPr>
          <w:rFonts w:hint="eastAsia" w:ascii="Book Antiqua" w:hAnsi="Book Antiqua" w:cs="Book Antiqua"/>
          <w:color w:val="000000"/>
          <w:lang w:eastAsia="zh-CN"/>
        </w:rPr>
        <w:t>(</w:t>
      </w:r>
      <w:r>
        <w:rPr>
          <w:rFonts w:ascii="Book Antiqua" w:hAnsi="Book Antiqua" w:eastAsia="Book Antiqua" w:cs="Book Antiqua"/>
          <w:color w:val="000000"/>
        </w:rPr>
        <w:t>TNF</w:t>
      </w:r>
      <w:r>
        <w:rPr>
          <w:rFonts w:hint="eastAsia" w:ascii="Book Antiqua" w:hAnsi="Book Antiqua" w:cs="Book Antiqua"/>
          <w:color w:val="000000"/>
          <w:lang w:eastAsia="zh-CN"/>
        </w:rPr>
        <w:t>)</w:t>
      </w:r>
      <w:r>
        <w:rPr>
          <w:rFonts w:ascii="Book Antiqua" w:hAnsi="Book Antiqua" w:eastAsia="Book Antiqua" w:cs="Book Antiqua"/>
          <w:color w:val="000000"/>
        </w:rPr>
        <w:t>-α</w:t>
      </w:r>
      <w:bookmarkEnd w:id="19"/>
      <w:bookmarkEnd w:id="20"/>
      <w:r>
        <w:rPr>
          <w:rFonts w:ascii="Book Antiqua" w:hAnsi="Book Antiqua" w:eastAsia="Book Antiqua" w:cs="Book Antiqua"/>
          <w:color w:val="000000"/>
        </w:rPr>
        <w:t>, Fas ligand and reactive oxygen species, or indirectly cause death through the recruitment of neutrophils by cytokines and chemokines like IL-1β and CXCL2. Production of chemokine, CCL2 (MCP-1) recruits monocytes from the bone marrow to the liver. These infiltrating monocytes produce inflammatory chemokines resulting in the activation of HSCs and the promotion of fibrosis</w:t>
      </w:r>
      <w:r>
        <w:rPr>
          <w:rFonts w:ascii="Book Antiqua" w:hAnsi="Book Antiqua" w:eastAsia="Book Antiqua" w:cs="Book Antiqua"/>
          <w:color w:val="000000"/>
          <w:szCs w:val="30"/>
          <w:vertAlign w:val="superscript"/>
        </w:rPr>
        <w:t>[18,34]</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Host sex and sex hormones influence immune response. Studies have shown that female patients with DILI are at higher risk of developing acute liver failure </w:t>
      </w:r>
      <w:r>
        <w:rPr>
          <w:rFonts w:hint="eastAsia" w:ascii="Book Antiqua" w:hAnsi="Book Antiqua" w:cs="Book Antiqua"/>
          <w:color w:val="000000"/>
          <w:lang w:eastAsia="zh-CN"/>
        </w:rPr>
        <w:t xml:space="preserve">(ALF) </w:t>
      </w:r>
      <w:r>
        <w:rPr>
          <w:rFonts w:ascii="Book Antiqua" w:hAnsi="Book Antiqua" w:eastAsia="Book Antiqua" w:cs="Book Antiqua"/>
          <w:color w:val="000000"/>
        </w:rPr>
        <w:t xml:space="preserve">with more severe hepatitis and higher levels of pro-inflammatory cytokines. In a halothane-induced experimental DILI model, oestrogen reduced liver injury while progesterone increased liver damage, both hormones influenced immune response. Another important factor affecting DILI is race. A study reported that African-Americans are at a higher risk of developing chronic DILI, while Asian individuals are at increased risk of </w:t>
      </w:r>
      <w:r>
        <w:rPr>
          <w:rFonts w:hint="eastAsia" w:ascii="Book Antiqua" w:hAnsi="Book Antiqua" w:cs="Book Antiqua"/>
          <w:color w:val="000000"/>
          <w:lang w:eastAsia="zh-CN"/>
        </w:rPr>
        <w:t>ALF</w:t>
      </w:r>
      <w:r>
        <w:rPr>
          <w:rFonts w:ascii="Book Antiqua" w:hAnsi="Book Antiqua" w:eastAsia="Book Antiqua" w:cs="Book Antiqua"/>
          <w:color w:val="000000"/>
        </w:rPr>
        <w:t>, liver-related death, or damage that precipitates a need for liver transplantation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4,7,10,24,35]</w:t>
      </w:r>
      <w:r>
        <w:rPr>
          <w:rFonts w:ascii="Book Antiqua" w:hAnsi="Book Antiqua" w:eastAsia="Book Antiqua" w:cs="Book Antiqua"/>
          <w:color w:val="000000"/>
        </w:rPr>
        <w:t>.</w:t>
      </w:r>
    </w:p>
    <w:p>
      <w:pPr>
        <w:spacing w:line="360" w:lineRule="auto"/>
        <w:ind w:firstLine="480" w:firstLineChars="200"/>
        <w:jc w:val="both"/>
        <w:rPr>
          <w:lang w:eastAsia="zh-CN"/>
        </w:rPr>
      </w:pPr>
    </w:p>
    <w:p>
      <w:pPr>
        <w:spacing w:line="360" w:lineRule="auto"/>
        <w:jc w:val="both"/>
        <w:rPr>
          <w:caps/>
          <w:u w:val="single"/>
        </w:rPr>
      </w:pPr>
      <w:bookmarkStart w:id="21" w:name="OLE_LINK425"/>
      <w:bookmarkStart w:id="22" w:name="OLE_LINK424"/>
      <w:r>
        <w:rPr>
          <w:rFonts w:ascii="Book Antiqua" w:hAnsi="Book Antiqua" w:eastAsia="Book Antiqua" w:cs="Book Antiqua"/>
          <w:b/>
          <w:bCs/>
          <w:caps/>
          <w:color w:val="000000"/>
          <w:u w:val="single"/>
        </w:rPr>
        <w:t>Adverse outcomes</w:t>
      </w:r>
    </w:p>
    <w:bookmarkEnd w:id="21"/>
    <w:bookmarkEnd w:id="22"/>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In normal individuals, DILI resolves completely without</w:t>
      </w:r>
      <w:r>
        <w:rPr>
          <w:rFonts w:hint="eastAsia" w:ascii="Book Antiqua" w:hAnsi="Book Antiqua" w:cs="Book Antiqua"/>
          <w:color w:val="000000"/>
          <w:lang w:eastAsia="zh-CN"/>
        </w:rPr>
        <w:t xml:space="preserve"> </w:t>
      </w:r>
      <w:r>
        <w:rPr>
          <w:rFonts w:ascii="Book Antiqua" w:hAnsi="Book Antiqua" w:eastAsia="Book Antiqua" w:cs="Book Antiqua"/>
          <w:color w:val="000000"/>
        </w:rPr>
        <w:t>any</w:t>
      </w:r>
      <w:r>
        <w:rPr>
          <w:rFonts w:hint="eastAsia" w:ascii="Book Antiqua" w:hAnsi="Book Antiqua" w:cs="Book Antiqua"/>
          <w:color w:val="000000"/>
          <w:lang w:eastAsia="zh-CN"/>
        </w:rPr>
        <w:t xml:space="preserve"> </w:t>
      </w:r>
      <w:r>
        <w:rPr>
          <w:rFonts w:ascii="Book Antiqua" w:hAnsi="Book Antiqua" w:eastAsia="Book Antiqua" w:cs="Book Antiqua"/>
          <w:color w:val="000000"/>
        </w:rPr>
        <w:t>residual liver injury. But there are three major exceptions. They are ALF, cirrhosis and acute-on-chronic liver failure (ACLF). These conditions are relatively rare but severe and may result in death or require a liver transplant.</w:t>
      </w:r>
    </w:p>
    <w:p>
      <w:pPr>
        <w:spacing w:line="360" w:lineRule="auto"/>
        <w:jc w:val="both"/>
        <w:rPr>
          <w:lang w:eastAsia="zh-CN"/>
        </w:rPr>
      </w:pPr>
    </w:p>
    <w:p>
      <w:pPr>
        <w:spacing w:line="360" w:lineRule="auto"/>
        <w:jc w:val="both"/>
        <w:rPr>
          <w:b/>
          <w:i/>
          <w:lang w:eastAsia="zh-CN"/>
        </w:rPr>
      </w:pPr>
      <w:r>
        <w:rPr>
          <w:rFonts w:ascii="Book Antiqua" w:hAnsi="Book Antiqua" w:eastAsia="Book Antiqua" w:cs="Book Antiqua"/>
          <w:b/>
          <w:i/>
          <w:color w:val="000000"/>
        </w:rPr>
        <w:t>ALF</w:t>
      </w:r>
    </w:p>
    <w:p>
      <w:pPr>
        <w:spacing w:line="360" w:lineRule="auto"/>
        <w:jc w:val="both"/>
      </w:pPr>
      <w:r>
        <w:rPr>
          <w:rFonts w:ascii="Book Antiqua" w:hAnsi="Book Antiqua" w:eastAsia="Book Antiqua" w:cs="Book Antiqua"/>
          <w:color w:val="000000"/>
        </w:rPr>
        <w:t>Even in the absence of pre-existing liver disease, drugs can cause a rapid loss of liver function either directly, as seen in overdoses, or through inflammatory cell mediated mechanisms such as cytokine overproduction. Drug-induced ALF is defined by the signs or symptoms of hepatic failure and encephalopathy during the course of acute DILI. The time to onset of ALF after the start of a medication can vary from a few days to months, but not exceeding six months</w:t>
      </w:r>
      <w:r>
        <w:rPr>
          <w:rFonts w:ascii="Book Antiqua" w:hAnsi="Book Antiqua" w:eastAsia="Book Antiqua" w:cs="Book Antiqua"/>
          <w:color w:val="000000"/>
          <w:szCs w:val="30"/>
          <w:vertAlign w:val="superscript"/>
        </w:rPr>
        <w:t>[4,24,36-38]</w:t>
      </w:r>
      <w:r>
        <w:rPr>
          <w:rFonts w:ascii="Book Antiqua" w:hAnsi="Book Antiqua" w:eastAsia="Book Antiqua" w:cs="Book Antiqua"/>
          <w:color w:val="000000"/>
        </w:rPr>
        <w:t>.</w:t>
      </w:r>
    </w:p>
    <w:p>
      <w:pPr>
        <w:spacing w:line="360" w:lineRule="auto"/>
        <w:ind w:firstLine="480" w:firstLineChars="200"/>
        <w:jc w:val="both"/>
        <w:rPr>
          <w:lang w:eastAsia="zh-CN"/>
        </w:rPr>
      </w:pPr>
      <w:r>
        <w:rPr>
          <w:rFonts w:ascii="Book Antiqua" w:hAnsi="Book Antiqua" w:eastAsia="Book Antiqua" w:cs="Book Antiqua"/>
          <w:color w:val="000000"/>
        </w:rPr>
        <w:t xml:space="preserve">In Western countries, paracetamol overdose is the most common reason behind </w:t>
      </w:r>
      <w:r>
        <w:rPr>
          <w:rFonts w:hint="eastAsia" w:ascii="Book Antiqua" w:hAnsi="Book Antiqua" w:cs="Book Antiqua"/>
          <w:caps/>
          <w:color w:val="000000"/>
          <w:lang w:eastAsia="zh-CN"/>
        </w:rPr>
        <w:t>alf</w:t>
      </w:r>
      <w:r>
        <w:rPr>
          <w:rFonts w:ascii="Book Antiqua" w:hAnsi="Book Antiqua" w:eastAsia="Book Antiqua" w:cs="Book Antiqua"/>
          <w:color w:val="000000"/>
        </w:rPr>
        <w:t>. In India, anti-TB regimens with isoniazid, rifampicin and pyrazinamide are reported as the leading cause of ALF. Other drugs that are reported to cause ALF include phenytoin, carbamazepine, valproate, nitrofurantoin, propylthiouracil, disulfiram, diclofenac, ketoconazole, flutamide, sulphonamides, terbinafine, fluoroquinolone antibiotics and macrolide antibiotics.</w:t>
      </w:r>
      <w:r>
        <w:rPr>
          <w:rFonts w:hint="eastAsia" w:ascii="Book Antiqua" w:hAnsi="Book Antiqua" w:cs="Book Antiqua"/>
          <w:color w:val="000000"/>
          <w:lang w:eastAsia="zh-CN"/>
        </w:rPr>
        <w:t xml:space="preserve"> </w:t>
      </w:r>
      <w:r>
        <w:rPr>
          <w:rFonts w:ascii="Book Antiqua" w:hAnsi="Book Antiqua" w:eastAsia="Book Antiqua" w:cs="Book Antiqua"/>
          <w:color w:val="000000"/>
        </w:rPr>
        <w:t>Drug-induced ALF is a major cause for withdrawal from the market or restricted use of a medication (troglitazone, bromfenac, nefazodone, halothane, telithromycin). ALF occurs in cases with acute hepatocellular injury with characteristics similar to acute viral hepatitis</w:t>
      </w:r>
      <w:r>
        <w:rPr>
          <w:rFonts w:ascii="Book Antiqua" w:hAnsi="Book Antiqua" w:eastAsia="Book Antiqua" w:cs="Book Antiqua"/>
          <w:color w:val="000000"/>
          <w:szCs w:val="30"/>
          <w:vertAlign w:val="superscript"/>
        </w:rPr>
        <w:t>[10,23,39-41]</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Paracetamol is responsible for more than 50% of drug related </w:t>
      </w:r>
      <w:r>
        <w:rPr>
          <w:rFonts w:hint="eastAsia" w:ascii="Book Antiqua" w:hAnsi="Book Antiqua" w:cs="Book Antiqua"/>
          <w:color w:val="000000"/>
          <w:lang w:eastAsia="zh-CN"/>
        </w:rPr>
        <w:t>ALF</w:t>
      </w:r>
      <w:r>
        <w:rPr>
          <w:rFonts w:ascii="Book Antiqua" w:hAnsi="Book Antiqua" w:eastAsia="Book Antiqua" w:cs="Book Antiqua"/>
          <w:color w:val="000000"/>
        </w:rPr>
        <w:t xml:space="preserve"> and about 20% of liver transplant cases in the United States</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In case of paracetamol overdose, the drug metabolite NAPQ1 depletes GSH and causes organelle damage, the most significant resulting in mitochondrial stress. Thereby the NAPQ1 accumulation triggers necrosis</w:t>
      </w:r>
      <w:r>
        <w:rPr>
          <w:rFonts w:ascii="Book Antiqua" w:hAnsi="Book Antiqua" w:eastAsia="Book Antiqua" w:cs="Book Antiqua"/>
          <w:color w:val="000000"/>
          <w:szCs w:val="30"/>
          <w:vertAlign w:val="superscript"/>
        </w:rPr>
        <w:t>[43,44]</w:t>
      </w:r>
      <w:r>
        <w:rPr>
          <w:rFonts w:ascii="Book Antiqua" w:hAnsi="Book Antiqua" w:eastAsia="Book Antiqua" w:cs="Book Antiqua"/>
          <w:color w:val="000000"/>
        </w:rPr>
        <w:t>. Hepatocyte necrosis passively releases various DAMPs such as HMGB-1, HSP and DNA fragments. These DAMPs activate the resident immune cells such as Kupffer cells and natural killer (NK) cells. Cytokines and chemokines such as TNF-α, IL-1β and CCL2 produced by the activated immune cells and the DAMPs enter systemic circulation and cause infiltration of neutrophils and monocytes into the liver. In conditions of sterile injury, the immune cells function to clear the dead cells by producing chemokines and free radicals to digest it. Once the cellular debris is cleared the immune cells undergo phenotypic change and support in liver regeneration. However, in case of paracetamol overdose, the overwhelming amount of cellular debris and DAMPs causes excess immune activation, whose products such as superoxide, nitric oxide and peroxynitrite result in further amplification of liver injury leading to massive necrosis and organ failure</w:t>
      </w:r>
      <w:r>
        <w:rPr>
          <w:rFonts w:ascii="Book Antiqua" w:hAnsi="Book Antiqua" w:eastAsia="Book Antiqua" w:cs="Book Antiqua"/>
          <w:color w:val="000000"/>
          <w:szCs w:val="30"/>
          <w:vertAlign w:val="superscript"/>
        </w:rPr>
        <w:t>[45-48]</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b/>
          <w:i/>
        </w:rPr>
      </w:pPr>
      <w:r>
        <w:rPr>
          <w:rFonts w:ascii="Book Antiqua" w:hAnsi="Book Antiqua" w:eastAsia="Book Antiqua" w:cs="Book Antiqua"/>
          <w:b/>
          <w:i/>
          <w:color w:val="000000"/>
        </w:rPr>
        <w:t>Cirrhosis</w:t>
      </w:r>
    </w:p>
    <w:p>
      <w:pPr>
        <w:spacing w:line="360" w:lineRule="auto"/>
        <w:jc w:val="both"/>
      </w:pPr>
      <w:r>
        <w:rPr>
          <w:rFonts w:ascii="Book Antiqua" w:hAnsi="Book Antiqua" w:eastAsia="Book Antiqua" w:cs="Book Antiqua"/>
          <w:color w:val="000000"/>
        </w:rPr>
        <w:t>Cirrhosis is characterized by islands or nodules of regenerative parenchymal cells surrounded by excessive deposition of fibrous tissue and portal hypertension. Cirrhosis is rarely the initial manifestation of DILI and is most often a cumulative response to long-term exposure to hepatotoxic drugs. It usually occurs at least six months after starting the drug treatment. The time to onset of cirrhosis due to medications is typically long; at least 6 mo after starting the medication but usually several years afterwards. The drugs that are most commonly cause cirrhosis are vitamin A, amiodarone, statins, tamoxifen, valproic acid, fibrates, and methotrexate</w:t>
      </w:r>
      <w:r>
        <w:rPr>
          <w:rFonts w:ascii="Book Antiqua" w:hAnsi="Book Antiqua" w:eastAsia="Book Antiqua" w:cs="Book Antiqua"/>
          <w:color w:val="000000"/>
          <w:szCs w:val="30"/>
          <w:vertAlign w:val="superscript"/>
        </w:rPr>
        <w:t>[4,25,26,49-51]</w:t>
      </w:r>
      <w:r>
        <w:rPr>
          <w:rFonts w:ascii="Book Antiqua" w:hAnsi="Book Antiqua" w:eastAsia="Book Antiqua" w:cs="Book Antiqua"/>
          <w:color w:val="000000"/>
        </w:rPr>
        <w:t>.</w:t>
      </w:r>
      <w:r>
        <w:rPr>
          <w:rFonts w:hint="eastAsia" w:ascii="Book Antiqua" w:hAnsi="Book Antiqua" w:cs="Book Antiqua"/>
          <w:color w:val="000000"/>
          <w:szCs w:val="30"/>
          <w:vertAlign w:val="superscript"/>
          <w:lang w:eastAsia="zh-CN"/>
        </w:rPr>
        <w:t xml:space="preserve"> </w:t>
      </w:r>
      <w:r>
        <w:rPr>
          <w:rFonts w:ascii="Book Antiqua" w:hAnsi="Book Antiqua" w:eastAsia="Book Antiqua" w:cs="Book Antiqua"/>
          <w:color w:val="000000"/>
        </w:rPr>
        <w:t>Drugs such as dantrolene, phenytoin, trazadone and nitrofurantoin are also associated with chronic hepatitis with autoimmune features that may lead to cirrhosis</w:t>
      </w:r>
      <w:r>
        <w:rPr>
          <w:rFonts w:ascii="Book Antiqua" w:hAnsi="Book Antiqua" w:eastAsia="Book Antiqua" w:cs="Book Antiqua"/>
          <w:color w:val="000000"/>
          <w:szCs w:val="30"/>
          <w:vertAlign w:val="superscript"/>
        </w:rPr>
        <w:t>[52-54]</w:t>
      </w:r>
      <w:r>
        <w:rPr>
          <w:rFonts w:ascii="Book Antiqua" w:hAnsi="Book Antiqua" w:eastAsia="Book Antiqua" w:cs="Book Antiqua"/>
          <w:color w:val="000000"/>
        </w:rPr>
        <w:t>.</w:t>
      </w:r>
    </w:p>
    <w:p>
      <w:pPr>
        <w:spacing w:line="360" w:lineRule="auto"/>
        <w:ind w:firstLine="480" w:firstLineChars="200"/>
        <w:jc w:val="both"/>
        <w:rPr>
          <w:lang w:eastAsia="zh-CN"/>
        </w:rPr>
      </w:pPr>
      <w:r>
        <w:rPr>
          <w:rFonts w:ascii="Book Antiqua" w:hAnsi="Book Antiqua" w:eastAsia="Book Antiqua" w:cs="Book Antiqua"/>
          <w:color w:val="000000"/>
        </w:rPr>
        <w:t>Amiodarone is a benzofuran derivative mainly used in the treatment of arrhythmia. The safety of long-term use of amiodarone is well established however there are several reports of reversible and irreversible liver injury from its long-term use. Even though rare amiodarone can cause asymptomatic continuous liver injury that has histological features similar to alcoholic hepatitis such as nodular formation, fibrosis, steatosis and neutrophil infiltration</w:t>
      </w:r>
      <w:r>
        <w:rPr>
          <w:rFonts w:ascii="Book Antiqua" w:hAnsi="Book Antiqua" w:eastAsia="Book Antiqua" w:cs="Book Antiqua"/>
          <w:color w:val="000000"/>
          <w:szCs w:val="30"/>
          <w:vertAlign w:val="superscript"/>
        </w:rPr>
        <w:t>[55-61]</w:t>
      </w:r>
      <w:r>
        <w:rPr>
          <w:rFonts w:ascii="Book Antiqua" w:hAnsi="Book Antiqua" w:eastAsia="Book Antiqua" w:cs="Book Antiqua"/>
          <w:color w:val="000000"/>
        </w:rPr>
        <w:t>.</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Due to its lipophilic nature and long half-life, amiodarone accumulates in the hepatocytes affecting cellular organelles such as ER and mitochondria causing misfolding of proteins. Amiodarone affects the cholesterol metabolism by blocking enzymes emopamil binding protein and dehydrocholesterol reductase 24. As cholesterol plays an important role in maintaining membrane fluidity and composition this affects the function of potassium channels and other membrane proteins resulting in </w:t>
      </w:r>
      <w:r>
        <w:rPr>
          <w:rFonts w:ascii="Book Antiqua" w:hAnsi="Book Antiqua" w:cs="Book Antiqua"/>
          <w:color w:val="000000"/>
          <w:lang w:eastAsia="zh-CN"/>
        </w:rPr>
        <w:t>“</w:t>
      </w:r>
      <w:r>
        <w:rPr>
          <w:rFonts w:ascii="Book Antiqua" w:hAnsi="Book Antiqua" w:eastAsia="Book Antiqua" w:cs="Book Antiqua"/>
          <w:color w:val="000000"/>
        </w:rPr>
        <w:t>lipid traffic jam</w:t>
      </w:r>
      <w:r>
        <w:rPr>
          <w:rFonts w:ascii="Book Antiqua" w:hAnsi="Book Antiqua" w:cs="Book Antiqua"/>
          <w:color w:val="000000"/>
          <w:lang w:eastAsia="zh-CN"/>
        </w:rPr>
        <w:t>”</w:t>
      </w:r>
      <w:r>
        <w:rPr>
          <w:rFonts w:ascii="Book Antiqua" w:hAnsi="Book Antiqua" w:eastAsia="Book Antiqua" w:cs="Book Antiqua"/>
          <w:color w:val="000000"/>
          <w:szCs w:val="30"/>
          <w:vertAlign w:val="superscript"/>
        </w:rPr>
        <w:t>[62-67]</w:t>
      </w:r>
      <w:r>
        <w:rPr>
          <w:rFonts w:ascii="Book Antiqua" w:hAnsi="Book Antiqua" w:eastAsia="Book Antiqua" w:cs="Book Antiqua"/>
          <w:color w:val="000000"/>
        </w:rPr>
        <w:t>.</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immune cells in the liver get activated in response to cellular debris, misfolded proteins and accumulating cholesterol precursors such as desmosterol</w:t>
      </w:r>
      <w:r>
        <w:rPr>
          <w:rFonts w:ascii="Book Antiqua" w:hAnsi="Book Antiqua" w:eastAsia="Book Antiqua" w:cs="Book Antiqua"/>
          <w:color w:val="000000"/>
          <w:szCs w:val="30"/>
          <w:vertAlign w:val="superscript"/>
        </w:rPr>
        <w:t>[63,66,68]</w:t>
      </w:r>
      <w:r>
        <w:rPr>
          <w:rFonts w:ascii="Book Antiqua" w:hAnsi="Book Antiqua" w:eastAsia="Book Antiqua" w:cs="Book Antiqua"/>
          <w:color w:val="000000"/>
        </w:rPr>
        <w:t>. Unless diagnosed in an early stage, this leads to irreversible end stage liver disease</w:t>
      </w:r>
      <w:r>
        <w:rPr>
          <w:rFonts w:ascii="Book Antiqua" w:hAnsi="Book Antiqua" w:eastAsia="Book Antiqua" w:cs="Book Antiqua"/>
          <w:color w:val="000000"/>
          <w:szCs w:val="30"/>
          <w:vertAlign w:val="superscript"/>
        </w:rPr>
        <w:t>[62,69]</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b/>
          <w:i/>
        </w:rPr>
      </w:pPr>
      <w:r>
        <w:rPr>
          <w:rFonts w:ascii="Book Antiqua" w:hAnsi="Book Antiqua" w:eastAsia="Book Antiqua" w:cs="Book Antiqua"/>
          <w:b/>
          <w:i/>
          <w:color w:val="000000"/>
        </w:rPr>
        <w:t>Acute-on-chronic liver failure</w:t>
      </w:r>
    </w:p>
    <w:p>
      <w:pPr>
        <w:spacing w:line="360" w:lineRule="auto"/>
        <w:jc w:val="both"/>
      </w:pPr>
      <w:r>
        <w:rPr>
          <w:rFonts w:ascii="Book Antiqua" w:hAnsi="Book Antiqua" w:eastAsia="Book Antiqua" w:cs="Book Antiqua"/>
          <w:color w:val="000000"/>
        </w:rPr>
        <w:t xml:space="preserve">Acute-on-chronic liver failure (ACLF) as the name suggests is characterized by </w:t>
      </w:r>
      <w:r>
        <w:rPr>
          <w:rFonts w:hint="eastAsia" w:ascii="Book Antiqua" w:hAnsi="Book Antiqua" w:cs="Book Antiqua"/>
          <w:caps/>
          <w:color w:val="000000"/>
          <w:lang w:eastAsia="zh-CN"/>
        </w:rPr>
        <w:t>alf</w:t>
      </w:r>
      <w:r>
        <w:rPr>
          <w:rFonts w:ascii="Book Antiqua" w:hAnsi="Book Antiqua" w:eastAsia="Book Antiqua" w:cs="Book Antiqua"/>
          <w:color w:val="000000"/>
        </w:rPr>
        <w:t xml:space="preserve"> due to a different cause in patients with chronic liver disease (compensated) resulting in short term mortality. It consists of two components: a chronic underlying liver disease and an acute trigger</w:t>
      </w:r>
      <w:r>
        <w:rPr>
          <w:rFonts w:ascii="Book Antiqua" w:hAnsi="Book Antiqua" w:eastAsia="Book Antiqua" w:cs="Book Antiqua"/>
          <w:color w:val="000000"/>
          <w:szCs w:val="30"/>
          <w:vertAlign w:val="superscript"/>
        </w:rPr>
        <w:t>[70,71]</w:t>
      </w:r>
      <w:r>
        <w:rPr>
          <w:rFonts w:ascii="Book Antiqua" w:hAnsi="Book Antiqua" w:eastAsia="Book Antiqua" w:cs="Book Antiqua"/>
          <w:color w:val="000000"/>
        </w:rPr>
        <w:t>. Devarbhavi</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hint="eastAsia" w:ascii="Book Antiqua" w:hAnsi="Book Antiqua" w:cs="Book Antiqua"/>
          <w:iCs/>
          <w:color w:val="000000"/>
          <w:vertAlign w:val="superscript"/>
          <w:lang w:eastAsia="zh-CN"/>
        </w:rPr>
        <w:t>[72]</w:t>
      </w:r>
      <w:r>
        <w:rPr>
          <w:rFonts w:ascii="Book Antiqua" w:hAnsi="Book Antiqua" w:eastAsia="Book Antiqua" w:cs="Book Antiqua"/>
          <w:color w:val="000000"/>
        </w:rPr>
        <w:t xml:space="preserve"> reported that drugs contributed to 10.5% cases in the Asia-Pacific region. Among these drugs, the most common culprits were complementary and alternative medications (71.7%), followed by anti-TB drug combination therapies (27.3%). Anti-TB drug isoniazid is also observed to cause severe hepatitis that leads to liver failure</w:t>
      </w:r>
      <w:r>
        <w:rPr>
          <w:rFonts w:ascii="Book Antiqua" w:hAnsi="Book Antiqua" w:eastAsia="Book Antiqua" w:cs="Book Antiqua"/>
          <w:color w:val="000000"/>
          <w:szCs w:val="30"/>
          <w:vertAlign w:val="superscript"/>
        </w:rPr>
        <w:t>[72-74]</w:t>
      </w:r>
      <w:r>
        <w:rPr>
          <w:rFonts w:ascii="Book Antiqua" w:hAnsi="Book Antiqua" w:eastAsia="Book Antiqua" w:cs="Book Antiqua"/>
          <w:color w:val="000000"/>
        </w:rPr>
        <w:t>.</w:t>
      </w:r>
    </w:p>
    <w:p>
      <w:pPr>
        <w:spacing w:line="360" w:lineRule="auto"/>
        <w:ind w:firstLine="480" w:firstLineChars="200"/>
        <w:jc w:val="both"/>
        <w:rPr>
          <w:lang w:eastAsia="zh-CN"/>
        </w:rPr>
      </w:pPr>
      <w:r>
        <w:rPr>
          <w:rFonts w:ascii="Book Antiqua" w:hAnsi="Book Antiqua" w:eastAsia="Book Antiqua" w:cs="Book Antiqua"/>
          <w:color w:val="000000"/>
        </w:rPr>
        <w:t>Studies suggest that excessive focal liver and systemic inflammatory response play a significant role in the development of ACLF. Reports have shown high levels of cytokines in patients with ACLF. This may be due to the activation of monocytes and macrophages in response to DAMPs, microbial toxins or drug adducts</w:t>
      </w:r>
      <w:r>
        <w:rPr>
          <w:rFonts w:ascii="Book Antiqua" w:hAnsi="Book Antiqua" w:eastAsia="Book Antiqua" w:cs="Book Antiqua"/>
          <w:color w:val="000000"/>
          <w:szCs w:val="30"/>
          <w:vertAlign w:val="superscript"/>
        </w:rPr>
        <w:t>[19,75,76]</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Paracetamol induced liver failure in patients with alcoholic hepatitis is a typical example of drug induced ACLF.</w:t>
      </w:r>
      <w:r>
        <w:rPr>
          <w:rFonts w:hint="eastAsia" w:ascii="Book Antiqua" w:hAnsi="Book Antiqua" w:cs="Book Antiqua"/>
          <w:color w:val="000000"/>
          <w:lang w:eastAsia="zh-CN"/>
        </w:rPr>
        <w:t xml:space="preserve"> </w:t>
      </w:r>
      <w:r>
        <w:rPr>
          <w:rFonts w:ascii="Book Antiqua" w:hAnsi="Book Antiqua" w:eastAsia="Book Antiqua" w:cs="Book Antiqua"/>
          <w:color w:val="000000"/>
        </w:rPr>
        <w:t>Alcoholic hepatitis is reported in approximately 25% of the cases of ACLF. The trigger due to paracetamol toxicity can occur in two ways- the first is due to direct toxicity by paracetamol and the second due to immune response that is secondary to the hepatocellular damage due to the direct toxicity. The activation of innate immune response due to the paracetamol acute toxicity results in upregulation of cytokine and chemokine production that initiates severe systemic inflammation, liver damage and mortality</w:t>
      </w:r>
      <w:r>
        <w:rPr>
          <w:rFonts w:ascii="Book Antiqua" w:hAnsi="Book Antiqua" w:eastAsia="Book Antiqua" w:cs="Book Antiqua"/>
          <w:color w:val="000000"/>
          <w:szCs w:val="30"/>
          <w:vertAlign w:val="superscript"/>
        </w:rPr>
        <w:t>[70,75,77,78]</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dysregulation in innate immune response plays important roles in disease progression as well as disease severity. In the liver, systemic inflammation plays a significant role in the development and course of chronic alcoholic hepatitis. Similar to the acute toxicity, immune activation in alcoholic liver disease results in activation of resident Kupffer cells and dendritic cells as well as the infiltrating immune cells- monocytes and neutrophils lead to progression towards fibrosis and cirrhosis. This disrupts the liver architecture and function setting stage for liver failure, that can be actuated by an acute trigger</w:t>
      </w:r>
      <w:r>
        <w:rPr>
          <w:rFonts w:ascii="Book Antiqua" w:hAnsi="Book Antiqua" w:eastAsia="Book Antiqua" w:cs="Book Antiqua"/>
          <w:color w:val="000000"/>
          <w:szCs w:val="30"/>
          <w:vertAlign w:val="superscript"/>
        </w:rPr>
        <w:t>[75,78,79]</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Drugs and their metabolic products can cause liver damage through multiple mechanisms. Under normal conditions, the liver is well equipped to neutralize potential drug-related damage, but in susceptible individuals, this same drug use can result in severe liver injury.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This is further amplified by a dysfunctional immune responses that is influenced by host factors like genetics, age and sex. The severe adverse outcomes of DILI are </w:t>
      </w:r>
      <w:r>
        <w:rPr>
          <w:rFonts w:hint="eastAsia" w:ascii="Book Antiqua" w:hAnsi="Book Antiqua" w:cs="Book Antiqua"/>
          <w:color w:val="000000"/>
          <w:lang w:eastAsia="zh-CN"/>
        </w:rPr>
        <w:t>ALF</w:t>
      </w:r>
      <w:r>
        <w:rPr>
          <w:rFonts w:ascii="Book Antiqua" w:hAnsi="Book Antiqua" w:eastAsia="Book Antiqua" w:cs="Book Antiqua"/>
          <w:color w:val="000000"/>
        </w:rPr>
        <w:t>, cirrhosis and acute-on-chronic liver injury. All these injuries are associated with concurrent immune dysfunction. A better understanding of immune mediators may offer new targets for the management of DILI. Individualized therapy that focuses on early detection of risk factors, triggers and stage of the liver injury may play a significant role in effectively attenuating this disorder.</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authors wish to thank</w:t>
      </w:r>
      <w:r>
        <w:rPr>
          <w:rFonts w:hint="eastAsia" w:ascii="Book Antiqua" w:hAnsi="Book Antiqua" w:cs="Book Antiqua"/>
          <w:color w:val="000000"/>
          <w:lang w:eastAsia="zh-CN"/>
        </w:rPr>
        <w:t xml:space="preserve"> </w:t>
      </w:r>
      <w:r>
        <w:rPr>
          <w:rFonts w:ascii="Book Antiqua" w:hAnsi="Book Antiqua" w:eastAsia="Book Antiqua" w:cs="Book Antiqua"/>
          <w:color w:val="000000"/>
        </w:rPr>
        <w:t>Anthony J DeSana, Spinal Cord and Brain Injury Research Center, Dep</w:t>
      </w:r>
      <w:r>
        <w:rPr>
          <w:rFonts w:hint="eastAsia" w:ascii="Book Antiqua" w:hAnsi="Book Antiqua" w:cs="Book Antiqua"/>
          <w:color w:val="000000"/>
          <w:lang w:eastAsia="zh-CN"/>
        </w:rPr>
        <w:t>ar</w:t>
      </w:r>
      <w:r>
        <w:rPr>
          <w:rFonts w:ascii="Book Antiqua" w:hAnsi="Book Antiqua" w:eastAsia="Book Antiqua" w:cs="Book Antiqua"/>
          <w:color w:val="000000"/>
        </w:rPr>
        <w:t>t</w:t>
      </w:r>
      <w:r>
        <w:rPr>
          <w:rFonts w:hint="eastAsia" w:ascii="Book Antiqua" w:hAnsi="Book Antiqua" w:cs="Book Antiqua"/>
          <w:color w:val="000000"/>
          <w:lang w:eastAsia="zh-CN"/>
        </w:rPr>
        <w:t>ment</w:t>
      </w:r>
      <w:r>
        <w:rPr>
          <w:rFonts w:ascii="Book Antiqua" w:hAnsi="Book Antiqua" w:eastAsia="Book Antiqua" w:cs="Book Antiqua"/>
          <w:color w:val="000000"/>
        </w:rPr>
        <w:t xml:space="preserve"> of Physiology, University of Kentucky, U</w:t>
      </w:r>
      <w:r>
        <w:rPr>
          <w:rFonts w:hint="eastAsia" w:ascii="Book Antiqua" w:hAnsi="Book Antiqua" w:cs="Book Antiqua"/>
          <w:color w:val="000000"/>
          <w:lang w:eastAsia="zh-CN"/>
        </w:rPr>
        <w:t>nited States</w:t>
      </w:r>
      <w:r>
        <w:rPr>
          <w:rFonts w:ascii="Book Antiqua" w:hAnsi="Book Antiqua" w:eastAsia="Book Antiqua" w:cs="Book Antiqua"/>
          <w:color w:val="000000"/>
        </w:rPr>
        <w:t>, for English editing of this manuscript.</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Kirchain WR,</w:t>
      </w:r>
      <w:r>
        <w:rPr>
          <w:rFonts w:ascii="Book Antiqua" w:hAnsi="Book Antiqua"/>
        </w:rPr>
        <w:t xml:space="preserve"> Allen RE. Drug-Induced Liver Disease. In: DiPiro JT, Talbert RL, Yee GC, Matzke GR, Wells BG, Posey L. eds. </w:t>
      </w:r>
      <w:bookmarkStart w:id="23" w:name="OLE_LINK344"/>
      <w:bookmarkStart w:id="24" w:name="OLE_LINK345"/>
      <w:r>
        <w:rPr>
          <w:rFonts w:ascii="Book Antiqua" w:hAnsi="Book Antiqua"/>
        </w:rPr>
        <w:t>Pharmacotherapy: A pathophysiologic approach, 10e. McGraw-Hill</w:t>
      </w:r>
      <w:bookmarkEnd w:id="23"/>
      <w:bookmarkEnd w:id="24"/>
      <w:r>
        <w:rPr>
          <w:rFonts w:ascii="Book Antiqua" w:hAnsi="Book Antiqua"/>
          <w:lang w:eastAsia="zh-CN"/>
        </w:rPr>
        <w:t>, 2016</w:t>
      </w:r>
    </w:p>
    <w:p>
      <w:pPr>
        <w:spacing w:line="360" w:lineRule="auto"/>
        <w:jc w:val="both"/>
        <w:rPr>
          <w:rFonts w:ascii="Book Antiqua" w:hAnsi="Book Antiqua"/>
        </w:rPr>
      </w:pPr>
      <w:r>
        <w:rPr>
          <w:rFonts w:ascii="Book Antiqua" w:hAnsi="Book Antiqua"/>
        </w:rPr>
        <w:t xml:space="preserve">2 </w:t>
      </w:r>
      <w:r>
        <w:rPr>
          <w:rFonts w:ascii="Book Antiqua" w:hAnsi="Book Antiqua"/>
          <w:b/>
          <w:bCs/>
        </w:rPr>
        <w:t>Lee WM</w:t>
      </w:r>
      <w:r>
        <w:rPr>
          <w:rFonts w:ascii="Book Antiqua" w:hAnsi="Book Antiqua"/>
        </w:rPr>
        <w:t xml:space="preserve">. Drug-induced hepatotoxicity. </w:t>
      </w:r>
      <w:r>
        <w:rPr>
          <w:rFonts w:ascii="Book Antiqua" w:hAnsi="Book Antiqua"/>
          <w:i/>
          <w:iCs/>
        </w:rPr>
        <w:t>N Engl J Med</w:t>
      </w:r>
      <w:r>
        <w:rPr>
          <w:rFonts w:ascii="Book Antiqua" w:hAnsi="Book Antiqua"/>
        </w:rPr>
        <w:t xml:space="preserve"> 2003; </w:t>
      </w:r>
      <w:r>
        <w:rPr>
          <w:rFonts w:ascii="Book Antiqua" w:hAnsi="Book Antiqua"/>
          <w:b/>
          <w:bCs/>
        </w:rPr>
        <w:t>349</w:t>
      </w:r>
      <w:r>
        <w:rPr>
          <w:rFonts w:ascii="Book Antiqua" w:hAnsi="Book Antiqua"/>
        </w:rPr>
        <w:t>: 474-485 [PMID: 12890847 DOI: 10.1056/NEJMra021844]</w:t>
      </w:r>
    </w:p>
    <w:p>
      <w:pPr>
        <w:spacing w:line="360" w:lineRule="auto"/>
        <w:jc w:val="both"/>
        <w:rPr>
          <w:rFonts w:ascii="Book Antiqua" w:hAnsi="Book Antiqua"/>
        </w:rPr>
      </w:pPr>
      <w:r>
        <w:rPr>
          <w:rFonts w:ascii="Book Antiqua" w:hAnsi="Book Antiqua"/>
        </w:rPr>
        <w:t xml:space="preserve">3 </w:t>
      </w:r>
      <w:r>
        <w:rPr>
          <w:rFonts w:ascii="Book Antiqua" w:hAnsi="Book Antiqua"/>
          <w:b/>
          <w:bCs/>
        </w:rPr>
        <w:t>Onakpoya IJ</w:t>
      </w:r>
      <w:r>
        <w:rPr>
          <w:rFonts w:ascii="Book Antiqua" w:hAnsi="Book Antiqua"/>
        </w:rPr>
        <w:t xml:space="preserve">, Heneghan CJ, Aronson JK. Post-marketing withdrawal of 462 medicinal products because of adverse drug reactions: a systematic review of the world literature. </w:t>
      </w:r>
      <w:r>
        <w:rPr>
          <w:rFonts w:ascii="Book Antiqua" w:hAnsi="Book Antiqua"/>
          <w:i/>
          <w:iCs/>
        </w:rPr>
        <w:t>BMC Med</w:t>
      </w:r>
      <w:r>
        <w:rPr>
          <w:rFonts w:ascii="Book Antiqua" w:hAnsi="Book Antiqua"/>
        </w:rPr>
        <w:t xml:space="preserve"> 2016; </w:t>
      </w:r>
      <w:r>
        <w:rPr>
          <w:rFonts w:ascii="Book Antiqua" w:hAnsi="Book Antiqua"/>
          <w:b/>
          <w:bCs/>
        </w:rPr>
        <w:t>14</w:t>
      </w:r>
      <w:r>
        <w:rPr>
          <w:rFonts w:ascii="Book Antiqua" w:hAnsi="Book Antiqua"/>
        </w:rPr>
        <w:t>: 10 [PMID: 26843061 DOI: 10.1186/s12916-016-0553-2]</w:t>
      </w:r>
    </w:p>
    <w:p>
      <w:pPr>
        <w:spacing w:line="360" w:lineRule="auto"/>
        <w:jc w:val="both"/>
        <w:rPr>
          <w:rFonts w:ascii="Book Antiqua" w:hAnsi="Book Antiqua"/>
        </w:rPr>
      </w:pPr>
      <w:r>
        <w:rPr>
          <w:rFonts w:ascii="Book Antiqua" w:hAnsi="Book Antiqua"/>
        </w:rPr>
        <w:t xml:space="preserve">4 </w:t>
      </w:r>
      <w:r>
        <w:rPr>
          <w:rFonts w:ascii="Book Antiqua" w:hAnsi="Book Antiqua"/>
          <w:b/>
          <w:bCs/>
        </w:rPr>
        <w:t>Kaplowitz N</w:t>
      </w:r>
      <w:r>
        <w:rPr>
          <w:rFonts w:ascii="Book Antiqua" w:hAnsi="Book Antiqua"/>
        </w:rPr>
        <w:t xml:space="preserve">. Avoiding idiosyncratic DILI: two is better than one.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15-17 [PMID: 23390057 DOI: 10.1002/hep.26295]</w:t>
      </w:r>
    </w:p>
    <w:p>
      <w:pPr>
        <w:spacing w:line="360" w:lineRule="auto"/>
        <w:jc w:val="both"/>
        <w:rPr>
          <w:rFonts w:ascii="Book Antiqua" w:hAnsi="Book Antiqua"/>
        </w:rPr>
      </w:pPr>
      <w:r>
        <w:rPr>
          <w:rFonts w:ascii="Book Antiqua" w:hAnsi="Book Antiqua"/>
        </w:rPr>
        <w:t xml:space="preserve">5 </w:t>
      </w:r>
      <w:r>
        <w:rPr>
          <w:rFonts w:ascii="Book Antiqua" w:hAnsi="Book Antiqua"/>
          <w:b/>
          <w:bCs/>
        </w:rPr>
        <w:t>Kaplowitz N</w:t>
      </w:r>
      <w:r>
        <w:rPr>
          <w:rFonts w:ascii="Book Antiqua" w:hAnsi="Book Antiqua"/>
        </w:rPr>
        <w:t xml:space="preserve">. Drug-induced liver injury. </w:t>
      </w:r>
      <w:r>
        <w:rPr>
          <w:rFonts w:ascii="Book Antiqua" w:hAnsi="Book Antiqua"/>
          <w:i/>
          <w:iCs/>
        </w:rPr>
        <w:t>Clin Infect Dis</w:t>
      </w:r>
      <w:r>
        <w:rPr>
          <w:rFonts w:ascii="Book Antiqua" w:hAnsi="Book Antiqua"/>
        </w:rPr>
        <w:t xml:space="preserve"> 2004; </w:t>
      </w:r>
      <w:r>
        <w:rPr>
          <w:rFonts w:ascii="Book Antiqua" w:hAnsi="Book Antiqua"/>
          <w:b/>
          <w:bCs/>
        </w:rPr>
        <w:t>38 Suppl 2</w:t>
      </w:r>
      <w:r>
        <w:rPr>
          <w:rFonts w:ascii="Book Antiqua" w:hAnsi="Book Antiqua"/>
        </w:rPr>
        <w:t>: S44-S48 [PMID: 14986274 DOI: 10.1086/381446]</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Waddington JC,</w:t>
      </w:r>
      <w:r>
        <w:rPr>
          <w:rFonts w:ascii="Book Antiqua" w:hAnsi="Book Antiqua"/>
        </w:rPr>
        <w:t xml:space="preserve"> Meng X, Naisbitt DJ, Park BK. Immune drug-induced liver disease and drugs.</w:t>
      </w:r>
      <w:r>
        <w:rPr>
          <w:rFonts w:ascii="Book Antiqua" w:hAnsi="Book Antiqua"/>
          <w:i/>
        </w:rPr>
        <w:t xml:space="preserve"> Curr Opin Toxicol </w:t>
      </w:r>
      <w:r>
        <w:rPr>
          <w:rFonts w:ascii="Book Antiqua" w:hAnsi="Book Antiqua"/>
        </w:rPr>
        <w:t xml:space="preserve">2018; </w:t>
      </w:r>
      <w:r>
        <w:rPr>
          <w:rFonts w:ascii="Book Antiqua" w:hAnsi="Book Antiqua"/>
          <w:b/>
        </w:rPr>
        <w:t>10</w:t>
      </w:r>
      <w:r>
        <w:rPr>
          <w:rFonts w:ascii="Book Antiqua" w:hAnsi="Book Antiqua"/>
        </w:rPr>
        <w:t>: 46–53 [DOI: 10.1016/j.cotox.2017.12.006]</w:t>
      </w:r>
    </w:p>
    <w:p>
      <w:pPr>
        <w:spacing w:line="360" w:lineRule="auto"/>
        <w:jc w:val="both"/>
        <w:rPr>
          <w:rFonts w:ascii="Book Antiqua" w:hAnsi="Book Antiqua"/>
        </w:rPr>
      </w:pPr>
      <w:r>
        <w:rPr>
          <w:rFonts w:ascii="Book Antiqua" w:hAnsi="Book Antiqua"/>
        </w:rPr>
        <w:t xml:space="preserve">7 </w:t>
      </w:r>
      <w:r>
        <w:rPr>
          <w:rFonts w:ascii="Book Antiqua" w:hAnsi="Book Antiqua"/>
          <w:b/>
          <w:bCs/>
        </w:rPr>
        <w:t>Bell LN</w:t>
      </w:r>
      <w:r>
        <w:rPr>
          <w:rFonts w:ascii="Book Antiqua" w:hAnsi="Book Antiqua"/>
        </w:rPr>
        <w:t xml:space="preserve">, Chalasani N. Epidemiology of idiosyncratic drug-induced liver injury. </w:t>
      </w:r>
      <w:r>
        <w:rPr>
          <w:rFonts w:ascii="Book Antiqua" w:hAnsi="Book Antiqua"/>
          <w:i/>
          <w:iCs/>
        </w:rPr>
        <w:t>Semin Liver Dis</w:t>
      </w:r>
      <w:r>
        <w:rPr>
          <w:rFonts w:ascii="Book Antiqua" w:hAnsi="Book Antiqua"/>
        </w:rPr>
        <w:t xml:space="preserve"> 2009; </w:t>
      </w:r>
      <w:r>
        <w:rPr>
          <w:rFonts w:ascii="Book Antiqua" w:hAnsi="Book Antiqua"/>
          <w:b/>
          <w:bCs/>
        </w:rPr>
        <w:t>29</w:t>
      </w:r>
      <w:r>
        <w:rPr>
          <w:rFonts w:ascii="Book Antiqua" w:hAnsi="Book Antiqua"/>
        </w:rPr>
        <w:t>: 337-347 [PMID: 19826967 DOI: 10.1055/s-0029-1240002]</w:t>
      </w:r>
    </w:p>
    <w:p>
      <w:pPr>
        <w:spacing w:line="360" w:lineRule="auto"/>
        <w:jc w:val="both"/>
        <w:rPr>
          <w:rFonts w:ascii="Book Antiqua" w:hAnsi="Book Antiqua"/>
        </w:rPr>
      </w:pPr>
      <w:r>
        <w:rPr>
          <w:rFonts w:ascii="Book Antiqua" w:hAnsi="Book Antiqua"/>
        </w:rPr>
        <w:t xml:space="preserve">8 </w:t>
      </w:r>
      <w:r>
        <w:rPr>
          <w:rFonts w:ascii="Book Antiqua" w:hAnsi="Book Antiqua"/>
          <w:b/>
          <w:bCs/>
        </w:rPr>
        <w:t>Björnsson ES</w:t>
      </w:r>
      <w:r>
        <w:rPr>
          <w:rFonts w:ascii="Book Antiqua" w:hAnsi="Book Antiqua"/>
        </w:rPr>
        <w:t xml:space="preserve">. Incidence and outcomes of DILI in Western patients. </w:t>
      </w:r>
      <w:r>
        <w:rPr>
          <w:rFonts w:ascii="Book Antiqua" w:hAnsi="Book Antiqua"/>
          <w:i/>
          <w:iCs/>
        </w:rPr>
        <w:t>Clin Liver Dis (Hoboken)</w:t>
      </w:r>
      <w:r>
        <w:rPr>
          <w:rFonts w:ascii="Book Antiqua" w:hAnsi="Book Antiqua"/>
        </w:rPr>
        <w:t xml:space="preserve"> 2014; </w:t>
      </w:r>
      <w:r>
        <w:rPr>
          <w:rFonts w:ascii="Book Antiqua" w:hAnsi="Book Antiqua"/>
          <w:b/>
          <w:bCs/>
        </w:rPr>
        <w:t>4</w:t>
      </w:r>
      <w:r>
        <w:rPr>
          <w:rFonts w:ascii="Book Antiqua" w:hAnsi="Book Antiqua"/>
        </w:rPr>
        <w:t>: 9-11 [PMID: 30992911 DOI: 10.1002/cld.368]</w:t>
      </w:r>
    </w:p>
    <w:p>
      <w:pPr>
        <w:spacing w:line="360" w:lineRule="auto"/>
        <w:jc w:val="both"/>
        <w:rPr>
          <w:rFonts w:ascii="Book Antiqua" w:hAnsi="Book Antiqua"/>
        </w:rPr>
      </w:pPr>
      <w:r>
        <w:rPr>
          <w:rFonts w:ascii="Book Antiqua" w:hAnsi="Book Antiqua"/>
        </w:rPr>
        <w:t xml:space="preserve">9 </w:t>
      </w:r>
      <w:r>
        <w:rPr>
          <w:rFonts w:ascii="Book Antiqua" w:hAnsi="Book Antiqua"/>
          <w:b/>
          <w:bCs/>
        </w:rPr>
        <w:t>Devarbhavi H</w:t>
      </w:r>
      <w:r>
        <w:rPr>
          <w:rFonts w:ascii="Book Antiqua" w:hAnsi="Book Antiqua"/>
        </w:rPr>
        <w:t xml:space="preserve">, Dierkhising R, Kremers WK, Sandeep MS, Karanth D, Adarsh CK. Single-center experience with drug-induced liver injury from India: causes, outcome, prognosis, and predictors of mortality.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2396-2404 [PMID: 20648003 DOI: 10.1038/ajg.2010.287]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Chen M</w:t>
      </w:r>
      <w:r>
        <w:rPr>
          <w:rFonts w:ascii="Book Antiqua" w:hAnsi="Book Antiqua"/>
        </w:rPr>
        <w:t xml:space="preserve">, Suzuki A, Borlak J, Andrade RJ, Lucena MI. Drug-induced liver injury: Interactions between drug properties and host factors.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503-514 [PMID: 25912521 DOI: 10.1016/j.jhep.2015.04.016]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Williams CD,</w:t>
      </w:r>
      <w:r>
        <w:rPr>
          <w:rFonts w:ascii="Book Antiqua" w:hAnsi="Book Antiqua"/>
        </w:rPr>
        <w:t xml:space="preserve"> Jaeschke H. </w:t>
      </w:r>
      <w:bookmarkStart w:id="25" w:name="OLE_LINK348"/>
      <w:bookmarkStart w:id="26" w:name="OLE_LINK349"/>
      <w:r>
        <w:rPr>
          <w:rFonts w:ascii="Book Antiqua" w:hAnsi="Book Antiqua"/>
        </w:rPr>
        <w:t xml:space="preserve">Role of innate and adaptive immunity during drug-induced liver injury. </w:t>
      </w:r>
      <w:r>
        <w:rPr>
          <w:rFonts w:ascii="Book Antiqua" w:hAnsi="Book Antiqua"/>
          <w:i/>
        </w:rPr>
        <w:t>Toxicol Res</w:t>
      </w:r>
      <w:r>
        <w:rPr>
          <w:rFonts w:ascii="Book Antiqua" w:hAnsi="Book Antiqua"/>
        </w:rPr>
        <w:t xml:space="preserve"> 2012; </w:t>
      </w:r>
      <w:r>
        <w:rPr>
          <w:rFonts w:ascii="Book Antiqua" w:hAnsi="Book Antiqua"/>
          <w:b/>
        </w:rPr>
        <w:t>1</w:t>
      </w:r>
      <w:r>
        <w:rPr>
          <w:rFonts w:ascii="Book Antiqua" w:hAnsi="Book Antiqua"/>
        </w:rPr>
        <w:t>: 161</w:t>
      </w:r>
      <w:bookmarkEnd w:id="25"/>
      <w:bookmarkEnd w:id="26"/>
      <w:r>
        <w:rPr>
          <w:rFonts w:ascii="Book Antiqua" w:hAnsi="Book Antiqua"/>
        </w:rPr>
        <w:t xml:space="preserve"> [DOI: 10.1039/C2TX20032E]</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Liu ZX</w:t>
      </w:r>
      <w:r>
        <w:rPr>
          <w:rFonts w:ascii="Book Antiqua" w:hAnsi="Book Antiqua"/>
        </w:rPr>
        <w:t xml:space="preserve">, Kaplowitz N. Role of innate immunity in acetaminophen-induced hepatotoxicity. </w:t>
      </w:r>
      <w:r>
        <w:rPr>
          <w:rFonts w:ascii="Book Antiqua" w:hAnsi="Book Antiqua"/>
          <w:i/>
          <w:iCs/>
        </w:rPr>
        <w:t>Expert Opin Drug Metab Toxicol</w:t>
      </w:r>
      <w:r>
        <w:rPr>
          <w:rFonts w:ascii="Book Antiqua" w:hAnsi="Book Antiqua"/>
        </w:rPr>
        <w:t xml:space="preserve"> 2006; </w:t>
      </w:r>
      <w:r>
        <w:rPr>
          <w:rFonts w:ascii="Book Antiqua" w:hAnsi="Book Antiqua"/>
          <w:b/>
          <w:bCs/>
        </w:rPr>
        <w:t>2</w:t>
      </w:r>
      <w:r>
        <w:rPr>
          <w:rFonts w:ascii="Book Antiqua" w:hAnsi="Book Antiqua"/>
        </w:rPr>
        <w:t>: 493-503 [PMID: 16859400 DOI: 10.1517/17425255.2.4.493]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Shaw PJ</w:t>
      </w:r>
      <w:r>
        <w:rPr>
          <w:rFonts w:ascii="Book Antiqua" w:hAnsi="Book Antiqua"/>
        </w:rPr>
        <w:t xml:space="preserve">, Ganey PE, Roth RA. Idiosyncratic drug-induced liver injury and the role of inflammatory stress with an emphasis on an animal model of trovafloxacin hepatotoxicity. </w:t>
      </w:r>
      <w:r>
        <w:rPr>
          <w:rFonts w:ascii="Book Antiqua" w:hAnsi="Book Antiqua"/>
          <w:i/>
          <w:iCs/>
        </w:rPr>
        <w:t>Toxicol Sci</w:t>
      </w:r>
      <w:r>
        <w:rPr>
          <w:rFonts w:ascii="Book Antiqua" w:hAnsi="Book Antiqua"/>
        </w:rPr>
        <w:t xml:space="preserve"> 2010; </w:t>
      </w:r>
      <w:r>
        <w:rPr>
          <w:rFonts w:ascii="Book Antiqua" w:hAnsi="Book Antiqua"/>
          <w:b/>
          <w:bCs/>
        </w:rPr>
        <w:t>118</w:t>
      </w:r>
      <w:r>
        <w:rPr>
          <w:rFonts w:ascii="Book Antiqua" w:hAnsi="Book Antiqua"/>
        </w:rPr>
        <w:t>: 7-18 [PMID: 20538741 DOI: 10.1093/toxsci/kfq168]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Oda S</w:t>
      </w:r>
      <w:r>
        <w:rPr>
          <w:rFonts w:ascii="Book Antiqua" w:hAnsi="Book Antiqua"/>
        </w:rPr>
        <w:t xml:space="preserve">, Yokoi T. [Establishment of animal models of drug-induced liver injury and analysis of possible mechanisms]. </w:t>
      </w:r>
      <w:r>
        <w:rPr>
          <w:rFonts w:ascii="Book Antiqua" w:hAnsi="Book Antiqua"/>
          <w:i/>
          <w:iCs/>
        </w:rPr>
        <w:t>Yakugaku Zasshi</w:t>
      </w:r>
      <w:r>
        <w:rPr>
          <w:rFonts w:ascii="Book Antiqua" w:hAnsi="Book Antiqua"/>
        </w:rPr>
        <w:t xml:space="preserve"> 2015; </w:t>
      </w:r>
      <w:r>
        <w:rPr>
          <w:rFonts w:ascii="Book Antiqua" w:hAnsi="Book Antiqua"/>
          <w:b/>
          <w:bCs/>
        </w:rPr>
        <w:t>135</w:t>
      </w:r>
      <w:r>
        <w:rPr>
          <w:rFonts w:ascii="Book Antiqua" w:hAnsi="Book Antiqua"/>
        </w:rPr>
        <w:t>: 579-588 [PMID: 25832838 DOI: 10.1248/yakushi.14-00249-2]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Kraskiewicz H</w:t>
      </w:r>
      <w:r>
        <w:rPr>
          <w:rFonts w:ascii="Book Antiqua" w:hAnsi="Book Antiqua"/>
        </w:rPr>
        <w:t xml:space="preserve">, FitzGerald U. InterfERing with endoplasmic reticulum stress. </w:t>
      </w:r>
      <w:r>
        <w:rPr>
          <w:rFonts w:ascii="Book Antiqua" w:hAnsi="Book Antiqua"/>
          <w:i/>
          <w:iCs/>
        </w:rPr>
        <w:t>Trends Pharmacol Sci</w:t>
      </w:r>
      <w:r>
        <w:rPr>
          <w:rFonts w:ascii="Book Antiqua" w:hAnsi="Book Antiqua"/>
        </w:rPr>
        <w:t xml:space="preserve"> 2012; </w:t>
      </w:r>
      <w:r>
        <w:rPr>
          <w:rFonts w:ascii="Book Antiqua" w:hAnsi="Book Antiqua"/>
          <w:b/>
          <w:bCs/>
        </w:rPr>
        <w:t>33</w:t>
      </w:r>
      <w:r>
        <w:rPr>
          <w:rFonts w:ascii="Book Antiqua" w:hAnsi="Book Antiqua"/>
        </w:rPr>
        <w:t>: 53-63 [PMID: 22112465 DOI: 10.1016/j.tips.2011.10.002]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Zhang L</w:t>
      </w:r>
      <w:r>
        <w:rPr>
          <w:rFonts w:ascii="Book Antiqua" w:hAnsi="Book Antiqua"/>
        </w:rPr>
        <w:t xml:space="preserve">, Wang X, Cueto R, Effi C, Zhang Y, Tan H, Qin X, Ji Y, Yang X, Wang H. Biochemical basis and metabolic interplay of redox regulation. </w:t>
      </w:r>
      <w:r>
        <w:rPr>
          <w:rFonts w:ascii="Book Antiqua" w:hAnsi="Book Antiqua"/>
          <w:i/>
          <w:iCs/>
        </w:rPr>
        <w:t>Redox Biol</w:t>
      </w:r>
      <w:r>
        <w:rPr>
          <w:rFonts w:ascii="Book Antiqua" w:hAnsi="Book Antiqua"/>
        </w:rPr>
        <w:t xml:space="preserve"> 2019; </w:t>
      </w:r>
      <w:r>
        <w:rPr>
          <w:rFonts w:ascii="Book Antiqua" w:hAnsi="Book Antiqua"/>
          <w:b/>
          <w:bCs/>
        </w:rPr>
        <w:t>26</w:t>
      </w:r>
      <w:r>
        <w:rPr>
          <w:rFonts w:ascii="Book Antiqua" w:hAnsi="Book Antiqua"/>
        </w:rPr>
        <w:t>: 101284 [PMID: 31400697 DOI: 10.1016/j.redox.2019.101284]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Stanger BZ</w:t>
      </w:r>
      <w:r>
        <w:rPr>
          <w:rFonts w:ascii="Book Antiqua" w:hAnsi="Book Antiqua"/>
        </w:rPr>
        <w:t xml:space="preserve">. Cellular homeostasis and repair in the mammalian liver. </w:t>
      </w:r>
      <w:r>
        <w:rPr>
          <w:rFonts w:ascii="Book Antiqua" w:hAnsi="Book Antiqua"/>
          <w:i/>
          <w:iCs/>
        </w:rPr>
        <w:t>Annu Rev Physiol</w:t>
      </w:r>
      <w:r>
        <w:rPr>
          <w:rFonts w:ascii="Book Antiqua" w:hAnsi="Book Antiqua"/>
        </w:rPr>
        <w:t xml:space="preserve"> 2015; </w:t>
      </w:r>
      <w:r>
        <w:rPr>
          <w:rFonts w:ascii="Book Antiqua" w:hAnsi="Book Antiqua"/>
          <w:b/>
          <w:bCs/>
        </w:rPr>
        <w:t>77</w:t>
      </w:r>
      <w:r>
        <w:rPr>
          <w:rFonts w:ascii="Book Antiqua" w:hAnsi="Book Antiqua"/>
        </w:rPr>
        <w:t>: 179-200 [PMID: 25668020 DOI: 10.1146/annurev-physiol-021113-170255]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Yang R</w:t>
      </w:r>
      <w:r>
        <w:rPr>
          <w:rFonts w:ascii="Book Antiqua" w:hAnsi="Book Antiqua"/>
        </w:rPr>
        <w:t xml:space="preserve">, Tonnesseen TI. DAMPs and sterile inflammation in drug hepatotoxicity. </w:t>
      </w:r>
      <w:r>
        <w:rPr>
          <w:rFonts w:ascii="Book Antiqua" w:hAnsi="Book Antiqua"/>
          <w:i/>
          <w:iCs/>
        </w:rPr>
        <w:t>Hepatol Int</w:t>
      </w:r>
      <w:r>
        <w:rPr>
          <w:rFonts w:ascii="Book Antiqua" w:hAnsi="Book Antiqua"/>
        </w:rPr>
        <w:t xml:space="preserve"> 2019; </w:t>
      </w:r>
      <w:r>
        <w:rPr>
          <w:rFonts w:ascii="Book Antiqua" w:hAnsi="Book Antiqua"/>
          <w:b/>
          <w:bCs/>
        </w:rPr>
        <w:t>13</w:t>
      </w:r>
      <w:r>
        <w:rPr>
          <w:rFonts w:ascii="Book Antiqua" w:hAnsi="Book Antiqua"/>
        </w:rPr>
        <w:t>: 42-50 [PMID: 30474802 DOI: 10.1007/s12072-018-9911-9]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Bianchi ME</w:t>
      </w:r>
      <w:r>
        <w:rPr>
          <w:rFonts w:ascii="Book Antiqua" w:hAnsi="Book Antiqua"/>
        </w:rPr>
        <w:t xml:space="preserve">. DAMPs, PAMPs and alarmins: all we need to know about danger. </w:t>
      </w:r>
      <w:r>
        <w:rPr>
          <w:rFonts w:ascii="Book Antiqua" w:hAnsi="Book Antiqua"/>
          <w:i/>
          <w:iCs/>
        </w:rPr>
        <w:t>J Leukoc Biol</w:t>
      </w:r>
      <w:r>
        <w:rPr>
          <w:rFonts w:ascii="Book Antiqua" w:hAnsi="Book Antiqua"/>
        </w:rPr>
        <w:t xml:space="preserve"> 2007; </w:t>
      </w:r>
      <w:r>
        <w:rPr>
          <w:rFonts w:ascii="Book Antiqua" w:hAnsi="Book Antiqua"/>
          <w:b/>
          <w:bCs/>
        </w:rPr>
        <w:t>81</w:t>
      </w:r>
      <w:r>
        <w:rPr>
          <w:rFonts w:ascii="Book Antiqua" w:hAnsi="Book Antiqua"/>
        </w:rPr>
        <w:t>: 1-5 [PMID: 17032697 DOI: 10.1189/jlb.0306164]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Zanger UM</w:t>
      </w:r>
      <w:r>
        <w:rPr>
          <w:rFonts w:ascii="Book Antiqua" w:hAnsi="Book Antiqua"/>
        </w:rPr>
        <w:t xml:space="preserve">, Schwab M. Cytochrome P450 enzymes in drug metabolism: regulation of gene expression, enzyme activities, and impact of genetic variation. </w:t>
      </w:r>
      <w:r>
        <w:rPr>
          <w:rFonts w:ascii="Book Antiqua" w:hAnsi="Book Antiqua"/>
          <w:i/>
          <w:iCs/>
        </w:rPr>
        <w:t>Pharmacol Ther</w:t>
      </w:r>
      <w:r>
        <w:rPr>
          <w:rFonts w:ascii="Book Antiqua" w:hAnsi="Book Antiqua"/>
        </w:rPr>
        <w:t xml:space="preserve"> 2013; </w:t>
      </w:r>
      <w:r>
        <w:rPr>
          <w:rFonts w:ascii="Book Antiqua" w:hAnsi="Book Antiqua"/>
          <w:b/>
          <w:bCs/>
        </w:rPr>
        <w:t>138</w:t>
      </w:r>
      <w:r>
        <w:rPr>
          <w:rFonts w:ascii="Book Antiqua" w:hAnsi="Book Antiqua"/>
        </w:rPr>
        <w:t>: 103-141 [PMID: 23333322 DOI: 10.1016/j.pharmthera.2012.12.007]</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Smith RA</w:t>
      </w:r>
      <w:r>
        <w:rPr>
          <w:rFonts w:ascii="Book Antiqua" w:hAnsi="Book Antiqua"/>
        </w:rPr>
        <w:t xml:space="preserve">, Hartley RC, Cochemé HM, Murphy MP. Mitochondrial pharmacology. </w:t>
      </w:r>
      <w:r>
        <w:rPr>
          <w:rFonts w:ascii="Book Antiqua" w:hAnsi="Book Antiqua"/>
          <w:i/>
          <w:iCs/>
        </w:rPr>
        <w:t>Trends Pharmacol Sci</w:t>
      </w:r>
      <w:r>
        <w:rPr>
          <w:rFonts w:ascii="Book Antiqua" w:hAnsi="Book Antiqua"/>
        </w:rPr>
        <w:t xml:space="preserve"> 2012; </w:t>
      </w:r>
      <w:r>
        <w:rPr>
          <w:rFonts w:ascii="Book Antiqua" w:hAnsi="Book Antiqua"/>
          <w:b/>
          <w:bCs/>
        </w:rPr>
        <w:t>33</w:t>
      </w:r>
      <w:r>
        <w:rPr>
          <w:rFonts w:ascii="Book Antiqua" w:hAnsi="Book Antiqua"/>
        </w:rPr>
        <w:t>: 341-352 [PMID: 22521106 DOI: 10.1016/j.tips.2012.03.010]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Schuetz JD</w:t>
      </w:r>
      <w:r>
        <w:rPr>
          <w:rFonts w:ascii="Book Antiqua" w:hAnsi="Book Antiqua"/>
        </w:rPr>
        <w:t xml:space="preserve">, Swaan PW, Tweedie DJ. The role of transporters in toxicity and disease. </w:t>
      </w:r>
      <w:r>
        <w:rPr>
          <w:rFonts w:ascii="Book Antiqua" w:hAnsi="Book Antiqua"/>
          <w:i/>
          <w:iCs/>
        </w:rPr>
        <w:t>Drug Metab Dispos</w:t>
      </w:r>
      <w:r>
        <w:rPr>
          <w:rFonts w:ascii="Book Antiqua" w:hAnsi="Book Antiqua"/>
        </w:rPr>
        <w:t xml:space="preserve"> 2014; </w:t>
      </w:r>
      <w:r>
        <w:rPr>
          <w:rFonts w:ascii="Book Antiqua" w:hAnsi="Book Antiqua"/>
          <w:b/>
          <w:bCs/>
        </w:rPr>
        <w:t>42</w:t>
      </w:r>
      <w:r>
        <w:rPr>
          <w:rFonts w:ascii="Book Antiqua" w:hAnsi="Book Antiqua"/>
        </w:rPr>
        <w:t>: 541-545 [PMID: 24598705 DOI: 10.1124/dmd.114.057539]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Larson AM</w:t>
      </w:r>
      <w:r>
        <w:rPr>
          <w:rFonts w:ascii="Book Antiqua" w:hAnsi="Book Antiqua"/>
        </w:rPr>
        <w:t xml:space="preserve">, Polson J, Fontana RJ, Davern TJ, Lalani E, Hynan LS, Reisch JS, Schiødt FV, Ostapowicz G, Shakil AO, Lee WM; Acute Liver Failure Study Group. Acetaminophen-induced acute liver failure: results of a United States multicenter, prospective study. </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1364-1372 [PMID: 16317692 DOI: 10.1002/hep.20948]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Tujios SR</w:t>
      </w:r>
      <w:r>
        <w:rPr>
          <w:rFonts w:ascii="Book Antiqua" w:hAnsi="Book Antiqua"/>
        </w:rPr>
        <w:t xml:space="preserve">, Lee WM. Acute liver failure induced by idiosyncratic reaction to drugs: Challenges in diagnosis and therapy.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6-14 [PMID: 28771932 DOI: 10.1111/liv.13535]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Russmann S</w:t>
      </w:r>
      <w:r>
        <w:rPr>
          <w:rFonts w:ascii="Book Antiqua" w:hAnsi="Book Antiqua"/>
        </w:rPr>
        <w:t xml:space="preserve">, Kullak-Ublick GA, Grattagliano I. Current concepts of mechanisms in drug-induced hepatotoxicity. </w:t>
      </w:r>
      <w:r>
        <w:rPr>
          <w:rFonts w:ascii="Book Antiqua" w:hAnsi="Book Antiqua"/>
          <w:i/>
          <w:iCs/>
        </w:rPr>
        <w:t>Curr Med Chem</w:t>
      </w:r>
      <w:r>
        <w:rPr>
          <w:rFonts w:ascii="Book Antiqua" w:hAnsi="Book Antiqua"/>
        </w:rPr>
        <w:t xml:space="preserve"> 2009; </w:t>
      </w:r>
      <w:r>
        <w:rPr>
          <w:rFonts w:ascii="Book Antiqua" w:hAnsi="Book Antiqua"/>
          <w:b/>
          <w:bCs/>
        </w:rPr>
        <w:t>16</w:t>
      </w:r>
      <w:r>
        <w:rPr>
          <w:rFonts w:ascii="Book Antiqua" w:hAnsi="Book Antiqua"/>
        </w:rPr>
        <w:t>: 3041-3053 [PMID: 19689281 DOI: 10.2174/092986709788803097]</w:t>
      </w:r>
    </w:p>
    <w:p>
      <w:pPr>
        <w:spacing w:line="360" w:lineRule="auto"/>
        <w:jc w:val="both"/>
        <w:rPr>
          <w:rFonts w:ascii="Book Antiqua" w:hAnsi="Book Antiqua"/>
        </w:rPr>
      </w:pPr>
      <w:r>
        <w:rPr>
          <w:rFonts w:ascii="Book Antiqua" w:hAnsi="Book Antiqua"/>
        </w:rPr>
        <w:t xml:space="preserve">26 </w:t>
      </w:r>
      <w:r>
        <w:rPr>
          <w:rFonts w:ascii="Book Antiqua" w:hAnsi="Book Antiqua"/>
          <w:b/>
          <w:bCs/>
        </w:rPr>
        <w:t>Kuzu UB</w:t>
      </w:r>
      <w:r>
        <w:rPr>
          <w:rFonts w:ascii="Book Antiqua" w:hAnsi="Book Antiqua"/>
        </w:rPr>
        <w:t xml:space="preserve">, Öztaş E, Turhan N, Saygili F, Suna N, Yildiz H, Kaplan M, Akpinar MY, Akdoğan M, Kaçar S, Kiliç ZM, Köksal AŞ, Ödemiş B, Kayaçetin E. Clinical and histological features of idiosyncratic liver injury: Dilemma in diagnosis of autoimmune hepatitis. </w:t>
      </w:r>
      <w:r>
        <w:rPr>
          <w:rFonts w:ascii="Book Antiqua" w:hAnsi="Book Antiqua"/>
          <w:i/>
          <w:iCs/>
        </w:rPr>
        <w:t>Hepatol Res</w:t>
      </w:r>
      <w:r>
        <w:rPr>
          <w:rFonts w:ascii="Book Antiqua" w:hAnsi="Book Antiqua"/>
        </w:rPr>
        <w:t xml:space="preserve"> 2016; </w:t>
      </w:r>
      <w:r>
        <w:rPr>
          <w:rFonts w:ascii="Book Antiqua" w:hAnsi="Book Antiqua"/>
          <w:b/>
          <w:bCs/>
        </w:rPr>
        <w:t>46</w:t>
      </w:r>
      <w:r>
        <w:rPr>
          <w:rFonts w:ascii="Book Antiqua" w:hAnsi="Book Antiqua"/>
        </w:rPr>
        <w:t>: 277-291 [PMID: 25926402 DOI: 10.1111/hepr.12530]</w:t>
      </w:r>
    </w:p>
    <w:p>
      <w:pPr>
        <w:spacing w:line="360" w:lineRule="auto"/>
        <w:jc w:val="both"/>
        <w:rPr>
          <w:rFonts w:ascii="Book Antiqua" w:hAnsi="Book Antiqua"/>
        </w:rPr>
      </w:pPr>
      <w:r>
        <w:rPr>
          <w:rFonts w:ascii="Book Antiqua" w:hAnsi="Book Antiqua"/>
        </w:rPr>
        <w:t xml:space="preserve">27 </w:t>
      </w:r>
      <w:r>
        <w:rPr>
          <w:rFonts w:ascii="Book Antiqua" w:hAnsi="Book Antiqua"/>
          <w:b/>
          <w:bCs/>
        </w:rPr>
        <w:t>Liu ZX,</w:t>
      </w:r>
      <w:r>
        <w:rPr>
          <w:rFonts w:ascii="Book Antiqua" w:hAnsi="Book Antiqua"/>
        </w:rPr>
        <w:t xml:space="preserve"> Kaplowitz N. Immune Mechanisms in Drug-Induced Hepatotoxicity. In: Gershwin ME, Vierling JM, Manns MP, eds. Liver Immunology. Totowa, NJ: Humana Press; 2007: 363–374 [DOI: 10.1007/978-1-59745-518-3_29]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Uetrecht J</w:t>
      </w:r>
      <w:r>
        <w:rPr>
          <w:rFonts w:ascii="Book Antiqua" w:hAnsi="Book Antiqua"/>
        </w:rPr>
        <w:t xml:space="preserve">. Mechanistic Studies of Idiosyncratic DILI: Clinical Implications. </w:t>
      </w:r>
      <w:r>
        <w:rPr>
          <w:rFonts w:ascii="Book Antiqua" w:hAnsi="Book Antiqua"/>
          <w:i/>
          <w:iCs/>
        </w:rPr>
        <w:t>Front Pharmacol</w:t>
      </w:r>
      <w:r>
        <w:rPr>
          <w:rFonts w:ascii="Book Antiqua" w:hAnsi="Book Antiqua"/>
        </w:rPr>
        <w:t xml:space="preserve"> 2019; </w:t>
      </w:r>
      <w:r>
        <w:rPr>
          <w:rFonts w:ascii="Book Antiqua" w:hAnsi="Book Antiqua"/>
          <w:b/>
          <w:bCs/>
        </w:rPr>
        <w:t>10</w:t>
      </w:r>
      <w:r>
        <w:rPr>
          <w:rFonts w:ascii="Book Antiqua" w:hAnsi="Book Antiqua"/>
        </w:rPr>
        <w:t>: 837 [PMID: 31402866 DOI: 10.3389/fphar.2019.00837]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Fontana RJ</w:t>
      </w:r>
      <w:r>
        <w:rPr>
          <w:rFonts w:ascii="Book Antiqua" w:hAnsi="Book Antiqua"/>
        </w:rPr>
        <w:t xml:space="preserve">. Pathogenesis of idiosyncratic drug-induced liver injury and clinical perspectives. </w:t>
      </w:r>
      <w:r>
        <w:rPr>
          <w:rFonts w:ascii="Book Antiqua" w:hAnsi="Book Antiqua"/>
          <w:i/>
          <w:iCs/>
        </w:rPr>
        <w:t>Gastroenterology</w:t>
      </w:r>
      <w:r>
        <w:rPr>
          <w:rFonts w:ascii="Book Antiqua" w:hAnsi="Book Antiqua"/>
        </w:rPr>
        <w:t xml:space="preserve"> 2014; </w:t>
      </w:r>
      <w:r>
        <w:rPr>
          <w:rFonts w:ascii="Book Antiqua" w:hAnsi="Book Antiqua"/>
          <w:b/>
          <w:bCs/>
        </w:rPr>
        <w:t>146</w:t>
      </w:r>
      <w:r>
        <w:rPr>
          <w:rFonts w:ascii="Book Antiqua" w:hAnsi="Book Antiqua"/>
        </w:rPr>
        <w:t>: 914-928 [PMID: 24389305 DOI: 10.1053/j.gastro.2013.12.032]</w:t>
      </w:r>
    </w:p>
    <w:p>
      <w:pPr>
        <w:spacing w:line="360" w:lineRule="auto"/>
        <w:jc w:val="both"/>
        <w:rPr>
          <w:rFonts w:ascii="Book Antiqua" w:hAnsi="Book Antiqua"/>
        </w:rPr>
      </w:pPr>
      <w:r>
        <w:rPr>
          <w:rFonts w:ascii="Book Antiqua" w:hAnsi="Book Antiqua"/>
        </w:rPr>
        <w:t xml:space="preserve">30 </w:t>
      </w:r>
      <w:r>
        <w:rPr>
          <w:rFonts w:ascii="Book Antiqua" w:hAnsi="Book Antiqua"/>
          <w:b/>
          <w:bCs/>
        </w:rPr>
        <w:t>Mallal S</w:t>
      </w:r>
      <w:r>
        <w:rPr>
          <w:rFonts w:ascii="Book Antiqua" w:hAnsi="Book Antiqua"/>
        </w:rPr>
        <w:t xml:space="preserve">, Phillips E, Carosi G, Molina JM, Workman C, Tomazic J, Jägel-Guedes E, Rugina S, Kozyrev O, Cid JF, Hay P, Nolan D, Hughes S, Hughes A, Ryan S, Fitch N, Thorborn D, Benbow A; PREDICT-1 Study Team. HLA-B*5701 screening for hypersensitivity to abacavir. </w:t>
      </w:r>
      <w:r>
        <w:rPr>
          <w:rFonts w:ascii="Book Antiqua" w:hAnsi="Book Antiqua"/>
          <w:i/>
          <w:iCs/>
        </w:rPr>
        <w:t>N Engl J Med</w:t>
      </w:r>
      <w:r>
        <w:rPr>
          <w:rFonts w:ascii="Book Antiqua" w:hAnsi="Book Antiqua"/>
        </w:rPr>
        <w:t xml:space="preserve"> 2008; </w:t>
      </w:r>
      <w:r>
        <w:rPr>
          <w:rFonts w:ascii="Book Antiqua" w:hAnsi="Book Antiqua"/>
          <w:b/>
          <w:bCs/>
        </w:rPr>
        <w:t>358</w:t>
      </w:r>
      <w:r>
        <w:rPr>
          <w:rFonts w:ascii="Book Antiqua" w:hAnsi="Book Antiqua"/>
        </w:rPr>
        <w:t>: 568-579 [PMID: 18256392 DOI: 10.1056/NEJMoa0706135]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Russmann S</w:t>
      </w:r>
      <w:r>
        <w:rPr>
          <w:rFonts w:ascii="Book Antiqua" w:hAnsi="Book Antiqua"/>
        </w:rPr>
        <w:t xml:space="preserve">, Jetter A, Kullak-Ublick GA. Pharmacogenetics of drug-induced liver injury.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748-761 [PMID: 20607838 DOI: 10.1002/hep.23720]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Sebode M</w:t>
      </w:r>
      <w:r>
        <w:rPr>
          <w:rFonts w:ascii="Book Antiqua" w:hAnsi="Book Antiqua"/>
        </w:rPr>
        <w:t xml:space="preserve">, Schulz L, Lohse AW. "Autoimmune(-Like)" Drug and Herb Induced Liver Injury: New Insights into Molecular Pathogenesis.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28895915 DOI: 10.3390/ijms18091954]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Han D</w:t>
      </w:r>
      <w:r>
        <w:rPr>
          <w:rFonts w:ascii="Book Antiqua" w:hAnsi="Book Antiqua"/>
        </w:rPr>
        <w:t xml:space="preserve">, Dara L, Win S, Than TA, Yuan L, Abbasi SQ, Liu ZX, Kaplowitz N. Regulation of drug-induced liver injury by signal transduction pathways: critical role of mitochondria. </w:t>
      </w:r>
      <w:r>
        <w:rPr>
          <w:rFonts w:ascii="Book Antiqua" w:hAnsi="Book Antiqua"/>
          <w:i/>
          <w:iCs/>
        </w:rPr>
        <w:t>Trends Pharmacol Sci</w:t>
      </w:r>
      <w:r>
        <w:rPr>
          <w:rFonts w:ascii="Book Antiqua" w:hAnsi="Book Antiqua"/>
        </w:rPr>
        <w:t xml:space="preserve"> 2013; </w:t>
      </w:r>
      <w:r>
        <w:rPr>
          <w:rFonts w:ascii="Book Antiqua" w:hAnsi="Book Antiqua"/>
          <w:b/>
          <w:bCs/>
        </w:rPr>
        <w:t>34</w:t>
      </w:r>
      <w:r>
        <w:rPr>
          <w:rFonts w:ascii="Book Antiqua" w:hAnsi="Book Antiqua"/>
        </w:rPr>
        <w:t>: 243-253 [PMID: 23453390 DOI: 10.1016/j.tips.2013.01.009]</w:t>
      </w:r>
    </w:p>
    <w:p>
      <w:pPr>
        <w:spacing w:line="360" w:lineRule="auto"/>
        <w:jc w:val="both"/>
        <w:rPr>
          <w:rFonts w:ascii="Book Antiqua" w:hAnsi="Book Antiqua"/>
        </w:rPr>
      </w:pPr>
      <w:r>
        <w:rPr>
          <w:rFonts w:ascii="Book Antiqua" w:hAnsi="Book Antiqua"/>
        </w:rPr>
        <w:t xml:space="preserve">34 </w:t>
      </w:r>
      <w:r>
        <w:rPr>
          <w:rFonts w:ascii="Book Antiqua" w:hAnsi="Book Antiqua"/>
          <w:b/>
          <w:bCs/>
        </w:rPr>
        <w:t>Lotze MT</w:t>
      </w:r>
      <w:r>
        <w:rPr>
          <w:rFonts w:ascii="Book Antiqua" w:hAnsi="Book Antiqua"/>
        </w:rPr>
        <w:t xml:space="preserve">, Tracey KJ. High-mobility group box 1 protein (HMGB1): nuclear weapon in the immune arsenal. </w:t>
      </w:r>
      <w:r>
        <w:rPr>
          <w:rFonts w:ascii="Book Antiqua" w:hAnsi="Book Antiqua"/>
          <w:i/>
          <w:iCs/>
        </w:rPr>
        <w:t>Nat Rev Immunol</w:t>
      </w:r>
      <w:r>
        <w:rPr>
          <w:rFonts w:ascii="Book Antiqua" w:hAnsi="Book Antiqua"/>
        </w:rPr>
        <w:t xml:space="preserve"> 2005; </w:t>
      </w:r>
      <w:r>
        <w:rPr>
          <w:rFonts w:ascii="Book Antiqua" w:hAnsi="Book Antiqua"/>
          <w:b/>
          <w:bCs/>
        </w:rPr>
        <w:t>5</w:t>
      </w:r>
      <w:r>
        <w:rPr>
          <w:rFonts w:ascii="Book Antiqua" w:hAnsi="Book Antiqua"/>
        </w:rPr>
        <w:t>: 331-342 [PMID: 15803152 DOI: 10.1038/nri1594]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Kullak-Ublick GA</w:t>
      </w:r>
      <w:r>
        <w:rPr>
          <w:rFonts w:ascii="Book Antiqua" w:hAnsi="Book Antiqua"/>
        </w:rPr>
        <w:t xml:space="preserve">, Andrade RJ, Merz M, End P, Benesic A, Gerbes AL, Aithal GP. Drug-induced liver injury: recent advances in diagnosis and risk assessment.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1154-1164 [PMID: 28341748 DOI: 10.1136/gutjnl-2016-313369]</w:t>
      </w:r>
    </w:p>
    <w:p>
      <w:pPr>
        <w:spacing w:line="360" w:lineRule="auto"/>
        <w:jc w:val="both"/>
        <w:rPr>
          <w:rFonts w:ascii="Book Antiqua" w:hAnsi="Book Antiqua"/>
          <w:lang w:val="pt-BR"/>
        </w:rPr>
      </w:pPr>
      <w:r>
        <w:rPr>
          <w:rFonts w:ascii="Book Antiqua" w:hAnsi="Book Antiqua"/>
        </w:rPr>
        <w:t xml:space="preserve">36 </w:t>
      </w:r>
      <w:r>
        <w:rPr>
          <w:rFonts w:ascii="Book Antiqua" w:hAnsi="Book Antiqua"/>
          <w:b/>
          <w:bCs/>
        </w:rPr>
        <w:t>Larrey D</w:t>
      </w:r>
      <w:r>
        <w:rPr>
          <w:rFonts w:ascii="Book Antiqua" w:hAnsi="Book Antiqua"/>
        </w:rPr>
        <w:t xml:space="preserve">, Pageaux GP. Drug-induced acute liver failure. </w:t>
      </w:r>
      <w:r>
        <w:rPr>
          <w:rFonts w:ascii="Book Antiqua" w:hAnsi="Book Antiqua"/>
          <w:i/>
          <w:iCs/>
          <w:lang w:val="pt-BR"/>
        </w:rPr>
        <w:t>Eur J Gastroenterol Hepatol</w:t>
      </w:r>
      <w:r>
        <w:rPr>
          <w:rFonts w:ascii="Book Antiqua" w:hAnsi="Book Antiqua"/>
          <w:lang w:val="pt-BR"/>
        </w:rPr>
        <w:t xml:space="preserve"> 2005; </w:t>
      </w:r>
      <w:r>
        <w:rPr>
          <w:rFonts w:ascii="Book Antiqua" w:hAnsi="Book Antiqua"/>
          <w:b/>
          <w:bCs/>
          <w:lang w:val="pt-BR"/>
        </w:rPr>
        <w:t>17</w:t>
      </w:r>
      <w:r>
        <w:rPr>
          <w:rFonts w:ascii="Book Antiqua" w:hAnsi="Book Antiqua"/>
          <w:lang w:val="pt-BR"/>
        </w:rPr>
        <w:t>: 141-143 [PMID: 15674089 DOI: 10.1097/00042737-200502000-00002]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Lee WM</w:t>
      </w:r>
      <w:r>
        <w:rPr>
          <w:rFonts w:ascii="Book Antiqua" w:hAnsi="Book Antiqua"/>
        </w:rPr>
        <w:t xml:space="preserve">. Drug-induced acute liver failure. </w:t>
      </w:r>
      <w:r>
        <w:rPr>
          <w:rFonts w:ascii="Book Antiqua" w:hAnsi="Book Antiqua"/>
          <w:i/>
          <w:iCs/>
        </w:rPr>
        <w:t>Clin Liver Dis</w:t>
      </w:r>
      <w:r>
        <w:rPr>
          <w:rFonts w:ascii="Book Antiqua" w:hAnsi="Book Antiqua"/>
        </w:rPr>
        <w:t xml:space="preserve"> 2013; </w:t>
      </w:r>
      <w:r>
        <w:rPr>
          <w:rFonts w:ascii="Book Antiqua" w:hAnsi="Book Antiqua"/>
          <w:b/>
          <w:bCs/>
        </w:rPr>
        <w:t>17</w:t>
      </w:r>
      <w:r>
        <w:rPr>
          <w:rFonts w:ascii="Book Antiqua" w:hAnsi="Book Antiqua"/>
        </w:rPr>
        <w:t>: 575-586, viii [PMID: 24099019 DOI: 10.1016/j.cld.2013.07.001]</w:t>
      </w:r>
    </w:p>
    <w:p>
      <w:pPr>
        <w:spacing w:line="360" w:lineRule="auto"/>
        <w:jc w:val="both"/>
        <w:rPr>
          <w:rFonts w:ascii="Book Antiqua" w:hAnsi="Book Antiqua"/>
        </w:rPr>
      </w:pPr>
      <w:r>
        <w:rPr>
          <w:rFonts w:ascii="Book Antiqua" w:hAnsi="Book Antiqua"/>
        </w:rPr>
        <w:t xml:space="preserve">38 </w:t>
      </w:r>
      <w:r>
        <w:rPr>
          <w:rFonts w:ascii="Book Antiqua" w:hAnsi="Book Antiqua"/>
          <w:b/>
          <w:bCs/>
        </w:rPr>
        <w:t>Argo CK</w:t>
      </w:r>
      <w:r>
        <w:rPr>
          <w:rFonts w:ascii="Book Antiqua" w:hAnsi="Book Antiqua"/>
        </w:rPr>
        <w:t xml:space="preserve">, Caldwell SH. Editorial: Severe Acute Liver Injury: Cause Connects to Outcome.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1397-1399 [PMID: 28874859 DOI: 10.1038/ajg.2017.221]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Koch DG</w:t>
      </w:r>
      <w:r>
        <w:rPr>
          <w:rFonts w:ascii="Book Antiqua" w:hAnsi="Book Antiqua"/>
        </w:rPr>
        <w:t xml:space="preserve">, Speiser JL, Durkalski V, Fontana RJ, Davern T, McGuire B, Stravitz RT, Larson AM, Liou I, Fix O, Schilsky ML, McCashland T, Hay JE, Murray N, Shaikh OS, Ganger D, Zaman A, Han SB, Chung RT, Brown RS, Munoz S, Reddy KR, Rossaro L, Satyanarayana R, Hanje AJ, Olson J, Subramanian RM, Karvellas C, Hameed B, Sherker AH, Lee WM, Reuben A. The Natural History of Severe Acute Liver Injury.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1389-1396 [PMID: 28440304 DOI: 10.1038/ajg.2017.98]</w:t>
      </w:r>
    </w:p>
    <w:p>
      <w:pPr>
        <w:spacing w:line="360" w:lineRule="auto"/>
        <w:jc w:val="both"/>
        <w:rPr>
          <w:rFonts w:ascii="Book Antiqua" w:hAnsi="Book Antiqua"/>
        </w:rPr>
      </w:pPr>
      <w:r>
        <w:rPr>
          <w:rFonts w:ascii="Book Antiqua" w:hAnsi="Book Antiqua"/>
        </w:rPr>
        <w:t xml:space="preserve">40 </w:t>
      </w:r>
      <w:r>
        <w:rPr>
          <w:rFonts w:ascii="Book Antiqua" w:hAnsi="Book Antiqua"/>
          <w:b/>
          <w:bCs/>
        </w:rPr>
        <w:t>Antoniades CG</w:t>
      </w:r>
      <w:r>
        <w:rPr>
          <w:rFonts w:ascii="Book Antiqua" w:hAnsi="Book Antiqua"/>
        </w:rPr>
        <w:t xml:space="preserve">, Berry PA, Wendon JA, Vergani D. The importance of immune dysfunction in determining outcome in acute liver failure. </w:t>
      </w:r>
      <w:r>
        <w:rPr>
          <w:rFonts w:ascii="Book Antiqua" w:hAnsi="Book Antiqua"/>
          <w:i/>
          <w:iCs/>
        </w:rPr>
        <w:t>J Hepatol</w:t>
      </w:r>
      <w:r>
        <w:rPr>
          <w:rFonts w:ascii="Book Antiqua" w:hAnsi="Book Antiqua"/>
        </w:rPr>
        <w:t xml:space="preserve"> 2008; </w:t>
      </w:r>
      <w:r>
        <w:rPr>
          <w:rFonts w:ascii="Book Antiqua" w:hAnsi="Book Antiqua"/>
          <w:b/>
          <w:bCs/>
        </w:rPr>
        <w:t>49</w:t>
      </w:r>
      <w:r>
        <w:rPr>
          <w:rFonts w:ascii="Book Antiqua" w:hAnsi="Book Antiqua"/>
        </w:rPr>
        <w:t>: 845-861 [PMID: 18801592 DOI: 10.1016/j.jhep.2008.08.009]</w:t>
      </w:r>
    </w:p>
    <w:p>
      <w:pPr>
        <w:spacing w:line="360" w:lineRule="auto"/>
        <w:jc w:val="both"/>
        <w:rPr>
          <w:rFonts w:ascii="Book Antiqua" w:hAnsi="Book Antiqua"/>
        </w:rPr>
      </w:pPr>
      <w:r>
        <w:rPr>
          <w:rFonts w:ascii="Book Antiqua" w:hAnsi="Book Antiqua"/>
        </w:rPr>
        <w:t xml:space="preserve">41 </w:t>
      </w:r>
      <w:r>
        <w:rPr>
          <w:rFonts w:ascii="Book Antiqua" w:hAnsi="Book Antiqua"/>
          <w:b/>
          <w:bCs/>
        </w:rPr>
        <w:t>Yang Q</w:t>
      </w:r>
      <w:r>
        <w:rPr>
          <w:rFonts w:ascii="Book Antiqua" w:hAnsi="Book Antiqua"/>
        </w:rPr>
        <w:t xml:space="preserve">, Shi Y, He J, Chen Z. The evolving story of macrophages in acute liver failure. </w:t>
      </w:r>
      <w:r>
        <w:rPr>
          <w:rFonts w:ascii="Book Antiqua" w:hAnsi="Book Antiqua"/>
          <w:i/>
          <w:iCs/>
        </w:rPr>
        <w:t>Immunol Lett</w:t>
      </w:r>
      <w:r>
        <w:rPr>
          <w:rFonts w:ascii="Book Antiqua" w:hAnsi="Book Antiqua"/>
        </w:rPr>
        <w:t xml:space="preserve"> 2012; </w:t>
      </w:r>
      <w:r>
        <w:rPr>
          <w:rFonts w:ascii="Book Antiqua" w:hAnsi="Book Antiqua"/>
          <w:b/>
          <w:bCs/>
        </w:rPr>
        <w:t>147</w:t>
      </w:r>
      <w:r>
        <w:rPr>
          <w:rFonts w:ascii="Book Antiqua" w:hAnsi="Book Antiqua"/>
        </w:rPr>
        <w:t>: 1-9 [PMID: 22820147 DOI: 10.1016/j.imlet.2012.07.002]</w:t>
      </w:r>
    </w:p>
    <w:p>
      <w:pPr>
        <w:spacing w:line="360" w:lineRule="auto"/>
        <w:jc w:val="both"/>
        <w:rPr>
          <w:rFonts w:ascii="Book Antiqua" w:hAnsi="Book Antiqua"/>
        </w:rPr>
      </w:pPr>
      <w:r>
        <w:rPr>
          <w:rFonts w:ascii="Book Antiqua" w:hAnsi="Book Antiqua"/>
        </w:rPr>
        <w:t xml:space="preserve">42 </w:t>
      </w:r>
      <w:r>
        <w:rPr>
          <w:rFonts w:ascii="Book Antiqua" w:hAnsi="Book Antiqua"/>
          <w:b/>
          <w:bCs/>
        </w:rPr>
        <w:t>Yoon E</w:t>
      </w:r>
      <w:r>
        <w:rPr>
          <w:rFonts w:ascii="Book Antiqua" w:hAnsi="Book Antiqua"/>
        </w:rPr>
        <w:t xml:space="preserve">, Babar A, Choudhary M, Kutner M, Pyrsopoulos N. Acetaminophen-Induced Hepatotoxicity: a Comprehensive Update. </w:t>
      </w:r>
      <w:r>
        <w:rPr>
          <w:rFonts w:ascii="Book Antiqua" w:hAnsi="Book Antiqua"/>
          <w:i/>
          <w:iCs/>
        </w:rPr>
        <w:t>J Clin Transl Hepatol</w:t>
      </w:r>
      <w:r>
        <w:rPr>
          <w:rFonts w:ascii="Book Antiqua" w:hAnsi="Book Antiqua"/>
        </w:rPr>
        <w:t xml:space="preserve"> 2016; </w:t>
      </w:r>
      <w:r>
        <w:rPr>
          <w:rFonts w:ascii="Book Antiqua" w:hAnsi="Book Antiqua"/>
          <w:b/>
          <w:bCs/>
        </w:rPr>
        <w:t>4</w:t>
      </w:r>
      <w:r>
        <w:rPr>
          <w:rFonts w:ascii="Book Antiqua" w:hAnsi="Book Antiqua"/>
        </w:rPr>
        <w:t>: 131-142 [PMID: 27350943 DOI: 10.14218/JCTH.2015.00052]</w:t>
      </w:r>
    </w:p>
    <w:p>
      <w:pPr>
        <w:spacing w:line="360" w:lineRule="auto"/>
        <w:jc w:val="both"/>
        <w:rPr>
          <w:rFonts w:ascii="Book Antiqua" w:hAnsi="Book Antiqua"/>
        </w:rPr>
      </w:pPr>
      <w:r>
        <w:rPr>
          <w:rFonts w:ascii="Book Antiqua" w:hAnsi="Book Antiqua"/>
        </w:rPr>
        <w:t xml:space="preserve">43 </w:t>
      </w:r>
      <w:r>
        <w:rPr>
          <w:rFonts w:ascii="Book Antiqua" w:hAnsi="Book Antiqua"/>
          <w:b/>
          <w:bCs/>
        </w:rPr>
        <w:t>Tittarelli R</w:t>
      </w:r>
      <w:r>
        <w:rPr>
          <w:rFonts w:ascii="Book Antiqua" w:hAnsi="Book Antiqua"/>
        </w:rPr>
        <w:t xml:space="preserve">, Pellegrini M, Scarpellini MG, Marinelli E, Bruti V, di Luca NM, Busardò FP, Zaami S. Hepatotoxicity of paracetamol and related fatalities. </w:t>
      </w:r>
      <w:r>
        <w:rPr>
          <w:rFonts w:ascii="Book Antiqua" w:hAnsi="Book Antiqua"/>
          <w:i/>
          <w:iCs/>
        </w:rPr>
        <w:t>Eur Rev Med Pharmacol Sci</w:t>
      </w:r>
      <w:r>
        <w:rPr>
          <w:rFonts w:ascii="Book Antiqua" w:hAnsi="Book Antiqua"/>
        </w:rPr>
        <w:t xml:space="preserve"> 2017; </w:t>
      </w:r>
      <w:r>
        <w:rPr>
          <w:rFonts w:ascii="Book Antiqua" w:hAnsi="Book Antiqua"/>
          <w:b/>
          <w:bCs/>
        </w:rPr>
        <w:t>21</w:t>
      </w:r>
      <w:r>
        <w:rPr>
          <w:rFonts w:ascii="Book Antiqua" w:hAnsi="Book Antiqua"/>
        </w:rPr>
        <w:t>: 95-101 [PMID: 28379590]</w:t>
      </w:r>
    </w:p>
    <w:p>
      <w:pPr>
        <w:spacing w:line="360" w:lineRule="auto"/>
        <w:jc w:val="both"/>
        <w:rPr>
          <w:rFonts w:ascii="Book Antiqua" w:hAnsi="Book Antiqua"/>
        </w:rPr>
      </w:pPr>
      <w:r>
        <w:rPr>
          <w:rFonts w:ascii="Book Antiqua" w:hAnsi="Book Antiqua"/>
        </w:rPr>
        <w:t xml:space="preserve">44 </w:t>
      </w:r>
      <w:r>
        <w:rPr>
          <w:rFonts w:ascii="Book Antiqua" w:hAnsi="Book Antiqua"/>
          <w:b/>
          <w:bCs/>
        </w:rPr>
        <w:t>Rotundo L</w:t>
      </w:r>
      <w:r>
        <w:rPr>
          <w:rFonts w:ascii="Book Antiqua" w:hAnsi="Book Antiqua"/>
        </w:rPr>
        <w:t xml:space="preserve">, Pyrsopoulos N. Liver injury induced by paracetamol and challenges associated with intentional and unintentional use. </w:t>
      </w:r>
      <w:r>
        <w:rPr>
          <w:rFonts w:ascii="Book Antiqua" w:hAnsi="Book Antiqua"/>
          <w:i/>
          <w:iCs/>
        </w:rPr>
        <w:t>World J Hepatol</w:t>
      </w:r>
      <w:r>
        <w:rPr>
          <w:rFonts w:ascii="Book Antiqua" w:hAnsi="Book Antiqua"/>
        </w:rPr>
        <w:t xml:space="preserve"> 2020; </w:t>
      </w:r>
      <w:r>
        <w:rPr>
          <w:rFonts w:ascii="Book Antiqua" w:hAnsi="Book Antiqua"/>
          <w:b/>
          <w:bCs/>
        </w:rPr>
        <w:t>12</w:t>
      </w:r>
      <w:r>
        <w:rPr>
          <w:rFonts w:ascii="Book Antiqua" w:hAnsi="Book Antiqua"/>
        </w:rPr>
        <w:t>: 125-136 [PMID: 32685105 DOI: 10.4254/wjh.v12.i4.125]</w:t>
      </w:r>
    </w:p>
    <w:p>
      <w:pPr>
        <w:spacing w:line="360" w:lineRule="auto"/>
        <w:jc w:val="both"/>
        <w:rPr>
          <w:rFonts w:ascii="Book Antiqua" w:hAnsi="Book Antiqua"/>
        </w:rPr>
      </w:pPr>
      <w:r>
        <w:rPr>
          <w:rFonts w:ascii="Book Antiqua" w:hAnsi="Book Antiqua"/>
        </w:rPr>
        <w:t xml:space="preserve">45 </w:t>
      </w:r>
      <w:r>
        <w:rPr>
          <w:rFonts w:ascii="Book Antiqua" w:hAnsi="Book Antiqua"/>
          <w:b/>
          <w:bCs/>
        </w:rPr>
        <w:t>Krenkel O</w:t>
      </w:r>
      <w:r>
        <w:rPr>
          <w:rFonts w:ascii="Book Antiqua" w:hAnsi="Book Antiqua"/>
        </w:rPr>
        <w:t xml:space="preserve">, Mossanen JC, Tacke F. Immune mechanisms in acetaminophen-induced acute liver failure. </w:t>
      </w:r>
      <w:r>
        <w:rPr>
          <w:rFonts w:ascii="Book Antiqua" w:hAnsi="Book Antiqua"/>
          <w:i/>
          <w:iCs/>
        </w:rPr>
        <w:t>Hepatobiliary Surg Nutr</w:t>
      </w:r>
      <w:r>
        <w:rPr>
          <w:rFonts w:ascii="Book Antiqua" w:hAnsi="Book Antiqua"/>
        </w:rPr>
        <w:t xml:space="preserve"> 2014; </w:t>
      </w:r>
      <w:r>
        <w:rPr>
          <w:rFonts w:ascii="Book Antiqua" w:hAnsi="Book Antiqua"/>
          <w:b/>
          <w:bCs/>
        </w:rPr>
        <w:t>3</w:t>
      </w:r>
      <w:r>
        <w:rPr>
          <w:rFonts w:ascii="Book Antiqua" w:hAnsi="Book Antiqua"/>
        </w:rPr>
        <w:t>: 331-343 [PMID: 25568858 DOI: 10.3978/j.issn.2304-3881.2014.11.01]</w:t>
      </w:r>
    </w:p>
    <w:p>
      <w:pPr>
        <w:spacing w:line="360" w:lineRule="auto"/>
        <w:jc w:val="both"/>
        <w:rPr>
          <w:rFonts w:ascii="Book Antiqua" w:hAnsi="Book Antiqua"/>
        </w:rPr>
      </w:pPr>
      <w:r>
        <w:rPr>
          <w:rFonts w:ascii="Book Antiqua" w:hAnsi="Book Antiqua"/>
        </w:rPr>
        <w:t xml:space="preserve">46 </w:t>
      </w:r>
      <w:r>
        <w:rPr>
          <w:rFonts w:ascii="Book Antiqua" w:hAnsi="Book Antiqua"/>
          <w:b/>
          <w:bCs/>
        </w:rPr>
        <w:t>Mossanen JC</w:t>
      </w:r>
      <w:r>
        <w:rPr>
          <w:rFonts w:ascii="Book Antiqua" w:hAnsi="Book Antiqua"/>
        </w:rPr>
        <w:t xml:space="preserve">, Krenkel O, Ergen C, Govaere O, Liepelt A, Puengel T, Heymann F, Kalthoff S, Lefebvre E, Eulberg D, Luedde T, Marx G, Strassburg CP, Roskams T, Trautwein C, Tacke F. Chemokine (C-C motif) receptor 2-positive monocytes aggravate the early phase of acetaminophen-induced acute liver injury.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1667-1682 [PMID: 27302828 DOI: 10.1002/hep.28682]</w:t>
      </w:r>
    </w:p>
    <w:p>
      <w:pPr>
        <w:spacing w:line="360" w:lineRule="auto"/>
        <w:jc w:val="both"/>
        <w:rPr>
          <w:rFonts w:ascii="Book Antiqua" w:hAnsi="Book Antiqua"/>
        </w:rPr>
      </w:pPr>
      <w:r>
        <w:rPr>
          <w:rFonts w:ascii="Book Antiqua" w:hAnsi="Book Antiqua"/>
        </w:rPr>
        <w:t xml:space="preserve">47 </w:t>
      </w:r>
      <w:r>
        <w:rPr>
          <w:rFonts w:ascii="Book Antiqua" w:hAnsi="Book Antiqua"/>
          <w:b/>
          <w:bCs/>
        </w:rPr>
        <w:t>Yan M</w:t>
      </w:r>
      <w:r>
        <w:rPr>
          <w:rFonts w:ascii="Book Antiqua" w:hAnsi="Book Antiqua"/>
        </w:rPr>
        <w:t xml:space="preserve">, Huo Y, Yin S, Hu H. Mechanisms of acetaminophen-induced liver injury and its implications for therapeutic interventions. </w:t>
      </w:r>
      <w:r>
        <w:rPr>
          <w:rFonts w:ascii="Book Antiqua" w:hAnsi="Book Antiqua"/>
          <w:i/>
          <w:iCs/>
        </w:rPr>
        <w:t>Redox Biol</w:t>
      </w:r>
      <w:r>
        <w:rPr>
          <w:rFonts w:ascii="Book Antiqua" w:hAnsi="Book Antiqua"/>
        </w:rPr>
        <w:t xml:space="preserve"> 2018; </w:t>
      </w:r>
      <w:r>
        <w:rPr>
          <w:rFonts w:ascii="Book Antiqua" w:hAnsi="Book Antiqua"/>
          <w:b/>
          <w:bCs/>
        </w:rPr>
        <w:t>17</w:t>
      </w:r>
      <w:r>
        <w:rPr>
          <w:rFonts w:ascii="Book Antiqua" w:hAnsi="Book Antiqua"/>
        </w:rPr>
        <w:t>: 274-283 [PMID: 29753208 DOI: 10.1016/j.redox.2018.04.019]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Guo H</w:t>
      </w:r>
      <w:r>
        <w:rPr>
          <w:rFonts w:ascii="Book Antiqua" w:hAnsi="Book Antiqua"/>
        </w:rPr>
        <w:t xml:space="preserve">, Chen S, Xie M, Zhou C, Zheng M. The complex roles of neutrophils in APAP-induced liver injury. </w:t>
      </w:r>
      <w:r>
        <w:rPr>
          <w:rFonts w:ascii="Book Antiqua" w:hAnsi="Book Antiqua"/>
          <w:i/>
          <w:iCs/>
        </w:rPr>
        <w:t>Cell Prolif</w:t>
      </w:r>
      <w:r>
        <w:rPr>
          <w:rFonts w:ascii="Book Antiqua" w:hAnsi="Book Antiqua"/>
        </w:rPr>
        <w:t xml:space="preserve"> 2021; </w:t>
      </w:r>
      <w:r>
        <w:rPr>
          <w:rFonts w:ascii="Book Antiqua" w:hAnsi="Book Antiqua"/>
          <w:b/>
          <w:bCs/>
        </w:rPr>
        <w:t>54</w:t>
      </w:r>
      <w:r>
        <w:rPr>
          <w:rFonts w:ascii="Book Antiqua" w:hAnsi="Book Antiqua"/>
        </w:rPr>
        <w:t>: e13040 [PMID: 33942422 DOI: 10.1111/cpr.13040]</w:t>
      </w:r>
    </w:p>
    <w:p>
      <w:pPr>
        <w:spacing w:line="360" w:lineRule="auto"/>
        <w:jc w:val="both"/>
        <w:rPr>
          <w:rFonts w:ascii="Book Antiqua" w:hAnsi="Book Antiqua"/>
        </w:rPr>
      </w:pPr>
      <w:r>
        <w:rPr>
          <w:rFonts w:ascii="Book Antiqua" w:hAnsi="Book Antiqua"/>
        </w:rPr>
        <w:t xml:space="preserve">49 </w:t>
      </w:r>
      <w:r>
        <w:rPr>
          <w:rFonts w:ascii="Book Antiqua" w:hAnsi="Book Antiqua"/>
          <w:b/>
          <w:bCs/>
        </w:rPr>
        <w:t>Dakhoul L</w:t>
      </w:r>
      <w:r>
        <w:rPr>
          <w:rFonts w:ascii="Book Antiqua" w:hAnsi="Book Antiqua"/>
        </w:rPr>
        <w:t xml:space="preserve">, Ghabril M, Chalasani N. Drug-induced chronic liver injury.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248-250 [PMID: 29598958 DOI: 10.1016/j.jhep.2018.01.001]</w:t>
      </w:r>
    </w:p>
    <w:p>
      <w:pPr>
        <w:spacing w:line="360" w:lineRule="auto"/>
        <w:jc w:val="both"/>
        <w:rPr>
          <w:rFonts w:ascii="Book Antiqua" w:hAnsi="Book Antiqua"/>
        </w:rPr>
      </w:pPr>
      <w:r>
        <w:rPr>
          <w:rFonts w:ascii="Book Antiqua" w:hAnsi="Book Antiqua"/>
          <w:lang w:val="it-IT"/>
        </w:rPr>
        <w:t xml:space="preserve">50 </w:t>
      </w:r>
      <w:r>
        <w:rPr>
          <w:rFonts w:ascii="Book Antiqua" w:hAnsi="Book Antiqua"/>
          <w:b/>
          <w:bCs/>
          <w:lang w:val="it-IT"/>
        </w:rPr>
        <w:t>Ortega-Alonso A</w:t>
      </w:r>
      <w:r>
        <w:rPr>
          <w:rFonts w:ascii="Book Antiqua" w:hAnsi="Book Antiqua"/>
          <w:lang w:val="it-IT"/>
        </w:rPr>
        <w:t xml:space="preserve">, Stephens C, Lucena MI, Andrade RJ. </w:t>
      </w:r>
      <w:r>
        <w:rPr>
          <w:rFonts w:ascii="Book Antiqua" w:hAnsi="Book Antiqua"/>
        </w:rPr>
        <w:t xml:space="preserve">Case Characterization, Clinical Features and Risk Factors in Drug-Induced Liver Injury. </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xml:space="preserve"> [PMID: 27187363 DOI: 10.3390/ijms17050714]</w:t>
      </w:r>
    </w:p>
    <w:p>
      <w:pPr>
        <w:spacing w:line="360" w:lineRule="auto"/>
        <w:jc w:val="both"/>
        <w:rPr>
          <w:rFonts w:ascii="Book Antiqua" w:hAnsi="Book Antiqua"/>
        </w:rPr>
      </w:pPr>
      <w:r>
        <w:rPr>
          <w:rFonts w:ascii="Book Antiqua" w:hAnsi="Book Antiqua"/>
        </w:rPr>
        <w:t xml:space="preserve">51 </w:t>
      </w:r>
      <w:r>
        <w:rPr>
          <w:rFonts w:ascii="Book Antiqua" w:hAnsi="Book Antiqua"/>
          <w:b/>
          <w:bCs/>
        </w:rPr>
        <w:t>Vaja R,</w:t>
      </w:r>
      <w:r>
        <w:rPr>
          <w:rFonts w:ascii="Book Antiqua" w:hAnsi="Book Antiqua"/>
        </w:rPr>
        <w:t xml:space="preserve"> Ghuman N. Drugs and the liver. </w:t>
      </w:r>
      <w:r>
        <w:rPr>
          <w:rFonts w:ascii="Book Antiqua" w:hAnsi="Book Antiqua"/>
          <w:i/>
        </w:rPr>
        <w:t>Anaesth Intensive Care Med</w:t>
      </w:r>
      <w:r>
        <w:rPr>
          <w:rFonts w:ascii="Book Antiqua" w:hAnsi="Book Antiqua"/>
        </w:rPr>
        <w:t xml:space="preserve"> 2018; </w:t>
      </w:r>
      <w:r>
        <w:rPr>
          <w:rFonts w:ascii="Book Antiqua" w:hAnsi="Book Antiqua"/>
          <w:b/>
        </w:rPr>
        <w:t>19</w:t>
      </w:r>
      <w:r>
        <w:rPr>
          <w:rFonts w:ascii="Book Antiqua" w:hAnsi="Book Antiqua"/>
        </w:rPr>
        <w:t>: 30–34 [DOI: 10.1016/j.mpaic.2020.07.001]</w:t>
      </w:r>
    </w:p>
    <w:p>
      <w:pPr>
        <w:spacing w:line="360" w:lineRule="auto"/>
        <w:jc w:val="both"/>
        <w:rPr>
          <w:rFonts w:ascii="Book Antiqua" w:hAnsi="Book Antiqua"/>
        </w:rPr>
      </w:pPr>
      <w:r>
        <w:rPr>
          <w:rFonts w:ascii="Book Antiqua" w:hAnsi="Book Antiqua"/>
        </w:rPr>
        <w:t xml:space="preserve">52 </w:t>
      </w:r>
      <w:r>
        <w:rPr>
          <w:rFonts w:ascii="Book Antiqua" w:hAnsi="Book Antiqua"/>
          <w:b/>
          <w:bCs/>
        </w:rPr>
        <w:t>Chang CC</w:t>
      </w:r>
      <w:r>
        <w:rPr>
          <w:rFonts w:ascii="Book Antiqua" w:hAnsi="Book Antiqua"/>
        </w:rPr>
        <w:t xml:space="preserve">, Petrelli M, Tomashefski JF Jr, McCullough AJ. Severe intrahepatic cholestasis caused by amiodarone toxicity after withdrawal of the drug: a case report and review of the literature. </w:t>
      </w:r>
      <w:r>
        <w:rPr>
          <w:rFonts w:ascii="Book Antiqua" w:hAnsi="Book Antiqua"/>
          <w:i/>
          <w:iCs/>
        </w:rPr>
        <w:t>Arch Pathol Lab Med</w:t>
      </w:r>
      <w:r>
        <w:rPr>
          <w:rFonts w:ascii="Book Antiqua" w:hAnsi="Book Antiqua"/>
        </w:rPr>
        <w:t xml:space="preserve"> 1999; </w:t>
      </w:r>
      <w:r>
        <w:rPr>
          <w:rFonts w:ascii="Book Antiqua" w:hAnsi="Book Antiqua"/>
          <w:b/>
          <w:bCs/>
        </w:rPr>
        <w:t>123</w:t>
      </w:r>
      <w:r>
        <w:rPr>
          <w:rFonts w:ascii="Book Antiqua" w:hAnsi="Book Antiqua"/>
        </w:rPr>
        <w:t>: 251-256 [PMID: 10086516 DOI: 10.5858/1999-123-0251-SICCBA]</w:t>
      </w:r>
    </w:p>
    <w:p>
      <w:pPr>
        <w:spacing w:line="360" w:lineRule="auto"/>
        <w:jc w:val="both"/>
        <w:rPr>
          <w:rFonts w:ascii="Book Antiqua" w:hAnsi="Book Antiqua"/>
        </w:rPr>
      </w:pPr>
      <w:r>
        <w:rPr>
          <w:rFonts w:ascii="Book Antiqua" w:hAnsi="Book Antiqua"/>
        </w:rPr>
        <w:t xml:space="preserve">53 </w:t>
      </w:r>
      <w:r>
        <w:rPr>
          <w:rFonts w:ascii="Book Antiqua" w:hAnsi="Book Antiqua"/>
          <w:b/>
          <w:bCs/>
        </w:rPr>
        <w:t>Fisher K</w:t>
      </w:r>
      <w:r>
        <w:rPr>
          <w:rFonts w:ascii="Book Antiqua" w:hAnsi="Book Antiqua"/>
        </w:rPr>
        <w:t xml:space="preserve">, Vuppalanchi R, Saxena R. Drug-Induced Liver Injury. </w:t>
      </w:r>
      <w:r>
        <w:rPr>
          <w:rFonts w:ascii="Book Antiqua" w:hAnsi="Book Antiqua"/>
          <w:i/>
          <w:iCs/>
        </w:rPr>
        <w:t>Arch Pathol Lab Med</w:t>
      </w:r>
      <w:r>
        <w:rPr>
          <w:rFonts w:ascii="Book Antiqua" w:hAnsi="Book Antiqua"/>
        </w:rPr>
        <w:t xml:space="preserve"> 2015; </w:t>
      </w:r>
      <w:r>
        <w:rPr>
          <w:rFonts w:ascii="Book Antiqua" w:hAnsi="Book Antiqua"/>
          <w:b/>
          <w:bCs/>
        </w:rPr>
        <w:t>139</w:t>
      </w:r>
      <w:r>
        <w:rPr>
          <w:rFonts w:ascii="Book Antiqua" w:hAnsi="Book Antiqua"/>
        </w:rPr>
        <w:t>: 876-887 [PMID: 26125428 DOI: 10.5858/arpa.2014-0214-RA]</w:t>
      </w:r>
    </w:p>
    <w:p>
      <w:pPr>
        <w:spacing w:line="360" w:lineRule="auto"/>
        <w:jc w:val="both"/>
        <w:rPr>
          <w:rFonts w:ascii="Book Antiqua" w:hAnsi="Book Antiqua"/>
        </w:rPr>
      </w:pPr>
      <w:r>
        <w:rPr>
          <w:rFonts w:ascii="Book Antiqua" w:hAnsi="Book Antiqua"/>
        </w:rPr>
        <w:t xml:space="preserve">54 </w:t>
      </w:r>
      <w:r>
        <w:rPr>
          <w:rFonts w:ascii="Book Antiqua" w:hAnsi="Book Antiqua"/>
          <w:b/>
          <w:bCs/>
        </w:rPr>
        <w:t>Fernandes NF</w:t>
      </w:r>
      <w:r>
        <w:rPr>
          <w:rFonts w:ascii="Book Antiqua" w:hAnsi="Book Antiqua"/>
        </w:rPr>
        <w:t xml:space="preserve">, Martin RR, Schenker S. Trazodone-induced hepatotoxicity: a case report with comments on drug-induced hepatotoxicity. </w:t>
      </w:r>
      <w:r>
        <w:rPr>
          <w:rFonts w:ascii="Book Antiqua" w:hAnsi="Book Antiqua"/>
          <w:i/>
          <w:iCs/>
        </w:rPr>
        <w:t>Am J Gastroenterol</w:t>
      </w:r>
      <w:r>
        <w:rPr>
          <w:rFonts w:ascii="Book Antiqua" w:hAnsi="Book Antiqua"/>
        </w:rPr>
        <w:t xml:space="preserve"> 2000; </w:t>
      </w:r>
      <w:r>
        <w:rPr>
          <w:rFonts w:ascii="Book Antiqua" w:hAnsi="Book Antiqua"/>
          <w:b/>
          <w:bCs/>
        </w:rPr>
        <w:t>95</w:t>
      </w:r>
      <w:r>
        <w:rPr>
          <w:rFonts w:ascii="Book Antiqua" w:hAnsi="Book Antiqua"/>
        </w:rPr>
        <w:t>: 532-535 [PMID: 10685763 DOI: 10.1111/j.1572-0241.2000.t01-1-01780.x]</w:t>
      </w:r>
    </w:p>
    <w:p>
      <w:pPr>
        <w:spacing w:line="360" w:lineRule="auto"/>
        <w:jc w:val="both"/>
        <w:rPr>
          <w:rFonts w:ascii="Book Antiqua" w:hAnsi="Book Antiqua"/>
        </w:rPr>
      </w:pPr>
      <w:r>
        <w:rPr>
          <w:rFonts w:ascii="Book Antiqua" w:hAnsi="Book Antiqua"/>
        </w:rPr>
        <w:t xml:space="preserve">55 </w:t>
      </w:r>
      <w:r>
        <w:rPr>
          <w:rFonts w:ascii="Book Antiqua" w:hAnsi="Book Antiqua"/>
          <w:b/>
          <w:bCs/>
        </w:rPr>
        <w:t>Oikawa H</w:t>
      </w:r>
      <w:r>
        <w:rPr>
          <w:rFonts w:ascii="Book Antiqua" w:hAnsi="Book Antiqua"/>
        </w:rPr>
        <w:t xml:space="preserve">, Maesawa C, Sato R, Oikawa K, Yamada H, Oriso S, Ono S, Yashima-Abo A, Kotani K, Suzuki K, Masuda T. Liver cirrhosis induced by long-term administration of a daily low dose of amiodarone: a case report. </w:t>
      </w:r>
      <w:r>
        <w:rPr>
          <w:rFonts w:ascii="Book Antiqua" w:hAnsi="Book Antiqua"/>
          <w:i/>
          <w:iCs/>
        </w:rPr>
        <w:t>World J Gastroenterol</w:t>
      </w:r>
      <w:r>
        <w:rPr>
          <w:rFonts w:ascii="Book Antiqua" w:hAnsi="Book Antiqua"/>
        </w:rPr>
        <w:t xml:space="preserve"> 2005; </w:t>
      </w:r>
      <w:r>
        <w:rPr>
          <w:rFonts w:ascii="Book Antiqua" w:hAnsi="Book Antiqua"/>
          <w:b/>
          <w:bCs/>
        </w:rPr>
        <w:t>11</w:t>
      </w:r>
      <w:r>
        <w:rPr>
          <w:rFonts w:ascii="Book Antiqua" w:hAnsi="Book Antiqua"/>
        </w:rPr>
        <w:t>: 5394-5397 [PMID: 16149155 DOI: 10.3748/wjg.v11.i34.5394]</w:t>
      </w:r>
    </w:p>
    <w:p>
      <w:pPr>
        <w:spacing w:line="360" w:lineRule="auto"/>
        <w:jc w:val="both"/>
        <w:rPr>
          <w:rFonts w:ascii="Book Antiqua" w:hAnsi="Book Antiqua"/>
        </w:rPr>
      </w:pPr>
      <w:r>
        <w:rPr>
          <w:rFonts w:ascii="Book Antiqua" w:hAnsi="Book Antiqua"/>
        </w:rPr>
        <w:t xml:space="preserve">56 </w:t>
      </w:r>
      <w:r>
        <w:rPr>
          <w:rFonts w:ascii="Book Antiqua" w:hAnsi="Book Antiqua"/>
          <w:b/>
          <w:bCs/>
        </w:rPr>
        <w:t>Raja K</w:t>
      </w:r>
      <w:r>
        <w:rPr>
          <w:rFonts w:ascii="Book Antiqua" w:hAnsi="Book Antiqua"/>
        </w:rPr>
        <w:t xml:space="preserve">, Thung SN, Fiel MI, Chang C. Drug-induced steatohepatitis leading to cirrhosis: long-term toxicity of amiodarone use. </w:t>
      </w:r>
      <w:r>
        <w:rPr>
          <w:rFonts w:ascii="Book Antiqua" w:hAnsi="Book Antiqua"/>
          <w:i/>
          <w:iCs/>
        </w:rPr>
        <w:t>Semin Liver Dis</w:t>
      </w:r>
      <w:r>
        <w:rPr>
          <w:rFonts w:ascii="Book Antiqua" w:hAnsi="Book Antiqua"/>
        </w:rPr>
        <w:t xml:space="preserve"> 2009; </w:t>
      </w:r>
      <w:r>
        <w:rPr>
          <w:rFonts w:ascii="Book Antiqua" w:hAnsi="Book Antiqua"/>
          <w:b/>
          <w:bCs/>
        </w:rPr>
        <w:t>29</w:t>
      </w:r>
      <w:r>
        <w:rPr>
          <w:rFonts w:ascii="Book Antiqua" w:hAnsi="Book Antiqua"/>
        </w:rPr>
        <w:t>: 423-428 [PMID: 19826976 DOI: 10.1055/s-0029-1240011]</w:t>
      </w:r>
    </w:p>
    <w:p>
      <w:pPr>
        <w:spacing w:line="360" w:lineRule="auto"/>
        <w:jc w:val="both"/>
        <w:rPr>
          <w:rFonts w:ascii="Book Antiqua" w:hAnsi="Book Antiqua"/>
        </w:rPr>
      </w:pPr>
      <w:r>
        <w:rPr>
          <w:rFonts w:ascii="Book Antiqua" w:hAnsi="Book Antiqua"/>
        </w:rPr>
        <w:t xml:space="preserve">57 </w:t>
      </w:r>
      <w:r>
        <w:rPr>
          <w:rFonts w:ascii="Book Antiqua" w:hAnsi="Book Antiqua"/>
          <w:b/>
          <w:bCs/>
        </w:rPr>
        <w:t>Buggey J</w:t>
      </w:r>
      <w:r>
        <w:rPr>
          <w:rFonts w:ascii="Book Antiqua" w:hAnsi="Book Antiqua"/>
        </w:rPr>
        <w:t xml:space="preserve">, Kappus M, Lagoo AS, Brady CW. Amiodarone-Induced Liver Injury and Cirrhosis. </w:t>
      </w:r>
      <w:r>
        <w:rPr>
          <w:rFonts w:ascii="Book Antiqua" w:hAnsi="Book Antiqua"/>
          <w:i/>
          <w:iCs/>
        </w:rPr>
        <w:t>ACG Case Rep J</w:t>
      </w:r>
      <w:r>
        <w:rPr>
          <w:rFonts w:ascii="Book Antiqua" w:hAnsi="Book Antiqua"/>
        </w:rPr>
        <w:t xml:space="preserve"> 2015; </w:t>
      </w:r>
      <w:r>
        <w:rPr>
          <w:rFonts w:ascii="Book Antiqua" w:hAnsi="Book Antiqua"/>
          <w:b/>
          <w:bCs/>
        </w:rPr>
        <w:t>2</w:t>
      </w:r>
      <w:r>
        <w:rPr>
          <w:rFonts w:ascii="Book Antiqua" w:hAnsi="Book Antiqua"/>
        </w:rPr>
        <w:t>: 116-118 [PMID: 26157932 DOI: 10.14309/crj.2015.23]</w:t>
      </w:r>
    </w:p>
    <w:p>
      <w:pPr>
        <w:spacing w:line="360" w:lineRule="auto"/>
        <w:jc w:val="both"/>
        <w:rPr>
          <w:rFonts w:ascii="Book Antiqua" w:hAnsi="Book Antiqua"/>
        </w:rPr>
      </w:pPr>
      <w:r>
        <w:rPr>
          <w:rFonts w:ascii="Book Antiqua" w:hAnsi="Book Antiqua"/>
        </w:rPr>
        <w:t xml:space="preserve">58 </w:t>
      </w:r>
      <w:r>
        <w:rPr>
          <w:rFonts w:ascii="Book Antiqua" w:hAnsi="Book Antiqua"/>
          <w:b/>
        </w:rPr>
        <w:t>Dees A</w:t>
      </w:r>
      <w:r>
        <w:rPr>
          <w:rFonts w:ascii="Book Antiqua" w:hAnsi="Book Antiqua"/>
        </w:rPr>
        <w:t xml:space="preserve">. </w:t>
      </w:r>
      <w:bookmarkStart w:id="27" w:name="OLE_LINK347"/>
      <w:bookmarkStart w:id="28" w:name="OLE_LINK346"/>
      <w:r>
        <w:rPr>
          <w:rFonts w:ascii="Book Antiqua" w:hAnsi="Book Antiqua"/>
        </w:rPr>
        <w:t>A Late Presentation of Amiodarone -Induced Hepatotoxicity</w:t>
      </w:r>
      <w:bookmarkEnd w:id="27"/>
      <w:bookmarkEnd w:id="28"/>
      <w:r>
        <w:rPr>
          <w:rFonts w:ascii="Book Antiqua" w:hAnsi="Book Antiqua"/>
        </w:rPr>
        <w:t xml:space="preserve">. </w:t>
      </w:r>
      <w:r>
        <w:rPr>
          <w:rFonts w:ascii="Book Antiqua" w:hAnsi="Book Antiqua"/>
          <w:i/>
        </w:rPr>
        <w:t>MOJ Clin Med Case Rep</w:t>
      </w:r>
      <w:r>
        <w:rPr>
          <w:rFonts w:ascii="Book Antiqua" w:hAnsi="Book Antiqua"/>
        </w:rPr>
        <w:t xml:space="preserve"> 2016; </w:t>
      </w:r>
      <w:r>
        <w:rPr>
          <w:rFonts w:ascii="Book Antiqua" w:hAnsi="Book Antiqua"/>
          <w:b/>
        </w:rPr>
        <w:t>4</w:t>
      </w:r>
    </w:p>
    <w:p>
      <w:pPr>
        <w:spacing w:line="360" w:lineRule="auto"/>
        <w:jc w:val="both"/>
        <w:rPr>
          <w:rFonts w:ascii="Book Antiqua" w:hAnsi="Book Antiqua"/>
        </w:rPr>
      </w:pPr>
      <w:r>
        <w:rPr>
          <w:rFonts w:ascii="Book Antiqua" w:hAnsi="Book Antiqua"/>
        </w:rPr>
        <w:t xml:space="preserve">59 </w:t>
      </w:r>
      <w:r>
        <w:rPr>
          <w:rFonts w:ascii="Book Antiqua" w:hAnsi="Book Antiqua"/>
          <w:b/>
          <w:bCs/>
        </w:rPr>
        <w:t>Tsuda T</w:t>
      </w:r>
      <w:r>
        <w:rPr>
          <w:rFonts w:ascii="Book Antiqua" w:hAnsi="Book Antiqua"/>
        </w:rPr>
        <w:t xml:space="preserve">, Tada H, Tanaka Y, Nishida N, Yoshida T, Sawada T, Sakata K, Hayashi K, Kawashiri MA, Oyama T, Sasaki M, Kurose N, Yamagishi M. Amiodarone-induced reversible and irreversible hepatotoxicity: two case reports. </w:t>
      </w:r>
      <w:r>
        <w:rPr>
          <w:rFonts w:ascii="Book Antiqua" w:hAnsi="Book Antiqua"/>
          <w:i/>
          <w:iCs/>
        </w:rPr>
        <w:t>J Med Case Rep</w:t>
      </w:r>
      <w:r>
        <w:rPr>
          <w:rFonts w:ascii="Book Antiqua" w:hAnsi="Book Antiqua"/>
        </w:rPr>
        <w:t xml:space="preserve"> 2018; </w:t>
      </w:r>
      <w:r>
        <w:rPr>
          <w:rFonts w:ascii="Book Antiqua" w:hAnsi="Book Antiqua"/>
          <w:b/>
          <w:bCs/>
        </w:rPr>
        <w:t>12</w:t>
      </w:r>
      <w:r>
        <w:rPr>
          <w:rFonts w:ascii="Book Antiqua" w:hAnsi="Book Antiqua"/>
        </w:rPr>
        <w:t>: 95 [PMID: 29653592 DOI: 10.1186/s13256-018-1629-8]</w:t>
      </w:r>
    </w:p>
    <w:p>
      <w:pPr>
        <w:spacing w:line="360" w:lineRule="auto"/>
        <w:jc w:val="both"/>
        <w:rPr>
          <w:rFonts w:ascii="Book Antiqua" w:hAnsi="Book Antiqua"/>
        </w:rPr>
      </w:pPr>
      <w:r>
        <w:rPr>
          <w:rFonts w:ascii="Book Antiqua" w:hAnsi="Book Antiqua"/>
        </w:rPr>
        <w:t xml:space="preserve">60 </w:t>
      </w:r>
      <w:r>
        <w:rPr>
          <w:rFonts w:ascii="Book Antiqua" w:hAnsi="Book Antiqua"/>
          <w:b/>
          <w:bCs/>
        </w:rPr>
        <w:t xml:space="preserve">Kocak MZ. </w:t>
      </w:r>
      <w:r>
        <w:rPr>
          <w:rFonts w:ascii="Book Antiqua" w:hAnsi="Book Antiqua"/>
          <w:bCs/>
        </w:rPr>
        <w:t>Oral Amiodarone-induced liver Injury,</w:t>
      </w:r>
      <w:r>
        <w:rPr>
          <w:rFonts w:ascii="Book Antiqua" w:hAnsi="Book Antiqua"/>
        </w:rPr>
        <w:t xml:space="preserve"> especially Gamma Glutamyl Transferase Elevation: A Case Report. </w:t>
      </w:r>
      <w:r>
        <w:rPr>
          <w:rFonts w:ascii="Book Antiqua" w:hAnsi="Book Antiqua"/>
          <w:i/>
        </w:rPr>
        <w:t>EJMO</w:t>
      </w:r>
      <w:r>
        <w:rPr>
          <w:rFonts w:ascii="Book Antiqua" w:hAnsi="Book Antiqua"/>
        </w:rPr>
        <w:t xml:space="preserve"> 2018; </w:t>
      </w:r>
      <w:r>
        <w:rPr>
          <w:rFonts w:ascii="Book Antiqua" w:hAnsi="Book Antiqua"/>
          <w:b/>
        </w:rPr>
        <w:t>2</w:t>
      </w:r>
      <w:r>
        <w:rPr>
          <w:rFonts w:ascii="Book Antiqua" w:hAnsi="Book Antiqua"/>
        </w:rPr>
        <w:t>: 117-119 [DOI: 10.14744/ejmo.2017.82474]</w:t>
      </w:r>
    </w:p>
    <w:p>
      <w:pPr>
        <w:spacing w:line="360" w:lineRule="auto"/>
        <w:jc w:val="both"/>
        <w:rPr>
          <w:rFonts w:ascii="Book Antiqua" w:hAnsi="Book Antiqua"/>
        </w:rPr>
      </w:pPr>
      <w:r>
        <w:rPr>
          <w:rFonts w:ascii="Book Antiqua" w:hAnsi="Book Antiqua"/>
        </w:rPr>
        <w:t xml:space="preserve">61 </w:t>
      </w:r>
      <w:r>
        <w:rPr>
          <w:rFonts w:ascii="Book Antiqua" w:hAnsi="Book Antiqua"/>
          <w:b/>
          <w:bCs/>
        </w:rPr>
        <w:t>Bratton H</w:t>
      </w:r>
      <w:r>
        <w:rPr>
          <w:rFonts w:ascii="Book Antiqua" w:hAnsi="Book Antiqua"/>
        </w:rPr>
        <w:t xml:space="preserve">, Alomari M, Al Momani LA, Aasen T, Young M. Prolonged Jaundice Secondary to Amiodarone Use: A Case Report and Literature Review. </w:t>
      </w:r>
      <w:r>
        <w:rPr>
          <w:rFonts w:ascii="Book Antiqua" w:hAnsi="Book Antiqua"/>
          <w:i/>
          <w:iCs/>
        </w:rPr>
        <w:t>Cureus</w:t>
      </w:r>
      <w:r>
        <w:rPr>
          <w:rFonts w:ascii="Book Antiqua" w:hAnsi="Book Antiqua"/>
        </w:rPr>
        <w:t xml:space="preserve"> 2019; </w:t>
      </w:r>
      <w:r>
        <w:rPr>
          <w:rFonts w:ascii="Book Antiqua" w:hAnsi="Book Antiqua"/>
          <w:b/>
          <w:bCs/>
        </w:rPr>
        <w:t>11</w:t>
      </w:r>
      <w:r>
        <w:rPr>
          <w:rFonts w:ascii="Book Antiqua" w:hAnsi="Book Antiqua"/>
        </w:rPr>
        <w:t>: e3850 [PMID: 30891390 DOI: 10.7759/cureus.3850]</w:t>
      </w:r>
    </w:p>
    <w:p>
      <w:pPr>
        <w:spacing w:line="360" w:lineRule="auto"/>
        <w:jc w:val="both"/>
        <w:rPr>
          <w:rFonts w:ascii="Book Antiqua" w:hAnsi="Book Antiqua"/>
        </w:rPr>
      </w:pPr>
      <w:r>
        <w:rPr>
          <w:rFonts w:ascii="Book Antiqua" w:hAnsi="Book Antiqua"/>
        </w:rPr>
        <w:t xml:space="preserve">62 </w:t>
      </w:r>
      <w:r>
        <w:rPr>
          <w:rFonts w:ascii="Book Antiqua" w:hAnsi="Book Antiqua"/>
          <w:b/>
          <w:bCs/>
        </w:rPr>
        <w:t>Erez N</w:t>
      </w:r>
      <w:r>
        <w:rPr>
          <w:rFonts w:ascii="Book Antiqua" w:hAnsi="Book Antiqua"/>
        </w:rPr>
        <w:t xml:space="preserve">, Hubel E, Avraham R, Cohen R, Fishman S, Bantel H, Manns M, Tirosh B, Zvibel I, Shibolet O. Hepatic Amiodarone Lipotoxicity Is Ameliorated by Genetic and Pharmacological Inhibition of Endoplasmatic Reticulum Stress. </w:t>
      </w:r>
      <w:r>
        <w:rPr>
          <w:rFonts w:ascii="Book Antiqua" w:hAnsi="Book Antiqua"/>
          <w:i/>
          <w:iCs/>
        </w:rPr>
        <w:t>Toxicol Sci</w:t>
      </w:r>
      <w:r>
        <w:rPr>
          <w:rFonts w:ascii="Book Antiqua" w:hAnsi="Book Antiqua"/>
        </w:rPr>
        <w:t xml:space="preserve"> 2017; </w:t>
      </w:r>
      <w:r>
        <w:rPr>
          <w:rFonts w:ascii="Book Antiqua" w:hAnsi="Book Antiqua"/>
          <w:b/>
          <w:bCs/>
        </w:rPr>
        <w:t>159</w:t>
      </w:r>
      <w:r>
        <w:rPr>
          <w:rFonts w:ascii="Book Antiqua" w:hAnsi="Book Antiqua"/>
        </w:rPr>
        <w:t>: 402-412 [PMID: 28962527 DOI: 10.1093/toxsci/kfx143]</w:t>
      </w:r>
    </w:p>
    <w:p>
      <w:pPr>
        <w:spacing w:line="360" w:lineRule="auto"/>
        <w:jc w:val="both"/>
        <w:rPr>
          <w:rFonts w:ascii="Book Antiqua" w:hAnsi="Book Antiqua"/>
        </w:rPr>
      </w:pPr>
      <w:r>
        <w:rPr>
          <w:rFonts w:ascii="Book Antiqua" w:hAnsi="Book Antiqua"/>
        </w:rPr>
        <w:t xml:space="preserve">63 </w:t>
      </w:r>
      <w:r>
        <w:rPr>
          <w:rFonts w:ascii="Book Antiqua" w:hAnsi="Book Antiqua"/>
          <w:b/>
          <w:bCs/>
        </w:rPr>
        <w:t>Rutkowski DT</w:t>
      </w:r>
      <w:r>
        <w:rPr>
          <w:rFonts w:ascii="Book Antiqua" w:hAnsi="Book Antiqua"/>
        </w:rPr>
        <w:t xml:space="preserve">. Liver function and dysfunction - a unique window into the physiological reach of ER stress and the unfolded protein response. </w:t>
      </w:r>
      <w:r>
        <w:rPr>
          <w:rFonts w:ascii="Book Antiqua" w:hAnsi="Book Antiqua"/>
          <w:i/>
          <w:iCs/>
        </w:rPr>
        <w:t>FEBS J</w:t>
      </w:r>
      <w:r>
        <w:rPr>
          <w:rFonts w:ascii="Book Antiqua" w:hAnsi="Book Antiqua"/>
        </w:rPr>
        <w:t xml:space="preserve"> 2019; </w:t>
      </w:r>
      <w:r>
        <w:rPr>
          <w:rFonts w:ascii="Book Antiqua" w:hAnsi="Book Antiqua"/>
          <w:b/>
          <w:bCs/>
        </w:rPr>
        <w:t>286</w:t>
      </w:r>
      <w:r>
        <w:rPr>
          <w:rFonts w:ascii="Book Antiqua" w:hAnsi="Book Antiqua"/>
        </w:rPr>
        <w:t>: 356-378 [PMID: 29360258 DOI: 10.1111/febs.14389]</w:t>
      </w:r>
    </w:p>
    <w:p>
      <w:pPr>
        <w:spacing w:line="360" w:lineRule="auto"/>
        <w:jc w:val="both"/>
        <w:rPr>
          <w:rFonts w:ascii="Book Antiqua" w:hAnsi="Book Antiqua"/>
        </w:rPr>
      </w:pPr>
      <w:r>
        <w:rPr>
          <w:rFonts w:ascii="Book Antiqua" w:hAnsi="Book Antiqua"/>
        </w:rPr>
        <w:t xml:space="preserve">64 </w:t>
      </w:r>
      <w:r>
        <w:rPr>
          <w:rFonts w:ascii="Book Antiqua" w:hAnsi="Book Antiqua"/>
          <w:b/>
          <w:bCs/>
        </w:rPr>
        <w:t>Mansouri A</w:t>
      </w:r>
      <w:r>
        <w:rPr>
          <w:rFonts w:ascii="Book Antiqua" w:hAnsi="Book Antiqua"/>
        </w:rPr>
        <w:t xml:space="preserve">, Gattolliat CH, Asselah T. Mitochondrial Dysfunction and Signaling in Chronic Liver Diseases. </w:t>
      </w:r>
      <w:r>
        <w:rPr>
          <w:rFonts w:ascii="Book Antiqua" w:hAnsi="Book Antiqua"/>
          <w:i/>
          <w:iCs/>
        </w:rPr>
        <w:t>Gastroenterology</w:t>
      </w:r>
      <w:r>
        <w:rPr>
          <w:rFonts w:ascii="Book Antiqua" w:hAnsi="Book Antiqua"/>
        </w:rPr>
        <w:t xml:space="preserve"> 2018; </w:t>
      </w:r>
      <w:r>
        <w:rPr>
          <w:rFonts w:ascii="Book Antiqua" w:hAnsi="Book Antiqua"/>
          <w:b/>
          <w:bCs/>
        </w:rPr>
        <w:t>155</w:t>
      </w:r>
      <w:r>
        <w:rPr>
          <w:rFonts w:ascii="Book Antiqua" w:hAnsi="Book Antiqua"/>
        </w:rPr>
        <w:t>: 629-647 [PMID: 30012333 DOI: 10.1053/j.gastro.2018.06.083]</w:t>
      </w:r>
    </w:p>
    <w:p>
      <w:pPr>
        <w:spacing w:line="360" w:lineRule="auto"/>
        <w:jc w:val="both"/>
        <w:rPr>
          <w:rFonts w:ascii="Book Antiqua" w:hAnsi="Book Antiqua"/>
        </w:rPr>
      </w:pPr>
      <w:r>
        <w:rPr>
          <w:rFonts w:ascii="Book Antiqua" w:hAnsi="Book Antiqua"/>
        </w:rPr>
        <w:t xml:space="preserve">65 </w:t>
      </w:r>
      <w:r>
        <w:rPr>
          <w:rFonts w:ascii="Book Antiqua" w:hAnsi="Book Antiqua"/>
          <w:b/>
          <w:bCs/>
        </w:rPr>
        <w:t>Maiers JL</w:t>
      </w:r>
      <w:r>
        <w:rPr>
          <w:rFonts w:ascii="Book Antiqua" w:hAnsi="Book Antiqua"/>
        </w:rPr>
        <w:t xml:space="preserve">, Malhi H. Endoplasmic Reticulum Stress in Metabolic Liver Diseases and Hepatic Fibrosis. </w:t>
      </w:r>
      <w:r>
        <w:rPr>
          <w:rFonts w:ascii="Book Antiqua" w:hAnsi="Book Antiqua"/>
          <w:i/>
          <w:iCs/>
        </w:rPr>
        <w:t>Semin Liver Dis</w:t>
      </w:r>
      <w:r>
        <w:rPr>
          <w:rFonts w:ascii="Book Antiqua" w:hAnsi="Book Antiqua"/>
        </w:rPr>
        <w:t xml:space="preserve"> 2019; </w:t>
      </w:r>
      <w:r>
        <w:rPr>
          <w:rFonts w:ascii="Book Antiqua" w:hAnsi="Book Antiqua"/>
          <w:b/>
          <w:bCs/>
        </w:rPr>
        <w:t>39</w:t>
      </w:r>
      <w:r>
        <w:rPr>
          <w:rFonts w:ascii="Book Antiqua" w:hAnsi="Book Antiqua"/>
        </w:rPr>
        <w:t>: 235-248 [PMID: 30912096 DOI: 10.1055/s-0039-1681032]</w:t>
      </w:r>
    </w:p>
    <w:p>
      <w:pPr>
        <w:spacing w:line="360" w:lineRule="auto"/>
        <w:jc w:val="both"/>
        <w:rPr>
          <w:rFonts w:ascii="Book Antiqua" w:hAnsi="Book Antiqua"/>
        </w:rPr>
      </w:pPr>
      <w:r>
        <w:rPr>
          <w:rFonts w:ascii="Book Antiqua" w:hAnsi="Book Antiqua"/>
        </w:rPr>
        <w:t xml:space="preserve">66 </w:t>
      </w:r>
      <w:r>
        <w:rPr>
          <w:rFonts w:ascii="Book Antiqua" w:hAnsi="Book Antiqua"/>
          <w:b/>
          <w:bCs/>
        </w:rPr>
        <w:t>Simonen P</w:t>
      </w:r>
      <w:r>
        <w:rPr>
          <w:rFonts w:ascii="Book Antiqua" w:hAnsi="Book Antiqua"/>
        </w:rPr>
        <w:t xml:space="preserve">, Li S, Chua NK, Lampi AM, Piironen V, Lommi J, Sinisalo J, Brown AJ, Ikonen E, Gylling H. Amiodarone disrupts cholesterol biosynthesis pathway and causes accumulation of circulating desmosterol by inhibiting 24-dehydrocholesterol reductase. </w:t>
      </w:r>
      <w:r>
        <w:rPr>
          <w:rFonts w:ascii="Book Antiqua" w:hAnsi="Book Antiqua"/>
          <w:i/>
          <w:iCs/>
        </w:rPr>
        <w:t>J Intern Med</w:t>
      </w:r>
      <w:r>
        <w:rPr>
          <w:rFonts w:ascii="Book Antiqua" w:hAnsi="Book Antiqua"/>
        </w:rPr>
        <w:t xml:space="preserve"> 2020; </w:t>
      </w:r>
      <w:r>
        <w:rPr>
          <w:rFonts w:ascii="Book Antiqua" w:hAnsi="Book Antiqua"/>
          <w:b/>
          <w:bCs/>
        </w:rPr>
        <w:t>288</w:t>
      </w:r>
      <w:r>
        <w:rPr>
          <w:rFonts w:ascii="Book Antiqua" w:hAnsi="Book Antiqua"/>
        </w:rPr>
        <w:t>: 560-569 [PMID: 32415867 DOI: 10.1111/joim.13095]</w:t>
      </w:r>
    </w:p>
    <w:p>
      <w:pPr>
        <w:spacing w:line="360" w:lineRule="auto"/>
        <w:jc w:val="both"/>
        <w:rPr>
          <w:rFonts w:ascii="Book Antiqua" w:hAnsi="Book Antiqua"/>
        </w:rPr>
      </w:pPr>
      <w:r>
        <w:rPr>
          <w:rFonts w:ascii="Book Antiqua" w:hAnsi="Book Antiqua"/>
        </w:rPr>
        <w:t xml:space="preserve">67 </w:t>
      </w:r>
      <w:r>
        <w:rPr>
          <w:rFonts w:ascii="Book Antiqua" w:hAnsi="Book Antiqua"/>
          <w:b/>
          <w:bCs/>
        </w:rPr>
        <w:t>Allen LB</w:t>
      </w:r>
      <w:r>
        <w:rPr>
          <w:rFonts w:ascii="Book Antiqua" w:hAnsi="Book Antiqua"/>
        </w:rPr>
        <w:t xml:space="preserve">, Genaro-Mattos TC, Anderson A, Porter NA, Mirnics K, Korade Z. Amiodarone Alters Cholesterol Biosynthesis through Tissue-Dependent Inhibition of Emopamil Binding Protein and Dehydrocholesterol Reductase 24. </w:t>
      </w:r>
      <w:r>
        <w:rPr>
          <w:rFonts w:ascii="Book Antiqua" w:hAnsi="Book Antiqua"/>
          <w:i/>
          <w:iCs/>
        </w:rPr>
        <w:t>ACS Chem Neurosci</w:t>
      </w:r>
      <w:r>
        <w:rPr>
          <w:rFonts w:ascii="Book Antiqua" w:hAnsi="Book Antiqua"/>
        </w:rPr>
        <w:t xml:space="preserve"> 2020; </w:t>
      </w:r>
      <w:r>
        <w:rPr>
          <w:rFonts w:ascii="Book Antiqua" w:hAnsi="Book Antiqua"/>
          <w:b/>
          <w:bCs/>
        </w:rPr>
        <w:t>11</w:t>
      </w:r>
      <w:r>
        <w:rPr>
          <w:rFonts w:ascii="Book Antiqua" w:hAnsi="Book Antiqua"/>
        </w:rPr>
        <w:t>: 1413-1423 [PMID: 32286791 DOI: 10.1021/acschemneuro.0c00042]</w:t>
      </w:r>
    </w:p>
    <w:p>
      <w:pPr>
        <w:spacing w:line="360" w:lineRule="auto"/>
        <w:jc w:val="both"/>
        <w:rPr>
          <w:rFonts w:ascii="Book Antiqua" w:hAnsi="Book Antiqua"/>
        </w:rPr>
      </w:pPr>
      <w:r>
        <w:rPr>
          <w:rFonts w:ascii="Book Antiqua" w:hAnsi="Book Antiqua"/>
        </w:rPr>
        <w:t xml:space="preserve">68 </w:t>
      </w:r>
      <w:r>
        <w:rPr>
          <w:rFonts w:ascii="Book Antiqua" w:hAnsi="Book Antiqua"/>
          <w:b/>
          <w:bCs/>
        </w:rPr>
        <w:t>Njoku DB</w:t>
      </w:r>
      <w:r>
        <w:rPr>
          <w:rFonts w:ascii="Book Antiqua" w:hAnsi="Book Antiqua"/>
        </w:rPr>
        <w:t xml:space="preserve">. Drug-induced hepatotoxicity: metabolic, genetic and immunological basis. </w:t>
      </w:r>
      <w:r>
        <w:rPr>
          <w:rFonts w:ascii="Book Antiqua" w:hAnsi="Book Antiqua"/>
          <w:i/>
          <w:iCs/>
        </w:rPr>
        <w:t>Int J Mol Sci</w:t>
      </w:r>
      <w:r>
        <w:rPr>
          <w:rFonts w:ascii="Book Antiqua" w:hAnsi="Book Antiqua"/>
        </w:rPr>
        <w:t xml:space="preserve"> 2014; </w:t>
      </w:r>
      <w:r>
        <w:rPr>
          <w:rFonts w:ascii="Book Antiqua" w:hAnsi="Book Antiqua"/>
          <w:b/>
          <w:bCs/>
        </w:rPr>
        <w:t>15</w:t>
      </w:r>
      <w:r>
        <w:rPr>
          <w:rFonts w:ascii="Book Antiqua" w:hAnsi="Book Antiqua"/>
        </w:rPr>
        <w:t>: 6990-7003 [PMID: 24758937 DOI: 10.3390/ijms15046990]</w:t>
      </w:r>
    </w:p>
    <w:p>
      <w:pPr>
        <w:spacing w:line="360" w:lineRule="auto"/>
        <w:jc w:val="both"/>
        <w:rPr>
          <w:rFonts w:ascii="Book Antiqua" w:hAnsi="Book Antiqua"/>
        </w:rPr>
      </w:pPr>
      <w:r>
        <w:rPr>
          <w:rFonts w:ascii="Book Antiqua" w:hAnsi="Book Antiqua"/>
        </w:rPr>
        <w:t xml:space="preserve">69 </w:t>
      </w:r>
      <w:r>
        <w:rPr>
          <w:rFonts w:ascii="Book Antiqua" w:hAnsi="Book Antiqua"/>
          <w:b/>
          <w:bCs/>
        </w:rPr>
        <w:t>European Association for the Study of the Liver. Electronic address: easloffice@easloffice.eu.</w:t>
      </w:r>
      <w:r>
        <w:rPr>
          <w:rFonts w:ascii="Book Antiqua" w:hAnsi="Book Antiqua"/>
        </w:rPr>
        <w:t xml:space="preserve">; Clinical Practice Guideline Panel: Chair:; Panel members; EASL Governing Board representative:. EASL Clinical Practice Guidelines: Drug-induced liver injury.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1222-1261 [PMID: 30926241 DOI: 10.1016/j.jhep.2019.02.014]</w:t>
      </w:r>
    </w:p>
    <w:p>
      <w:pPr>
        <w:spacing w:line="360" w:lineRule="auto"/>
        <w:jc w:val="both"/>
        <w:rPr>
          <w:rFonts w:ascii="Book Antiqua" w:hAnsi="Book Antiqua"/>
        </w:rPr>
      </w:pPr>
      <w:r>
        <w:rPr>
          <w:rFonts w:ascii="Book Antiqua" w:hAnsi="Book Antiqua"/>
        </w:rPr>
        <w:t xml:space="preserve">70 </w:t>
      </w:r>
      <w:r>
        <w:rPr>
          <w:rFonts w:ascii="Book Antiqua" w:hAnsi="Book Antiqua"/>
          <w:b/>
          <w:bCs/>
        </w:rPr>
        <w:t>Hernaez R</w:t>
      </w:r>
      <w:r>
        <w:rPr>
          <w:rFonts w:ascii="Book Antiqua" w:hAnsi="Book Antiqua"/>
        </w:rPr>
        <w:t xml:space="preserve">, Solà E, Moreau R, Ginès P. Acute-on-chronic liver failure: an update.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541-553 [PMID: 28053053 DOI: 10.1136/gutjnl-2016-312670]</w:t>
      </w:r>
    </w:p>
    <w:p>
      <w:pPr>
        <w:spacing w:line="360" w:lineRule="auto"/>
        <w:jc w:val="both"/>
        <w:rPr>
          <w:rFonts w:ascii="Book Antiqua" w:hAnsi="Book Antiqua"/>
        </w:rPr>
      </w:pPr>
      <w:r>
        <w:rPr>
          <w:rFonts w:ascii="Book Antiqua" w:hAnsi="Book Antiqua"/>
          <w:lang w:val="pt-BR"/>
        </w:rPr>
        <w:t xml:space="preserve">71 </w:t>
      </w:r>
      <w:r>
        <w:rPr>
          <w:rFonts w:ascii="Book Antiqua" w:hAnsi="Book Antiqua"/>
          <w:b/>
          <w:bCs/>
          <w:lang w:val="pt-BR"/>
        </w:rPr>
        <w:t>Blasco-Algora S</w:t>
      </w:r>
      <w:r>
        <w:rPr>
          <w:rFonts w:ascii="Book Antiqua" w:hAnsi="Book Antiqua"/>
          <w:lang w:val="pt-BR"/>
        </w:rPr>
        <w:t xml:space="preserve">, Masegosa-Ataz J, Gutiérrez-García ML, Alonso-López S, Fernández-Rodríguez CM. </w:t>
      </w:r>
      <w:r>
        <w:rPr>
          <w:rFonts w:ascii="Book Antiqua" w:hAnsi="Book Antiqua"/>
        </w:rPr>
        <w:t xml:space="preserve">Acute-on-chronic liver failure: Pathogenesis, prognostic factors and management.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12125-12140 [PMID: 26576097 DOI: 10.3748/wjg.v21.i42.12125]</w:t>
      </w:r>
    </w:p>
    <w:p>
      <w:pPr>
        <w:spacing w:line="360" w:lineRule="auto"/>
        <w:jc w:val="both"/>
        <w:rPr>
          <w:rFonts w:ascii="Book Antiqua" w:hAnsi="Book Antiqua"/>
        </w:rPr>
      </w:pPr>
      <w:r>
        <w:rPr>
          <w:rFonts w:ascii="Book Antiqua" w:hAnsi="Book Antiqua"/>
        </w:rPr>
        <w:t xml:space="preserve">72 </w:t>
      </w:r>
      <w:r>
        <w:rPr>
          <w:rFonts w:ascii="Book Antiqua" w:hAnsi="Book Antiqua"/>
          <w:b/>
          <w:bCs/>
        </w:rPr>
        <w:t>Devarbhavi H</w:t>
      </w:r>
      <w:r>
        <w:rPr>
          <w:rFonts w:ascii="Book Antiqua" w:hAnsi="Book Antiqua"/>
        </w:rPr>
        <w:t xml:space="preserve">, Choudhury AK, Sharma MK, Maiwall R, Al Mahtab M, Rahman S, Chawla YK, Dhiman RK, Duseja A, Taneja S, Ning Q, Jia JD, Duan Z, Yu C, Eapen CE, Goel A, Tan SS, Hamid SS, Butt AS, Jafri W, Kim DJ, Hu J, Sood A, Midha V, Shukla A, Ghazinian H, Sahu MK, Treeprasertsuk S, Lee GH, Lim SG, Lesmana LA, Lesmana CR, Shah S, Kalal C, Abbas Z, Sollano JD, Prasad VGM, Payawal DA, Dokmeci AK, Rao PN, Shrestha A, Lau GK, Yuen MF, Saraswat VA, Shiha G, Yokosuka O, Kedarisetty CK, Jain P, Bhatia P, Sarin SK; APASL ACLF working party. Drug-Induced Acute-on-Chronic Liver Failure in Asian Patients.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929-937 [PMID: 31021832 DOI: 10.14309/ajg.0000000000000201]</w:t>
      </w:r>
    </w:p>
    <w:p>
      <w:pPr>
        <w:spacing w:line="360" w:lineRule="auto"/>
        <w:jc w:val="both"/>
        <w:rPr>
          <w:rFonts w:ascii="Book Antiqua" w:hAnsi="Book Antiqua"/>
        </w:rPr>
      </w:pPr>
      <w:r>
        <w:rPr>
          <w:rFonts w:ascii="Book Antiqua" w:hAnsi="Book Antiqua"/>
        </w:rPr>
        <w:t xml:space="preserve">73 </w:t>
      </w:r>
      <w:r>
        <w:rPr>
          <w:rFonts w:ascii="Book Antiqua" w:hAnsi="Book Antiqua"/>
          <w:b/>
          <w:bCs/>
        </w:rPr>
        <w:t>Wang P</w:t>
      </w:r>
      <w:r>
        <w:rPr>
          <w:rFonts w:ascii="Book Antiqua" w:hAnsi="Book Antiqua"/>
        </w:rPr>
        <w:t xml:space="preserve">, Pradhan K, Zhong XB, Ma X. Isoniazid metabolism and hepatotoxicity. </w:t>
      </w:r>
      <w:r>
        <w:rPr>
          <w:rFonts w:ascii="Book Antiqua" w:hAnsi="Book Antiqua"/>
          <w:i/>
          <w:iCs/>
        </w:rPr>
        <w:t>Acta Pharm Sin B</w:t>
      </w:r>
      <w:r>
        <w:rPr>
          <w:rFonts w:ascii="Book Antiqua" w:hAnsi="Book Antiqua"/>
        </w:rPr>
        <w:t xml:space="preserve"> 2016; </w:t>
      </w:r>
      <w:r>
        <w:rPr>
          <w:rFonts w:ascii="Book Antiqua" w:hAnsi="Book Antiqua"/>
          <w:b/>
          <w:bCs/>
        </w:rPr>
        <w:t>6</w:t>
      </w:r>
      <w:r>
        <w:rPr>
          <w:rFonts w:ascii="Book Antiqua" w:hAnsi="Book Antiqua"/>
        </w:rPr>
        <w:t>: 384-392 [PMID: 27709007 DOI: 10.1016/j.apsb.2016.07.014]</w:t>
      </w:r>
    </w:p>
    <w:p>
      <w:pPr>
        <w:spacing w:line="360" w:lineRule="auto"/>
        <w:jc w:val="both"/>
        <w:rPr>
          <w:rFonts w:ascii="Book Antiqua" w:hAnsi="Book Antiqua"/>
        </w:rPr>
      </w:pPr>
      <w:r>
        <w:rPr>
          <w:rFonts w:ascii="Book Antiqua" w:hAnsi="Book Antiqua"/>
        </w:rPr>
        <w:t xml:space="preserve">74 </w:t>
      </w:r>
      <w:r>
        <w:rPr>
          <w:rFonts w:ascii="Book Antiqua" w:hAnsi="Book Antiqua"/>
          <w:b/>
          <w:bCs/>
        </w:rPr>
        <w:t>Metushi I</w:t>
      </w:r>
      <w:r>
        <w:rPr>
          <w:rFonts w:ascii="Book Antiqua" w:hAnsi="Book Antiqua"/>
        </w:rPr>
        <w:t xml:space="preserve">, Uetrecht J, Phillips E. Mechanism of isoniazid-induced hepatotoxicity: then and now. </w:t>
      </w:r>
      <w:r>
        <w:rPr>
          <w:rFonts w:ascii="Book Antiqua" w:hAnsi="Book Antiqua"/>
          <w:i/>
          <w:iCs/>
        </w:rPr>
        <w:t>Br J Clin Pharmacol</w:t>
      </w:r>
      <w:r>
        <w:rPr>
          <w:rFonts w:ascii="Book Antiqua" w:hAnsi="Book Antiqua"/>
        </w:rPr>
        <w:t xml:space="preserve"> 2016; </w:t>
      </w:r>
      <w:r>
        <w:rPr>
          <w:rFonts w:ascii="Book Antiqua" w:hAnsi="Book Antiqua"/>
          <w:b/>
          <w:bCs/>
        </w:rPr>
        <w:t>81</w:t>
      </w:r>
      <w:r>
        <w:rPr>
          <w:rFonts w:ascii="Book Antiqua" w:hAnsi="Book Antiqua"/>
        </w:rPr>
        <w:t>: 1030-1036 [PMID: 26773235 DOI: 10.1111/bcp.12885]</w:t>
      </w:r>
    </w:p>
    <w:p>
      <w:pPr>
        <w:spacing w:line="360" w:lineRule="auto"/>
        <w:jc w:val="both"/>
        <w:rPr>
          <w:rFonts w:ascii="Book Antiqua" w:hAnsi="Book Antiqua"/>
        </w:rPr>
      </w:pPr>
      <w:r>
        <w:rPr>
          <w:rFonts w:ascii="Book Antiqua" w:hAnsi="Book Antiqua"/>
        </w:rPr>
        <w:t xml:space="preserve">75 </w:t>
      </w:r>
      <w:r>
        <w:rPr>
          <w:rFonts w:ascii="Book Antiqua" w:hAnsi="Book Antiqua"/>
          <w:b/>
          <w:bCs/>
        </w:rPr>
        <w:t>Khanam A</w:t>
      </w:r>
      <w:r>
        <w:rPr>
          <w:rFonts w:ascii="Book Antiqua" w:hAnsi="Book Antiqua"/>
        </w:rPr>
        <w:t xml:space="preserve">, Kottilil S. Abnormal Innate Immunity in Acute-on-Chronic Liver Failure: Immunotargets for Therapeutics.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2013 [PMID: 33117329 DOI: 10.3389/fimmu.2020.02013]</w:t>
      </w:r>
    </w:p>
    <w:p>
      <w:pPr>
        <w:spacing w:line="360" w:lineRule="auto"/>
        <w:jc w:val="both"/>
        <w:rPr>
          <w:rFonts w:ascii="Book Antiqua" w:hAnsi="Book Antiqua"/>
        </w:rPr>
      </w:pPr>
      <w:r>
        <w:rPr>
          <w:rFonts w:ascii="Book Antiqua" w:hAnsi="Book Antiqua"/>
        </w:rPr>
        <w:t xml:space="preserve">76 </w:t>
      </w:r>
      <w:r>
        <w:rPr>
          <w:rFonts w:ascii="Book Antiqua" w:hAnsi="Book Antiqua"/>
          <w:b/>
          <w:bCs/>
        </w:rPr>
        <w:t>Chen P</w:t>
      </w:r>
      <w:r>
        <w:rPr>
          <w:rFonts w:ascii="Book Antiqua" w:hAnsi="Book Antiqua"/>
        </w:rPr>
        <w:t xml:space="preserve">, Wang YY, Chen C, Guan J, Zhu HH, Chen Z. The immunological roles in acute-on-chronic liver failure: An update. </w:t>
      </w:r>
      <w:r>
        <w:rPr>
          <w:rFonts w:ascii="Book Antiqua" w:hAnsi="Book Antiqua"/>
          <w:i/>
          <w:iCs/>
        </w:rPr>
        <w:t>Hepatobiliary Pancreat Dis Int</w:t>
      </w:r>
      <w:r>
        <w:rPr>
          <w:rFonts w:ascii="Book Antiqua" w:hAnsi="Book Antiqua"/>
        </w:rPr>
        <w:t xml:space="preserve"> 2019; </w:t>
      </w:r>
      <w:r>
        <w:rPr>
          <w:rFonts w:ascii="Book Antiqua" w:hAnsi="Book Antiqua"/>
          <w:b/>
          <w:bCs/>
        </w:rPr>
        <w:t>18</w:t>
      </w:r>
      <w:r>
        <w:rPr>
          <w:rFonts w:ascii="Book Antiqua" w:hAnsi="Book Antiqua"/>
        </w:rPr>
        <w:t>: 403-411 [PMID: 31303562 DOI: 10.1016/j.hbpd.2019.07.003]</w:t>
      </w:r>
    </w:p>
    <w:p>
      <w:pPr>
        <w:spacing w:line="360" w:lineRule="auto"/>
        <w:jc w:val="both"/>
        <w:rPr>
          <w:rFonts w:ascii="Book Antiqua" w:hAnsi="Book Antiqua"/>
        </w:rPr>
      </w:pPr>
      <w:r>
        <w:rPr>
          <w:rFonts w:ascii="Book Antiqua" w:hAnsi="Book Antiqua"/>
        </w:rPr>
        <w:t xml:space="preserve">77 </w:t>
      </w:r>
      <w:r>
        <w:rPr>
          <w:rFonts w:ascii="Book Antiqua" w:hAnsi="Book Antiqua"/>
          <w:b/>
          <w:bCs/>
        </w:rPr>
        <w:t>Kamath PS</w:t>
      </w:r>
      <w:r>
        <w:rPr>
          <w:rFonts w:ascii="Book Antiqua" w:hAnsi="Book Antiqua"/>
        </w:rPr>
        <w:t xml:space="preserve">. Acute on chronic liver failure. </w:t>
      </w:r>
      <w:r>
        <w:rPr>
          <w:rFonts w:ascii="Book Antiqua" w:hAnsi="Book Antiqua"/>
          <w:i/>
          <w:iCs/>
        </w:rPr>
        <w:t>Clin Liver Dis (Hoboken)</w:t>
      </w:r>
      <w:r>
        <w:rPr>
          <w:rFonts w:ascii="Book Antiqua" w:hAnsi="Book Antiqua"/>
        </w:rPr>
        <w:t xml:space="preserve"> 2017; </w:t>
      </w:r>
      <w:r>
        <w:rPr>
          <w:rFonts w:ascii="Book Antiqua" w:hAnsi="Book Antiqua"/>
          <w:b/>
          <w:bCs/>
        </w:rPr>
        <w:t>9</w:t>
      </w:r>
      <w:r>
        <w:rPr>
          <w:rFonts w:ascii="Book Antiqua" w:hAnsi="Book Antiqua"/>
        </w:rPr>
        <w:t>: 86-88 [PMID: 30992966 DOI: 10.1002/cld.625]</w:t>
      </w:r>
    </w:p>
    <w:p>
      <w:pPr>
        <w:spacing w:line="360" w:lineRule="auto"/>
        <w:jc w:val="both"/>
        <w:rPr>
          <w:rFonts w:ascii="Book Antiqua" w:hAnsi="Book Antiqua"/>
        </w:rPr>
      </w:pPr>
      <w:r>
        <w:rPr>
          <w:rFonts w:ascii="Book Antiqua" w:hAnsi="Book Antiqua"/>
        </w:rPr>
        <w:t xml:space="preserve">78 </w:t>
      </w:r>
      <w:r>
        <w:rPr>
          <w:rFonts w:ascii="Book Antiqua" w:hAnsi="Book Antiqua"/>
          <w:b/>
          <w:bCs/>
        </w:rPr>
        <w:t>Gustot T</w:t>
      </w:r>
      <w:r>
        <w:rPr>
          <w:rFonts w:ascii="Book Antiqua" w:hAnsi="Book Antiqua"/>
        </w:rPr>
        <w:t xml:space="preserve">, Jalan R. Acute-on-chronic liver failure in patients with alcohol-related liver disease.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319-327 [PMID: 30658733 DOI: 10.1016/j.jhep.2018.12.008]</w:t>
      </w:r>
    </w:p>
    <w:p>
      <w:pPr>
        <w:spacing w:line="360" w:lineRule="auto"/>
        <w:jc w:val="both"/>
        <w:rPr>
          <w:rFonts w:ascii="Book Antiqua" w:hAnsi="Book Antiqua"/>
          <w:lang w:eastAsia="zh-CN"/>
        </w:rPr>
      </w:pPr>
      <w:r>
        <w:rPr>
          <w:rFonts w:ascii="Book Antiqua" w:hAnsi="Book Antiqua"/>
        </w:rPr>
        <w:t xml:space="preserve">79 </w:t>
      </w:r>
      <w:r>
        <w:rPr>
          <w:rFonts w:ascii="Book Antiqua" w:hAnsi="Book Antiqua"/>
          <w:b/>
          <w:bCs/>
        </w:rPr>
        <w:t>Arroyo V</w:t>
      </w:r>
      <w:r>
        <w:rPr>
          <w:rFonts w:ascii="Book Antiqua" w:hAnsi="Book Antiqua"/>
        </w:rPr>
        <w:t xml:space="preserve">, Moreau R, Kamath PS, Jalan R, Ginès P, Nevens F, Fernández J, To U, García-Tsao G, Schnabl B. Acute-on-chronic liver failure in cirrhosis. </w:t>
      </w:r>
      <w:r>
        <w:rPr>
          <w:rFonts w:ascii="Book Antiqua" w:hAnsi="Book Antiqua"/>
          <w:i/>
          <w:iCs/>
        </w:rPr>
        <w:t>Nat Rev Dis Primers</w:t>
      </w:r>
      <w:r>
        <w:rPr>
          <w:rFonts w:ascii="Book Antiqua" w:hAnsi="Book Antiqua"/>
        </w:rPr>
        <w:t xml:space="preserve"> 2016; </w:t>
      </w:r>
      <w:r>
        <w:rPr>
          <w:rFonts w:ascii="Book Antiqua" w:hAnsi="Book Antiqua"/>
          <w:b/>
          <w:bCs/>
        </w:rPr>
        <w:t>2</w:t>
      </w:r>
      <w:r>
        <w:rPr>
          <w:rFonts w:ascii="Book Antiqua" w:hAnsi="Book Antiqua"/>
        </w:rPr>
        <w:t>: 16041 [PMID: 27277335 DOI: 10.1038/nrdp.2016.41]</w:t>
      </w:r>
    </w:p>
    <w:p>
      <w:pPr>
        <w:spacing w:line="360" w:lineRule="auto"/>
        <w:jc w:val="both"/>
      </w:pPr>
      <w:bookmarkStart w:id="29" w:name="OLE_LINK338"/>
      <w:bookmarkStart w:id="30" w:name="OLE_LINK337"/>
    </w:p>
    <w:bookmarkEnd w:id="29"/>
    <w:bookmarkEnd w:id="30"/>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The authors</w:t>
      </w:r>
      <w:r>
        <w:rPr>
          <w:rFonts w:ascii="Book Antiqua" w:hAnsi="Book Antiqua" w:eastAsia="Book Antiqua" w:cs="Book Antiqua"/>
          <w:color w:val="000000"/>
        </w:rPr>
        <w:t xml:space="preserve"> have no conflicts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color w:val="000000"/>
        </w:rPr>
      </w:pPr>
      <w:r>
        <w:rPr>
          <w:rFonts w:ascii="Book Antiqua" w:hAnsi="Book Antiqua"/>
          <w:b/>
          <w:bCs/>
          <w:color w:val="000000"/>
        </w:rPr>
        <w:t>Provenance and peer review:</w:t>
      </w:r>
      <w:r>
        <w:rPr>
          <w:rFonts w:hint="eastAsia" w:ascii="Book Antiqua" w:hAnsi="Book Antiqua"/>
          <w:b/>
          <w:bCs/>
          <w:color w:val="000000"/>
          <w:lang w:val="en-US" w:eastAsia="zh-CN"/>
        </w:rPr>
        <w:t xml:space="preserve"> </w:t>
      </w:r>
      <w:r>
        <w:rPr>
          <w:rFonts w:ascii="Book Antiqua" w:hAnsi="Book Antiqua"/>
          <w:color w:val="000000"/>
        </w:rPr>
        <w:t>Invited article; Externally peer 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16,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rPr>
          <w:lang w:val="pt-BR"/>
        </w:rPr>
      </w:pPr>
      <w:r>
        <w:rPr>
          <w:rFonts w:ascii="Book Antiqua" w:hAnsi="Book Antiqua" w:eastAsia="Book Antiqua" w:cs="Book Antiqua"/>
          <w:color w:val="000000"/>
          <w:lang w:val="pt-BR"/>
        </w:rPr>
        <w:t>Grade E (Poor): 0</w:t>
      </w:r>
    </w:p>
    <w:p>
      <w:pPr>
        <w:spacing w:line="360" w:lineRule="auto"/>
        <w:jc w:val="both"/>
        <w:rPr>
          <w:lang w:val="pt-BR"/>
        </w:rPr>
      </w:pPr>
    </w:p>
    <w:p>
      <w:pPr>
        <w:spacing w:line="360" w:lineRule="auto"/>
        <w:jc w:val="both"/>
        <w:rPr>
          <w:rFonts w:ascii="Book Antiqua" w:hAnsi="Book Antiqua" w:cs="Book Antiqua"/>
          <w:b/>
          <w:color w:val="000000"/>
          <w:lang w:val="pt-BR" w:eastAsia="zh-CN"/>
        </w:rPr>
      </w:pPr>
      <w:r>
        <w:rPr>
          <w:rFonts w:ascii="Book Antiqua" w:hAnsi="Book Antiqua" w:eastAsia="Book Antiqua" w:cs="Book Antiqua"/>
          <w:b/>
          <w:color w:val="000000"/>
          <w:lang w:val="pt-BR"/>
        </w:rPr>
        <w:t xml:space="preserve">P-Reviewer: </w:t>
      </w:r>
      <w:r>
        <w:rPr>
          <w:rFonts w:ascii="Book Antiqua" w:hAnsi="Book Antiqua" w:eastAsia="Book Antiqua" w:cs="Book Antiqua"/>
          <w:color w:val="000000"/>
          <w:lang w:val="pt-BR"/>
        </w:rPr>
        <w:t>Navarro-Alvarez N</w:t>
      </w:r>
      <w:r>
        <w:rPr>
          <w:rFonts w:ascii="Book Antiqua" w:hAnsi="Book Antiqua" w:eastAsia="Book Antiqua" w:cs="Book Antiqua"/>
          <w:b/>
          <w:color w:val="000000"/>
          <w:lang w:val="pt-BR"/>
        </w:rPr>
        <w:t xml:space="preserve"> S-Editor: </w:t>
      </w:r>
      <w:r>
        <w:rPr>
          <w:rFonts w:hint="eastAsia" w:ascii="Book Antiqua" w:hAnsi="Book Antiqua" w:cs="Book Antiqua"/>
          <w:color w:val="000000"/>
          <w:lang w:val="pt-BR" w:eastAsia="zh-CN"/>
        </w:rPr>
        <w:t>Ma YJ</w:t>
      </w:r>
      <w:r>
        <w:rPr>
          <w:rFonts w:ascii="Book Antiqua" w:hAnsi="Book Antiqua" w:eastAsia="Book Antiqua" w:cs="Book Antiqua"/>
          <w:b/>
          <w:color w:val="000000"/>
          <w:lang w:val="pt-BR"/>
        </w:rPr>
        <w:t xml:space="preserve"> L-Editor: </w:t>
      </w:r>
      <w:r>
        <w:rPr>
          <w:rFonts w:ascii="Book Antiqua" w:hAnsi="Book Antiqua" w:eastAsia="Book Antiqua" w:cs="Book Antiqua"/>
          <w:bCs/>
          <w:color w:val="000000"/>
          <w:lang w:val="pt-BR"/>
        </w:rPr>
        <w:t>A</w:t>
      </w:r>
      <w:r>
        <w:rPr>
          <w:rFonts w:ascii="Book Antiqua" w:hAnsi="Book Antiqua" w:eastAsia="Book Antiqua" w:cs="Book Antiqua"/>
          <w:b/>
          <w:color w:val="000000"/>
          <w:lang w:val="pt-BR"/>
        </w:rPr>
        <w:t xml:space="preserve"> P-Editor: </w:t>
      </w:r>
      <w:bookmarkStart w:id="31" w:name="_Hlk87468641"/>
      <w:r>
        <w:rPr>
          <w:rFonts w:ascii="Book Antiqua" w:hAnsi="Book Antiqua" w:eastAsia="Book Antiqua" w:cs="Book Antiqua"/>
          <w:bCs/>
          <w:color w:val="000000"/>
          <w:lang w:val="pt-BR"/>
        </w:rPr>
        <w:t>Yu HG</w:t>
      </w:r>
      <w:bookmarkEnd w:id="31"/>
    </w:p>
    <w:p>
      <w:pPr>
        <w:spacing w:line="360" w:lineRule="auto"/>
        <w:jc w:val="both"/>
        <w:rPr>
          <w:rFonts w:ascii="Book Antiqua" w:hAnsi="Book Antiqua" w:cs="Book Antiqua"/>
          <w:b/>
          <w:color w:val="000000"/>
          <w:lang w:eastAsia="zh-CN"/>
        </w:rPr>
      </w:pPr>
      <w:r>
        <w:rPr>
          <w:rFonts w:ascii="Book Antiqua" w:hAnsi="Book Antiqua" w:cs="Book Antiqua"/>
          <w:b/>
          <w:color w:val="000000"/>
          <w:lang w:val="pt-BR" w:eastAsia="zh-CN"/>
        </w:rPr>
        <w:br w:type="page"/>
      </w: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lang w:eastAsia="zh-CN"/>
        </w:rPr>
        <w:drawing>
          <wp:inline distT="0" distB="0" distL="0" distR="0">
            <wp:extent cx="5690870" cy="3461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21677" cy="3479912"/>
                    </a:xfrm>
                    <a:prstGeom prst="rect">
                      <a:avLst/>
                    </a:prstGeom>
                    <a:noFill/>
                  </pic:spPr>
                </pic:pic>
              </a:graphicData>
            </a:graphic>
          </wp:inline>
        </w:drawing>
      </w:r>
    </w:p>
    <w:p>
      <w:pPr>
        <w:spacing w:line="360" w:lineRule="auto"/>
        <w:jc w:val="both"/>
        <w:rPr>
          <w:rFonts w:ascii="Book Antiqua" w:hAnsi="Book Antiqua"/>
          <w:iCs/>
          <w:lang w:eastAsia="zh-CN"/>
        </w:rPr>
      </w:pPr>
      <w:bookmarkStart w:id="32" w:name="_Toc66190880"/>
      <w:bookmarkStart w:id="33" w:name="_Toc66182480"/>
      <w:bookmarkStart w:id="34" w:name="_Toc66210095"/>
      <w:r>
        <w:rPr>
          <w:rFonts w:ascii="Book Antiqua" w:hAnsi="Book Antiqua"/>
          <w:b/>
          <w:iCs/>
        </w:rPr>
        <w:t>Figure 1 Initiation of drug-induced liver injury - Direct damage by drug and metabolite</w:t>
      </w:r>
      <w:bookmarkEnd w:id="32"/>
      <w:bookmarkEnd w:id="33"/>
      <w:bookmarkEnd w:id="34"/>
      <w:r>
        <w:rPr>
          <w:rFonts w:ascii="Book Antiqua" w:hAnsi="Book Antiqua"/>
          <w:b/>
          <w:iCs/>
        </w:rPr>
        <w:t xml:space="preserve">. </w:t>
      </w:r>
      <w:r>
        <w:rPr>
          <w:rFonts w:ascii="Book Antiqua" w:hAnsi="Book Antiqua"/>
          <w:iCs/>
        </w:rPr>
        <w:t>Drugs and their metabolites damage organelles and cell membrane of liver cells causing damage.</w:t>
      </w:r>
      <w:r>
        <w:rPr>
          <w:rFonts w:hint="eastAsia" w:ascii="Book Antiqua" w:hAnsi="Book Antiqua"/>
          <w:iCs/>
          <w:lang w:eastAsia="zh-CN"/>
        </w:rPr>
        <w:t xml:space="preserve"> ER: </w:t>
      </w:r>
      <w:r>
        <w:rPr>
          <w:rFonts w:ascii="Book Antiqua" w:hAnsi="Book Antiqua"/>
          <w:iCs/>
          <w:caps/>
          <w:lang w:eastAsia="zh-CN"/>
        </w:rPr>
        <w:t>e</w:t>
      </w:r>
      <w:r>
        <w:rPr>
          <w:rFonts w:ascii="Book Antiqua" w:hAnsi="Book Antiqua"/>
          <w:iCs/>
          <w:lang w:eastAsia="zh-CN"/>
        </w:rPr>
        <w:t>ndoplasmic reticulum</w:t>
      </w:r>
      <w:r>
        <w:rPr>
          <w:rFonts w:hint="eastAsia" w:ascii="Book Antiqua" w:hAnsi="Book Antiqua"/>
          <w:iCs/>
          <w:lang w:eastAsia="zh-CN"/>
        </w:rPr>
        <w:t>.</w:t>
      </w:r>
    </w:p>
    <w:p>
      <w:pPr>
        <w:spacing w:line="360" w:lineRule="auto"/>
        <w:jc w:val="both"/>
        <w:rPr>
          <w:rFonts w:ascii="Book Antiqua" w:hAnsi="Book Antiqua"/>
          <w:b/>
          <w:iCs/>
          <w:lang w:eastAsia="zh-CN"/>
        </w:rPr>
      </w:pPr>
      <w:r>
        <w:rPr>
          <w:rFonts w:ascii="Book Antiqua" w:hAnsi="Book Antiqua"/>
          <w:iCs/>
          <w:lang w:eastAsia="zh-CN"/>
        </w:rPr>
        <w:br w:type="page"/>
      </w:r>
      <w:r>
        <w:rPr>
          <w:lang w:eastAsia="zh-CN"/>
        </w:rPr>
        <w:drawing>
          <wp:inline distT="0" distB="0" distL="0" distR="0">
            <wp:extent cx="5731510" cy="33369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3337493"/>
                    </a:xfrm>
                    <a:prstGeom prst="rect">
                      <a:avLst/>
                    </a:prstGeom>
                    <a:noFill/>
                  </pic:spPr>
                </pic:pic>
              </a:graphicData>
            </a:graphic>
          </wp:inline>
        </w:drawing>
      </w:r>
    </w:p>
    <w:p>
      <w:pPr>
        <w:spacing w:line="360" w:lineRule="auto"/>
        <w:jc w:val="both"/>
        <w:rPr>
          <w:rFonts w:ascii="Book Antiqua" w:hAnsi="Book Antiqua"/>
          <w:iCs/>
          <w:lang w:eastAsia="zh-CN"/>
        </w:rPr>
      </w:pPr>
      <w:bookmarkStart w:id="35" w:name="_Toc66190881"/>
      <w:bookmarkStart w:id="36" w:name="_Toc66182481"/>
      <w:bookmarkStart w:id="37" w:name="_Toc66210096"/>
      <w:r>
        <w:rPr>
          <w:rFonts w:ascii="Book Antiqua" w:hAnsi="Book Antiqua"/>
          <w:b/>
          <w:iCs/>
        </w:rPr>
        <w:t>Figure 2 Initiation of drug-induced liver injury - Indirect damage by drugs</w:t>
      </w:r>
      <w:bookmarkEnd w:id="35"/>
      <w:bookmarkEnd w:id="36"/>
      <w:bookmarkEnd w:id="37"/>
      <w:r>
        <w:rPr>
          <w:rFonts w:ascii="Book Antiqua" w:hAnsi="Book Antiqua"/>
          <w:b/>
          <w:iCs/>
        </w:rPr>
        <w:t xml:space="preserve">. </w:t>
      </w:r>
      <w:r>
        <w:rPr>
          <w:rFonts w:ascii="Book Antiqua" w:hAnsi="Book Antiqua"/>
          <w:iCs/>
        </w:rPr>
        <w:t>Drugs can modulate the functioning of enzymes and transporters involved in drug metabolism and elimination that may lead to toxicity.</w:t>
      </w:r>
    </w:p>
    <w:p>
      <w:pPr>
        <w:spacing w:line="360" w:lineRule="auto"/>
        <w:rPr>
          <w:rFonts w:ascii="Book Antiqua" w:hAnsi="Book Antiqua"/>
          <w:iCs/>
          <w:lang w:eastAsia="zh-CN"/>
        </w:rPr>
      </w:pPr>
      <w:r>
        <w:rPr>
          <w:rFonts w:ascii="Book Antiqua" w:hAnsi="Book Antiqua"/>
          <w:iCs/>
          <w:lang w:eastAsia="zh-CN"/>
        </w:rPr>
        <w:br w:type="page"/>
      </w:r>
      <w:r>
        <w:rPr>
          <w:lang w:eastAsia="zh-CN"/>
        </w:rPr>
        <w:drawing>
          <wp:inline distT="0" distB="0" distL="0" distR="0">
            <wp:extent cx="5634990" cy="2813685"/>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58345" cy="2825257"/>
                    </a:xfrm>
                    <a:prstGeom prst="rect">
                      <a:avLst/>
                    </a:prstGeom>
                    <a:noFill/>
                  </pic:spPr>
                </pic:pic>
              </a:graphicData>
            </a:graphic>
          </wp:inline>
        </w:drawing>
      </w:r>
    </w:p>
    <w:p>
      <w:pPr>
        <w:spacing w:line="360" w:lineRule="auto"/>
        <w:jc w:val="both"/>
        <w:rPr>
          <w:rFonts w:ascii="Book Antiqua" w:hAnsi="Book Antiqua"/>
          <w:iCs/>
          <w:lang w:eastAsia="zh-CN"/>
        </w:rPr>
      </w:pPr>
      <w:bookmarkStart w:id="38" w:name="_Toc66182482"/>
      <w:bookmarkStart w:id="39" w:name="_Toc66190882"/>
      <w:bookmarkStart w:id="40" w:name="_Toc66210097"/>
      <w:r>
        <w:rPr>
          <w:rFonts w:ascii="Book Antiqua" w:hAnsi="Book Antiqua"/>
          <w:b/>
          <w:iCs/>
        </w:rPr>
        <w:t>Figure 3 Immune allergic drug-induced liver injury.</w:t>
      </w:r>
      <w:r>
        <w:rPr>
          <w:rFonts w:ascii="Book Antiqua" w:hAnsi="Book Antiqua"/>
          <w:iCs/>
        </w:rPr>
        <w:t xml:space="preserve"> A</w:t>
      </w:r>
      <w:r>
        <w:rPr>
          <w:rFonts w:hint="eastAsia" w:ascii="Book Antiqua" w:hAnsi="Book Antiqua"/>
          <w:iCs/>
          <w:lang w:eastAsia="zh-CN"/>
        </w:rPr>
        <w:t>:</w:t>
      </w:r>
      <w:r>
        <w:rPr>
          <w:rFonts w:ascii="Book Antiqua" w:hAnsi="Book Antiqua"/>
          <w:iCs/>
        </w:rPr>
        <w:t xml:space="preserve"> Endoplasmic reticulum stress by drug, causes misfolded protein resulting in cell death and release of stress signals and drug-protein complex. Kupffer cells ingest the drug-protein complex to T-helper cells</w:t>
      </w:r>
      <w:r>
        <w:rPr>
          <w:rFonts w:hint="eastAsia" w:ascii="Book Antiqua" w:hAnsi="Book Antiqua"/>
          <w:iCs/>
          <w:lang w:eastAsia="zh-CN"/>
        </w:rPr>
        <w:t>;</w:t>
      </w:r>
      <w:r>
        <w:rPr>
          <w:rFonts w:ascii="Book Antiqua" w:hAnsi="Book Antiqua"/>
          <w:iCs/>
        </w:rPr>
        <w:t xml:space="preserve"> B</w:t>
      </w:r>
      <w:r>
        <w:rPr>
          <w:rFonts w:hint="eastAsia" w:ascii="Book Antiqua" w:hAnsi="Book Antiqua"/>
          <w:iCs/>
          <w:lang w:eastAsia="zh-CN"/>
        </w:rPr>
        <w:t>:</w:t>
      </w:r>
      <w:r>
        <w:rPr>
          <w:rFonts w:ascii="Book Antiqua" w:hAnsi="Book Antiqua"/>
          <w:iCs/>
        </w:rPr>
        <w:t xml:space="preserve"> T-helper cells process it and present it to B-cells</w:t>
      </w:r>
      <w:r>
        <w:rPr>
          <w:rFonts w:hint="eastAsia" w:ascii="Book Antiqua" w:hAnsi="Book Antiqua"/>
          <w:iCs/>
          <w:lang w:eastAsia="zh-CN"/>
        </w:rPr>
        <w:t>;</w:t>
      </w:r>
      <w:r>
        <w:rPr>
          <w:rFonts w:ascii="Book Antiqua" w:hAnsi="Book Antiqua"/>
          <w:iCs/>
        </w:rPr>
        <w:t xml:space="preserve"> C</w:t>
      </w:r>
      <w:r>
        <w:rPr>
          <w:rFonts w:hint="eastAsia" w:ascii="Book Antiqua" w:hAnsi="Book Antiqua"/>
          <w:iCs/>
          <w:lang w:eastAsia="zh-CN"/>
        </w:rPr>
        <w:t>:</w:t>
      </w:r>
      <w:r>
        <w:rPr>
          <w:rFonts w:ascii="Book Antiqua" w:hAnsi="Book Antiqua"/>
          <w:iCs/>
        </w:rPr>
        <w:t xml:space="preserve"> B-cells produce anti-drug antibodies</w:t>
      </w:r>
      <w:r>
        <w:rPr>
          <w:rFonts w:hint="eastAsia" w:ascii="Book Antiqua" w:hAnsi="Book Antiqua"/>
          <w:iCs/>
          <w:lang w:eastAsia="zh-CN"/>
        </w:rPr>
        <w:t>;</w:t>
      </w:r>
      <w:r>
        <w:rPr>
          <w:rFonts w:ascii="Book Antiqua" w:hAnsi="Book Antiqua"/>
          <w:iCs/>
        </w:rPr>
        <w:t xml:space="preserve"> D</w:t>
      </w:r>
      <w:r>
        <w:rPr>
          <w:rFonts w:hint="eastAsia" w:ascii="Book Antiqua" w:hAnsi="Book Antiqua"/>
          <w:iCs/>
          <w:lang w:eastAsia="zh-CN"/>
        </w:rPr>
        <w:t>:</w:t>
      </w:r>
      <w:r>
        <w:rPr>
          <w:rFonts w:ascii="Book Antiqua" w:hAnsi="Book Antiqua"/>
          <w:iCs/>
        </w:rPr>
        <w:t xml:space="preserve"> These antibodies target the tissues, where drug is accumulated.</w:t>
      </w:r>
      <w:bookmarkEnd w:id="38"/>
      <w:bookmarkEnd w:id="39"/>
      <w:bookmarkEnd w:id="40"/>
      <w:r>
        <w:rPr>
          <w:rFonts w:hint="eastAsia" w:ascii="Book Antiqua" w:hAnsi="Book Antiqua"/>
          <w:iCs/>
          <w:lang w:eastAsia="zh-CN"/>
        </w:rPr>
        <w:t xml:space="preserve"> </w:t>
      </w:r>
      <w:r>
        <w:rPr>
          <w:rFonts w:ascii="Book Antiqua" w:hAnsi="Book Antiqua"/>
          <w:iCs/>
          <w:lang w:eastAsia="zh-CN"/>
        </w:rPr>
        <w:t>KC</w:t>
      </w:r>
      <w:r>
        <w:rPr>
          <w:rFonts w:hint="eastAsia" w:ascii="Book Antiqua" w:hAnsi="Book Antiqua"/>
          <w:iCs/>
          <w:lang w:eastAsia="zh-CN"/>
        </w:rPr>
        <w:t>:</w:t>
      </w:r>
      <w:r>
        <w:rPr>
          <w:rFonts w:ascii="Book Antiqua" w:hAnsi="Book Antiqua"/>
          <w:iCs/>
          <w:lang w:eastAsia="zh-CN"/>
        </w:rPr>
        <w:t xml:space="preserve"> Kupffer cell</w:t>
      </w:r>
      <w:r>
        <w:rPr>
          <w:rFonts w:hint="eastAsia" w:ascii="Book Antiqua" w:hAnsi="Book Antiqua"/>
          <w:iCs/>
          <w:lang w:eastAsia="zh-CN"/>
        </w:rPr>
        <w:t>;</w:t>
      </w:r>
      <w:r>
        <w:rPr>
          <w:rFonts w:ascii="Book Antiqua" w:hAnsi="Book Antiqua"/>
          <w:iCs/>
          <w:lang w:eastAsia="zh-CN"/>
        </w:rPr>
        <w:t xml:space="preserve"> HSC</w:t>
      </w:r>
      <w:r>
        <w:rPr>
          <w:rFonts w:hint="eastAsia" w:ascii="Book Antiqua" w:hAnsi="Book Antiqua"/>
          <w:iCs/>
          <w:lang w:eastAsia="zh-CN"/>
        </w:rPr>
        <w:t>:</w:t>
      </w:r>
      <w:r>
        <w:rPr>
          <w:rFonts w:ascii="Book Antiqua" w:hAnsi="Book Antiqua"/>
          <w:iCs/>
          <w:lang w:eastAsia="zh-CN"/>
        </w:rPr>
        <w:t xml:space="preserve"> </w:t>
      </w:r>
      <w:r>
        <w:rPr>
          <w:rFonts w:ascii="Book Antiqua" w:hAnsi="Book Antiqua"/>
          <w:iCs/>
          <w:caps/>
          <w:lang w:eastAsia="zh-CN"/>
        </w:rPr>
        <w:t>h</w:t>
      </w:r>
      <w:r>
        <w:rPr>
          <w:rFonts w:ascii="Book Antiqua" w:hAnsi="Book Antiqua"/>
          <w:iCs/>
          <w:lang w:eastAsia="zh-CN"/>
        </w:rPr>
        <w:t>epatic stellate cells</w:t>
      </w:r>
      <w:r>
        <w:rPr>
          <w:rFonts w:hint="eastAsia" w:ascii="Book Antiqua" w:hAnsi="Book Antiqua"/>
          <w:iCs/>
          <w:lang w:eastAsia="zh-CN"/>
        </w:rPr>
        <w:t>.</w:t>
      </w:r>
    </w:p>
    <w:p>
      <w:pPr>
        <w:spacing w:line="360" w:lineRule="auto"/>
        <w:jc w:val="both"/>
        <w:rPr>
          <w:rFonts w:ascii="Book Antiqua" w:hAnsi="Book Antiqua"/>
          <w:iCs/>
          <w:lang w:eastAsia="zh-CN"/>
        </w:rPr>
      </w:pPr>
      <w:r>
        <w:rPr>
          <w:rFonts w:ascii="Book Antiqua" w:hAnsi="Book Antiqua"/>
          <w:iCs/>
          <w:lang w:eastAsia="zh-CN"/>
        </w:rPr>
        <w:br w:type="page"/>
      </w:r>
      <w:r>
        <w:rPr>
          <w:lang w:eastAsia="zh-CN"/>
        </w:rPr>
        <w:drawing>
          <wp:inline distT="0" distB="0" distL="0" distR="0">
            <wp:extent cx="5680075" cy="2943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10244" cy="2958709"/>
                    </a:xfrm>
                    <a:prstGeom prst="rect">
                      <a:avLst/>
                    </a:prstGeom>
                    <a:noFill/>
                  </pic:spPr>
                </pic:pic>
              </a:graphicData>
            </a:graphic>
          </wp:inline>
        </w:drawing>
      </w:r>
    </w:p>
    <w:p>
      <w:pPr>
        <w:spacing w:line="360" w:lineRule="auto"/>
        <w:jc w:val="both"/>
        <w:rPr>
          <w:rFonts w:hint="eastAsia" w:ascii="Book Antiqua" w:hAnsi="Book Antiqua"/>
          <w:iCs/>
          <w:lang w:eastAsia="zh-CN"/>
        </w:rPr>
        <w:sectPr>
          <w:pgSz w:w="12240" w:h="15840"/>
          <w:pgMar w:top="1440" w:right="1440" w:bottom="1440" w:left="1440" w:header="720" w:footer="720" w:gutter="0"/>
          <w:cols w:space="720" w:num="1"/>
          <w:docGrid w:linePitch="360" w:charSpace="0"/>
        </w:sectPr>
      </w:pPr>
      <w:bookmarkStart w:id="41" w:name="_Toc66210098"/>
      <w:bookmarkStart w:id="42" w:name="_Toc66190883"/>
      <w:bookmarkStart w:id="43" w:name="_Toc66182483"/>
      <w:r>
        <w:rPr>
          <w:rFonts w:ascii="Book Antiqua" w:hAnsi="Book Antiqua"/>
          <w:b/>
          <w:iCs/>
        </w:rPr>
        <w:t>Figure 4 Mechanism of autoimmune drug-induced liver injury.</w:t>
      </w:r>
      <w:bookmarkEnd w:id="41"/>
      <w:bookmarkEnd w:id="42"/>
      <w:bookmarkEnd w:id="43"/>
      <w:r>
        <w:rPr>
          <w:rFonts w:ascii="Book Antiqua" w:hAnsi="Book Antiqua"/>
          <w:iCs/>
        </w:rPr>
        <w:t xml:space="preserve"> </w:t>
      </w:r>
      <w:r>
        <w:rPr>
          <w:rFonts w:ascii="Book Antiqua" w:hAnsi="Book Antiqua"/>
        </w:rPr>
        <w:t>A</w:t>
      </w:r>
      <w:r>
        <w:rPr>
          <w:rFonts w:hint="eastAsia" w:ascii="Book Antiqua" w:hAnsi="Book Antiqua"/>
          <w:lang w:eastAsia="zh-CN"/>
        </w:rPr>
        <w:t>:</w:t>
      </w:r>
      <w:r>
        <w:rPr>
          <w:rFonts w:ascii="Book Antiqua" w:hAnsi="Book Antiqua"/>
        </w:rPr>
        <w:t xml:space="preserve"> Drug causes mitochondrial dysfunction resulting in cell death and release of HMGB-1 and other stress signals</w:t>
      </w:r>
      <w:r>
        <w:rPr>
          <w:rFonts w:hint="eastAsia" w:ascii="Book Antiqua" w:hAnsi="Book Antiqua"/>
          <w:lang w:eastAsia="zh-CN"/>
        </w:rPr>
        <w:t>;</w:t>
      </w:r>
      <w:r>
        <w:rPr>
          <w:rFonts w:ascii="Book Antiqua" w:hAnsi="Book Antiqua"/>
        </w:rPr>
        <w:t xml:space="preserve"> B</w:t>
      </w:r>
      <w:r>
        <w:rPr>
          <w:rFonts w:hint="eastAsia" w:ascii="Book Antiqua" w:hAnsi="Book Antiqua"/>
          <w:lang w:eastAsia="zh-CN"/>
        </w:rPr>
        <w:t>:</w:t>
      </w:r>
      <w:r>
        <w:rPr>
          <w:rFonts w:ascii="Book Antiqua" w:hAnsi="Book Antiqua"/>
        </w:rPr>
        <w:t xml:space="preserve"> Kupffer cells and Stellate cells get activated. Release cytokines, chemokines and toxins</w:t>
      </w:r>
      <w:r>
        <w:rPr>
          <w:rFonts w:hint="eastAsia" w:ascii="Book Antiqua" w:hAnsi="Book Antiqua"/>
          <w:lang w:eastAsia="zh-CN"/>
        </w:rPr>
        <w:t>;</w:t>
      </w:r>
      <w:r>
        <w:rPr>
          <w:rFonts w:ascii="Book Antiqua" w:hAnsi="Book Antiqua"/>
        </w:rPr>
        <w:t xml:space="preserve"> C</w:t>
      </w:r>
      <w:r>
        <w:rPr>
          <w:rFonts w:hint="eastAsia" w:ascii="Book Antiqua" w:hAnsi="Book Antiqua"/>
          <w:lang w:eastAsia="zh-CN"/>
        </w:rPr>
        <w:t>:</w:t>
      </w:r>
      <w:r>
        <w:rPr>
          <w:rFonts w:ascii="Book Antiqua" w:hAnsi="Book Antiqua"/>
        </w:rPr>
        <w:t xml:space="preserve"> Chemokines attract monocytes</w:t>
      </w:r>
      <w:r>
        <w:rPr>
          <w:rFonts w:hint="eastAsia" w:ascii="Book Antiqua" w:hAnsi="Book Antiqua"/>
          <w:lang w:eastAsia="zh-CN"/>
        </w:rPr>
        <w:t>;</w:t>
      </w:r>
      <w:r>
        <w:rPr>
          <w:rFonts w:ascii="Book Antiqua" w:hAnsi="Book Antiqua"/>
        </w:rPr>
        <w:t xml:space="preserve"> D</w:t>
      </w:r>
      <w:r>
        <w:rPr>
          <w:rFonts w:hint="eastAsia" w:ascii="Book Antiqua" w:hAnsi="Book Antiqua"/>
          <w:lang w:eastAsia="zh-CN"/>
        </w:rPr>
        <w:t>:</w:t>
      </w:r>
      <w:r>
        <w:rPr>
          <w:rFonts w:ascii="Book Antiqua" w:hAnsi="Book Antiqua"/>
        </w:rPr>
        <w:t xml:space="preserve"> Amplification of injury and cell death.</w:t>
      </w:r>
      <w:r>
        <w:rPr>
          <w:rFonts w:hint="eastAsia" w:ascii="Book Antiqua" w:hAnsi="Book Antiqua"/>
          <w:lang w:eastAsia="zh-CN"/>
        </w:rPr>
        <w:t xml:space="preserve"> </w:t>
      </w:r>
      <w:r>
        <w:rPr>
          <w:rFonts w:ascii="Book Antiqua" w:hAnsi="Book Antiqua"/>
          <w:iCs/>
          <w:lang w:eastAsia="zh-CN"/>
        </w:rPr>
        <w:t>KC</w:t>
      </w:r>
      <w:r>
        <w:rPr>
          <w:rFonts w:hint="eastAsia" w:ascii="Book Antiqua" w:hAnsi="Book Antiqua"/>
          <w:iCs/>
          <w:lang w:eastAsia="zh-CN"/>
        </w:rPr>
        <w:t>:</w:t>
      </w:r>
      <w:r>
        <w:rPr>
          <w:rFonts w:ascii="Book Antiqua" w:hAnsi="Book Antiqua"/>
          <w:iCs/>
          <w:lang w:eastAsia="zh-CN"/>
        </w:rPr>
        <w:t xml:space="preserve"> Kupffer cell</w:t>
      </w:r>
      <w:r>
        <w:rPr>
          <w:rFonts w:hint="eastAsia" w:ascii="Book Antiqua" w:hAnsi="Book Antiqua"/>
          <w:iCs/>
          <w:lang w:eastAsia="zh-CN"/>
        </w:rPr>
        <w:t>;</w:t>
      </w:r>
      <w:r>
        <w:rPr>
          <w:rFonts w:ascii="Book Antiqua" w:hAnsi="Book Antiqua"/>
          <w:iCs/>
          <w:lang w:eastAsia="zh-CN"/>
        </w:rPr>
        <w:t xml:space="preserve"> HSC</w:t>
      </w:r>
      <w:r>
        <w:rPr>
          <w:rFonts w:hint="eastAsia" w:ascii="Book Antiqua" w:hAnsi="Book Antiqua"/>
          <w:iCs/>
          <w:lang w:eastAsia="zh-CN"/>
        </w:rPr>
        <w:t>:</w:t>
      </w:r>
      <w:r>
        <w:rPr>
          <w:rFonts w:ascii="Book Antiqua" w:hAnsi="Book Antiqua"/>
          <w:iCs/>
          <w:lang w:eastAsia="zh-CN"/>
        </w:rPr>
        <w:t xml:space="preserve"> </w:t>
      </w:r>
      <w:r>
        <w:rPr>
          <w:rFonts w:ascii="Book Antiqua" w:hAnsi="Book Antiqua"/>
          <w:iCs/>
          <w:caps/>
          <w:lang w:eastAsia="zh-CN"/>
        </w:rPr>
        <w:t>h</w:t>
      </w:r>
      <w:r>
        <w:rPr>
          <w:rFonts w:ascii="Book Antiqua" w:hAnsi="Book Antiqua"/>
          <w:iCs/>
          <w:lang w:eastAsia="zh-CN"/>
        </w:rPr>
        <w:t>epatic stellate cells</w:t>
      </w:r>
      <w:r>
        <w:rPr>
          <w:rFonts w:hint="eastAsia" w:ascii="Book Antiqua" w:hAnsi="Book Antiqua"/>
          <w:iCs/>
          <w:lang w:eastAsia="zh-CN"/>
        </w:rPr>
        <w:t xml:space="preserve">; </w:t>
      </w:r>
      <w:bookmarkStart w:id="44" w:name="OLE_LINK402"/>
      <w:bookmarkStart w:id="45" w:name="OLE_LINK403"/>
      <w:r>
        <w:rPr>
          <w:rFonts w:hint="eastAsia" w:ascii="Book Antiqua" w:hAnsi="Book Antiqua"/>
          <w:iCs/>
          <w:lang w:eastAsia="zh-CN"/>
        </w:rPr>
        <w:t>ROS</w:t>
      </w:r>
      <w:bookmarkEnd w:id="44"/>
      <w:bookmarkEnd w:id="45"/>
      <w:r>
        <w:rPr>
          <w:rFonts w:hint="eastAsia" w:ascii="Book Antiqua" w:hAnsi="Book Antiqua"/>
          <w:iCs/>
          <w:lang w:eastAsia="zh-CN"/>
        </w:rPr>
        <w:t xml:space="preserve">: </w:t>
      </w:r>
      <w:r>
        <w:rPr>
          <w:rFonts w:ascii="Book Antiqua" w:hAnsi="Book Antiqua"/>
          <w:iCs/>
          <w:caps/>
          <w:lang w:eastAsia="zh-CN"/>
        </w:rPr>
        <w:t>r</w:t>
      </w:r>
      <w:r>
        <w:rPr>
          <w:rFonts w:ascii="Book Antiqua" w:hAnsi="Book Antiqua"/>
          <w:iCs/>
          <w:lang w:eastAsia="zh-CN"/>
        </w:rPr>
        <w:t>eactive oxygen species</w:t>
      </w:r>
      <w:r>
        <w:rPr>
          <w:rFonts w:hint="eastAsia" w:ascii="Book Antiqua" w:hAnsi="Book Antiqua"/>
          <w:iCs/>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iCs/>
          <w:lang w:eastAsia="zh-CN"/>
        </w:rPr>
      </w:pPr>
      <w:bookmarkStart w:id="46" w:name="_GoBack"/>
      <w:bookmarkEnd w:id="4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071621"/>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4AE"/>
    <w:rsid w:val="00015F40"/>
    <w:rsid w:val="00090C61"/>
    <w:rsid w:val="00216DE9"/>
    <w:rsid w:val="002338D3"/>
    <w:rsid w:val="002D25A4"/>
    <w:rsid w:val="00347EE6"/>
    <w:rsid w:val="00356836"/>
    <w:rsid w:val="00361F23"/>
    <w:rsid w:val="003673D3"/>
    <w:rsid w:val="003C60A6"/>
    <w:rsid w:val="003E50ED"/>
    <w:rsid w:val="005B6C67"/>
    <w:rsid w:val="00614A3F"/>
    <w:rsid w:val="0082466B"/>
    <w:rsid w:val="00844688"/>
    <w:rsid w:val="00853719"/>
    <w:rsid w:val="0091280D"/>
    <w:rsid w:val="009C5668"/>
    <w:rsid w:val="00A77B3E"/>
    <w:rsid w:val="00AC4069"/>
    <w:rsid w:val="00AF408A"/>
    <w:rsid w:val="00B50237"/>
    <w:rsid w:val="00B71756"/>
    <w:rsid w:val="00B76E53"/>
    <w:rsid w:val="00B962E5"/>
    <w:rsid w:val="00C668F2"/>
    <w:rsid w:val="00CA2A55"/>
    <w:rsid w:val="00CD7FBA"/>
    <w:rsid w:val="00D245C0"/>
    <w:rsid w:val="00D5444A"/>
    <w:rsid w:val="00D71077"/>
    <w:rsid w:val="00DA0BB4"/>
    <w:rsid w:val="00DE443F"/>
    <w:rsid w:val="00DE6CF3"/>
    <w:rsid w:val="00F00120"/>
    <w:rsid w:val="00F1076C"/>
    <w:rsid w:val="00F23027"/>
    <w:rsid w:val="00F278A9"/>
    <w:rsid w:val="00F55DA1"/>
    <w:rsid w:val="0235431F"/>
    <w:rsid w:val="4CAF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uiPriority w:val="0"/>
    <w:rPr>
      <w:sz w:val="18"/>
      <w:szCs w:val="18"/>
    </w:rPr>
  </w:style>
  <w:style w:type="paragraph" w:styleId="4">
    <w:name w:val="footer"/>
    <w:basedOn w:val="1"/>
    <w:link w:val="12"/>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Hyperlink"/>
    <w:basedOn w:val="8"/>
    <w:unhideWhenUsed/>
    <w:qFormat/>
    <w:uiPriority w:val="99"/>
    <w:rPr>
      <w:color w:val="0000FF"/>
      <w:u w:val="single"/>
    </w:rPr>
  </w:style>
  <w:style w:type="character" w:styleId="10">
    <w:name w:val="annotation reference"/>
    <w:basedOn w:val="8"/>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uiPriority w:val="99"/>
    <w:rPr>
      <w:sz w:val="18"/>
      <w:szCs w:val="18"/>
    </w:rPr>
  </w:style>
  <w:style w:type="character" w:customStyle="1" w:styleId="13">
    <w:name w:val="批注文字 字符"/>
    <w:basedOn w:val="8"/>
    <w:link w:val="2"/>
    <w:qFormat/>
    <w:uiPriority w:val="0"/>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批注框文本 字符"/>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25</Pages>
  <Words>6250</Words>
  <Characters>35625</Characters>
  <Lines>296</Lines>
  <Paragraphs>83</Paragraphs>
  <TotalTime>0</TotalTime>
  <ScaleCrop>false</ScaleCrop>
  <LinksUpToDate>false</LinksUpToDate>
  <CharactersWithSpaces>41792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2021-09-16T01:35:00Z</dcterms:created>
  <dc:creator>Hp</dc:creator>
  <cp:lastModifiedBy>晓晨</cp:lastModifiedBy>
  <cp:lastPrinted>2021-09-01T10:01:00Z</cp:lastPrinted>
  <dcterms:modified xsi:type="dcterms:W3CDTF">2021-11-19T07:39:19Z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1420192515034834BC9F611292A08DD8</vt:lpwstr>
  </property>
</Properties>
</file>