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FE298" w14:textId="77777777" w:rsidR="00A77B3E" w:rsidRDefault="00A41BE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E84A28F" w14:textId="77777777" w:rsidR="00A77B3E" w:rsidRDefault="00A41BE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66773</w:t>
      </w:r>
    </w:p>
    <w:p w14:paraId="315D0A69" w14:textId="77777777" w:rsidR="00A77B3E" w:rsidRDefault="00A41BE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9653C67" w14:textId="77777777" w:rsidR="00A77B3E" w:rsidRDefault="00A77B3E">
      <w:pPr>
        <w:spacing w:line="360" w:lineRule="auto"/>
        <w:jc w:val="both"/>
      </w:pPr>
    </w:p>
    <w:p w14:paraId="1BCB2897" w14:textId="77777777" w:rsidR="00A77B3E" w:rsidRDefault="00A41BE2">
      <w:pPr>
        <w:spacing w:line="360" w:lineRule="auto"/>
        <w:jc w:val="both"/>
      </w:pPr>
      <w:r>
        <w:rPr>
          <w:rFonts w:ascii="Book Antiqua" w:eastAsia="Book Antiqua" w:hAnsi="Book Antiqua" w:cs="Book Antiqua"/>
          <w:b/>
          <w:bCs/>
          <w:color w:val="000000"/>
        </w:rPr>
        <w:t xml:space="preserve">Acute coronary syndrome with severe atherosclerotic and hyperthyroidism: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5BE0F548" w14:textId="77777777" w:rsidR="00A77B3E" w:rsidRDefault="00A77B3E">
      <w:pPr>
        <w:spacing w:line="360" w:lineRule="auto"/>
        <w:jc w:val="both"/>
      </w:pPr>
    </w:p>
    <w:p w14:paraId="602EAF7C" w14:textId="77777777" w:rsidR="00A77B3E" w:rsidRDefault="009E462D">
      <w:pPr>
        <w:spacing w:line="360" w:lineRule="auto"/>
        <w:jc w:val="both"/>
      </w:pPr>
      <w:r>
        <w:rPr>
          <w:rFonts w:ascii="Book Antiqua" w:eastAsia="Book Antiqua" w:hAnsi="Book Antiqua" w:cs="Book Antiqua"/>
          <w:color w:val="000000"/>
        </w:rPr>
        <w:t xml:space="preserve">Zhu </w:t>
      </w:r>
      <w:r>
        <w:rPr>
          <w:rFonts w:ascii="Book Antiqua" w:hAnsi="Book Antiqua" w:cs="Book Antiqua" w:hint="eastAsia"/>
          <w:color w:val="000000"/>
          <w:lang w:eastAsia="zh-CN"/>
        </w:rPr>
        <w:t xml:space="preserve">HM </w:t>
      </w:r>
      <w:r w:rsidRPr="009E462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41BE2">
        <w:rPr>
          <w:rFonts w:ascii="Book Antiqua" w:eastAsia="Book Antiqua" w:hAnsi="Book Antiqua" w:cs="Book Antiqua"/>
          <w:color w:val="000000"/>
        </w:rPr>
        <w:t>ACS with AS and hyperthyroidism</w:t>
      </w:r>
    </w:p>
    <w:p w14:paraId="7A0F0A33" w14:textId="77777777" w:rsidR="00A77B3E" w:rsidRDefault="00A77B3E">
      <w:pPr>
        <w:spacing w:line="360" w:lineRule="auto"/>
        <w:jc w:val="both"/>
      </w:pPr>
    </w:p>
    <w:p w14:paraId="2E0744C8" w14:textId="77777777" w:rsidR="00A77B3E" w:rsidRDefault="00A41BE2">
      <w:pPr>
        <w:spacing w:line="360" w:lineRule="auto"/>
        <w:jc w:val="both"/>
      </w:pPr>
      <w:r>
        <w:rPr>
          <w:rFonts w:ascii="Book Antiqua" w:eastAsia="Book Antiqua" w:hAnsi="Book Antiqua" w:cs="Book Antiqua"/>
          <w:color w:val="000000"/>
        </w:rPr>
        <w:t>Hai-Mei Zhu, Yi Zhang, Yun Tang, Hua Yuan, Zhen-Xian Li, Yun Long</w:t>
      </w:r>
    </w:p>
    <w:p w14:paraId="67E6890A" w14:textId="77777777" w:rsidR="00A77B3E" w:rsidRDefault="00A77B3E">
      <w:pPr>
        <w:spacing w:line="360" w:lineRule="auto"/>
        <w:jc w:val="both"/>
      </w:pPr>
    </w:p>
    <w:p w14:paraId="1224436A" w14:textId="77777777" w:rsidR="00A77B3E" w:rsidRDefault="00A41BE2">
      <w:pPr>
        <w:spacing w:line="360" w:lineRule="auto"/>
        <w:jc w:val="both"/>
      </w:pPr>
      <w:r>
        <w:rPr>
          <w:rFonts w:ascii="Book Antiqua" w:eastAsia="Book Antiqua" w:hAnsi="Book Antiqua" w:cs="Book Antiqua"/>
          <w:b/>
          <w:bCs/>
          <w:color w:val="000000"/>
        </w:rPr>
        <w:t xml:space="preserve">Hai-Mei Zhu, </w:t>
      </w:r>
      <w:r>
        <w:rPr>
          <w:rFonts w:ascii="Book Antiqua" w:eastAsia="Book Antiqua" w:hAnsi="Book Antiqua" w:cs="Book Antiqua"/>
          <w:color w:val="000000"/>
        </w:rPr>
        <w:t>Department of Pain, The First Hospital of Hunan University of Chinese Medicine, Changsha 410007, Hunan Province, China</w:t>
      </w:r>
    </w:p>
    <w:p w14:paraId="143AF9E0" w14:textId="77777777" w:rsidR="00A77B3E" w:rsidRDefault="00A77B3E">
      <w:pPr>
        <w:spacing w:line="360" w:lineRule="auto"/>
        <w:jc w:val="both"/>
      </w:pPr>
    </w:p>
    <w:p w14:paraId="3590BAFA" w14:textId="77777777" w:rsidR="00A77B3E" w:rsidRDefault="00A41BE2">
      <w:pPr>
        <w:spacing w:line="360" w:lineRule="auto"/>
        <w:jc w:val="both"/>
      </w:pPr>
      <w:r>
        <w:rPr>
          <w:rFonts w:ascii="Book Antiqua" w:eastAsia="Book Antiqua" w:hAnsi="Book Antiqua" w:cs="Book Antiqua"/>
          <w:b/>
          <w:bCs/>
          <w:color w:val="000000"/>
        </w:rPr>
        <w:t xml:space="preserve">Yi Zhang, Zhen-Xian Li, </w:t>
      </w:r>
      <w:r>
        <w:rPr>
          <w:rFonts w:ascii="Book Antiqua" w:eastAsia="Book Antiqua" w:hAnsi="Book Antiqua" w:cs="Book Antiqua"/>
          <w:color w:val="000000"/>
        </w:rPr>
        <w:t>The Graduate School, Hunan University of Chinese Medicine, Changsha 410208, Hunan Province, China</w:t>
      </w:r>
    </w:p>
    <w:p w14:paraId="0C61CFEE" w14:textId="77777777" w:rsidR="00A77B3E" w:rsidRDefault="00A77B3E">
      <w:pPr>
        <w:spacing w:line="360" w:lineRule="auto"/>
        <w:jc w:val="both"/>
      </w:pPr>
    </w:p>
    <w:p w14:paraId="1F729F66" w14:textId="77777777" w:rsidR="00A77B3E" w:rsidRDefault="00A41BE2">
      <w:pPr>
        <w:spacing w:line="360" w:lineRule="auto"/>
        <w:jc w:val="both"/>
      </w:pPr>
      <w:r>
        <w:rPr>
          <w:rFonts w:ascii="Book Antiqua" w:eastAsia="Book Antiqua" w:hAnsi="Book Antiqua" w:cs="Book Antiqua"/>
          <w:b/>
          <w:bCs/>
          <w:color w:val="000000"/>
        </w:rPr>
        <w:t xml:space="preserve">Yun Tang, </w:t>
      </w:r>
      <w:r w:rsidR="009E462D">
        <w:rPr>
          <w:rFonts w:ascii="Book Antiqua" w:eastAsia="Book Antiqua" w:hAnsi="Book Antiqua" w:cs="Book Antiqua"/>
          <w:b/>
          <w:bCs/>
          <w:color w:val="000000"/>
        </w:rPr>
        <w:t>Hua Yuan,</w:t>
      </w:r>
      <w:r w:rsidR="009E462D">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Yun Long, </w:t>
      </w:r>
      <w:r>
        <w:rPr>
          <w:rFonts w:ascii="Book Antiqua" w:eastAsia="Book Antiqua" w:hAnsi="Book Antiqua" w:cs="Book Antiqua"/>
          <w:color w:val="000000"/>
        </w:rPr>
        <w:t>Department of Cardiology, The First Hospital of Hunan University of Chinese Medicine, Changsha 410007, Hunan Province, China</w:t>
      </w:r>
    </w:p>
    <w:p w14:paraId="0B59DFE7" w14:textId="77777777" w:rsidR="00A77B3E" w:rsidRPr="009E462D" w:rsidRDefault="00A77B3E">
      <w:pPr>
        <w:spacing w:line="360" w:lineRule="auto"/>
        <w:jc w:val="both"/>
        <w:rPr>
          <w:lang w:eastAsia="zh-CN"/>
        </w:rPr>
      </w:pPr>
    </w:p>
    <w:p w14:paraId="11EF5E36" w14:textId="1C96AC32" w:rsidR="00A77B3E" w:rsidRDefault="00A41BE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Zhu HM and Zhang Y reviewed the literature and contributed to manuscript drafting; Tang Y was the patient’s cardiovascular doctor and interpreted the imaging findings; Yuan H analyzed and interpreted the imaging findings; Li ZX reviewed the literature; Long Y was responsible for the revision of the manuscript for important intellectual content; </w:t>
      </w:r>
      <w:r w:rsidR="00AD06EF">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26FE076C" w14:textId="77777777" w:rsidR="00A77B3E" w:rsidRDefault="00A77B3E">
      <w:pPr>
        <w:spacing w:line="360" w:lineRule="auto"/>
        <w:jc w:val="both"/>
      </w:pPr>
    </w:p>
    <w:p w14:paraId="7A6F90D9" w14:textId="77777777" w:rsidR="00A77B3E" w:rsidRDefault="00A41BE2">
      <w:pPr>
        <w:spacing w:line="360" w:lineRule="auto"/>
        <w:jc w:val="both"/>
      </w:pPr>
      <w:r>
        <w:rPr>
          <w:rFonts w:ascii="Book Antiqua" w:eastAsia="Book Antiqua" w:hAnsi="Book Antiqua" w:cs="Book Antiqua"/>
          <w:b/>
          <w:bCs/>
          <w:color w:val="000000"/>
        </w:rPr>
        <w:lastRenderedPageBreak/>
        <w:t xml:space="preserve">Supported by </w:t>
      </w:r>
      <w:bookmarkStart w:id="0" w:name="OLE_LINK187"/>
      <w:bookmarkStart w:id="1" w:name="OLE_LINK188"/>
      <w:r>
        <w:rPr>
          <w:rFonts w:ascii="Book Antiqua" w:eastAsia="Book Antiqua" w:hAnsi="Book Antiqua" w:cs="Book Antiqua"/>
          <w:color w:val="000000"/>
        </w:rPr>
        <w:t>Science and Technology Planning Project of Hunan Province</w:t>
      </w:r>
      <w:bookmarkEnd w:id="0"/>
      <w:bookmarkEnd w:id="1"/>
      <w:r>
        <w:rPr>
          <w:rFonts w:ascii="Book Antiqua" w:eastAsia="Book Antiqua" w:hAnsi="Book Antiqua" w:cs="Book Antiqua"/>
          <w:color w:val="000000"/>
        </w:rPr>
        <w:t xml:space="preserve">, No. 2018JJ2304; and </w:t>
      </w:r>
      <w:bookmarkStart w:id="2" w:name="OLE_LINK189"/>
      <w:bookmarkStart w:id="3" w:name="OLE_LINK190"/>
      <w:r>
        <w:rPr>
          <w:rFonts w:ascii="Book Antiqua" w:eastAsia="Book Antiqua" w:hAnsi="Book Antiqua" w:cs="Book Antiqua"/>
          <w:color w:val="000000"/>
        </w:rPr>
        <w:t>the Research Foundation of Hunan University of Chinese Medicine</w:t>
      </w:r>
      <w:bookmarkEnd w:id="2"/>
      <w:bookmarkEnd w:id="3"/>
      <w:r>
        <w:rPr>
          <w:rFonts w:ascii="Book Antiqua" w:eastAsia="Book Antiqua" w:hAnsi="Book Antiqua" w:cs="Book Antiqua"/>
          <w:color w:val="000000"/>
        </w:rPr>
        <w:t>, No. 2019XJJJ042.</w:t>
      </w:r>
    </w:p>
    <w:p w14:paraId="2514D423" w14:textId="77777777" w:rsidR="00A77B3E" w:rsidRDefault="00A77B3E">
      <w:pPr>
        <w:spacing w:line="360" w:lineRule="auto"/>
        <w:jc w:val="both"/>
        <w:rPr>
          <w:lang w:eastAsia="zh-CN"/>
        </w:rPr>
      </w:pPr>
    </w:p>
    <w:p w14:paraId="2B1B0D92" w14:textId="77777777" w:rsidR="00A77B3E" w:rsidRDefault="00A41BE2">
      <w:pPr>
        <w:spacing w:line="360" w:lineRule="auto"/>
        <w:jc w:val="both"/>
      </w:pPr>
      <w:r>
        <w:rPr>
          <w:rFonts w:ascii="Book Antiqua" w:eastAsia="Book Antiqua" w:hAnsi="Book Antiqua" w:cs="Book Antiqua"/>
          <w:b/>
          <w:bCs/>
          <w:color w:val="000000"/>
        </w:rPr>
        <w:t xml:space="preserve">Corresponding author: Yun Long, MD, PhD, Chief Doctor, </w:t>
      </w:r>
      <w:r>
        <w:rPr>
          <w:rFonts w:ascii="Book Antiqua" w:eastAsia="Book Antiqua" w:hAnsi="Book Antiqua" w:cs="Book Antiqua"/>
          <w:color w:val="000000"/>
        </w:rPr>
        <w:t xml:space="preserve">Department of Cardiology, The First Hospital of Hunan University of Chinese Medicine, No. 95 </w:t>
      </w:r>
      <w:proofErr w:type="spellStart"/>
      <w:r>
        <w:rPr>
          <w:rFonts w:ascii="Book Antiqua" w:eastAsia="Book Antiqua" w:hAnsi="Book Antiqua" w:cs="Book Antiqua"/>
          <w:color w:val="000000"/>
        </w:rPr>
        <w:t>Shaoshan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Yuhua</w:t>
      </w:r>
      <w:proofErr w:type="spellEnd"/>
      <w:r>
        <w:rPr>
          <w:rFonts w:ascii="Book Antiqua" w:eastAsia="Book Antiqua" w:hAnsi="Book Antiqua" w:cs="Book Antiqua"/>
          <w:color w:val="000000"/>
        </w:rPr>
        <w:t xml:space="preserve"> District, Changsha 410007, Hunan Province, </w:t>
      </w:r>
      <w:bookmarkStart w:id="4" w:name="OLE_LINK185"/>
      <w:bookmarkStart w:id="5" w:name="OLE_LINK186"/>
      <w:r>
        <w:rPr>
          <w:rFonts w:ascii="Book Antiqua" w:eastAsia="Book Antiqua" w:hAnsi="Book Antiqua" w:cs="Book Antiqua"/>
          <w:color w:val="000000"/>
        </w:rPr>
        <w:t>China</w:t>
      </w:r>
      <w:bookmarkEnd w:id="4"/>
      <w:bookmarkEnd w:id="5"/>
      <w:r>
        <w:rPr>
          <w:rFonts w:ascii="Book Antiqua" w:eastAsia="Book Antiqua" w:hAnsi="Book Antiqua" w:cs="Book Antiqua"/>
          <w:color w:val="000000"/>
        </w:rPr>
        <w:t>. wwlyf@126.com</w:t>
      </w:r>
    </w:p>
    <w:p w14:paraId="47E45F1F" w14:textId="77777777" w:rsidR="00A77B3E" w:rsidRDefault="00A77B3E">
      <w:pPr>
        <w:spacing w:line="360" w:lineRule="auto"/>
        <w:jc w:val="both"/>
      </w:pPr>
    </w:p>
    <w:p w14:paraId="1F22143C" w14:textId="77777777" w:rsidR="00A77B3E" w:rsidRDefault="00A41BE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9, 2021</w:t>
      </w:r>
    </w:p>
    <w:p w14:paraId="796F11D1" w14:textId="77777777" w:rsidR="00A77B3E" w:rsidRDefault="00A41BE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2021</w:t>
      </w:r>
    </w:p>
    <w:p w14:paraId="350B7ED4" w14:textId="499BD83F" w:rsidR="00A77B3E" w:rsidRDefault="00A41BE2">
      <w:pPr>
        <w:spacing w:line="360" w:lineRule="auto"/>
        <w:jc w:val="both"/>
      </w:pPr>
      <w:r>
        <w:rPr>
          <w:rFonts w:ascii="Book Antiqua" w:eastAsia="Book Antiqua" w:hAnsi="Book Antiqua" w:cs="Book Antiqua"/>
          <w:b/>
          <w:bCs/>
          <w:color w:val="000000"/>
        </w:rPr>
        <w:t xml:space="preserve">Accepted: </w:t>
      </w:r>
      <w:bookmarkStart w:id="6" w:name="OLE_LINK15"/>
      <w:bookmarkStart w:id="7" w:name="OLE_LINK33"/>
      <w:bookmarkStart w:id="8" w:name="OLE_LINK48"/>
      <w:r w:rsidR="00AD06EF">
        <w:rPr>
          <w:rFonts w:ascii="Book Antiqua" w:eastAsia="宋体" w:hAnsi="Book Antiqua"/>
          <w:color w:val="000000" w:themeColor="text1"/>
        </w:rPr>
        <w:t>J</w:t>
      </w:r>
      <w:r w:rsidR="00AD06EF">
        <w:rPr>
          <w:rFonts w:ascii="Book Antiqua" w:eastAsia="宋体" w:hAnsi="Book Antiqua" w:hint="eastAsia"/>
          <w:color w:val="000000" w:themeColor="text1"/>
        </w:rPr>
        <w:t>u</w:t>
      </w:r>
      <w:r w:rsidR="00AD06EF">
        <w:rPr>
          <w:rFonts w:ascii="Book Antiqua" w:eastAsia="宋体" w:hAnsi="Book Antiqua"/>
          <w:color w:val="000000" w:themeColor="text1"/>
        </w:rPr>
        <w:t>ly</w:t>
      </w:r>
      <w:r w:rsidR="00AD06EF" w:rsidRPr="00F06907">
        <w:rPr>
          <w:rFonts w:ascii="Book Antiqua" w:eastAsia="宋体" w:hAnsi="Book Antiqua"/>
          <w:color w:val="000000" w:themeColor="text1"/>
        </w:rPr>
        <w:t xml:space="preserve"> </w:t>
      </w:r>
      <w:r w:rsidR="00AD06EF">
        <w:rPr>
          <w:rFonts w:ascii="Book Antiqua" w:eastAsia="宋体" w:hAnsi="Book Antiqua"/>
          <w:color w:val="000000" w:themeColor="text1"/>
        </w:rPr>
        <w:t>22</w:t>
      </w:r>
      <w:r w:rsidR="00AD06EF" w:rsidRPr="00F06907">
        <w:rPr>
          <w:rFonts w:ascii="Book Antiqua" w:eastAsia="宋体" w:hAnsi="Book Antiqua"/>
          <w:color w:val="000000" w:themeColor="text1"/>
        </w:rPr>
        <w:t>, 2021</w:t>
      </w:r>
      <w:bookmarkEnd w:id="6"/>
      <w:bookmarkEnd w:id="7"/>
      <w:bookmarkEnd w:id="8"/>
    </w:p>
    <w:p w14:paraId="150D6741" w14:textId="77777777" w:rsidR="00A77B3E" w:rsidRDefault="00A41BE2">
      <w:pPr>
        <w:spacing w:line="360" w:lineRule="auto"/>
        <w:jc w:val="both"/>
      </w:pPr>
      <w:r>
        <w:rPr>
          <w:rFonts w:ascii="Book Antiqua" w:eastAsia="Book Antiqua" w:hAnsi="Book Antiqua" w:cs="Book Antiqua"/>
          <w:b/>
          <w:bCs/>
          <w:color w:val="000000"/>
        </w:rPr>
        <w:t xml:space="preserve">Published online: </w:t>
      </w:r>
    </w:p>
    <w:p w14:paraId="3E3EF31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000A854" w14:textId="77777777" w:rsidR="00A77B3E" w:rsidRDefault="00A41BE2">
      <w:pPr>
        <w:spacing w:line="360" w:lineRule="auto"/>
        <w:jc w:val="both"/>
      </w:pPr>
      <w:r>
        <w:rPr>
          <w:rFonts w:ascii="Book Antiqua" w:eastAsia="Book Antiqua" w:hAnsi="Book Antiqua" w:cs="Book Antiqua"/>
          <w:b/>
          <w:color w:val="000000"/>
        </w:rPr>
        <w:lastRenderedPageBreak/>
        <w:t>Abstract</w:t>
      </w:r>
    </w:p>
    <w:p w14:paraId="0446525F" w14:textId="77777777" w:rsidR="00A77B3E" w:rsidRDefault="00A41BE2">
      <w:pPr>
        <w:spacing w:line="360" w:lineRule="auto"/>
        <w:jc w:val="both"/>
      </w:pPr>
      <w:r>
        <w:rPr>
          <w:rFonts w:ascii="Book Antiqua" w:eastAsia="Book Antiqua" w:hAnsi="Book Antiqua" w:cs="Book Antiqua"/>
          <w:color w:val="000000"/>
        </w:rPr>
        <w:t>BACKGROUND</w:t>
      </w:r>
    </w:p>
    <w:p w14:paraId="18D2AE4D" w14:textId="77777777" w:rsidR="00A77B3E" w:rsidRDefault="00A41BE2">
      <w:pPr>
        <w:spacing w:line="360" w:lineRule="auto"/>
        <w:jc w:val="both"/>
      </w:pPr>
      <w:r>
        <w:rPr>
          <w:rFonts w:ascii="Book Antiqua" w:eastAsia="Book Antiqua" w:hAnsi="Book Antiqua" w:cs="Book Antiqua"/>
          <w:color w:val="000000"/>
        </w:rPr>
        <w:t>Acute coronary syndrome (ACS) encompasses a spectrum of cardiovascular emergencies arising from the obstruction of coronary artery blood flow and acute myocardial ischemia. Recent studies have revealed that thyroid function is closely related to ACS. However, only a few reports of thyrotoxicosis-induced ACS with severe atherosclerosis have been reported.</w:t>
      </w:r>
    </w:p>
    <w:p w14:paraId="657584C1" w14:textId="77777777" w:rsidR="00A77B3E" w:rsidRDefault="00A77B3E">
      <w:pPr>
        <w:spacing w:line="360" w:lineRule="auto"/>
        <w:jc w:val="both"/>
      </w:pPr>
    </w:p>
    <w:p w14:paraId="6872D693" w14:textId="77777777" w:rsidR="00A77B3E" w:rsidRDefault="00A41BE2">
      <w:pPr>
        <w:spacing w:line="360" w:lineRule="auto"/>
        <w:jc w:val="both"/>
      </w:pPr>
      <w:r>
        <w:rPr>
          <w:rFonts w:ascii="Book Antiqua" w:eastAsia="Book Antiqua" w:hAnsi="Book Antiqua" w:cs="Book Antiqua"/>
          <w:color w:val="000000"/>
        </w:rPr>
        <w:t>CASE SUMMARY</w:t>
      </w:r>
    </w:p>
    <w:p w14:paraId="189EA5EA" w14:textId="77777777" w:rsidR="00A77B3E" w:rsidRDefault="00A41BE2">
      <w:pPr>
        <w:spacing w:line="360" w:lineRule="auto"/>
        <w:jc w:val="both"/>
      </w:pPr>
      <w:r>
        <w:rPr>
          <w:rFonts w:ascii="Book Antiqua" w:eastAsia="Book Antiqua" w:hAnsi="Book Antiqua" w:cs="Book Antiqua"/>
          <w:color w:val="000000"/>
        </w:rPr>
        <w:t xml:space="preserve">A 33-year-old man, who had a history of hyperthyroidism without taking any antithyroid drugs and no history of coronary heart disease, experienced neck pain with occasional heart palpitations starting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that were aggravated after an activity. As the symptoms worsened at 21 d prior, he went to a hospital for treatment. The electrocardiogram examination showed a </w:t>
      </w:r>
      <w:proofErr w:type="spellStart"/>
      <w:r>
        <w:rPr>
          <w:rFonts w:ascii="Book Antiqua" w:eastAsia="Book Antiqua" w:hAnsi="Book Antiqua" w:cs="Book Antiqua"/>
          <w:color w:val="000000"/>
        </w:rPr>
        <w:t>multilead</w:t>
      </w:r>
      <w:proofErr w:type="spellEnd"/>
      <w:r>
        <w:rPr>
          <w:rFonts w:ascii="Book Antiqua" w:eastAsia="Book Antiqua" w:hAnsi="Book Antiqua" w:cs="Book Antiqua"/>
          <w:color w:val="000000"/>
        </w:rPr>
        <w:t xml:space="preserve"> ST segment elevation and pathological Q waves. Based on these findings and his symptoms, the patient was diagnosed with a suspected myocardial infarction and transferred to our hospital on July 2, 2020. He was diagnosed with a rare case of ACS due to coronary artery atherosclerosis in the anterior descending artery complicated by hyperthyroidism. A paclitaxel-coated drug balloon was used for treatment to avoid the use of metal stents, thus reducing the time of antiplatelet therapy and facilitating the continued treatment of hyperthyroidism. The 9-mo follow-up showed favorable results.</w:t>
      </w:r>
    </w:p>
    <w:p w14:paraId="194FB3B0" w14:textId="77777777" w:rsidR="00A77B3E" w:rsidRDefault="00A77B3E">
      <w:pPr>
        <w:spacing w:line="360" w:lineRule="auto"/>
        <w:jc w:val="both"/>
      </w:pPr>
    </w:p>
    <w:p w14:paraId="21AD2AD3" w14:textId="77777777" w:rsidR="00A77B3E" w:rsidRDefault="00A41BE2">
      <w:pPr>
        <w:spacing w:line="360" w:lineRule="auto"/>
        <w:jc w:val="both"/>
      </w:pPr>
      <w:r>
        <w:rPr>
          <w:rFonts w:ascii="Book Antiqua" w:eastAsia="Book Antiqua" w:hAnsi="Book Antiqua" w:cs="Book Antiqua"/>
          <w:color w:val="000000"/>
        </w:rPr>
        <w:t>CONCLUSION</w:t>
      </w:r>
    </w:p>
    <w:p w14:paraId="0B50A9DC" w14:textId="77777777" w:rsidR="00A77B3E" w:rsidRDefault="00A41BE2">
      <w:pPr>
        <w:spacing w:line="360" w:lineRule="auto"/>
        <w:jc w:val="both"/>
      </w:pPr>
      <w:r>
        <w:rPr>
          <w:rFonts w:ascii="Book Antiqua" w:eastAsia="Book Antiqua" w:hAnsi="Book Antiqua" w:cs="Book Antiqua"/>
          <w:color w:val="000000"/>
        </w:rPr>
        <w:t>This case highlights that atherosclerosis is a cause of ACS that cannot be ignored even in a patient with hyperthyroidism.</w:t>
      </w:r>
    </w:p>
    <w:p w14:paraId="30912228" w14:textId="77777777" w:rsidR="00A77B3E" w:rsidRDefault="00A77B3E">
      <w:pPr>
        <w:spacing w:line="360" w:lineRule="auto"/>
        <w:jc w:val="both"/>
      </w:pPr>
    </w:p>
    <w:p w14:paraId="4AD82C13" w14:textId="77777777" w:rsidR="00A77B3E" w:rsidRDefault="00A41BE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Acute coronary syndrome; Atherosclerosis; Hyperthyroidism; Paclitaxel-coated drug balloon; Case report</w:t>
      </w:r>
    </w:p>
    <w:p w14:paraId="621FC30C" w14:textId="77777777" w:rsidR="00A77B3E" w:rsidRDefault="00A77B3E">
      <w:pPr>
        <w:spacing w:line="360" w:lineRule="auto"/>
        <w:jc w:val="both"/>
      </w:pPr>
    </w:p>
    <w:p w14:paraId="778A7DA5" w14:textId="77777777" w:rsidR="00A77B3E" w:rsidRDefault="00A41BE2">
      <w:pPr>
        <w:spacing w:line="360" w:lineRule="auto"/>
        <w:jc w:val="both"/>
      </w:pPr>
      <w:r>
        <w:rPr>
          <w:rFonts w:ascii="Book Antiqua" w:eastAsia="Book Antiqua" w:hAnsi="Book Antiqua" w:cs="Book Antiqua"/>
          <w:color w:val="000000"/>
        </w:rPr>
        <w:lastRenderedPageBreak/>
        <w:t xml:space="preserve">Zhu HM, Zhang Y, Tang Y, Yuan H, Li ZX, Long Y. Acute coronary syndrome with severe atherosclerotic and hyperthyroidism: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7031E6D" w14:textId="77777777" w:rsidR="00A77B3E" w:rsidRDefault="00A77B3E">
      <w:pPr>
        <w:spacing w:line="360" w:lineRule="auto"/>
        <w:jc w:val="both"/>
      </w:pPr>
    </w:p>
    <w:p w14:paraId="6DB2FC42" w14:textId="77777777" w:rsidR="00A77B3E" w:rsidRDefault="00A41BE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present a case of an acute coronary syndrome due to coronary artery atherosclerosis in the anterior descending artery complicated by hyperthyroidism in a 33-year-old man. Patients with thyrotoxicosis-induced acute coronary syndrome (ACS) are very special, and almost all reported cases have been associated with Graves’ disease. Coronary angiography usually shows zero disease, and coronary artery spasm occupies a large proportion of data, which is contradictory with this case that ACS is accompanied by atherosclerosis. In this case ,we find that intensive drug therapy and implant-free interventional therapy are better options for patients with ACS and hyperthyroidism.</w:t>
      </w:r>
    </w:p>
    <w:p w14:paraId="068466D1" w14:textId="77777777" w:rsidR="00A77B3E" w:rsidRDefault="00A77B3E">
      <w:pPr>
        <w:spacing w:line="360" w:lineRule="auto"/>
        <w:jc w:val="both"/>
      </w:pPr>
    </w:p>
    <w:p w14:paraId="206916B3" w14:textId="77777777" w:rsidR="00A77B3E" w:rsidRDefault="00A41BE2">
      <w:pPr>
        <w:spacing w:line="360" w:lineRule="auto"/>
        <w:jc w:val="both"/>
      </w:pPr>
      <w:r>
        <w:rPr>
          <w:rFonts w:ascii="Book Antiqua" w:eastAsia="Book Antiqua" w:hAnsi="Book Antiqua" w:cs="Book Antiqua"/>
          <w:b/>
          <w:caps/>
          <w:color w:val="000000"/>
          <w:u w:val="single"/>
        </w:rPr>
        <w:t>INTRODUCTION</w:t>
      </w:r>
    </w:p>
    <w:p w14:paraId="7A98A265" w14:textId="77777777" w:rsidR="00A77B3E" w:rsidRDefault="00A41BE2">
      <w:pPr>
        <w:spacing w:line="360" w:lineRule="auto"/>
        <w:jc w:val="both"/>
      </w:pPr>
      <w:r>
        <w:rPr>
          <w:rFonts w:ascii="Book Antiqua" w:eastAsia="Book Antiqua" w:hAnsi="Book Antiqua" w:cs="Book Antiqua"/>
          <w:color w:val="000000"/>
        </w:rPr>
        <w:t>Acute coronary syndrome (ACS) encompasses a spectrum of cardiovascular emergencies arising from the obstruction of coronary artery blood flow and acute myocardial ischemia. Patients with ACS frequently have a poor prognosis, and ACS is a major health and economic burden</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The symptoms of ACS arise from the functional destruction of the circulatory system. However, the pathogenic factors of ACS often arise from systems outside the circulatory system, and diseases related to endocrine system dysfunction, such as diabetes and hyperthyroidism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have an indispensable role to play. Such factors increase the difficulty in clinical treatment and improvement of patient prognosis. Therefore, in recent years, coronary heart disease (CHD) secondary to hyperthyroidism has gradually received considerable attention</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We describe a rare case of ACS due to coronary artery atherosclerosis in the anterior descending artery complicated by hyperthyroidism in a 33-year-old man. We also present relevant literature and discuss the interaction mechanism between complications and CHD to achieve a suitable treatment plan.</w:t>
      </w:r>
    </w:p>
    <w:p w14:paraId="4C9B06EF" w14:textId="77777777" w:rsidR="00A77B3E" w:rsidRDefault="00A77B3E">
      <w:pPr>
        <w:spacing w:line="360" w:lineRule="auto"/>
        <w:jc w:val="both"/>
      </w:pPr>
    </w:p>
    <w:p w14:paraId="7265DD9B" w14:textId="77777777" w:rsidR="00A77B3E" w:rsidRDefault="00A41BE2">
      <w:pPr>
        <w:spacing w:line="360" w:lineRule="auto"/>
        <w:jc w:val="both"/>
      </w:pPr>
      <w:r>
        <w:rPr>
          <w:rFonts w:ascii="Book Antiqua" w:eastAsia="Book Antiqua" w:hAnsi="Book Antiqua" w:cs="Book Antiqua"/>
          <w:b/>
          <w:caps/>
          <w:color w:val="000000"/>
          <w:u w:val="single"/>
        </w:rPr>
        <w:t>CASE PRESENTATION</w:t>
      </w:r>
    </w:p>
    <w:p w14:paraId="48F37AE5" w14:textId="77777777" w:rsidR="00A77B3E" w:rsidRDefault="00A41BE2">
      <w:pPr>
        <w:spacing w:line="360" w:lineRule="auto"/>
        <w:jc w:val="both"/>
      </w:pPr>
      <w:r>
        <w:rPr>
          <w:rFonts w:ascii="Book Antiqua" w:eastAsia="Book Antiqua" w:hAnsi="Book Antiqua" w:cs="Book Antiqua"/>
          <w:b/>
          <w:i/>
          <w:color w:val="000000"/>
        </w:rPr>
        <w:t>Chief complaints</w:t>
      </w:r>
    </w:p>
    <w:p w14:paraId="3FBE7922" w14:textId="77777777" w:rsidR="00A77B3E" w:rsidRDefault="00A41BE2">
      <w:pPr>
        <w:spacing w:line="360" w:lineRule="auto"/>
        <w:jc w:val="both"/>
      </w:pPr>
      <w:r>
        <w:rPr>
          <w:rFonts w:ascii="Book Antiqua" w:eastAsia="Book Antiqua" w:hAnsi="Book Antiqua" w:cs="Book Antiqua"/>
          <w:color w:val="000000"/>
        </w:rPr>
        <w:t>ACS encompasses a spectrum of cardiovascular emergencies arising from the obstruction of coronary artery blood flow and acute myocardial ischemia. Patients with ACS frequently have a poor prognosis, and ACS is a major health and economic burden</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The symptoms of ACS arise from the functional destruction of the circulatory system. However, the pathogenic factors of ACS often arise from systems outside the circulatory system, and diseases related to endocrine system dysfunction, such as diabetes and hyperthyroidism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have an indispensable role to play. Such factors increase the difficulty in clinical treatment and improvement of patient prognosis. Therefore, in recent years, CHD secondary to hyperthyroidism has gradually received considerable attention</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We describe a rare case of ACS due to coronary artery atherosclerosis in the anterior descending artery complicated by hyperthyroidism in a 33-year-old man. We also present relevant literature and discuss the interaction mechanism between complications and CHD to achieve a suitable treatment plan.</w:t>
      </w:r>
    </w:p>
    <w:p w14:paraId="0939F44F" w14:textId="77777777" w:rsidR="00A77B3E" w:rsidRDefault="00A77B3E">
      <w:pPr>
        <w:spacing w:line="360" w:lineRule="auto"/>
        <w:jc w:val="both"/>
      </w:pPr>
    </w:p>
    <w:p w14:paraId="0F5E1DD8" w14:textId="77777777" w:rsidR="00A77B3E" w:rsidRDefault="00A41BE2">
      <w:pPr>
        <w:spacing w:line="360" w:lineRule="auto"/>
        <w:jc w:val="both"/>
      </w:pPr>
      <w:r>
        <w:rPr>
          <w:rFonts w:ascii="Book Antiqua" w:eastAsia="Book Antiqua" w:hAnsi="Book Antiqua" w:cs="Book Antiqua"/>
          <w:b/>
          <w:i/>
          <w:color w:val="000000"/>
        </w:rPr>
        <w:t>History of present illness</w:t>
      </w:r>
    </w:p>
    <w:p w14:paraId="28ABA237" w14:textId="77777777" w:rsidR="00A77B3E" w:rsidRDefault="00A41BE2">
      <w:pPr>
        <w:spacing w:line="360" w:lineRule="auto"/>
        <w:jc w:val="both"/>
      </w:pPr>
      <w:r>
        <w:rPr>
          <w:rFonts w:ascii="Book Antiqua" w:eastAsia="Book Antiqua" w:hAnsi="Book Antiqua" w:cs="Book Antiqua"/>
          <w:color w:val="000000"/>
        </w:rPr>
        <w:t xml:space="preserve">Three months ago, the patient experienced neck pain with occasional heart palpitations that were aggravated after an activity. As the symptoms worsened 21 d prior, he went to a hospital for treatment. The electrocardiogram examination showed a </w:t>
      </w:r>
      <w:proofErr w:type="spellStart"/>
      <w:r>
        <w:rPr>
          <w:rFonts w:ascii="Book Antiqua" w:eastAsia="Book Antiqua" w:hAnsi="Book Antiqua" w:cs="Book Antiqua"/>
          <w:color w:val="000000"/>
        </w:rPr>
        <w:t>multilead</w:t>
      </w:r>
      <w:proofErr w:type="spellEnd"/>
      <w:r>
        <w:rPr>
          <w:rFonts w:ascii="Book Antiqua" w:eastAsia="Book Antiqua" w:hAnsi="Book Antiqua" w:cs="Book Antiqua"/>
          <w:color w:val="000000"/>
        </w:rPr>
        <w:t xml:space="preserve"> ST segment elevation and pathological Q waves. Based on the findings and his symptoms, the patient was diagnosed with a suspected myocardial infarction.</w:t>
      </w:r>
    </w:p>
    <w:p w14:paraId="5B7ADB0A" w14:textId="77777777" w:rsidR="00A77B3E" w:rsidRDefault="00A77B3E">
      <w:pPr>
        <w:spacing w:line="360" w:lineRule="auto"/>
        <w:jc w:val="both"/>
      </w:pPr>
    </w:p>
    <w:p w14:paraId="1331FE47" w14:textId="77777777" w:rsidR="00A77B3E" w:rsidRDefault="00A41BE2">
      <w:pPr>
        <w:spacing w:line="360" w:lineRule="auto"/>
        <w:jc w:val="both"/>
      </w:pPr>
      <w:r>
        <w:rPr>
          <w:rFonts w:ascii="Book Antiqua" w:eastAsia="Book Antiqua" w:hAnsi="Book Antiqua" w:cs="Book Antiqua"/>
          <w:b/>
          <w:i/>
          <w:color w:val="000000"/>
        </w:rPr>
        <w:t>History of past illness</w:t>
      </w:r>
    </w:p>
    <w:p w14:paraId="7FF4B5FE" w14:textId="77777777" w:rsidR="00A77B3E" w:rsidRDefault="00A41BE2">
      <w:pPr>
        <w:spacing w:line="360" w:lineRule="auto"/>
        <w:jc w:val="both"/>
      </w:pPr>
      <w:r>
        <w:rPr>
          <w:rFonts w:ascii="Book Antiqua" w:eastAsia="Book Antiqua" w:hAnsi="Book Antiqua" w:cs="Book Antiqua"/>
          <w:color w:val="000000"/>
        </w:rPr>
        <w:t xml:space="preserve">The patient had a history of hyperthyroidism for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without taking any antithyroid drugs. There was no history of CHD. </w:t>
      </w:r>
    </w:p>
    <w:p w14:paraId="69F6C70F" w14:textId="77777777" w:rsidR="00A77B3E" w:rsidRDefault="00A77B3E">
      <w:pPr>
        <w:spacing w:line="360" w:lineRule="auto"/>
        <w:jc w:val="both"/>
      </w:pPr>
    </w:p>
    <w:p w14:paraId="3B3F78F8" w14:textId="77777777" w:rsidR="00A77B3E" w:rsidRDefault="00A41BE2">
      <w:pPr>
        <w:spacing w:line="360" w:lineRule="auto"/>
        <w:jc w:val="both"/>
      </w:pPr>
      <w:r>
        <w:rPr>
          <w:rFonts w:ascii="Book Antiqua" w:eastAsia="Book Antiqua" w:hAnsi="Book Antiqua" w:cs="Book Antiqua"/>
          <w:b/>
          <w:i/>
          <w:color w:val="000000"/>
        </w:rPr>
        <w:t>Personal and family history</w:t>
      </w:r>
    </w:p>
    <w:p w14:paraId="0D1098DD" w14:textId="77777777" w:rsidR="00A77B3E" w:rsidRDefault="00A41BE2">
      <w:pPr>
        <w:spacing w:line="360" w:lineRule="auto"/>
        <w:jc w:val="both"/>
      </w:pPr>
      <w:r>
        <w:rPr>
          <w:rFonts w:ascii="Book Antiqua" w:eastAsia="Book Antiqua" w:hAnsi="Book Antiqua" w:cs="Book Antiqua"/>
          <w:color w:val="000000"/>
        </w:rPr>
        <w:lastRenderedPageBreak/>
        <w:t>The patient smoked approximately 12 cigarettes a day for 10 years. He denied a family history of related disease.</w:t>
      </w:r>
    </w:p>
    <w:p w14:paraId="50C516CC" w14:textId="77777777" w:rsidR="00A77B3E" w:rsidRDefault="00A77B3E">
      <w:pPr>
        <w:spacing w:line="360" w:lineRule="auto"/>
        <w:jc w:val="both"/>
      </w:pPr>
    </w:p>
    <w:p w14:paraId="34087903" w14:textId="77777777" w:rsidR="00A77B3E" w:rsidRDefault="00A41BE2">
      <w:pPr>
        <w:spacing w:line="360" w:lineRule="auto"/>
        <w:jc w:val="both"/>
      </w:pPr>
      <w:r>
        <w:rPr>
          <w:rFonts w:ascii="Book Antiqua" w:eastAsia="Book Antiqua" w:hAnsi="Book Antiqua" w:cs="Book Antiqua"/>
          <w:b/>
          <w:i/>
          <w:color w:val="000000"/>
        </w:rPr>
        <w:t>Physical examination</w:t>
      </w:r>
    </w:p>
    <w:p w14:paraId="441726F4" w14:textId="77777777" w:rsidR="00A77B3E" w:rsidRDefault="00A41BE2">
      <w:pPr>
        <w:spacing w:line="360" w:lineRule="auto"/>
        <w:jc w:val="both"/>
      </w:pPr>
      <w:r>
        <w:rPr>
          <w:rFonts w:ascii="Book Antiqua" w:eastAsia="Book Antiqua" w:hAnsi="Book Antiqua" w:cs="Book Antiqua"/>
          <w:color w:val="000000"/>
        </w:rPr>
        <w:t>After hospitalization, the results of the diagnosis-related examinations were as follows: body temperature, 36.6 ºC; breathing, 20 breaths/min; blood pressure, 120/80 mmHg; and heart rate, 110 beats/min. The patient was of sound mind and had a slightly enlarged thyroid with ocular signs. Since the onset of the disease, he has lost 6 kg of weight.</w:t>
      </w:r>
    </w:p>
    <w:p w14:paraId="473E47B1" w14:textId="77777777" w:rsidR="00A77B3E" w:rsidRDefault="00A77B3E">
      <w:pPr>
        <w:spacing w:line="360" w:lineRule="auto"/>
        <w:jc w:val="both"/>
      </w:pPr>
    </w:p>
    <w:p w14:paraId="3B511E1A" w14:textId="77777777" w:rsidR="00A77B3E" w:rsidRDefault="00A41BE2">
      <w:pPr>
        <w:spacing w:line="360" w:lineRule="auto"/>
        <w:jc w:val="both"/>
      </w:pPr>
      <w:r>
        <w:rPr>
          <w:rFonts w:ascii="Book Antiqua" w:eastAsia="Book Antiqua" w:hAnsi="Book Antiqua" w:cs="Book Antiqua"/>
          <w:b/>
          <w:i/>
          <w:color w:val="000000"/>
        </w:rPr>
        <w:t>Laboratory examinations</w:t>
      </w:r>
    </w:p>
    <w:p w14:paraId="31FCAC41" w14:textId="77777777" w:rsidR="00A77B3E" w:rsidRDefault="00A41BE2">
      <w:pPr>
        <w:spacing w:line="360" w:lineRule="auto"/>
        <w:jc w:val="both"/>
      </w:pPr>
      <w:r>
        <w:rPr>
          <w:rFonts w:ascii="Book Antiqua" w:eastAsia="Book Antiqua" w:hAnsi="Book Antiqua" w:cs="Book Antiqua"/>
          <w:color w:val="000000"/>
        </w:rPr>
        <w:t xml:space="preserve">The electrocardiogram results were as follows: sinus rhythm, V1-5 ST segment elevation 0.1-0.4 mv and pathological Q waves (Figure 1). </w:t>
      </w:r>
    </w:p>
    <w:p w14:paraId="4569072A" w14:textId="77777777" w:rsidR="00A77B3E" w:rsidRDefault="00A41BE2">
      <w:pPr>
        <w:spacing w:line="360" w:lineRule="auto"/>
        <w:ind w:firstLine="240"/>
        <w:jc w:val="both"/>
      </w:pPr>
      <w:r>
        <w:rPr>
          <w:rFonts w:ascii="Book Antiqua" w:eastAsia="Book Antiqua" w:hAnsi="Book Antiqua" w:cs="Book Antiqua"/>
          <w:color w:val="000000"/>
        </w:rPr>
        <w:t xml:space="preserve">Although the high-sensitivity troponin T (commonly referred to as TNT-Hs) test result was 29.2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on admission and 17.1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on day 5 of admission (reference range: 0-0.04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the myocardial enzyme test did not show abnormal results. We also tested the patient’s thyroid function (Tables 1 and 2), blood lipids (Table 3), and coagulation function (Table 4). The thyroid function test showed high levels of free triiodothyronine (commonly referred to as FT3), free thyroxine (commonly referred to as FT4) and thyroid-stimulating hormone receptor antibody (commonly referred to as </w:t>
      </w:r>
      <w:proofErr w:type="spellStart"/>
      <w:r>
        <w:rPr>
          <w:rFonts w:ascii="Book Antiqua" w:eastAsia="Book Antiqua" w:hAnsi="Book Antiqua" w:cs="Book Antiqua"/>
          <w:color w:val="000000"/>
        </w:rPr>
        <w:t>TRAb</w:t>
      </w:r>
      <w:proofErr w:type="spellEnd"/>
      <w:r>
        <w:rPr>
          <w:rFonts w:ascii="Book Antiqua" w:eastAsia="Book Antiqua" w:hAnsi="Book Antiqua" w:cs="Book Antiqua"/>
          <w:color w:val="000000"/>
        </w:rPr>
        <w:t>), and low level of third-generation thyroid-stimulating hormone (commonly referred to as TSH-3GEN).</w:t>
      </w:r>
    </w:p>
    <w:p w14:paraId="6944B005" w14:textId="77777777" w:rsidR="00A77B3E" w:rsidRDefault="00A77B3E">
      <w:pPr>
        <w:spacing w:line="360" w:lineRule="auto"/>
        <w:ind w:firstLine="240"/>
        <w:jc w:val="both"/>
      </w:pPr>
    </w:p>
    <w:p w14:paraId="0B21A0E3" w14:textId="77777777" w:rsidR="00A77B3E" w:rsidRDefault="00A41BE2">
      <w:pPr>
        <w:spacing w:line="360" w:lineRule="auto"/>
        <w:jc w:val="both"/>
      </w:pPr>
      <w:r>
        <w:rPr>
          <w:rFonts w:ascii="Book Antiqua" w:eastAsia="Book Antiqua" w:hAnsi="Book Antiqua" w:cs="Book Antiqua"/>
          <w:b/>
          <w:i/>
          <w:color w:val="000000"/>
        </w:rPr>
        <w:t>Imaging examinations</w:t>
      </w:r>
    </w:p>
    <w:p w14:paraId="2425DB9D" w14:textId="77777777" w:rsidR="00A77B3E" w:rsidRDefault="00A41BE2">
      <w:pPr>
        <w:spacing w:line="360" w:lineRule="auto"/>
        <w:jc w:val="both"/>
      </w:pPr>
      <w:r>
        <w:rPr>
          <w:rFonts w:ascii="Book Antiqua" w:eastAsia="Book Antiqua" w:hAnsi="Book Antiqua" w:cs="Book Antiqua"/>
          <w:color w:val="000000"/>
        </w:rPr>
        <w:t>Cardiac color Doppler ultrasound showed uncoordinated left ventricular wall motion and weakened interventricular septal motion. Thyroid color Doppler ultrasound showed that the bilateral thyroid glands were diffusely enlarged with rich color flow, and bilateral cervical lymph nodes were visible.</w:t>
      </w:r>
    </w:p>
    <w:p w14:paraId="5B66E3E2" w14:textId="77777777" w:rsidR="00A77B3E" w:rsidRDefault="00A77B3E">
      <w:pPr>
        <w:spacing w:line="360" w:lineRule="auto"/>
        <w:jc w:val="both"/>
      </w:pPr>
    </w:p>
    <w:p w14:paraId="15414ABE" w14:textId="77777777" w:rsidR="00A77B3E" w:rsidRDefault="00A41BE2">
      <w:pPr>
        <w:spacing w:line="360" w:lineRule="auto"/>
        <w:jc w:val="both"/>
      </w:pPr>
      <w:r>
        <w:rPr>
          <w:rFonts w:ascii="Book Antiqua" w:eastAsia="Book Antiqua" w:hAnsi="Book Antiqua" w:cs="Book Antiqua"/>
          <w:b/>
          <w:caps/>
          <w:color w:val="000000"/>
          <w:u w:val="single"/>
        </w:rPr>
        <w:lastRenderedPageBreak/>
        <w:t>FINAL DIAGNOSIS</w:t>
      </w:r>
    </w:p>
    <w:p w14:paraId="04DD153F" w14:textId="77777777" w:rsidR="00A77B3E" w:rsidRDefault="00A41BE2">
      <w:pPr>
        <w:spacing w:line="360" w:lineRule="auto"/>
        <w:jc w:val="both"/>
      </w:pPr>
      <w:r>
        <w:rPr>
          <w:rFonts w:ascii="Book Antiqua" w:eastAsia="Book Antiqua" w:hAnsi="Book Antiqua" w:cs="Book Antiqua"/>
          <w:color w:val="000000"/>
        </w:rPr>
        <w:t>The final diagnosis of the presented case was ACS due to coronary artery atherosclerosis in the anterior descending artery complicated by hyperthyroidism.</w:t>
      </w:r>
    </w:p>
    <w:p w14:paraId="3084CA89" w14:textId="77777777" w:rsidR="00A77B3E" w:rsidRDefault="00A77B3E">
      <w:pPr>
        <w:spacing w:line="360" w:lineRule="auto"/>
        <w:jc w:val="both"/>
      </w:pPr>
    </w:p>
    <w:p w14:paraId="715AA988" w14:textId="77777777" w:rsidR="00A77B3E" w:rsidRDefault="00A41BE2">
      <w:pPr>
        <w:spacing w:line="360" w:lineRule="auto"/>
        <w:jc w:val="both"/>
      </w:pPr>
      <w:r>
        <w:rPr>
          <w:rFonts w:ascii="Book Antiqua" w:eastAsia="Book Antiqua" w:hAnsi="Book Antiqua" w:cs="Book Antiqua"/>
          <w:b/>
          <w:caps/>
          <w:color w:val="000000"/>
          <w:u w:val="single"/>
        </w:rPr>
        <w:t>TREATMENT</w:t>
      </w:r>
    </w:p>
    <w:p w14:paraId="3E26B659" w14:textId="77777777" w:rsidR="00A77B3E" w:rsidRDefault="00A41BE2">
      <w:pPr>
        <w:spacing w:line="360" w:lineRule="auto"/>
        <w:jc w:val="both"/>
      </w:pPr>
      <w:r>
        <w:rPr>
          <w:rFonts w:ascii="Book Antiqua" w:eastAsia="Book Antiqua" w:hAnsi="Book Antiqua" w:cs="Book Antiqua"/>
          <w:color w:val="000000"/>
        </w:rPr>
        <w:t>Preoperative intravascular ultrasound (IVUS) examination showed plaque formation in the middle of the anterior descending branch (Figure 2) and severe lesions in the proximal segment. The lesions were rich in lipids and fibrous plaques. The minimum lumen cross-sectional area (referred to as CSA) was 2.03 mm</w:t>
      </w:r>
      <w:r>
        <w:rPr>
          <w:rFonts w:ascii="Book Antiqua" w:eastAsia="Book Antiqua" w:hAnsi="Book Antiqua" w:cs="Book Antiqua"/>
          <w:color w:val="000000"/>
          <w:szCs w:val="20"/>
          <w:vertAlign w:val="superscript"/>
        </w:rPr>
        <w:t>2</w:t>
      </w:r>
      <w:r w:rsidR="00990547">
        <w:rPr>
          <w:rFonts w:ascii="Book Antiqua" w:eastAsia="Book Antiqua" w:hAnsi="Book Antiqua" w:cs="Book Antiqua"/>
          <w:color w:val="000000"/>
        </w:rPr>
        <w:t xml:space="preserve"> (Figure 3</w:t>
      </w:r>
      <w:r>
        <w:rPr>
          <w:rFonts w:ascii="Book Antiqua" w:eastAsia="Book Antiqua" w:hAnsi="Book Antiqua" w:cs="Book Antiqua"/>
          <w:color w:val="000000"/>
        </w:rPr>
        <w:t>), and percutaneous coronary intervention was performed. After the anterior descending branch guide wire was passed, a 2.0 × 20 Abbott Balloon (MINI TREK) 10 atm was administered to predilate the proximal lesion, and a 3.5 × 10 cutting balloon (</w:t>
      </w:r>
      <w:proofErr w:type="spellStart"/>
      <w:r>
        <w:rPr>
          <w:rFonts w:ascii="Book Antiqua" w:eastAsia="Book Antiqua" w:hAnsi="Book Antiqua" w:cs="Book Antiqua"/>
          <w:color w:val="000000"/>
        </w:rPr>
        <w:t>Flxtome</w:t>
      </w:r>
      <w:r>
        <w:rPr>
          <w:rFonts w:ascii="Book Antiqua" w:eastAsia="Book Antiqua" w:hAnsi="Book Antiqua" w:cs="Book Antiqua"/>
          <w:color w:val="000000"/>
          <w:szCs w:val="20"/>
          <w:vertAlign w:val="superscript"/>
        </w:rPr>
        <w:t>TM</w:t>
      </w:r>
      <w:proofErr w:type="spellEnd"/>
      <w:r>
        <w:rPr>
          <w:rFonts w:ascii="Book Antiqua" w:eastAsia="Book Antiqua" w:hAnsi="Book Antiqua" w:cs="Book Antiqua"/>
          <w:color w:val="000000"/>
        </w:rPr>
        <w:t xml:space="preserve"> Cutting </w:t>
      </w:r>
      <w:proofErr w:type="spellStart"/>
      <w:r>
        <w:rPr>
          <w:rFonts w:ascii="Book Antiqua" w:eastAsia="Book Antiqua" w:hAnsi="Book Antiqua" w:cs="Book Antiqua"/>
          <w:color w:val="000000"/>
        </w:rPr>
        <w:t>Balloon</w:t>
      </w:r>
      <w:r>
        <w:rPr>
          <w:rFonts w:ascii="Book Antiqua" w:eastAsia="Book Antiqua" w:hAnsi="Book Antiqua" w:cs="Book Antiqua"/>
          <w:color w:val="000000"/>
          <w:szCs w:val="20"/>
          <w:vertAlign w:val="superscript"/>
        </w:rPr>
        <w:t>TM</w:t>
      </w:r>
      <w:proofErr w:type="spellEnd"/>
      <w:r>
        <w:rPr>
          <w:rFonts w:ascii="Book Antiqua" w:eastAsia="Book Antiqua" w:hAnsi="Book Antiqua" w:cs="Book Antiqua"/>
          <w:color w:val="000000"/>
        </w:rPr>
        <w:t>) was cut twice at 8 atm. Then, a 3.5 × 20 drug-coated balloon (</w:t>
      </w:r>
      <w:proofErr w:type="spellStart"/>
      <w:r>
        <w:rPr>
          <w:rFonts w:ascii="Book Antiqua" w:eastAsia="Book Antiqua" w:hAnsi="Book Antiqua" w:cs="Book Antiqua"/>
          <w:color w:val="000000"/>
        </w:rPr>
        <w:t>SeQuent</w:t>
      </w:r>
      <w:proofErr w:type="spellEnd"/>
      <w:r>
        <w:rPr>
          <w:rFonts w:ascii="Book Antiqua" w:eastAsia="Book Antiqua" w:hAnsi="Book Antiqua" w:cs="Book Antiqua"/>
          <w:color w:val="000000"/>
        </w:rPr>
        <w:t xml:space="preserve">; B. Braun </w:t>
      </w:r>
      <w:proofErr w:type="spellStart"/>
      <w:r>
        <w:rPr>
          <w:rFonts w:ascii="Book Antiqua" w:eastAsia="Book Antiqua" w:hAnsi="Book Antiqua" w:cs="Book Antiqua"/>
          <w:color w:val="000000"/>
        </w:rPr>
        <w:t>Melsungen</w:t>
      </w:r>
      <w:proofErr w:type="spellEnd"/>
      <w:r>
        <w:rPr>
          <w:rFonts w:ascii="Book Antiqua" w:eastAsia="Book Antiqua" w:hAnsi="Book Antiqua" w:cs="Book Antiqua"/>
          <w:color w:val="000000"/>
        </w:rPr>
        <w:t xml:space="preserve"> AG) was expanded at 6 atm for 60 s. Finally, the original narrowest lumen CSA increased to 5.58 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by IVUS examination. There was no local dissection or hematoma formation and coronary angiography showed significant relief of the stenosis (Figures 4</w:t>
      </w:r>
      <w:r w:rsidR="002E75EF">
        <w:rPr>
          <w:rFonts w:ascii="Book Antiqua" w:hAnsi="Book Antiqua" w:cs="Book Antiqua" w:hint="eastAsia"/>
          <w:color w:val="000000"/>
          <w:lang w:eastAsia="zh-CN"/>
        </w:rPr>
        <w:t xml:space="preserve"> and 5</w:t>
      </w:r>
      <w:r>
        <w:rPr>
          <w:rFonts w:ascii="Book Antiqua" w:eastAsia="Book Antiqua" w:hAnsi="Book Antiqua" w:cs="Book Antiqua"/>
          <w:color w:val="000000"/>
        </w:rPr>
        <w:t>). The patient’s condition improved 4 d after the interventional therapy, and he was discharged.</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The foregoing oral medication regimen was continued after discharge.</w:t>
      </w:r>
    </w:p>
    <w:p w14:paraId="6E2E5C8E" w14:textId="77777777" w:rsidR="00A77B3E" w:rsidRDefault="00A77B3E">
      <w:pPr>
        <w:spacing w:line="360" w:lineRule="auto"/>
        <w:jc w:val="both"/>
      </w:pPr>
    </w:p>
    <w:p w14:paraId="03A1A6D4" w14:textId="77777777" w:rsidR="00A77B3E" w:rsidRDefault="00A41BE2">
      <w:pPr>
        <w:spacing w:line="360" w:lineRule="auto"/>
        <w:jc w:val="both"/>
      </w:pPr>
      <w:r>
        <w:rPr>
          <w:rFonts w:ascii="Book Antiqua" w:eastAsia="Book Antiqua" w:hAnsi="Book Antiqua" w:cs="Book Antiqua"/>
          <w:b/>
          <w:caps/>
          <w:color w:val="000000"/>
          <w:u w:val="single"/>
        </w:rPr>
        <w:t>OUTCOME AND FOLLOW-UP</w:t>
      </w:r>
    </w:p>
    <w:p w14:paraId="6B89D493" w14:textId="77777777" w:rsidR="00A77B3E" w:rsidRDefault="00A41BE2">
      <w:pPr>
        <w:spacing w:line="360" w:lineRule="auto"/>
        <w:jc w:val="both"/>
      </w:pPr>
      <w:r>
        <w:rPr>
          <w:rFonts w:ascii="Book Antiqua" w:eastAsia="Book Antiqua" w:hAnsi="Book Antiqua" w:cs="Book Antiqua"/>
          <w:color w:val="000000"/>
        </w:rPr>
        <w:t xml:space="preserve">The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showed that the patient was in good condition. On March 11, 2021, the cardiac ultrasound showed that left ventricular wall movement was roughly coordinated, and systolic function was normal.</w:t>
      </w:r>
    </w:p>
    <w:p w14:paraId="21AD0922" w14:textId="77777777" w:rsidR="00A77B3E" w:rsidRDefault="00A77B3E">
      <w:pPr>
        <w:spacing w:line="360" w:lineRule="auto"/>
        <w:jc w:val="both"/>
      </w:pPr>
    </w:p>
    <w:p w14:paraId="06442F67" w14:textId="77777777" w:rsidR="00A77B3E" w:rsidRDefault="00A41BE2">
      <w:pPr>
        <w:spacing w:line="360" w:lineRule="auto"/>
        <w:jc w:val="both"/>
      </w:pPr>
      <w:r>
        <w:rPr>
          <w:rFonts w:ascii="Book Antiqua" w:eastAsia="Book Antiqua" w:hAnsi="Book Antiqua" w:cs="Book Antiqua"/>
          <w:b/>
          <w:caps/>
          <w:color w:val="000000"/>
          <w:u w:val="single"/>
        </w:rPr>
        <w:t>DISCUSSION</w:t>
      </w:r>
    </w:p>
    <w:p w14:paraId="00DB31ED" w14:textId="77777777" w:rsidR="00A77B3E" w:rsidRDefault="00A41BE2">
      <w:pPr>
        <w:spacing w:line="360" w:lineRule="auto"/>
        <w:jc w:val="both"/>
      </w:pPr>
      <w:r>
        <w:rPr>
          <w:rFonts w:ascii="Book Antiqua" w:eastAsia="Book Antiqua" w:hAnsi="Book Antiqua" w:cs="Book Antiqua"/>
          <w:color w:val="000000"/>
        </w:rPr>
        <w:t>The thyroid hormone has a significant effect on the metabolism of sugar, fat, and protein</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and acts on all tissue cells. Recent studies have revealed that thyroid hormone widely affects the physiological and pathological processes of the cardiovascular </w:t>
      </w:r>
      <w:r>
        <w:rPr>
          <w:rFonts w:ascii="Book Antiqua" w:eastAsia="Book Antiqua" w:hAnsi="Book Antiqua" w:cs="Book Antiqua"/>
          <w:color w:val="000000"/>
        </w:rPr>
        <w:lastRenderedPageBreak/>
        <w:t>system</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and is associated with cardiomyocyte injury</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thrombus burden</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coronary artery spasm</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and coronary atherosclerosis</w:t>
      </w:r>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The effects of the thyroid hormone on the cardiovascular system include increased resting heart rate, left ventricular contractility, blood pressure (volume) and decreased systemic vascular resistance.</w:t>
      </w:r>
    </w:p>
    <w:p w14:paraId="74170AB7" w14:textId="77777777" w:rsidR="00A77B3E" w:rsidRDefault="00A41BE2">
      <w:pPr>
        <w:spacing w:line="360" w:lineRule="auto"/>
        <w:ind w:firstLine="240"/>
        <w:jc w:val="both"/>
      </w:pPr>
      <w:r>
        <w:rPr>
          <w:rFonts w:ascii="Book Antiqua" w:eastAsia="Book Antiqua" w:hAnsi="Book Antiqua" w:cs="Book Antiqua"/>
          <w:color w:val="000000"/>
        </w:rPr>
        <w:t>Thyroid function is closely related to ACS. Coronary atherosclerosis, one of the most important pathogenic factors leading to ACS, is a long-lasting and continuously evolving disease</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Patients with thyrotoxicosis-induced ACS are rare, and almost all reported cases have been associated with Graves’ disease. Coronary angiography usually shows zero disease, and coronary artery spasm occupies a large proportion of data</w:t>
      </w:r>
      <w:r>
        <w:rPr>
          <w:rFonts w:ascii="Book Antiqua" w:eastAsia="Book Antiqua" w:hAnsi="Book Antiqua" w:cs="Book Antiqua"/>
          <w:color w:val="000000"/>
          <w:szCs w:val="20"/>
          <w:vertAlign w:val="superscript"/>
        </w:rPr>
        <w:t>[8,12,13]</w:t>
      </w:r>
      <w:r>
        <w:rPr>
          <w:rFonts w:ascii="Book Antiqua" w:eastAsia="Book Antiqua" w:hAnsi="Book Antiqua" w:cs="Book Antiqua"/>
          <w:color w:val="000000"/>
        </w:rPr>
        <w:t>. However, in this case ACS was accompanied by severe atherosclerosis.</w:t>
      </w:r>
    </w:p>
    <w:p w14:paraId="33030279" w14:textId="77777777" w:rsidR="00A77B3E" w:rsidRDefault="00A41BE2">
      <w:pPr>
        <w:spacing w:line="360" w:lineRule="auto"/>
        <w:ind w:firstLine="240"/>
        <w:jc w:val="both"/>
      </w:pPr>
      <w:r>
        <w:rPr>
          <w:rFonts w:ascii="Book Antiqua" w:eastAsia="Book Antiqua" w:hAnsi="Book Antiqua" w:cs="Book Antiqua"/>
          <w:color w:val="000000"/>
        </w:rPr>
        <w:t>In our patient, the main manifestation was neck pain, which is atypical. The patient was diagnosed with hyperthyroidism because he had a goiter and showed ocular protrusion symptoms. ACS was not diagnosed until the electrocardiogram and TNT-Hs test were completed. Patients with hyperthyroidism often exhibit a high metabolic state</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and the incidence of diabetes and dyslipidemia in such patients is lower than that in ordinary patients, indicating that the conditions for atherosclerosis are lacking and patients are less likely to have CHD. It is important to understand the factors that caused atherosclerotic plaque in this young male patient with hyperthyroidism. There were several risk factors, including his former work as a courier, a fatty diet, smoking, poor sleep, irregular lifestyle, and stress. During the first half of 2020, the patient had to stay home for several months because of the COVID-19 epidemic, resulting in a lack of physical exercise.</w:t>
      </w:r>
    </w:p>
    <w:p w14:paraId="1582A1DE" w14:textId="77777777" w:rsidR="00A77B3E" w:rsidRDefault="00A41BE2">
      <w:pPr>
        <w:spacing w:line="360" w:lineRule="auto"/>
        <w:ind w:firstLine="240"/>
        <w:jc w:val="both"/>
      </w:pPr>
      <w:r>
        <w:rPr>
          <w:rFonts w:ascii="Book Antiqua" w:eastAsia="Book Antiqua" w:hAnsi="Book Antiqua" w:cs="Book Antiqua"/>
          <w:color w:val="000000"/>
        </w:rPr>
        <w:t xml:space="preserve">It is possible that severe atherosclerotic plaques already existed in the coronary arteries before the onset of hyperthyroidism, and the environmental risk factors promoted the development of coronary atherosclerosis. It is also possible that newly developed hyperthyroidism induced coronary artery spasm or accelerated the progression of atherosclerosis and subsequent plaque disruption or erosion that led to ACS. Given that IVUS did not accurately reflect the composition of the plaque surface </w:t>
      </w:r>
      <w:r>
        <w:rPr>
          <w:rFonts w:ascii="Book Antiqua" w:eastAsia="Book Antiqua" w:hAnsi="Book Antiqua" w:cs="Book Antiqua"/>
          <w:color w:val="000000"/>
        </w:rPr>
        <w:lastRenderedPageBreak/>
        <w:t>or image the microstructure, optical coherence tomography detection provided a better understanding of the mechanism of ACS onset.</w:t>
      </w:r>
    </w:p>
    <w:p w14:paraId="4F88872E" w14:textId="77777777" w:rsidR="00A77B3E" w:rsidRDefault="00A41BE2">
      <w:pPr>
        <w:spacing w:line="360" w:lineRule="auto"/>
        <w:ind w:firstLine="480"/>
        <w:jc w:val="both"/>
      </w:pPr>
      <w:r>
        <w:rPr>
          <w:rFonts w:ascii="Book Antiqua" w:eastAsia="Book Antiqua" w:hAnsi="Book Antiqua" w:cs="Book Antiqua"/>
          <w:color w:val="000000"/>
        </w:rPr>
        <w:t>We managed the disease using drug-coated balloon technology. During the treatment, we used the IVUS examination to evaluate the treatment effect of the cutting balloon + drug balloon, which can limit the use of iodine-containing contrast media and reduce the effect of iodine on patients with hyperthyroidism. Patients with hyperthyroidism need to take antithyroid drugs, such as thiourea, for an extended period, which may lead to complications, such as neutropenia. If metal stents were used, the patients may be unable to withstand long-term double antiplatelet therapy because of neutropenia or bleeding. Therefore, we chose the paclitaxel-coated drug balloon as an implant-free interventional therapy to avoid the use of stents, reduce the time of antiplatelet therapy, and facilitate the continued treatment of the patient with subsequent hyperthyroidism.</w:t>
      </w:r>
    </w:p>
    <w:p w14:paraId="43B6DF21" w14:textId="77777777" w:rsidR="00A77B3E" w:rsidRDefault="00A77B3E">
      <w:pPr>
        <w:spacing w:line="360" w:lineRule="auto"/>
        <w:ind w:firstLine="480"/>
        <w:jc w:val="both"/>
      </w:pPr>
    </w:p>
    <w:p w14:paraId="599AD2A6" w14:textId="77777777" w:rsidR="00A77B3E" w:rsidRDefault="00A41BE2">
      <w:pPr>
        <w:spacing w:line="360" w:lineRule="auto"/>
        <w:jc w:val="both"/>
      </w:pPr>
      <w:r>
        <w:rPr>
          <w:rFonts w:ascii="Book Antiqua" w:eastAsia="Book Antiqua" w:hAnsi="Book Antiqua" w:cs="Book Antiqua"/>
          <w:b/>
          <w:caps/>
          <w:color w:val="000000"/>
          <w:u w:val="single"/>
        </w:rPr>
        <w:t>CONCLUSION</w:t>
      </w:r>
    </w:p>
    <w:p w14:paraId="23900618" w14:textId="77777777" w:rsidR="00A77B3E" w:rsidRDefault="00A41BE2">
      <w:pPr>
        <w:spacing w:line="360" w:lineRule="auto"/>
        <w:jc w:val="both"/>
      </w:pPr>
      <w:r>
        <w:rPr>
          <w:rFonts w:ascii="Book Antiqua" w:eastAsia="Book Antiqua" w:hAnsi="Book Antiqua" w:cs="Book Antiqua"/>
          <w:color w:val="000000"/>
        </w:rPr>
        <w:t>ACS with hyperthyroidism is easy to miss clinically. In addition to coronary spasms, the mechanism of coronary atherosclerosis is a cause of ACS that cannot be ignored. For young patients, the dangers of smoking, a fatty diet, and sedentary lifestyle should be emphasized. In terms of clinical treatment, intensive drug therapy and implant-free interventional therapy are better options for patients with ACS and hyperthyroidism.</w:t>
      </w:r>
    </w:p>
    <w:p w14:paraId="67468DC0" w14:textId="77777777" w:rsidR="00A77B3E" w:rsidRDefault="00A77B3E">
      <w:pPr>
        <w:spacing w:line="360" w:lineRule="auto"/>
        <w:jc w:val="both"/>
      </w:pPr>
    </w:p>
    <w:p w14:paraId="18B8E016" w14:textId="77777777" w:rsidR="00A77B3E" w:rsidRDefault="00A41BE2">
      <w:pPr>
        <w:spacing w:line="360" w:lineRule="auto"/>
        <w:jc w:val="both"/>
      </w:pPr>
      <w:r>
        <w:rPr>
          <w:rFonts w:ascii="Book Antiqua" w:eastAsia="Book Antiqua" w:hAnsi="Book Antiqua" w:cs="Book Antiqua"/>
          <w:b/>
          <w:color w:val="000000"/>
        </w:rPr>
        <w:t>REFERENCES</w:t>
      </w:r>
    </w:p>
    <w:p w14:paraId="07795D99" w14:textId="77777777" w:rsidR="00A77B3E" w:rsidRDefault="00A41BE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O'Gara PT</w:t>
      </w:r>
      <w:r>
        <w:rPr>
          <w:rFonts w:ascii="Book Antiqua" w:eastAsia="Book Antiqua" w:hAnsi="Book Antiqua" w:cs="Book Antiqua"/>
          <w:color w:val="000000"/>
        </w:rPr>
        <w:t xml:space="preserve">, Kushner FG, </w:t>
      </w:r>
      <w:proofErr w:type="spellStart"/>
      <w:r>
        <w:rPr>
          <w:rFonts w:ascii="Book Antiqua" w:eastAsia="Book Antiqua" w:hAnsi="Book Antiqua" w:cs="Book Antiqua"/>
          <w:color w:val="000000"/>
        </w:rPr>
        <w:t>Ascheim</w:t>
      </w:r>
      <w:proofErr w:type="spellEnd"/>
      <w:r>
        <w:rPr>
          <w:rFonts w:ascii="Book Antiqua" w:eastAsia="Book Antiqua" w:hAnsi="Book Antiqua" w:cs="Book Antiqua"/>
          <w:color w:val="000000"/>
        </w:rPr>
        <w:t xml:space="preserve"> DD, Casey DE Jr, Chung MK, de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JA, Ettinger SM, Fang JC, </w:t>
      </w:r>
      <w:proofErr w:type="spellStart"/>
      <w:r>
        <w:rPr>
          <w:rFonts w:ascii="Book Antiqua" w:eastAsia="Book Antiqua" w:hAnsi="Book Antiqua" w:cs="Book Antiqua"/>
          <w:color w:val="000000"/>
        </w:rPr>
        <w:t>Fesmire</w:t>
      </w:r>
      <w:proofErr w:type="spellEnd"/>
      <w:r>
        <w:rPr>
          <w:rFonts w:ascii="Book Antiqua" w:eastAsia="Book Antiqua" w:hAnsi="Book Antiqua" w:cs="Book Antiqua"/>
          <w:color w:val="000000"/>
        </w:rPr>
        <w:t xml:space="preserve"> FM, Franklin BA, Granger CB, </w:t>
      </w:r>
      <w:proofErr w:type="spellStart"/>
      <w:r>
        <w:rPr>
          <w:rFonts w:ascii="Book Antiqua" w:eastAsia="Book Antiqua" w:hAnsi="Book Antiqua" w:cs="Book Antiqua"/>
          <w:color w:val="000000"/>
        </w:rPr>
        <w:t>Krumholz</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Linderbaum</w:t>
      </w:r>
      <w:proofErr w:type="spellEnd"/>
      <w:r>
        <w:rPr>
          <w:rFonts w:ascii="Book Antiqua" w:eastAsia="Book Antiqua" w:hAnsi="Book Antiqua" w:cs="Book Antiqua"/>
          <w:color w:val="000000"/>
        </w:rPr>
        <w:t xml:space="preserve"> JA, Morrow DA, Newby LK, </w:t>
      </w:r>
      <w:proofErr w:type="spellStart"/>
      <w:r>
        <w:rPr>
          <w:rFonts w:ascii="Book Antiqua" w:eastAsia="Book Antiqua" w:hAnsi="Book Antiqua" w:cs="Book Antiqua"/>
          <w:color w:val="000000"/>
        </w:rPr>
        <w:t>Ornato</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N, Radford MJ, Tamis-Holland JE, Tommaso CL, Tracy CM, Woo YJ, Zhao DX. 2013 ACCF/AHA guideline for the management of ST-elevation myocardial infarction: a report of the American College of Cardiology Foundation/American Heart Association Task Force on Practice Guidelines.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61</w:t>
      </w:r>
      <w:r>
        <w:rPr>
          <w:rFonts w:ascii="Book Antiqua" w:eastAsia="Book Antiqua" w:hAnsi="Book Antiqua" w:cs="Book Antiqua"/>
          <w:color w:val="000000"/>
        </w:rPr>
        <w:t>: e78-e140 [PMID: 23256914 DOI: 10.1016/j.jacc.2012.11.019]</w:t>
      </w:r>
    </w:p>
    <w:p w14:paraId="5608737F" w14:textId="77777777" w:rsidR="00A77B3E" w:rsidRDefault="00A41BE2">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Roffi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Patrono</w:t>
      </w:r>
      <w:proofErr w:type="spellEnd"/>
      <w:r>
        <w:rPr>
          <w:rFonts w:ascii="Book Antiqua" w:eastAsia="Book Antiqua" w:hAnsi="Book Antiqua" w:cs="Book Antiqua"/>
          <w:color w:val="000000"/>
        </w:rPr>
        <w:t xml:space="preserve"> C, Collet JP, Mueller C, </w:t>
      </w:r>
      <w:proofErr w:type="spellStart"/>
      <w:r>
        <w:rPr>
          <w:rFonts w:ascii="Book Antiqua" w:eastAsia="Book Antiqua" w:hAnsi="Book Antiqua" w:cs="Book Antiqua"/>
          <w:color w:val="000000"/>
        </w:rPr>
        <w:t>Valgimigli</w:t>
      </w:r>
      <w:proofErr w:type="spellEnd"/>
      <w:r>
        <w:rPr>
          <w:rFonts w:ascii="Book Antiqua" w:eastAsia="Book Antiqua" w:hAnsi="Book Antiqua" w:cs="Book Antiqua"/>
          <w:color w:val="000000"/>
        </w:rPr>
        <w:t xml:space="preserve"> M, Andreotti 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JJ, Borger MA, </w:t>
      </w:r>
      <w:proofErr w:type="spellStart"/>
      <w:r>
        <w:rPr>
          <w:rFonts w:ascii="Book Antiqua" w:eastAsia="Book Antiqua" w:hAnsi="Book Antiqua" w:cs="Book Antiqua"/>
          <w:color w:val="000000"/>
        </w:rPr>
        <w:t>Brotons</w:t>
      </w:r>
      <w:proofErr w:type="spellEnd"/>
      <w:r>
        <w:rPr>
          <w:rFonts w:ascii="Book Antiqua" w:eastAsia="Book Antiqua" w:hAnsi="Book Antiqua" w:cs="Book Antiqua"/>
          <w:color w:val="000000"/>
        </w:rPr>
        <w:t xml:space="preserve"> C, Chew DP, </w:t>
      </w:r>
      <w:proofErr w:type="spellStart"/>
      <w:r>
        <w:rPr>
          <w:rFonts w:ascii="Book Antiqua" w:eastAsia="Book Antiqua" w:hAnsi="Book Antiqua" w:cs="Book Antiqua"/>
          <w:color w:val="000000"/>
        </w:rPr>
        <w:t>Gencer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Hasenfuss</w:t>
      </w:r>
      <w:proofErr w:type="spellEnd"/>
      <w:r>
        <w:rPr>
          <w:rFonts w:ascii="Book Antiqua" w:eastAsia="Book Antiqua" w:hAnsi="Book Antiqua" w:cs="Book Antiqua"/>
          <w:color w:val="000000"/>
        </w:rPr>
        <w:t xml:space="preserve"> G, Kjeldsen K, Lancellotti P, </w:t>
      </w:r>
      <w:proofErr w:type="spellStart"/>
      <w:r>
        <w:rPr>
          <w:rFonts w:ascii="Book Antiqua" w:eastAsia="Book Antiqua" w:hAnsi="Book Antiqua" w:cs="Book Antiqua"/>
          <w:color w:val="000000"/>
        </w:rPr>
        <w:t>Landmesser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Mehilli</w:t>
      </w:r>
      <w:proofErr w:type="spellEnd"/>
      <w:r>
        <w:rPr>
          <w:rFonts w:ascii="Book Antiqua" w:eastAsia="Book Antiqua" w:hAnsi="Book Antiqua" w:cs="Book Antiqua"/>
          <w:color w:val="000000"/>
        </w:rPr>
        <w:t xml:space="preserve"> J, Mukherjee D, </w:t>
      </w:r>
      <w:proofErr w:type="spellStart"/>
      <w:r>
        <w:rPr>
          <w:rFonts w:ascii="Book Antiqua" w:eastAsia="Book Antiqua" w:hAnsi="Book Antiqua" w:cs="Book Antiqua"/>
          <w:color w:val="000000"/>
        </w:rPr>
        <w:t>Storey</w:t>
      </w:r>
      <w:proofErr w:type="spellEnd"/>
      <w:r>
        <w:rPr>
          <w:rFonts w:ascii="Book Antiqua" w:eastAsia="Book Antiqua" w:hAnsi="Book Antiqua" w:cs="Book Antiqua"/>
          <w:color w:val="000000"/>
        </w:rPr>
        <w:t xml:space="preserve"> RF, </w:t>
      </w:r>
      <w:proofErr w:type="spellStart"/>
      <w:r>
        <w:rPr>
          <w:rFonts w:ascii="Book Antiqua" w:eastAsia="Book Antiqua" w:hAnsi="Book Antiqua" w:cs="Book Antiqua"/>
          <w:color w:val="000000"/>
        </w:rPr>
        <w:t>Windecker</w:t>
      </w:r>
      <w:proofErr w:type="spellEnd"/>
      <w:r>
        <w:rPr>
          <w:rFonts w:ascii="Book Antiqua" w:eastAsia="Book Antiqua" w:hAnsi="Book Antiqua" w:cs="Book Antiqua"/>
          <w:color w:val="000000"/>
        </w:rPr>
        <w:t xml:space="preserve"> S; ESC Scientific Document Group .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267-315 [PMID: 26320110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/ehv320]</w:t>
      </w:r>
    </w:p>
    <w:p w14:paraId="1D43C2D4" w14:textId="77777777" w:rsidR="00A77B3E" w:rsidRDefault="00A41BE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 Leo S</w:t>
      </w:r>
      <w:r>
        <w:rPr>
          <w:rFonts w:ascii="Book Antiqua" w:eastAsia="Book Antiqua" w:hAnsi="Book Antiqua" w:cs="Book Antiqua"/>
          <w:color w:val="000000"/>
        </w:rPr>
        <w:t xml:space="preserve">, Lee SY, Braverman LE. Hyperthyroidism.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906-918 [PMID: 27038492 DOI: 10.1016/S0140-6736(16)00278-6]</w:t>
      </w:r>
    </w:p>
    <w:p w14:paraId="4B9603E0" w14:textId="77777777" w:rsidR="00A77B3E" w:rsidRDefault="00A41BE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Jabbar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Pingitore</w:t>
      </w:r>
      <w:proofErr w:type="spellEnd"/>
      <w:r>
        <w:rPr>
          <w:rFonts w:ascii="Book Antiqua" w:eastAsia="Book Antiqua" w:hAnsi="Book Antiqua" w:cs="Book Antiqua"/>
          <w:color w:val="000000"/>
        </w:rPr>
        <w:t xml:space="preserve"> A, Pearce SH, Zaman A, </w:t>
      </w:r>
      <w:proofErr w:type="spellStart"/>
      <w:r>
        <w:rPr>
          <w:rFonts w:ascii="Book Antiqua" w:eastAsia="Book Antiqua" w:hAnsi="Book Antiqua" w:cs="Book Antiqua"/>
          <w:color w:val="000000"/>
        </w:rPr>
        <w:t>Iervasi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Razvi</w:t>
      </w:r>
      <w:proofErr w:type="spellEnd"/>
      <w:r>
        <w:rPr>
          <w:rFonts w:ascii="Book Antiqua" w:eastAsia="Book Antiqua" w:hAnsi="Book Antiqua" w:cs="Book Antiqua"/>
          <w:color w:val="000000"/>
        </w:rPr>
        <w:t xml:space="preserve"> S. Thyroid hormones and cardiovascular disease.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39-55 [PMID: 27811932 DOI: 10.1038/nrcardio.2016.174]</w:t>
      </w:r>
    </w:p>
    <w:p w14:paraId="551F7F71" w14:textId="77777777" w:rsidR="00A77B3E" w:rsidRDefault="00A41BE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Teixeira PFDS</w:t>
      </w:r>
      <w:r>
        <w:rPr>
          <w:rFonts w:ascii="Book Antiqua" w:eastAsia="Book Antiqua" w:hAnsi="Book Antiqua" w:cs="Book Antiqua"/>
          <w:color w:val="000000"/>
        </w:rPr>
        <w:t xml:space="preserve">, Dos Santos PB, </w:t>
      </w:r>
      <w:proofErr w:type="spellStart"/>
      <w:r>
        <w:rPr>
          <w:rFonts w:ascii="Book Antiqua" w:eastAsia="Book Antiqua" w:hAnsi="Book Antiqua" w:cs="Book Antiqua"/>
          <w:color w:val="000000"/>
        </w:rPr>
        <w:t>Pazos</w:t>
      </w:r>
      <w:proofErr w:type="spellEnd"/>
      <w:r>
        <w:rPr>
          <w:rFonts w:ascii="Book Antiqua" w:eastAsia="Book Antiqua" w:hAnsi="Book Antiqua" w:cs="Book Antiqua"/>
          <w:color w:val="000000"/>
        </w:rPr>
        <w:t xml:space="preserve">-Moura CC. The role of thyroid hormone in metabolism and metabolic syndrome.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2042018820917869 [PMID: 32489580 DOI: 10.1177/2042018820917869]</w:t>
      </w:r>
    </w:p>
    <w:p w14:paraId="3468EE70" w14:textId="77777777" w:rsidR="00A77B3E" w:rsidRDefault="00A41BE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DH</w:t>
      </w:r>
      <w:r>
        <w:rPr>
          <w:rFonts w:ascii="Book Antiqua" w:eastAsia="Book Antiqua" w:hAnsi="Book Antiqua" w:cs="Book Antiqua"/>
          <w:color w:val="000000"/>
        </w:rPr>
        <w:t xml:space="preserve">, Choi DH, Kim HW, Choi SW, Kim BB, Chung JW, Koh YY, Chang KS, Hong SP. Prediction of infarct severity from triiodothyronine levels in patients with ST-elevation myocardial infarction.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454-465 [PMID: 25045293 DOI: 10.3904/kjim.2014.29.4.454]</w:t>
      </w:r>
    </w:p>
    <w:p w14:paraId="3890171B" w14:textId="77777777" w:rsidR="00A77B3E" w:rsidRDefault="00A41BE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Viswanathan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Balasubramaniam</w:t>
      </w:r>
      <w:proofErr w:type="spellEnd"/>
      <w:r>
        <w:rPr>
          <w:rFonts w:ascii="Book Antiqua" w:eastAsia="Book Antiqua" w:hAnsi="Book Antiqua" w:cs="Book Antiqua"/>
          <w:color w:val="000000"/>
        </w:rPr>
        <w:t xml:space="preserve"> K, Hardy R, Marshall S, Zaman A, </w:t>
      </w:r>
      <w:proofErr w:type="spellStart"/>
      <w:r>
        <w:rPr>
          <w:rFonts w:ascii="Book Antiqua" w:eastAsia="Book Antiqua" w:hAnsi="Book Antiqua" w:cs="Book Antiqua"/>
          <w:color w:val="000000"/>
        </w:rPr>
        <w:t>Razvi</w:t>
      </w:r>
      <w:proofErr w:type="spellEnd"/>
      <w:r>
        <w:rPr>
          <w:rFonts w:ascii="Book Antiqua" w:eastAsia="Book Antiqua" w:hAnsi="Book Antiqua" w:cs="Book Antiqua"/>
          <w:color w:val="000000"/>
        </w:rPr>
        <w:t xml:space="preserve"> S. Blood thrombogenicity is independently associated with serum TSH levels in post-non-ST elevation acute coronary syndrome.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E1050-E1054 [PMID: 24628547 DOI: 10.1210/jc.2013-3062]</w:t>
      </w:r>
    </w:p>
    <w:p w14:paraId="0AD3272D" w14:textId="77777777" w:rsidR="00A77B3E" w:rsidRDefault="00A41BE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Masani ND</w:t>
      </w:r>
      <w:r>
        <w:rPr>
          <w:rFonts w:ascii="Book Antiqua" w:eastAsia="Book Antiqua" w:hAnsi="Book Antiqua" w:cs="Book Antiqua"/>
          <w:color w:val="000000"/>
        </w:rPr>
        <w:t xml:space="preserve">, Northridge DB, Hall RJ. Severe coronary vasospasm associated with hyperthyroidism causing myocardial infarction. </w:t>
      </w:r>
      <w:r>
        <w:rPr>
          <w:rFonts w:ascii="Book Antiqua" w:eastAsia="Book Antiqua" w:hAnsi="Book Antiqua" w:cs="Book Antiqua"/>
          <w:i/>
          <w:iCs/>
          <w:color w:val="000000"/>
        </w:rPr>
        <w:t>Br Heart J</w:t>
      </w:r>
      <w:r>
        <w:rPr>
          <w:rFonts w:ascii="Book Antiqua" w:eastAsia="Book Antiqua" w:hAnsi="Book Antiqua" w:cs="Book Antiqua"/>
          <w:color w:val="000000"/>
        </w:rPr>
        <w:t xml:space="preserve"> 1995; </w:t>
      </w:r>
      <w:r>
        <w:rPr>
          <w:rFonts w:ascii="Book Antiqua" w:eastAsia="Book Antiqua" w:hAnsi="Book Antiqua" w:cs="Book Antiqua"/>
          <w:b/>
          <w:bCs/>
          <w:color w:val="000000"/>
        </w:rPr>
        <w:t>74</w:t>
      </w:r>
      <w:r>
        <w:rPr>
          <w:rFonts w:ascii="Book Antiqua" w:eastAsia="Book Antiqua" w:hAnsi="Book Antiqua" w:cs="Book Antiqua"/>
          <w:color w:val="000000"/>
        </w:rPr>
        <w:t>: 700-701 [PMID: 8541184 DOI: 10.1136/hrt.74.6.700]</w:t>
      </w:r>
    </w:p>
    <w:p w14:paraId="61929DF2" w14:textId="77777777" w:rsidR="00A77B3E" w:rsidRDefault="00A41BE2">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Coceani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Iervasi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Pingitore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Carpeggiani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L'Abbate</w:t>
      </w:r>
      <w:proofErr w:type="spellEnd"/>
      <w:r>
        <w:rPr>
          <w:rFonts w:ascii="Book Antiqua" w:eastAsia="Book Antiqua" w:hAnsi="Book Antiqua" w:cs="Book Antiqua"/>
          <w:color w:val="000000"/>
        </w:rPr>
        <w:t xml:space="preserve"> A. Thyroid hormone and coronary artery disease: from clinical correlations to prognostic implications.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32</w:t>
      </w:r>
      <w:r>
        <w:rPr>
          <w:rFonts w:ascii="Book Antiqua" w:eastAsia="Book Antiqua" w:hAnsi="Book Antiqua" w:cs="Book Antiqua"/>
          <w:color w:val="000000"/>
        </w:rPr>
        <w:t>: 380-385 [PMID: 19609889 DOI: 10.1002/clc.20574]</w:t>
      </w:r>
    </w:p>
    <w:p w14:paraId="50C23A62" w14:textId="77777777" w:rsidR="00A77B3E" w:rsidRDefault="00A41BE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Bai MF</w:t>
      </w:r>
      <w:r>
        <w:rPr>
          <w:rFonts w:ascii="Book Antiqua" w:eastAsia="Book Antiqua" w:hAnsi="Book Antiqua" w:cs="Book Antiqua"/>
          <w:color w:val="000000"/>
        </w:rPr>
        <w:t xml:space="preserve">, Gao CY, Yang CK, Wang XP, Liu J, Qi DT, Zhang Y, Hao PY, Li MW. Effects of thyroid dysfunction on the severity of coronary artery lesions and its prognosis.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496-500 [PMID: 24951271 DOI: 10.1016/j.jjcc.2014.03.009]</w:t>
      </w:r>
    </w:p>
    <w:p w14:paraId="4646A9E7" w14:textId="77777777" w:rsidR="00A77B3E" w:rsidRDefault="00A41BE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Boudoulas</w:t>
      </w:r>
      <w:proofErr w:type="spellEnd"/>
      <w:r>
        <w:rPr>
          <w:rFonts w:ascii="Book Antiqua" w:eastAsia="Book Antiqua" w:hAnsi="Book Antiqua" w:cs="Book Antiqua"/>
          <w:b/>
          <w:bCs/>
          <w:color w:val="000000"/>
        </w:rPr>
        <w:t xml:space="preserve"> KD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Triposciadis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Geleris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Boudoulas</w:t>
      </w:r>
      <w:proofErr w:type="spellEnd"/>
      <w:r>
        <w:rPr>
          <w:rFonts w:ascii="Book Antiqua" w:eastAsia="Book Antiqua" w:hAnsi="Book Antiqua" w:cs="Book Antiqua"/>
          <w:color w:val="000000"/>
        </w:rPr>
        <w:t xml:space="preserve"> H. Coronary Atherosclerosis: Pathophysiologic Basis for Diagnosis and Management. </w:t>
      </w:r>
      <w:r>
        <w:rPr>
          <w:rFonts w:ascii="Book Antiqua" w:eastAsia="Book Antiqua" w:hAnsi="Book Antiqua" w:cs="Book Antiqua"/>
          <w:i/>
          <w:iCs/>
          <w:color w:val="000000"/>
        </w:rPr>
        <w:t>Prog Cardiovasc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58</w:t>
      </w:r>
      <w:r>
        <w:rPr>
          <w:rFonts w:ascii="Book Antiqua" w:eastAsia="Book Antiqua" w:hAnsi="Book Antiqua" w:cs="Book Antiqua"/>
          <w:color w:val="000000"/>
        </w:rPr>
        <w:t>: 676-692 [PMID: 27091673 DOI: 10.1016/j.pcad.2016.04.003]</w:t>
      </w:r>
    </w:p>
    <w:p w14:paraId="1FF0D6C4" w14:textId="77777777" w:rsidR="00A77B3E" w:rsidRDefault="00A41BE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Wei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Genecin</w:t>
      </w:r>
      <w:proofErr w:type="spellEnd"/>
      <w:r>
        <w:rPr>
          <w:rFonts w:ascii="Book Antiqua" w:eastAsia="Book Antiqua" w:hAnsi="Book Antiqua" w:cs="Book Antiqua"/>
          <w:color w:val="000000"/>
        </w:rPr>
        <w:t xml:space="preserve"> A, Greene HL, </w:t>
      </w:r>
      <w:proofErr w:type="spellStart"/>
      <w:r>
        <w:rPr>
          <w:rFonts w:ascii="Book Antiqua" w:eastAsia="Book Antiqua" w:hAnsi="Book Antiqua" w:cs="Book Antiqua"/>
          <w:color w:val="000000"/>
        </w:rPr>
        <w:t>Achuff</w:t>
      </w:r>
      <w:proofErr w:type="spellEnd"/>
      <w:r>
        <w:rPr>
          <w:rFonts w:ascii="Book Antiqua" w:eastAsia="Book Antiqua" w:hAnsi="Book Antiqua" w:cs="Book Antiqua"/>
          <w:color w:val="000000"/>
        </w:rPr>
        <w:t xml:space="preserve"> SC. Coronary spasm with ventricular fibrillation during thyrotoxicosis: response to attaining euthyroid state.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1979; </w:t>
      </w:r>
      <w:r>
        <w:rPr>
          <w:rFonts w:ascii="Book Antiqua" w:eastAsia="Book Antiqua" w:hAnsi="Book Antiqua" w:cs="Book Antiqua"/>
          <w:b/>
          <w:bCs/>
          <w:color w:val="000000"/>
        </w:rPr>
        <w:t>43</w:t>
      </w:r>
      <w:r>
        <w:rPr>
          <w:rFonts w:ascii="Book Antiqua" w:eastAsia="Book Antiqua" w:hAnsi="Book Antiqua" w:cs="Book Antiqua"/>
          <w:color w:val="000000"/>
        </w:rPr>
        <w:t>: 335-339 [PMID: 104611 DOI: 10.1016/s0002-9149(79)80023-5]</w:t>
      </w:r>
    </w:p>
    <w:p w14:paraId="756BDA7E" w14:textId="77777777" w:rsidR="00A77B3E" w:rsidRDefault="00A41BE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Nannaka</w:t>
      </w:r>
      <w:proofErr w:type="spellEnd"/>
      <w:r>
        <w:rPr>
          <w:rFonts w:ascii="Book Antiqua" w:eastAsia="Book Antiqua" w:hAnsi="Book Antiqua" w:cs="Book Antiqua"/>
          <w:b/>
          <w:bCs/>
          <w:color w:val="000000"/>
        </w:rPr>
        <w:t xml:space="preserve"> VB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Lvovsky</w:t>
      </w:r>
      <w:proofErr w:type="spellEnd"/>
      <w:r>
        <w:rPr>
          <w:rFonts w:ascii="Book Antiqua" w:eastAsia="Book Antiqua" w:hAnsi="Book Antiqua" w:cs="Book Antiqua"/>
          <w:color w:val="000000"/>
        </w:rPr>
        <w:t xml:space="preserve"> D. A rare case of gestational thyrotoxicosis as a cause of acute myocardial infarction. </w:t>
      </w:r>
      <w:r>
        <w:rPr>
          <w:rFonts w:ascii="Book Antiqua" w:eastAsia="Book Antiqua" w:hAnsi="Book Antiqua" w:cs="Book Antiqua"/>
          <w:i/>
          <w:iCs/>
          <w:color w:val="000000"/>
        </w:rPr>
        <w:t xml:space="preserve">Endocrinol 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xml:space="preserve"> [PMID: 27933173 DOI: 10.1530/EDM-16-0063]</w:t>
      </w:r>
    </w:p>
    <w:p w14:paraId="45AA03F1" w14:textId="77777777" w:rsidR="00A77B3E" w:rsidRDefault="00A41BE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Singh I</w:t>
      </w:r>
      <w:r>
        <w:rPr>
          <w:rFonts w:ascii="Book Antiqua" w:eastAsia="Book Antiqua" w:hAnsi="Book Antiqua" w:cs="Book Antiqua"/>
          <w:color w:val="000000"/>
        </w:rPr>
        <w:t xml:space="preserve">, Hershman JM. Pathogenesis of Hyperthyroidism.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67-79 [PMID: 28134999 DOI: 10.1002/cphy.c160001]</w:t>
      </w:r>
    </w:p>
    <w:p w14:paraId="26660B3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CA296F" w14:textId="77777777" w:rsidR="00A77B3E" w:rsidRDefault="00A41BE2">
      <w:pPr>
        <w:spacing w:line="360" w:lineRule="auto"/>
        <w:jc w:val="both"/>
      </w:pPr>
      <w:r>
        <w:rPr>
          <w:rFonts w:ascii="Book Antiqua" w:eastAsia="Book Antiqua" w:hAnsi="Book Antiqua" w:cs="Book Antiqua"/>
          <w:b/>
          <w:color w:val="000000"/>
        </w:rPr>
        <w:lastRenderedPageBreak/>
        <w:t>Footnotes</w:t>
      </w:r>
    </w:p>
    <w:p w14:paraId="6DA44DFB" w14:textId="77777777" w:rsidR="00A77B3E" w:rsidRDefault="00A41BE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3507B09" w14:textId="77777777" w:rsidR="00A77B3E" w:rsidRDefault="00A77B3E">
      <w:pPr>
        <w:spacing w:line="360" w:lineRule="auto"/>
        <w:jc w:val="both"/>
      </w:pPr>
    </w:p>
    <w:p w14:paraId="518CF4FD" w14:textId="77777777" w:rsidR="00A77B3E" w:rsidRDefault="00A41BE2">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279F7D41" w14:textId="77777777" w:rsidR="00A77B3E" w:rsidRDefault="00A77B3E">
      <w:pPr>
        <w:spacing w:line="360" w:lineRule="auto"/>
        <w:jc w:val="both"/>
      </w:pPr>
    </w:p>
    <w:p w14:paraId="2C94FD4F" w14:textId="77777777" w:rsidR="00A77B3E" w:rsidRDefault="00A41BE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6AC6793E" w14:textId="77777777" w:rsidR="00A77B3E" w:rsidRDefault="00A77B3E">
      <w:pPr>
        <w:spacing w:line="360" w:lineRule="auto"/>
        <w:jc w:val="both"/>
      </w:pPr>
    </w:p>
    <w:p w14:paraId="5B262C8B" w14:textId="77777777" w:rsidR="00A77B3E" w:rsidRDefault="00A41BE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87B56C" w14:textId="77777777" w:rsidR="00A77B3E" w:rsidRDefault="00A77B3E">
      <w:pPr>
        <w:spacing w:line="360" w:lineRule="auto"/>
        <w:jc w:val="both"/>
      </w:pPr>
    </w:p>
    <w:p w14:paraId="0B47E3C7" w14:textId="77777777" w:rsidR="00A77B3E" w:rsidRDefault="00A41BE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90547">
        <w:rPr>
          <w:rFonts w:ascii="Book Antiqua" w:eastAsia="Book Antiqua" w:hAnsi="Book Antiqua" w:cs="Book Antiqua"/>
          <w:color w:val="000000"/>
        </w:rPr>
        <w:t>m</w:t>
      </w:r>
      <w:r>
        <w:rPr>
          <w:rFonts w:ascii="Book Antiqua" w:eastAsia="Book Antiqua" w:hAnsi="Book Antiqua" w:cs="Book Antiqua"/>
          <w:color w:val="000000"/>
        </w:rPr>
        <w:t>anuscript</w:t>
      </w:r>
    </w:p>
    <w:p w14:paraId="5FFA0037" w14:textId="77777777" w:rsidR="00A77B3E" w:rsidRDefault="00A77B3E">
      <w:pPr>
        <w:spacing w:line="360" w:lineRule="auto"/>
        <w:jc w:val="both"/>
      </w:pPr>
    </w:p>
    <w:p w14:paraId="14E71D4B" w14:textId="77777777" w:rsidR="00A77B3E" w:rsidRDefault="00A41BE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9, 2021</w:t>
      </w:r>
    </w:p>
    <w:p w14:paraId="015B7B86" w14:textId="77777777" w:rsidR="00A77B3E" w:rsidRDefault="00A41BE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5, 2021</w:t>
      </w:r>
    </w:p>
    <w:p w14:paraId="2D9E7CC7" w14:textId="77777777" w:rsidR="00A77B3E" w:rsidRDefault="00A41BE2">
      <w:pPr>
        <w:spacing w:line="360" w:lineRule="auto"/>
        <w:jc w:val="both"/>
      </w:pPr>
      <w:r>
        <w:rPr>
          <w:rFonts w:ascii="Book Antiqua" w:eastAsia="Book Antiqua" w:hAnsi="Book Antiqua" w:cs="Book Antiqua"/>
          <w:b/>
          <w:color w:val="000000"/>
        </w:rPr>
        <w:t xml:space="preserve">Article in press: </w:t>
      </w:r>
    </w:p>
    <w:p w14:paraId="3425A182" w14:textId="77777777" w:rsidR="00A77B3E" w:rsidRDefault="00A77B3E">
      <w:pPr>
        <w:spacing w:line="360" w:lineRule="auto"/>
        <w:jc w:val="both"/>
      </w:pPr>
    </w:p>
    <w:p w14:paraId="22B1B495" w14:textId="77777777" w:rsidR="00A77B3E" w:rsidRDefault="00A41BE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990547">
        <w:rPr>
          <w:rFonts w:ascii="Book Antiqua" w:eastAsia="Book Antiqua" w:hAnsi="Book Antiqua" w:cs="Book Antiqua"/>
          <w:color w:val="000000"/>
        </w:rPr>
        <w:t>cardiovascular sy</w:t>
      </w:r>
      <w:r>
        <w:rPr>
          <w:rFonts w:ascii="Book Antiqua" w:eastAsia="Book Antiqua" w:hAnsi="Book Antiqua" w:cs="Book Antiqua"/>
          <w:color w:val="000000"/>
        </w:rPr>
        <w:t>stems</w:t>
      </w:r>
    </w:p>
    <w:p w14:paraId="16698ABD" w14:textId="77777777" w:rsidR="00A77B3E" w:rsidRDefault="00A41BE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FC453E" w14:textId="77777777" w:rsidR="00A77B3E" w:rsidRDefault="00A41BE2">
      <w:pPr>
        <w:spacing w:line="360" w:lineRule="auto"/>
        <w:jc w:val="both"/>
      </w:pPr>
      <w:r>
        <w:rPr>
          <w:rFonts w:ascii="Book Antiqua" w:eastAsia="Book Antiqua" w:hAnsi="Book Antiqua" w:cs="Book Antiqua"/>
          <w:b/>
          <w:color w:val="000000"/>
        </w:rPr>
        <w:t>Peer-review report’s scientific quality classification</w:t>
      </w:r>
    </w:p>
    <w:p w14:paraId="0DF95626" w14:textId="77777777" w:rsidR="00A77B3E" w:rsidRDefault="00A41BE2">
      <w:pPr>
        <w:spacing w:line="360" w:lineRule="auto"/>
        <w:jc w:val="both"/>
      </w:pPr>
      <w:r>
        <w:rPr>
          <w:rFonts w:ascii="Book Antiqua" w:eastAsia="Book Antiqua" w:hAnsi="Book Antiqua" w:cs="Book Antiqua"/>
          <w:color w:val="000000"/>
        </w:rPr>
        <w:t>Grade A (Excellent): 0</w:t>
      </w:r>
    </w:p>
    <w:p w14:paraId="316A99EA" w14:textId="77777777" w:rsidR="00A77B3E" w:rsidRDefault="00A41BE2">
      <w:pPr>
        <w:spacing w:line="360" w:lineRule="auto"/>
        <w:jc w:val="both"/>
      </w:pPr>
      <w:r>
        <w:rPr>
          <w:rFonts w:ascii="Book Antiqua" w:eastAsia="Book Antiqua" w:hAnsi="Book Antiqua" w:cs="Book Antiqua"/>
          <w:color w:val="000000"/>
        </w:rPr>
        <w:t>Grade B (Very good): 0</w:t>
      </w:r>
    </w:p>
    <w:p w14:paraId="619F82FE" w14:textId="77777777" w:rsidR="00A77B3E" w:rsidRDefault="00A41BE2">
      <w:pPr>
        <w:spacing w:line="360" w:lineRule="auto"/>
        <w:jc w:val="both"/>
      </w:pPr>
      <w:r>
        <w:rPr>
          <w:rFonts w:ascii="Book Antiqua" w:eastAsia="Book Antiqua" w:hAnsi="Book Antiqua" w:cs="Book Antiqua"/>
          <w:color w:val="000000"/>
        </w:rPr>
        <w:t>Grade C (Good): C</w:t>
      </w:r>
    </w:p>
    <w:p w14:paraId="3F713413" w14:textId="77777777" w:rsidR="00A77B3E" w:rsidRDefault="00A41BE2">
      <w:pPr>
        <w:spacing w:line="360" w:lineRule="auto"/>
        <w:jc w:val="both"/>
      </w:pPr>
      <w:r>
        <w:rPr>
          <w:rFonts w:ascii="Book Antiqua" w:eastAsia="Book Antiqua" w:hAnsi="Book Antiqua" w:cs="Book Antiqua"/>
          <w:color w:val="000000"/>
        </w:rPr>
        <w:lastRenderedPageBreak/>
        <w:t>Grade D (Fair): 0</w:t>
      </w:r>
    </w:p>
    <w:p w14:paraId="74E782A8" w14:textId="77777777" w:rsidR="00A77B3E" w:rsidRDefault="00A41BE2">
      <w:pPr>
        <w:spacing w:line="360" w:lineRule="auto"/>
        <w:jc w:val="both"/>
      </w:pPr>
      <w:r>
        <w:rPr>
          <w:rFonts w:ascii="Book Antiqua" w:eastAsia="Book Antiqua" w:hAnsi="Book Antiqua" w:cs="Book Antiqua"/>
          <w:color w:val="000000"/>
        </w:rPr>
        <w:t>Grade E (Poor): 0</w:t>
      </w:r>
    </w:p>
    <w:p w14:paraId="708C6B5A" w14:textId="77777777" w:rsidR="00A77B3E" w:rsidRDefault="00A77B3E">
      <w:pPr>
        <w:spacing w:line="360" w:lineRule="auto"/>
        <w:jc w:val="both"/>
      </w:pPr>
    </w:p>
    <w:p w14:paraId="55FF5381" w14:textId="77777777" w:rsidR="00A77B3E" w:rsidRDefault="00A41BE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Rechciński</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14:paraId="3F3366C9" w14:textId="77777777" w:rsidR="00A77B3E" w:rsidRDefault="00A41BE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1FB0E94" w14:textId="77777777" w:rsidR="009E462D" w:rsidRDefault="009E462D">
      <w:pPr>
        <w:spacing w:line="360" w:lineRule="auto"/>
        <w:jc w:val="both"/>
        <w:rPr>
          <w:lang w:eastAsia="zh-CN"/>
        </w:rPr>
      </w:pPr>
      <w:r w:rsidRPr="009E462D">
        <w:rPr>
          <w:noProof/>
          <w:lang w:eastAsia="zh-CN"/>
        </w:rPr>
        <w:drawing>
          <wp:inline distT="0" distB="0" distL="0" distR="0" wp14:anchorId="4A85999B" wp14:editId="0262AAE0">
            <wp:extent cx="5486400" cy="2310130"/>
            <wp:effectExtent l="0" t="0" r="0" b="0"/>
            <wp:docPr id="2051"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内容占位符 3"/>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2310130"/>
                    </a:xfrm>
                    <a:prstGeom prst="rect">
                      <a:avLst/>
                    </a:prstGeom>
                    <a:noFill/>
                    <a:ln>
                      <a:noFill/>
                    </a:ln>
                  </pic:spPr>
                </pic:pic>
              </a:graphicData>
            </a:graphic>
          </wp:inline>
        </w:drawing>
      </w:r>
    </w:p>
    <w:p w14:paraId="076B0A47" w14:textId="77777777" w:rsidR="009E462D" w:rsidRDefault="009E462D">
      <w:pPr>
        <w:spacing w:line="360" w:lineRule="auto"/>
        <w:jc w:val="both"/>
        <w:rPr>
          <w:lang w:eastAsia="zh-CN"/>
        </w:rPr>
      </w:pPr>
      <w:r>
        <w:rPr>
          <w:rFonts w:hint="eastAsia"/>
          <w:lang w:eastAsia="zh-CN"/>
        </w:rPr>
        <w:t>A</w:t>
      </w:r>
    </w:p>
    <w:p w14:paraId="3075F659" w14:textId="77777777" w:rsidR="009E462D" w:rsidRDefault="009E462D">
      <w:pPr>
        <w:spacing w:line="360" w:lineRule="auto"/>
        <w:jc w:val="both"/>
        <w:rPr>
          <w:lang w:eastAsia="zh-CN"/>
        </w:rPr>
      </w:pPr>
      <w:r w:rsidRPr="009E462D">
        <w:rPr>
          <w:noProof/>
          <w:lang w:eastAsia="zh-CN"/>
        </w:rPr>
        <w:drawing>
          <wp:inline distT="0" distB="0" distL="0" distR="0" wp14:anchorId="1E420581" wp14:editId="65D9ED32">
            <wp:extent cx="5486400" cy="2276475"/>
            <wp:effectExtent l="0" t="0" r="0" b="9525"/>
            <wp:docPr id="3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76475"/>
                    </a:xfrm>
                    <a:prstGeom prst="rect">
                      <a:avLst/>
                    </a:prstGeom>
                    <a:noFill/>
                    <a:ln>
                      <a:noFill/>
                    </a:ln>
                  </pic:spPr>
                </pic:pic>
              </a:graphicData>
            </a:graphic>
          </wp:inline>
        </w:drawing>
      </w:r>
    </w:p>
    <w:p w14:paraId="387882C8" w14:textId="77777777" w:rsidR="009E462D" w:rsidRPr="009E462D" w:rsidRDefault="009E462D">
      <w:pPr>
        <w:spacing w:line="360" w:lineRule="auto"/>
        <w:jc w:val="both"/>
        <w:rPr>
          <w:lang w:eastAsia="zh-CN"/>
        </w:rPr>
      </w:pPr>
      <w:r>
        <w:rPr>
          <w:rFonts w:hint="eastAsia"/>
          <w:lang w:eastAsia="zh-CN"/>
        </w:rPr>
        <w:t>B</w:t>
      </w:r>
    </w:p>
    <w:p w14:paraId="023E1351" w14:textId="77777777" w:rsidR="00A77B3E" w:rsidRDefault="00A41BE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Electrocardiogram examination.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A: On admission; B: Day after admission.</w:t>
      </w:r>
      <w:r w:rsidR="009E462D">
        <w:rPr>
          <w:rFonts w:ascii="Book Antiqua" w:eastAsia="Book Antiqua" w:hAnsi="Book Antiqua" w:cs="Book Antiqua"/>
          <w:color w:val="000000"/>
        </w:rPr>
        <w:br w:type="page"/>
      </w:r>
      <w:r w:rsidR="009E462D" w:rsidRPr="009E462D">
        <w:rPr>
          <w:rFonts w:ascii="Book Antiqua" w:eastAsia="Book Antiqua" w:hAnsi="Book Antiqua" w:cs="Book Antiqua"/>
          <w:noProof/>
          <w:color w:val="000000"/>
          <w:lang w:eastAsia="zh-CN"/>
        </w:rPr>
        <w:lastRenderedPageBreak/>
        <w:drawing>
          <wp:inline distT="0" distB="0" distL="0" distR="0" wp14:anchorId="746D8502" wp14:editId="28948282">
            <wp:extent cx="3752912" cy="3067050"/>
            <wp:effectExtent l="0" t="0" r="0" b="0"/>
            <wp:docPr id="4098"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内容占位符 3"/>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3444" cy="3067484"/>
                    </a:xfrm>
                    <a:prstGeom prst="rect">
                      <a:avLst/>
                    </a:prstGeom>
                    <a:noFill/>
                    <a:ln>
                      <a:noFill/>
                    </a:ln>
                  </pic:spPr>
                </pic:pic>
              </a:graphicData>
            </a:graphic>
          </wp:inline>
        </w:drawing>
      </w:r>
    </w:p>
    <w:p w14:paraId="2277CA0B" w14:textId="77777777" w:rsidR="009E462D" w:rsidRDefault="009E462D">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A</w:t>
      </w:r>
    </w:p>
    <w:p w14:paraId="688EC3A4" w14:textId="77777777" w:rsidR="009E462D" w:rsidRPr="009E462D" w:rsidRDefault="009E462D">
      <w:pPr>
        <w:spacing w:line="360" w:lineRule="auto"/>
        <w:jc w:val="both"/>
        <w:rPr>
          <w:lang w:eastAsia="zh-CN"/>
        </w:rPr>
      </w:pPr>
      <w:r w:rsidRPr="009E462D">
        <w:rPr>
          <w:noProof/>
          <w:lang w:eastAsia="zh-CN"/>
        </w:rPr>
        <w:drawing>
          <wp:inline distT="0" distB="0" distL="0" distR="0" wp14:anchorId="645F748A" wp14:editId="3D06BEA1">
            <wp:extent cx="3791236" cy="3092450"/>
            <wp:effectExtent l="0" t="0" r="0" b="0"/>
            <wp:docPr id="512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内容占位符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2900" cy="3093808"/>
                    </a:xfrm>
                    <a:prstGeom prst="rect">
                      <a:avLst/>
                    </a:prstGeom>
                    <a:noFill/>
                    <a:ln>
                      <a:noFill/>
                    </a:ln>
                  </pic:spPr>
                </pic:pic>
              </a:graphicData>
            </a:graphic>
          </wp:inline>
        </w:drawing>
      </w:r>
    </w:p>
    <w:p w14:paraId="47F44B89" w14:textId="77777777" w:rsidR="009E462D" w:rsidRDefault="00A41BE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Presence of plaque in the middle of the anterior descending coronary artery. </w:t>
      </w:r>
      <w:r>
        <w:rPr>
          <w:rFonts w:ascii="Book Antiqua" w:eastAsia="Book Antiqua" w:hAnsi="Book Antiqua" w:cs="Book Antiqua"/>
          <w:color w:val="000000"/>
        </w:rPr>
        <w:t>A: Plaque burden was 50%; B:</w:t>
      </w:r>
      <w:r>
        <w:rPr>
          <w:rFonts w:ascii="Book Antiqua" w:eastAsia="Book Antiqua" w:hAnsi="Book Antiqua" w:cs="Book Antiqua"/>
          <w:color w:val="000000"/>
          <w:szCs w:val="21"/>
        </w:rPr>
        <w:t xml:space="preserve"> </w:t>
      </w:r>
      <w:r>
        <w:rPr>
          <w:rFonts w:ascii="Book Antiqua" w:eastAsia="Book Antiqua" w:hAnsi="Book Antiqua" w:cs="Book Antiqua"/>
          <w:color w:val="000000"/>
        </w:rPr>
        <w:t>Plaque thickness was 1 mm.</w:t>
      </w:r>
    </w:p>
    <w:p w14:paraId="0202A243" w14:textId="77777777" w:rsidR="00A77B3E" w:rsidRDefault="009E462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sidRPr="009E462D">
        <w:rPr>
          <w:rFonts w:ascii="Book Antiqua" w:eastAsia="Book Antiqua" w:hAnsi="Book Antiqua" w:cs="Book Antiqua"/>
          <w:noProof/>
          <w:color w:val="000000"/>
          <w:lang w:eastAsia="zh-CN"/>
        </w:rPr>
        <w:lastRenderedPageBreak/>
        <w:drawing>
          <wp:inline distT="0" distB="0" distL="0" distR="0" wp14:anchorId="46CC00ED" wp14:editId="1B4C6728">
            <wp:extent cx="3429000" cy="2796456"/>
            <wp:effectExtent l="0" t="0" r="0" b="0"/>
            <wp:docPr id="6146"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内容占位符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0252" cy="2797477"/>
                    </a:xfrm>
                    <a:prstGeom prst="rect">
                      <a:avLst/>
                    </a:prstGeom>
                    <a:noFill/>
                    <a:ln>
                      <a:noFill/>
                    </a:ln>
                  </pic:spPr>
                </pic:pic>
              </a:graphicData>
            </a:graphic>
          </wp:inline>
        </w:drawing>
      </w:r>
    </w:p>
    <w:p w14:paraId="3A178F80" w14:textId="77777777" w:rsidR="009E462D" w:rsidRDefault="009E462D">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A</w:t>
      </w:r>
    </w:p>
    <w:p w14:paraId="34E8ECF5" w14:textId="77777777" w:rsidR="009E462D" w:rsidRDefault="009E462D">
      <w:pPr>
        <w:spacing w:line="360" w:lineRule="auto"/>
        <w:jc w:val="both"/>
        <w:rPr>
          <w:lang w:eastAsia="zh-CN"/>
        </w:rPr>
      </w:pPr>
      <w:r w:rsidRPr="009E462D">
        <w:rPr>
          <w:noProof/>
          <w:lang w:eastAsia="zh-CN"/>
        </w:rPr>
        <w:drawing>
          <wp:inline distT="0" distB="0" distL="0" distR="0" wp14:anchorId="5D1E21F3" wp14:editId="68095EDC">
            <wp:extent cx="3576665" cy="3067050"/>
            <wp:effectExtent l="0" t="0" r="0" b="0"/>
            <wp:docPr id="7170"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内容占位符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725" cy="3072247"/>
                    </a:xfrm>
                    <a:prstGeom prst="rect">
                      <a:avLst/>
                    </a:prstGeom>
                    <a:noFill/>
                    <a:ln>
                      <a:noFill/>
                    </a:ln>
                  </pic:spPr>
                </pic:pic>
              </a:graphicData>
            </a:graphic>
          </wp:inline>
        </w:drawing>
      </w:r>
    </w:p>
    <w:p w14:paraId="66D73A1C" w14:textId="77777777" w:rsidR="009E462D" w:rsidRPr="009E462D" w:rsidRDefault="009E462D">
      <w:pPr>
        <w:spacing w:line="360" w:lineRule="auto"/>
        <w:jc w:val="both"/>
        <w:rPr>
          <w:lang w:eastAsia="zh-CN"/>
        </w:rPr>
      </w:pPr>
      <w:r>
        <w:rPr>
          <w:rFonts w:hint="eastAsia"/>
          <w:lang w:eastAsia="zh-CN"/>
        </w:rPr>
        <w:t>B</w:t>
      </w:r>
    </w:p>
    <w:p w14:paraId="69DD2C78" w14:textId="77777777" w:rsidR="00A77B3E" w:rsidRDefault="00A41BE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Plaque features before interventional treatment of the proximal anterior descending coronary artery. </w:t>
      </w:r>
      <w:r>
        <w:rPr>
          <w:rFonts w:ascii="Book Antiqua" w:eastAsia="Book Antiqua" w:hAnsi="Book Antiqua" w:cs="Book Antiqua"/>
          <w:color w:val="000000"/>
        </w:rPr>
        <w:t>A: Plaque burden was 82%, with minimum lumen cross-sectional area of 2.03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 Lumen diameter was 1.62 mm.</w:t>
      </w:r>
    </w:p>
    <w:p w14:paraId="64FFF1CD" w14:textId="77777777" w:rsidR="009E462D" w:rsidRDefault="009E462D">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Pr="009E462D">
        <w:rPr>
          <w:rFonts w:ascii="Book Antiqua" w:hAnsi="Book Antiqua" w:cs="Book Antiqua"/>
          <w:noProof/>
          <w:color w:val="000000"/>
          <w:lang w:eastAsia="zh-CN"/>
        </w:rPr>
        <w:lastRenderedPageBreak/>
        <w:drawing>
          <wp:inline distT="0" distB="0" distL="0" distR="0" wp14:anchorId="4A891A3A" wp14:editId="08C00A07">
            <wp:extent cx="3208512" cy="2616200"/>
            <wp:effectExtent l="0" t="0" r="0" b="0"/>
            <wp:docPr id="8194"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内容占位符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0791" cy="2618058"/>
                    </a:xfrm>
                    <a:prstGeom prst="rect">
                      <a:avLst/>
                    </a:prstGeom>
                    <a:noFill/>
                    <a:ln>
                      <a:noFill/>
                    </a:ln>
                  </pic:spPr>
                </pic:pic>
              </a:graphicData>
            </a:graphic>
          </wp:inline>
        </w:drawing>
      </w:r>
    </w:p>
    <w:p w14:paraId="49EC2921" w14:textId="77777777" w:rsidR="009E462D" w:rsidRDefault="009E462D">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A</w:t>
      </w:r>
    </w:p>
    <w:p w14:paraId="03F2A0CC" w14:textId="77777777" w:rsidR="009E462D" w:rsidRDefault="009E462D">
      <w:pPr>
        <w:spacing w:line="360" w:lineRule="auto"/>
        <w:jc w:val="both"/>
        <w:rPr>
          <w:lang w:eastAsia="zh-CN"/>
        </w:rPr>
      </w:pPr>
      <w:r w:rsidRPr="009E462D">
        <w:rPr>
          <w:noProof/>
          <w:lang w:eastAsia="zh-CN"/>
        </w:rPr>
        <w:drawing>
          <wp:inline distT="0" distB="0" distL="0" distR="0" wp14:anchorId="4A4D51AF" wp14:editId="134387AF">
            <wp:extent cx="3301829" cy="2813050"/>
            <wp:effectExtent l="0" t="0" r="0" b="0"/>
            <wp:docPr id="9218"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内容占位符 3"/>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591" cy="2814551"/>
                    </a:xfrm>
                    <a:prstGeom prst="rect">
                      <a:avLst/>
                    </a:prstGeom>
                    <a:noFill/>
                    <a:ln>
                      <a:noFill/>
                    </a:ln>
                  </pic:spPr>
                </pic:pic>
              </a:graphicData>
            </a:graphic>
          </wp:inline>
        </w:drawing>
      </w:r>
    </w:p>
    <w:p w14:paraId="0E0F625E" w14:textId="77777777" w:rsidR="009E462D" w:rsidRPr="009E462D" w:rsidRDefault="009E462D">
      <w:pPr>
        <w:spacing w:line="360" w:lineRule="auto"/>
        <w:jc w:val="both"/>
        <w:rPr>
          <w:lang w:eastAsia="zh-CN"/>
        </w:rPr>
      </w:pPr>
      <w:r>
        <w:rPr>
          <w:rFonts w:hint="eastAsia"/>
          <w:lang w:eastAsia="zh-CN"/>
        </w:rPr>
        <w:t>B</w:t>
      </w:r>
    </w:p>
    <w:p w14:paraId="7F3D62B9" w14:textId="77777777" w:rsidR="00A77B3E" w:rsidRDefault="00A41BE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4 Plaque features after interventional treatment of the proximal anterior descending coronary artery. </w:t>
      </w:r>
      <w:r>
        <w:rPr>
          <w:rFonts w:ascii="Book Antiqua" w:eastAsia="Book Antiqua" w:hAnsi="Book Antiqua" w:cs="Book Antiqua"/>
          <w:color w:val="000000"/>
        </w:rPr>
        <w:t>A: Lumen cross-sectional area (CSA) was 5.58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 Maximum lumen CSA was 6.15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b/>
          <w:bCs/>
          <w:color w:val="000000"/>
        </w:rPr>
        <w:t xml:space="preserve"> </w:t>
      </w:r>
    </w:p>
    <w:p w14:paraId="71014459" w14:textId="77777777" w:rsidR="009E462D" w:rsidRDefault="009E462D">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noProof/>
          <w:lang w:eastAsia="zh-CN"/>
        </w:rPr>
        <w:lastRenderedPageBreak/>
        <w:drawing>
          <wp:inline distT="0" distB="0" distL="0" distR="0" wp14:anchorId="20B907A3" wp14:editId="7566C17E">
            <wp:extent cx="3524431" cy="347997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4431" cy="3479979"/>
                    </a:xfrm>
                    <a:prstGeom prst="rect">
                      <a:avLst/>
                    </a:prstGeom>
                  </pic:spPr>
                </pic:pic>
              </a:graphicData>
            </a:graphic>
          </wp:inline>
        </w:drawing>
      </w:r>
    </w:p>
    <w:p w14:paraId="58A7EEF6" w14:textId="77777777" w:rsidR="009E462D" w:rsidRDefault="009E462D">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A</w:t>
      </w:r>
    </w:p>
    <w:p w14:paraId="3D872B1C" w14:textId="77777777" w:rsidR="009E462D" w:rsidRDefault="009E462D">
      <w:pPr>
        <w:spacing w:line="360" w:lineRule="auto"/>
        <w:jc w:val="both"/>
        <w:rPr>
          <w:lang w:eastAsia="zh-CN"/>
        </w:rPr>
      </w:pPr>
      <w:r>
        <w:rPr>
          <w:noProof/>
          <w:lang w:eastAsia="zh-CN"/>
        </w:rPr>
        <w:drawing>
          <wp:inline distT="0" distB="0" distL="0" distR="0" wp14:anchorId="0219F158" wp14:editId="384C661B">
            <wp:extent cx="3340272" cy="3403775"/>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40272" cy="3403775"/>
                    </a:xfrm>
                    <a:prstGeom prst="rect">
                      <a:avLst/>
                    </a:prstGeom>
                  </pic:spPr>
                </pic:pic>
              </a:graphicData>
            </a:graphic>
          </wp:inline>
        </w:drawing>
      </w:r>
    </w:p>
    <w:p w14:paraId="058D9F8D" w14:textId="77777777" w:rsidR="009E462D" w:rsidRPr="009E462D" w:rsidRDefault="009E462D">
      <w:pPr>
        <w:spacing w:line="360" w:lineRule="auto"/>
        <w:jc w:val="both"/>
        <w:rPr>
          <w:lang w:eastAsia="zh-CN"/>
        </w:rPr>
      </w:pPr>
      <w:r>
        <w:rPr>
          <w:rFonts w:hint="eastAsia"/>
          <w:lang w:eastAsia="zh-CN"/>
        </w:rPr>
        <w:t>B</w:t>
      </w:r>
    </w:p>
    <w:p w14:paraId="252E978D" w14:textId="77777777" w:rsidR="00A77B3E" w:rsidRDefault="00A41BE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5 Coronary angiography of the proximal anterior descending coronary artery. </w:t>
      </w:r>
      <w:r>
        <w:rPr>
          <w:rFonts w:ascii="Book Antiqua" w:eastAsia="Book Antiqua" w:hAnsi="Book Antiqua" w:cs="Book Antiqua"/>
          <w:color w:val="000000"/>
        </w:rPr>
        <w:t>A: Before interventional treatment, stenosis was 95%; B: After interventional treatment, the stenosis obviously relieved. Blue arrows indicate the narrowest position.</w:t>
      </w:r>
    </w:p>
    <w:p w14:paraId="0778BFF6" w14:textId="77777777" w:rsidR="009E462D" w:rsidRDefault="009E462D" w:rsidP="009E462D">
      <w:pPr>
        <w:adjustRightInd w:val="0"/>
        <w:snapToGrid w:val="0"/>
        <w:spacing w:line="360" w:lineRule="auto"/>
        <w:jc w:val="both"/>
        <w:rPr>
          <w:rFonts w:ascii="Book Antiqua" w:eastAsia="Cambria" w:hAnsi="Book Antiqua" w:cs="Cambria"/>
          <w:b/>
          <w:color w:val="000000" w:themeColor="text1"/>
        </w:rPr>
      </w:pPr>
      <w:r>
        <w:rPr>
          <w:rFonts w:ascii="Book Antiqua" w:hAnsi="Book Antiqua" w:cs="Book Antiqua"/>
          <w:color w:val="000000"/>
          <w:lang w:eastAsia="zh-CN"/>
        </w:rPr>
        <w:br w:type="page"/>
      </w:r>
      <w:r>
        <w:rPr>
          <w:rFonts w:ascii="Book Antiqua" w:eastAsia="Cambria" w:hAnsi="Book Antiqua" w:cs="Cambria"/>
          <w:b/>
          <w:color w:val="000000" w:themeColor="text1"/>
        </w:rPr>
        <w:lastRenderedPageBreak/>
        <w:t>Table 1 Thyroid function test results from time of admission</w:t>
      </w:r>
    </w:p>
    <w:tbl>
      <w:tblPr>
        <w:tblStyle w:val="a5"/>
        <w:tblW w:w="7104" w:type="dxa"/>
        <w:tblBorders>
          <w:left w:val="none" w:sz="0" w:space="0" w:color="auto"/>
          <w:right w:val="none" w:sz="0" w:space="0" w:color="auto"/>
          <w:insideV w:val="none" w:sz="0" w:space="0" w:color="auto"/>
        </w:tblBorders>
        <w:tblLook w:val="04A0" w:firstRow="1" w:lastRow="0" w:firstColumn="1" w:lastColumn="0" w:noHBand="0" w:noVBand="1"/>
      </w:tblPr>
      <w:tblGrid>
        <w:gridCol w:w="1891"/>
        <w:gridCol w:w="1543"/>
        <w:gridCol w:w="1868"/>
        <w:gridCol w:w="1802"/>
      </w:tblGrid>
      <w:tr w:rsidR="009E462D" w14:paraId="2676C86B" w14:textId="77777777" w:rsidTr="004E3E12">
        <w:trPr>
          <w:trHeight w:val="453"/>
        </w:trPr>
        <w:tc>
          <w:tcPr>
            <w:tcW w:w="1891" w:type="dxa"/>
            <w:tcBorders>
              <w:top w:val="single" w:sz="4" w:space="0" w:color="auto"/>
              <w:left w:val="nil"/>
              <w:bottom w:val="single" w:sz="4" w:space="0" w:color="auto"/>
              <w:right w:val="nil"/>
            </w:tcBorders>
            <w:hideMark/>
          </w:tcPr>
          <w:p w14:paraId="3E68FBA3"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Item</w:t>
            </w:r>
          </w:p>
        </w:tc>
        <w:tc>
          <w:tcPr>
            <w:tcW w:w="1543" w:type="dxa"/>
            <w:tcBorders>
              <w:top w:val="single" w:sz="4" w:space="0" w:color="auto"/>
              <w:left w:val="nil"/>
              <w:bottom w:val="single" w:sz="4" w:space="0" w:color="auto"/>
              <w:right w:val="nil"/>
            </w:tcBorders>
            <w:hideMark/>
          </w:tcPr>
          <w:p w14:paraId="5C8A69B0"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Result</w:t>
            </w:r>
          </w:p>
        </w:tc>
        <w:tc>
          <w:tcPr>
            <w:tcW w:w="1868" w:type="dxa"/>
            <w:tcBorders>
              <w:top w:val="single" w:sz="4" w:space="0" w:color="auto"/>
              <w:left w:val="nil"/>
              <w:bottom w:val="single" w:sz="4" w:space="0" w:color="auto"/>
              <w:right w:val="nil"/>
            </w:tcBorders>
            <w:hideMark/>
          </w:tcPr>
          <w:p w14:paraId="45057E19"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Reference range</w:t>
            </w:r>
          </w:p>
        </w:tc>
        <w:tc>
          <w:tcPr>
            <w:tcW w:w="1802" w:type="dxa"/>
            <w:tcBorders>
              <w:top w:val="single" w:sz="4" w:space="0" w:color="auto"/>
              <w:left w:val="nil"/>
              <w:bottom w:val="single" w:sz="4" w:space="0" w:color="auto"/>
              <w:right w:val="nil"/>
            </w:tcBorders>
            <w:hideMark/>
          </w:tcPr>
          <w:p w14:paraId="7EC353E7"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Unit</w:t>
            </w:r>
          </w:p>
        </w:tc>
      </w:tr>
      <w:tr w:rsidR="009E462D" w14:paraId="04598DF6" w14:textId="77777777" w:rsidTr="004E3E12">
        <w:trPr>
          <w:trHeight w:val="453"/>
        </w:trPr>
        <w:tc>
          <w:tcPr>
            <w:tcW w:w="1891" w:type="dxa"/>
            <w:tcBorders>
              <w:top w:val="single" w:sz="4" w:space="0" w:color="auto"/>
              <w:left w:val="nil"/>
              <w:bottom w:val="nil"/>
              <w:right w:val="nil"/>
            </w:tcBorders>
            <w:hideMark/>
          </w:tcPr>
          <w:p w14:paraId="35F3825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FT3</w:t>
            </w:r>
          </w:p>
        </w:tc>
        <w:tc>
          <w:tcPr>
            <w:tcW w:w="1543" w:type="dxa"/>
            <w:tcBorders>
              <w:top w:val="single" w:sz="4" w:space="0" w:color="auto"/>
              <w:left w:val="nil"/>
              <w:bottom w:val="nil"/>
              <w:right w:val="nil"/>
            </w:tcBorders>
            <w:hideMark/>
          </w:tcPr>
          <w:p w14:paraId="59DB484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&gt; 30.00</w:t>
            </w:r>
          </w:p>
        </w:tc>
        <w:tc>
          <w:tcPr>
            <w:tcW w:w="1868" w:type="dxa"/>
            <w:tcBorders>
              <w:top w:val="single" w:sz="4" w:space="0" w:color="auto"/>
              <w:left w:val="nil"/>
              <w:bottom w:val="nil"/>
              <w:right w:val="nil"/>
            </w:tcBorders>
            <w:hideMark/>
          </w:tcPr>
          <w:p w14:paraId="4C708004"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1.71-3.71</w:t>
            </w:r>
          </w:p>
        </w:tc>
        <w:tc>
          <w:tcPr>
            <w:tcW w:w="1802" w:type="dxa"/>
            <w:tcBorders>
              <w:top w:val="single" w:sz="4" w:space="0" w:color="auto"/>
              <w:left w:val="nil"/>
              <w:bottom w:val="nil"/>
              <w:right w:val="nil"/>
            </w:tcBorders>
            <w:hideMark/>
          </w:tcPr>
          <w:p w14:paraId="12EC0A7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proofErr w:type="spellStart"/>
            <w:r>
              <w:rPr>
                <w:rFonts w:ascii="Book Antiqua" w:eastAsia="Cambria" w:hAnsi="Book Antiqua" w:cs="Cambria"/>
                <w:bCs/>
                <w:color w:val="000000" w:themeColor="text1"/>
              </w:rPr>
              <w:t>pg</w:t>
            </w:r>
            <w:proofErr w:type="spellEnd"/>
            <w:r>
              <w:rPr>
                <w:rFonts w:ascii="Book Antiqua" w:eastAsia="Cambria" w:hAnsi="Book Antiqua" w:cs="Cambria"/>
                <w:bCs/>
                <w:color w:val="000000" w:themeColor="text1"/>
              </w:rPr>
              <w:t>/mL</w:t>
            </w:r>
          </w:p>
        </w:tc>
      </w:tr>
      <w:tr w:rsidR="009E462D" w14:paraId="62D41430" w14:textId="77777777" w:rsidTr="004E3E12">
        <w:trPr>
          <w:trHeight w:val="482"/>
        </w:trPr>
        <w:tc>
          <w:tcPr>
            <w:tcW w:w="1891" w:type="dxa"/>
            <w:tcBorders>
              <w:top w:val="nil"/>
              <w:left w:val="nil"/>
              <w:bottom w:val="nil"/>
              <w:right w:val="nil"/>
            </w:tcBorders>
            <w:hideMark/>
          </w:tcPr>
          <w:p w14:paraId="7AA7C1F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FT4</w:t>
            </w:r>
          </w:p>
        </w:tc>
        <w:tc>
          <w:tcPr>
            <w:tcW w:w="1543" w:type="dxa"/>
            <w:tcBorders>
              <w:top w:val="nil"/>
              <w:left w:val="nil"/>
              <w:bottom w:val="nil"/>
              <w:right w:val="nil"/>
            </w:tcBorders>
            <w:hideMark/>
          </w:tcPr>
          <w:p w14:paraId="10C962B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3.59</w:t>
            </w:r>
          </w:p>
        </w:tc>
        <w:tc>
          <w:tcPr>
            <w:tcW w:w="1868" w:type="dxa"/>
            <w:tcBorders>
              <w:top w:val="nil"/>
              <w:left w:val="nil"/>
              <w:bottom w:val="nil"/>
              <w:right w:val="nil"/>
            </w:tcBorders>
            <w:hideMark/>
          </w:tcPr>
          <w:p w14:paraId="18DD1107"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0.7-1.48</w:t>
            </w:r>
          </w:p>
        </w:tc>
        <w:tc>
          <w:tcPr>
            <w:tcW w:w="1802" w:type="dxa"/>
            <w:tcBorders>
              <w:top w:val="nil"/>
              <w:left w:val="nil"/>
              <w:bottom w:val="nil"/>
              <w:right w:val="nil"/>
            </w:tcBorders>
            <w:hideMark/>
          </w:tcPr>
          <w:p w14:paraId="73E2E765"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ng/dL</w:t>
            </w:r>
          </w:p>
        </w:tc>
      </w:tr>
      <w:tr w:rsidR="009E462D" w14:paraId="5142B44D" w14:textId="77777777" w:rsidTr="004E3E12">
        <w:trPr>
          <w:trHeight w:val="467"/>
        </w:trPr>
        <w:tc>
          <w:tcPr>
            <w:tcW w:w="1891" w:type="dxa"/>
            <w:tcBorders>
              <w:top w:val="nil"/>
              <w:left w:val="nil"/>
              <w:bottom w:val="nil"/>
              <w:right w:val="nil"/>
            </w:tcBorders>
            <w:hideMark/>
          </w:tcPr>
          <w:p w14:paraId="7D17511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TSH-3GEN</w:t>
            </w:r>
          </w:p>
        </w:tc>
        <w:tc>
          <w:tcPr>
            <w:tcW w:w="1543" w:type="dxa"/>
            <w:tcBorders>
              <w:top w:val="nil"/>
              <w:left w:val="nil"/>
              <w:bottom w:val="nil"/>
              <w:right w:val="nil"/>
            </w:tcBorders>
            <w:hideMark/>
          </w:tcPr>
          <w:p w14:paraId="028E255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0.0017</w:t>
            </w:r>
          </w:p>
        </w:tc>
        <w:tc>
          <w:tcPr>
            <w:tcW w:w="1868" w:type="dxa"/>
            <w:tcBorders>
              <w:top w:val="nil"/>
              <w:left w:val="nil"/>
              <w:bottom w:val="nil"/>
              <w:right w:val="nil"/>
            </w:tcBorders>
            <w:hideMark/>
          </w:tcPr>
          <w:p w14:paraId="223C242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0.4700-4.6400</w:t>
            </w:r>
          </w:p>
        </w:tc>
        <w:tc>
          <w:tcPr>
            <w:tcW w:w="1802" w:type="dxa"/>
            <w:tcBorders>
              <w:top w:val="nil"/>
              <w:left w:val="nil"/>
              <w:bottom w:val="nil"/>
              <w:right w:val="nil"/>
            </w:tcBorders>
            <w:hideMark/>
          </w:tcPr>
          <w:p w14:paraId="78438498"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IU/mL</w:t>
            </w:r>
          </w:p>
        </w:tc>
      </w:tr>
      <w:tr w:rsidR="009E462D" w14:paraId="0B3ED3C0" w14:textId="77777777" w:rsidTr="004E3E12">
        <w:trPr>
          <w:trHeight w:val="467"/>
        </w:trPr>
        <w:tc>
          <w:tcPr>
            <w:tcW w:w="1891" w:type="dxa"/>
            <w:tcBorders>
              <w:top w:val="nil"/>
              <w:left w:val="nil"/>
              <w:bottom w:val="nil"/>
              <w:right w:val="nil"/>
            </w:tcBorders>
            <w:hideMark/>
          </w:tcPr>
          <w:p w14:paraId="070BDC3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A-TPO</w:t>
            </w:r>
          </w:p>
        </w:tc>
        <w:tc>
          <w:tcPr>
            <w:tcW w:w="1543" w:type="dxa"/>
            <w:tcBorders>
              <w:top w:val="nil"/>
              <w:left w:val="nil"/>
              <w:bottom w:val="nil"/>
              <w:right w:val="nil"/>
            </w:tcBorders>
            <w:hideMark/>
          </w:tcPr>
          <w:p w14:paraId="6D0B250E"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2.40</w:t>
            </w:r>
          </w:p>
        </w:tc>
        <w:tc>
          <w:tcPr>
            <w:tcW w:w="1868" w:type="dxa"/>
            <w:tcBorders>
              <w:top w:val="nil"/>
              <w:left w:val="nil"/>
              <w:bottom w:val="nil"/>
              <w:right w:val="nil"/>
            </w:tcBorders>
            <w:hideMark/>
          </w:tcPr>
          <w:p w14:paraId="5F99817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0-5.61</w:t>
            </w:r>
          </w:p>
        </w:tc>
        <w:tc>
          <w:tcPr>
            <w:tcW w:w="1802" w:type="dxa"/>
            <w:tcBorders>
              <w:top w:val="nil"/>
              <w:left w:val="nil"/>
              <w:bottom w:val="nil"/>
              <w:right w:val="nil"/>
            </w:tcBorders>
            <w:hideMark/>
          </w:tcPr>
          <w:p w14:paraId="1F07D9E4"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IU/mL</w:t>
            </w:r>
          </w:p>
        </w:tc>
      </w:tr>
      <w:tr w:rsidR="009E462D" w14:paraId="741066B4" w14:textId="77777777" w:rsidTr="004E3E12">
        <w:trPr>
          <w:trHeight w:val="467"/>
        </w:trPr>
        <w:tc>
          <w:tcPr>
            <w:tcW w:w="1891" w:type="dxa"/>
            <w:tcBorders>
              <w:top w:val="nil"/>
              <w:left w:val="nil"/>
              <w:bottom w:val="nil"/>
              <w:right w:val="nil"/>
            </w:tcBorders>
            <w:hideMark/>
          </w:tcPr>
          <w:p w14:paraId="044E310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A-TG</w:t>
            </w:r>
          </w:p>
        </w:tc>
        <w:tc>
          <w:tcPr>
            <w:tcW w:w="1543" w:type="dxa"/>
            <w:tcBorders>
              <w:top w:val="nil"/>
              <w:left w:val="nil"/>
              <w:bottom w:val="nil"/>
              <w:right w:val="nil"/>
            </w:tcBorders>
            <w:hideMark/>
          </w:tcPr>
          <w:p w14:paraId="46BB05C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0.84</w:t>
            </w:r>
          </w:p>
        </w:tc>
        <w:tc>
          <w:tcPr>
            <w:tcW w:w="1868" w:type="dxa"/>
            <w:tcBorders>
              <w:top w:val="nil"/>
              <w:left w:val="nil"/>
              <w:bottom w:val="nil"/>
              <w:right w:val="nil"/>
            </w:tcBorders>
            <w:hideMark/>
          </w:tcPr>
          <w:p w14:paraId="0FD953E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0-4.11</w:t>
            </w:r>
          </w:p>
        </w:tc>
        <w:tc>
          <w:tcPr>
            <w:tcW w:w="1802" w:type="dxa"/>
            <w:tcBorders>
              <w:top w:val="nil"/>
              <w:left w:val="nil"/>
              <w:bottom w:val="nil"/>
              <w:right w:val="nil"/>
            </w:tcBorders>
            <w:hideMark/>
          </w:tcPr>
          <w:p w14:paraId="1F755A28"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IU/mL</w:t>
            </w:r>
          </w:p>
        </w:tc>
      </w:tr>
      <w:tr w:rsidR="009E462D" w14:paraId="0A500BE6" w14:textId="77777777" w:rsidTr="004E3E12">
        <w:trPr>
          <w:trHeight w:val="467"/>
        </w:trPr>
        <w:tc>
          <w:tcPr>
            <w:tcW w:w="1891" w:type="dxa"/>
            <w:tcBorders>
              <w:top w:val="nil"/>
              <w:left w:val="nil"/>
              <w:bottom w:val="single" w:sz="4" w:space="0" w:color="auto"/>
              <w:right w:val="nil"/>
            </w:tcBorders>
            <w:hideMark/>
          </w:tcPr>
          <w:p w14:paraId="3440EDBE"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proofErr w:type="spellStart"/>
            <w:r>
              <w:rPr>
                <w:rFonts w:ascii="Book Antiqua" w:eastAsia="Cambria" w:hAnsi="Book Antiqua" w:cs="Cambria"/>
                <w:bCs/>
                <w:color w:val="000000" w:themeColor="text1"/>
              </w:rPr>
              <w:t>TRAb</w:t>
            </w:r>
            <w:proofErr w:type="spellEnd"/>
          </w:p>
        </w:tc>
        <w:tc>
          <w:tcPr>
            <w:tcW w:w="1543" w:type="dxa"/>
            <w:tcBorders>
              <w:top w:val="nil"/>
              <w:left w:val="nil"/>
              <w:bottom w:val="single" w:sz="4" w:space="0" w:color="auto"/>
              <w:right w:val="nil"/>
            </w:tcBorders>
            <w:hideMark/>
          </w:tcPr>
          <w:p w14:paraId="39ED70A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12.56</w:t>
            </w:r>
          </w:p>
        </w:tc>
        <w:tc>
          <w:tcPr>
            <w:tcW w:w="1868" w:type="dxa"/>
            <w:tcBorders>
              <w:top w:val="nil"/>
              <w:left w:val="nil"/>
              <w:bottom w:val="single" w:sz="4" w:space="0" w:color="auto"/>
              <w:right w:val="nil"/>
            </w:tcBorders>
            <w:hideMark/>
          </w:tcPr>
          <w:p w14:paraId="6507C6AE"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&lt; 1.75</w:t>
            </w:r>
          </w:p>
        </w:tc>
        <w:tc>
          <w:tcPr>
            <w:tcW w:w="1802" w:type="dxa"/>
            <w:tcBorders>
              <w:top w:val="nil"/>
              <w:left w:val="nil"/>
              <w:bottom w:val="single" w:sz="4" w:space="0" w:color="auto"/>
              <w:right w:val="nil"/>
            </w:tcBorders>
            <w:hideMark/>
          </w:tcPr>
          <w:p w14:paraId="765DDF65"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IU/L</w:t>
            </w:r>
          </w:p>
        </w:tc>
      </w:tr>
    </w:tbl>
    <w:p w14:paraId="3BE520BD" w14:textId="77777777" w:rsidR="009E462D" w:rsidRDefault="009E462D" w:rsidP="009E462D">
      <w:pPr>
        <w:pStyle w:val="a6"/>
        <w:adjustRightInd w:val="0"/>
        <w:snapToGrid w:val="0"/>
        <w:spacing w:line="360" w:lineRule="auto"/>
        <w:ind w:firstLineChars="0" w:firstLine="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A-TPO: Thyroid peroxidase; A-TG: Thyroglobulin; FT3: Free triiodothyronine; FT4: Free thyroxine; </w:t>
      </w:r>
      <w:proofErr w:type="spellStart"/>
      <w:r>
        <w:rPr>
          <w:rFonts w:ascii="Book Antiqua" w:hAnsi="Book Antiqua" w:cs="Times New Roman"/>
          <w:color w:val="000000" w:themeColor="text1"/>
          <w:sz w:val="24"/>
          <w:szCs w:val="24"/>
        </w:rPr>
        <w:t>TRAb</w:t>
      </w:r>
      <w:proofErr w:type="spellEnd"/>
      <w:r>
        <w:rPr>
          <w:rFonts w:ascii="Book Antiqua" w:hAnsi="Book Antiqua" w:cs="Times New Roman"/>
          <w:color w:val="000000" w:themeColor="text1"/>
          <w:sz w:val="24"/>
          <w:szCs w:val="24"/>
        </w:rPr>
        <w:t>: Thyroid-stimulating hormone receptor antibody; TSH-3GEN: Third-generation thyroid-stimulating hormone.</w:t>
      </w:r>
    </w:p>
    <w:p w14:paraId="6025D69D"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6A72AB7"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761E749C"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096C857A"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3495617"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4F786FBF"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5A63BF7D"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3FB5F4BA"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427A6700"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6CCE4643"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406A5B52"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4B3E30AE"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BDE5F86"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0D036921"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56E4DB79"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4C48B8C"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232A447D" w14:textId="77777777" w:rsidR="009E462D" w:rsidRDefault="009E462D" w:rsidP="009E462D">
      <w:pPr>
        <w:adjustRightInd w:val="0"/>
        <w:snapToGrid w:val="0"/>
        <w:spacing w:line="360" w:lineRule="auto"/>
        <w:jc w:val="both"/>
        <w:rPr>
          <w:rFonts w:ascii="Book Antiqua" w:hAnsi="Book Antiqua" w:cs="Cambria"/>
          <w:b/>
          <w:color w:val="000000" w:themeColor="text1"/>
        </w:rPr>
      </w:pPr>
    </w:p>
    <w:p w14:paraId="5A6A1CEF" w14:textId="77777777" w:rsidR="009E462D" w:rsidRDefault="009E462D" w:rsidP="009E462D">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lastRenderedPageBreak/>
        <w:t xml:space="preserve">Table 2 Thyroid function test results from 1 </w:t>
      </w:r>
      <w:proofErr w:type="spellStart"/>
      <w:r>
        <w:rPr>
          <w:rFonts w:ascii="Book Antiqua" w:eastAsia="Cambria" w:hAnsi="Book Antiqua" w:cs="Cambria"/>
          <w:b/>
          <w:color w:val="000000" w:themeColor="text1"/>
        </w:rPr>
        <w:t>wk</w:t>
      </w:r>
      <w:proofErr w:type="spellEnd"/>
      <w:r>
        <w:rPr>
          <w:rFonts w:ascii="Book Antiqua" w:eastAsia="Cambria" w:hAnsi="Book Antiqua" w:cs="Cambria"/>
          <w:b/>
          <w:color w:val="000000" w:themeColor="text1"/>
        </w:rPr>
        <w:t xml:space="preserve"> after anti-hyperthyroidism treatment</w:t>
      </w:r>
    </w:p>
    <w:tbl>
      <w:tblPr>
        <w:tblStyle w:val="a5"/>
        <w:tblW w:w="7104" w:type="dxa"/>
        <w:tblBorders>
          <w:left w:val="none" w:sz="0" w:space="0" w:color="auto"/>
          <w:right w:val="none" w:sz="0" w:space="0" w:color="auto"/>
          <w:insideV w:val="none" w:sz="0" w:space="0" w:color="auto"/>
        </w:tblBorders>
        <w:tblLook w:val="04A0" w:firstRow="1" w:lastRow="0" w:firstColumn="1" w:lastColumn="0" w:noHBand="0" w:noVBand="1"/>
      </w:tblPr>
      <w:tblGrid>
        <w:gridCol w:w="1891"/>
        <w:gridCol w:w="1543"/>
        <w:gridCol w:w="1868"/>
        <w:gridCol w:w="1802"/>
      </w:tblGrid>
      <w:tr w:rsidR="009E462D" w14:paraId="36DEF6C8" w14:textId="77777777" w:rsidTr="004E3E12">
        <w:trPr>
          <w:trHeight w:val="453"/>
        </w:trPr>
        <w:tc>
          <w:tcPr>
            <w:tcW w:w="1891" w:type="dxa"/>
            <w:tcBorders>
              <w:top w:val="single" w:sz="4" w:space="0" w:color="auto"/>
              <w:left w:val="nil"/>
              <w:bottom w:val="single" w:sz="4" w:space="0" w:color="auto"/>
              <w:right w:val="nil"/>
            </w:tcBorders>
            <w:hideMark/>
          </w:tcPr>
          <w:p w14:paraId="33E4E0EE"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Item</w:t>
            </w:r>
          </w:p>
        </w:tc>
        <w:tc>
          <w:tcPr>
            <w:tcW w:w="1543" w:type="dxa"/>
            <w:tcBorders>
              <w:top w:val="single" w:sz="4" w:space="0" w:color="auto"/>
              <w:left w:val="nil"/>
              <w:bottom w:val="single" w:sz="4" w:space="0" w:color="auto"/>
              <w:right w:val="nil"/>
            </w:tcBorders>
            <w:hideMark/>
          </w:tcPr>
          <w:p w14:paraId="6E95D7B6"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Result</w:t>
            </w:r>
          </w:p>
        </w:tc>
        <w:tc>
          <w:tcPr>
            <w:tcW w:w="1868" w:type="dxa"/>
            <w:tcBorders>
              <w:top w:val="single" w:sz="4" w:space="0" w:color="auto"/>
              <w:left w:val="nil"/>
              <w:bottom w:val="single" w:sz="4" w:space="0" w:color="auto"/>
              <w:right w:val="nil"/>
            </w:tcBorders>
            <w:hideMark/>
          </w:tcPr>
          <w:p w14:paraId="05814560"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Reference range</w:t>
            </w:r>
          </w:p>
        </w:tc>
        <w:tc>
          <w:tcPr>
            <w:tcW w:w="1802" w:type="dxa"/>
            <w:tcBorders>
              <w:top w:val="single" w:sz="4" w:space="0" w:color="auto"/>
              <w:left w:val="nil"/>
              <w:bottom w:val="single" w:sz="4" w:space="0" w:color="auto"/>
              <w:right w:val="nil"/>
            </w:tcBorders>
            <w:hideMark/>
          </w:tcPr>
          <w:p w14:paraId="4B4F28D9"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Unit</w:t>
            </w:r>
          </w:p>
        </w:tc>
      </w:tr>
      <w:tr w:rsidR="009E462D" w14:paraId="1DE80321" w14:textId="77777777" w:rsidTr="004E3E12">
        <w:trPr>
          <w:trHeight w:val="453"/>
        </w:trPr>
        <w:tc>
          <w:tcPr>
            <w:tcW w:w="1891" w:type="dxa"/>
            <w:tcBorders>
              <w:top w:val="single" w:sz="4" w:space="0" w:color="auto"/>
              <w:left w:val="nil"/>
              <w:bottom w:val="nil"/>
              <w:right w:val="nil"/>
            </w:tcBorders>
            <w:hideMark/>
          </w:tcPr>
          <w:p w14:paraId="22AE2A5A"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FT3</w:t>
            </w:r>
          </w:p>
        </w:tc>
        <w:tc>
          <w:tcPr>
            <w:tcW w:w="1543" w:type="dxa"/>
            <w:tcBorders>
              <w:top w:val="single" w:sz="4" w:space="0" w:color="auto"/>
              <w:left w:val="nil"/>
              <w:bottom w:val="nil"/>
              <w:right w:val="nil"/>
            </w:tcBorders>
            <w:hideMark/>
          </w:tcPr>
          <w:p w14:paraId="0E9B946B" w14:textId="77777777" w:rsidR="009E462D" w:rsidRDefault="009E462D" w:rsidP="004E3E12">
            <w:pPr>
              <w:adjustRightInd w:val="0"/>
              <w:snapToGrid w:val="0"/>
              <w:spacing w:line="360" w:lineRule="auto"/>
              <w:jc w:val="both"/>
              <w:rPr>
                <w:rFonts w:ascii="Book Antiqua" w:eastAsiaTheme="minorEastAsia" w:hAnsi="Book Antiqua" w:cs="Cambria"/>
                <w:bCs/>
                <w:color w:val="000000" w:themeColor="text1"/>
              </w:rPr>
            </w:pPr>
            <w:r>
              <w:rPr>
                <w:rFonts w:ascii="Book Antiqua" w:eastAsiaTheme="minorEastAsia" w:hAnsi="Book Antiqua" w:cs="Cambria"/>
                <w:bCs/>
                <w:color w:val="000000" w:themeColor="text1"/>
              </w:rPr>
              <w:t>11.85</w:t>
            </w:r>
          </w:p>
        </w:tc>
        <w:tc>
          <w:tcPr>
            <w:tcW w:w="1868" w:type="dxa"/>
            <w:tcBorders>
              <w:top w:val="single" w:sz="4" w:space="0" w:color="auto"/>
              <w:left w:val="nil"/>
              <w:bottom w:val="nil"/>
              <w:right w:val="nil"/>
            </w:tcBorders>
            <w:hideMark/>
          </w:tcPr>
          <w:p w14:paraId="0199788F"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1.71-3.71</w:t>
            </w:r>
          </w:p>
        </w:tc>
        <w:tc>
          <w:tcPr>
            <w:tcW w:w="1802" w:type="dxa"/>
            <w:tcBorders>
              <w:top w:val="single" w:sz="4" w:space="0" w:color="auto"/>
              <w:left w:val="nil"/>
              <w:bottom w:val="nil"/>
              <w:right w:val="nil"/>
            </w:tcBorders>
            <w:hideMark/>
          </w:tcPr>
          <w:p w14:paraId="77B2B57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proofErr w:type="spellStart"/>
            <w:r>
              <w:rPr>
                <w:rFonts w:ascii="Book Antiqua" w:eastAsia="Cambria" w:hAnsi="Book Antiqua" w:cs="Cambria"/>
                <w:bCs/>
                <w:color w:val="000000" w:themeColor="text1"/>
              </w:rPr>
              <w:t>pg</w:t>
            </w:r>
            <w:proofErr w:type="spellEnd"/>
            <w:r>
              <w:rPr>
                <w:rFonts w:ascii="Book Antiqua" w:eastAsia="Cambria" w:hAnsi="Book Antiqua" w:cs="Cambria"/>
                <w:bCs/>
                <w:color w:val="000000" w:themeColor="text1"/>
              </w:rPr>
              <w:t>/mL</w:t>
            </w:r>
          </w:p>
        </w:tc>
      </w:tr>
      <w:tr w:rsidR="009E462D" w14:paraId="4CA751E6" w14:textId="77777777" w:rsidTr="004E3E12">
        <w:trPr>
          <w:trHeight w:val="482"/>
        </w:trPr>
        <w:tc>
          <w:tcPr>
            <w:tcW w:w="1891" w:type="dxa"/>
            <w:tcBorders>
              <w:top w:val="nil"/>
              <w:left w:val="nil"/>
              <w:bottom w:val="nil"/>
              <w:right w:val="nil"/>
            </w:tcBorders>
            <w:hideMark/>
          </w:tcPr>
          <w:p w14:paraId="68CCBBD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FT4</w:t>
            </w:r>
          </w:p>
        </w:tc>
        <w:tc>
          <w:tcPr>
            <w:tcW w:w="1543" w:type="dxa"/>
            <w:tcBorders>
              <w:top w:val="nil"/>
              <w:left w:val="nil"/>
              <w:bottom w:val="nil"/>
              <w:right w:val="nil"/>
            </w:tcBorders>
            <w:hideMark/>
          </w:tcPr>
          <w:p w14:paraId="114FF3F1" w14:textId="77777777" w:rsidR="009E462D" w:rsidRDefault="009E462D" w:rsidP="004E3E12">
            <w:pPr>
              <w:adjustRightInd w:val="0"/>
              <w:snapToGrid w:val="0"/>
              <w:spacing w:line="360" w:lineRule="auto"/>
              <w:jc w:val="both"/>
              <w:rPr>
                <w:rFonts w:ascii="Book Antiqua" w:eastAsiaTheme="minorEastAsia" w:hAnsi="Book Antiqua" w:cs="Cambria"/>
                <w:bCs/>
                <w:color w:val="000000" w:themeColor="text1"/>
              </w:rPr>
            </w:pPr>
            <w:r>
              <w:rPr>
                <w:rFonts w:ascii="Book Antiqua" w:eastAsiaTheme="minorEastAsia" w:hAnsi="Book Antiqua" w:cs="Cambria"/>
                <w:bCs/>
                <w:color w:val="000000" w:themeColor="text1"/>
              </w:rPr>
              <w:t>2.85</w:t>
            </w:r>
          </w:p>
        </w:tc>
        <w:tc>
          <w:tcPr>
            <w:tcW w:w="1868" w:type="dxa"/>
            <w:tcBorders>
              <w:top w:val="nil"/>
              <w:left w:val="nil"/>
              <w:bottom w:val="nil"/>
              <w:right w:val="nil"/>
            </w:tcBorders>
            <w:hideMark/>
          </w:tcPr>
          <w:p w14:paraId="434E122F"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0.70-1.48</w:t>
            </w:r>
          </w:p>
        </w:tc>
        <w:tc>
          <w:tcPr>
            <w:tcW w:w="1802" w:type="dxa"/>
            <w:tcBorders>
              <w:top w:val="nil"/>
              <w:left w:val="nil"/>
              <w:bottom w:val="nil"/>
              <w:right w:val="nil"/>
            </w:tcBorders>
            <w:hideMark/>
          </w:tcPr>
          <w:p w14:paraId="251C604E"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ng/dL</w:t>
            </w:r>
          </w:p>
        </w:tc>
      </w:tr>
      <w:tr w:rsidR="009E462D" w14:paraId="3C7B9EFB" w14:textId="77777777" w:rsidTr="004E3E12">
        <w:trPr>
          <w:trHeight w:val="467"/>
        </w:trPr>
        <w:tc>
          <w:tcPr>
            <w:tcW w:w="1891" w:type="dxa"/>
            <w:tcBorders>
              <w:top w:val="nil"/>
              <w:left w:val="nil"/>
              <w:bottom w:val="single" w:sz="4" w:space="0" w:color="auto"/>
              <w:right w:val="nil"/>
            </w:tcBorders>
            <w:hideMark/>
          </w:tcPr>
          <w:p w14:paraId="49FDBBEC"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TSH-3GEN</w:t>
            </w:r>
          </w:p>
        </w:tc>
        <w:tc>
          <w:tcPr>
            <w:tcW w:w="1543" w:type="dxa"/>
            <w:tcBorders>
              <w:top w:val="nil"/>
              <w:left w:val="nil"/>
              <w:bottom w:val="single" w:sz="4" w:space="0" w:color="auto"/>
              <w:right w:val="nil"/>
            </w:tcBorders>
            <w:hideMark/>
          </w:tcPr>
          <w:p w14:paraId="261F1EA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0.0016</w:t>
            </w:r>
          </w:p>
        </w:tc>
        <w:tc>
          <w:tcPr>
            <w:tcW w:w="1868" w:type="dxa"/>
            <w:tcBorders>
              <w:top w:val="nil"/>
              <w:left w:val="nil"/>
              <w:bottom w:val="single" w:sz="4" w:space="0" w:color="auto"/>
              <w:right w:val="nil"/>
            </w:tcBorders>
            <w:hideMark/>
          </w:tcPr>
          <w:p w14:paraId="12E6F4C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0.4700-4.6400</w:t>
            </w:r>
          </w:p>
        </w:tc>
        <w:tc>
          <w:tcPr>
            <w:tcW w:w="1802" w:type="dxa"/>
            <w:tcBorders>
              <w:top w:val="nil"/>
              <w:left w:val="nil"/>
              <w:bottom w:val="single" w:sz="4" w:space="0" w:color="auto"/>
              <w:right w:val="nil"/>
            </w:tcBorders>
            <w:hideMark/>
          </w:tcPr>
          <w:p w14:paraId="414984E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IU/mL</w:t>
            </w:r>
          </w:p>
        </w:tc>
      </w:tr>
    </w:tbl>
    <w:p w14:paraId="77295A4B" w14:textId="77777777" w:rsidR="00AD06EF" w:rsidRDefault="009E462D" w:rsidP="009E462D">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FT3: Free triiodothyronine; FT4: Thyroxine; TSH-3GEN: Third-generation thyroid-stimulating hormone.</w:t>
      </w:r>
    </w:p>
    <w:p w14:paraId="6D8EC498" w14:textId="5B58C278" w:rsidR="009E462D" w:rsidRDefault="009E462D" w:rsidP="009E462D">
      <w:pPr>
        <w:adjustRightInd w:val="0"/>
        <w:snapToGrid w:val="0"/>
        <w:spacing w:line="360" w:lineRule="auto"/>
        <w:jc w:val="both"/>
        <w:rPr>
          <w:rFonts w:ascii="Book Antiqua" w:hAnsi="Book Antiqua"/>
          <w:color w:val="000000" w:themeColor="text1"/>
        </w:rPr>
      </w:pPr>
      <w:r>
        <w:rPr>
          <w:rFonts w:ascii="Book Antiqua" w:eastAsia="Cambria" w:hAnsi="Book Antiqua" w:cs="Cambria"/>
          <w:b/>
          <w:color w:val="000000" w:themeColor="text1"/>
        </w:rPr>
        <w:br w:type="page"/>
      </w:r>
    </w:p>
    <w:p w14:paraId="1918EB04" w14:textId="77777777" w:rsidR="009E462D" w:rsidRDefault="009E462D" w:rsidP="009E462D">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Table 3 Blood lipid test results</w:t>
      </w:r>
    </w:p>
    <w:tbl>
      <w:tblPr>
        <w:tblStyle w:val="a5"/>
        <w:tblW w:w="69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25"/>
        <w:gridCol w:w="1628"/>
        <w:gridCol w:w="2056"/>
        <w:gridCol w:w="1651"/>
      </w:tblGrid>
      <w:tr w:rsidR="009E462D" w14:paraId="2E999F43" w14:textId="77777777" w:rsidTr="004E3E12">
        <w:trPr>
          <w:trHeight w:val="529"/>
        </w:trPr>
        <w:tc>
          <w:tcPr>
            <w:tcW w:w="1624" w:type="dxa"/>
            <w:tcBorders>
              <w:top w:val="single" w:sz="4" w:space="0" w:color="auto"/>
              <w:left w:val="nil"/>
              <w:bottom w:val="single" w:sz="4" w:space="0" w:color="auto"/>
              <w:right w:val="nil"/>
            </w:tcBorders>
            <w:hideMark/>
          </w:tcPr>
          <w:p w14:paraId="6BFCAC3A"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Item</w:t>
            </w:r>
          </w:p>
        </w:tc>
        <w:tc>
          <w:tcPr>
            <w:tcW w:w="1627" w:type="dxa"/>
            <w:tcBorders>
              <w:top w:val="single" w:sz="4" w:space="0" w:color="auto"/>
              <w:left w:val="nil"/>
              <w:bottom w:val="single" w:sz="4" w:space="0" w:color="auto"/>
              <w:right w:val="nil"/>
            </w:tcBorders>
            <w:hideMark/>
          </w:tcPr>
          <w:p w14:paraId="57681A9D"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Result</w:t>
            </w:r>
          </w:p>
        </w:tc>
        <w:tc>
          <w:tcPr>
            <w:tcW w:w="2055" w:type="dxa"/>
            <w:tcBorders>
              <w:top w:val="single" w:sz="4" w:space="0" w:color="auto"/>
              <w:left w:val="nil"/>
              <w:bottom w:val="single" w:sz="4" w:space="0" w:color="auto"/>
              <w:right w:val="nil"/>
            </w:tcBorders>
            <w:hideMark/>
          </w:tcPr>
          <w:p w14:paraId="4FD1E874"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Reference range</w:t>
            </w:r>
          </w:p>
        </w:tc>
        <w:tc>
          <w:tcPr>
            <w:tcW w:w="1650" w:type="dxa"/>
            <w:tcBorders>
              <w:top w:val="single" w:sz="4" w:space="0" w:color="auto"/>
              <w:left w:val="nil"/>
              <w:bottom w:val="single" w:sz="4" w:space="0" w:color="auto"/>
              <w:right w:val="nil"/>
            </w:tcBorders>
            <w:hideMark/>
          </w:tcPr>
          <w:p w14:paraId="42CF87CD"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Unit</w:t>
            </w:r>
          </w:p>
        </w:tc>
      </w:tr>
      <w:tr w:rsidR="009E462D" w14:paraId="67E1E360" w14:textId="77777777" w:rsidTr="004E3E12">
        <w:trPr>
          <w:trHeight w:val="529"/>
        </w:trPr>
        <w:tc>
          <w:tcPr>
            <w:tcW w:w="1624" w:type="dxa"/>
            <w:tcBorders>
              <w:top w:val="single" w:sz="4" w:space="0" w:color="auto"/>
              <w:left w:val="nil"/>
              <w:bottom w:val="nil"/>
              <w:right w:val="nil"/>
            </w:tcBorders>
            <w:hideMark/>
          </w:tcPr>
          <w:p w14:paraId="567F945F"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CHOL</w:t>
            </w:r>
          </w:p>
        </w:tc>
        <w:tc>
          <w:tcPr>
            <w:tcW w:w="1627" w:type="dxa"/>
            <w:tcBorders>
              <w:top w:val="single" w:sz="4" w:space="0" w:color="auto"/>
              <w:left w:val="nil"/>
              <w:bottom w:val="nil"/>
              <w:right w:val="nil"/>
            </w:tcBorders>
            <w:hideMark/>
          </w:tcPr>
          <w:p w14:paraId="776BE1D7"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3.56</w:t>
            </w:r>
          </w:p>
        </w:tc>
        <w:tc>
          <w:tcPr>
            <w:tcW w:w="2055" w:type="dxa"/>
            <w:tcBorders>
              <w:top w:val="single" w:sz="4" w:space="0" w:color="auto"/>
              <w:left w:val="nil"/>
              <w:bottom w:val="nil"/>
              <w:right w:val="nil"/>
            </w:tcBorders>
            <w:hideMark/>
          </w:tcPr>
          <w:p w14:paraId="00C3F370"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2.80-5.17</w:t>
            </w:r>
          </w:p>
        </w:tc>
        <w:tc>
          <w:tcPr>
            <w:tcW w:w="1650" w:type="dxa"/>
            <w:tcBorders>
              <w:top w:val="single" w:sz="4" w:space="0" w:color="auto"/>
              <w:left w:val="nil"/>
              <w:bottom w:val="nil"/>
              <w:right w:val="nil"/>
            </w:tcBorders>
            <w:hideMark/>
          </w:tcPr>
          <w:p w14:paraId="785ECCC0"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mmol/L</w:t>
            </w:r>
          </w:p>
        </w:tc>
      </w:tr>
      <w:tr w:rsidR="009E462D" w14:paraId="4F99D9F1" w14:textId="77777777" w:rsidTr="004E3E12">
        <w:trPr>
          <w:trHeight w:val="563"/>
        </w:trPr>
        <w:tc>
          <w:tcPr>
            <w:tcW w:w="1624" w:type="dxa"/>
            <w:tcBorders>
              <w:top w:val="nil"/>
              <w:left w:val="nil"/>
              <w:bottom w:val="nil"/>
              <w:right w:val="nil"/>
            </w:tcBorders>
            <w:hideMark/>
          </w:tcPr>
          <w:p w14:paraId="5FDCC865"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TG</w:t>
            </w:r>
          </w:p>
        </w:tc>
        <w:tc>
          <w:tcPr>
            <w:tcW w:w="1627" w:type="dxa"/>
            <w:tcBorders>
              <w:top w:val="nil"/>
              <w:left w:val="nil"/>
              <w:bottom w:val="nil"/>
              <w:right w:val="nil"/>
            </w:tcBorders>
            <w:hideMark/>
          </w:tcPr>
          <w:p w14:paraId="3400A17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1.16</w:t>
            </w:r>
          </w:p>
        </w:tc>
        <w:tc>
          <w:tcPr>
            <w:tcW w:w="2055" w:type="dxa"/>
            <w:tcBorders>
              <w:top w:val="nil"/>
              <w:left w:val="nil"/>
              <w:bottom w:val="nil"/>
              <w:right w:val="nil"/>
            </w:tcBorders>
            <w:hideMark/>
          </w:tcPr>
          <w:p w14:paraId="173EEC6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0.56-1.70</w:t>
            </w:r>
          </w:p>
        </w:tc>
        <w:tc>
          <w:tcPr>
            <w:tcW w:w="1650" w:type="dxa"/>
            <w:tcBorders>
              <w:top w:val="nil"/>
              <w:left w:val="nil"/>
              <w:bottom w:val="nil"/>
              <w:right w:val="nil"/>
            </w:tcBorders>
            <w:hideMark/>
          </w:tcPr>
          <w:p w14:paraId="63FF2E2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mmol/L</w:t>
            </w:r>
          </w:p>
        </w:tc>
      </w:tr>
      <w:tr w:rsidR="009E462D" w14:paraId="71AC303E" w14:textId="77777777" w:rsidTr="004E3E12">
        <w:trPr>
          <w:trHeight w:val="546"/>
        </w:trPr>
        <w:tc>
          <w:tcPr>
            <w:tcW w:w="1624" w:type="dxa"/>
            <w:tcBorders>
              <w:top w:val="nil"/>
              <w:left w:val="nil"/>
              <w:bottom w:val="nil"/>
              <w:right w:val="nil"/>
            </w:tcBorders>
            <w:hideMark/>
          </w:tcPr>
          <w:p w14:paraId="5C4ADB9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HDL</w:t>
            </w:r>
          </w:p>
        </w:tc>
        <w:tc>
          <w:tcPr>
            <w:tcW w:w="1627" w:type="dxa"/>
            <w:tcBorders>
              <w:top w:val="nil"/>
              <w:left w:val="nil"/>
              <w:bottom w:val="nil"/>
              <w:right w:val="nil"/>
            </w:tcBorders>
            <w:hideMark/>
          </w:tcPr>
          <w:p w14:paraId="3ED76FBF"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0.81</w:t>
            </w:r>
          </w:p>
        </w:tc>
        <w:tc>
          <w:tcPr>
            <w:tcW w:w="2055" w:type="dxa"/>
            <w:tcBorders>
              <w:top w:val="nil"/>
              <w:left w:val="nil"/>
              <w:bottom w:val="nil"/>
              <w:right w:val="nil"/>
            </w:tcBorders>
            <w:hideMark/>
          </w:tcPr>
          <w:p w14:paraId="69E6D331"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0.96-1.15</w:t>
            </w:r>
          </w:p>
        </w:tc>
        <w:tc>
          <w:tcPr>
            <w:tcW w:w="1650" w:type="dxa"/>
            <w:tcBorders>
              <w:top w:val="nil"/>
              <w:left w:val="nil"/>
              <w:bottom w:val="nil"/>
              <w:right w:val="nil"/>
            </w:tcBorders>
            <w:hideMark/>
          </w:tcPr>
          <w:p w14:paraId="5740F2B7"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mmol/L</w:t>
            </w:r>
          </w:p>
        </w:tc>
      </w:tr>
      <w:tr w:rsidR="009E462D" w14:paraId="602C3FFA" w14:textId="77777777" w:rsidTr="004E3E12">
        <w:trPr>
          <w:trHeight w:val="546"/>
        </w:trPr>
        <w:tc>
          <w:tcPr>
            <w:tcW w:w="1624" w:type="dxa"/>
            <w:tcBorders>
              <w:top w:val="nil"/>
              <w:left w:val="nil"/>
              <w:bottom w:val="single" w:sz="4" w:space="0" w:color="auto"/>
              <w:right w:val="nil"/>
            </w:tcBorders>
            <w:hideMark/>
          </w:tcPr>
          <w:p w14:paraId="75C3AB9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LDL</w:t>
            </w:r>
          </w:p>
        </w:tc>
        <w:tc>
          <w:tcPr>
            <w:tcW w:w="1627" w:type="dxa"/>
            <w:tcBorders>
              <w:top w:val="nil"/>
              <w:left w:val="nil"/>
              <w:bottom w:val="single" w:sz="4" w:space="0" w:color="auto"/>
              <w:right w:val="nil"/>
            </w:tcBorders>
            <w:hideMark/>
          </w:tcPr>
          <w:p w14:paraId="6E9A9D70"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2.63</w:t>
            </w:r>
          </w:p>
        </w:tc>
        <w:tc>
          <w:tcPr>
            <w:tcW w:w="2055" w:type="dxa"/>
            <w:tcBorders>
              <w:top w:val="nil"/>
              <w:left w:val="nil"/>
              <w:bottom w:val="single" w:sz="4" w:space="0" w:color="auto"/>
              <w:right w:val="nil"/>
            </w:tcBorders>
            <w:hideMark/>
          </w:tcPr>
          <w:p w14:paraId="3C96CCF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0-3.10</w:t>
            </w:r>
          </w:p>
        </w:tc>
        <w:tc>
          <w:tcPr>
            <w:tcW w:w="1650" w:type="dxa"/>
            <w:tcBorders>
              <w:top w:val="nil"/>
              <w:left w:val="nil"/>
              <w:bottom w:val="single" w:sz="4" w:space="0" w:color="auto"/>
              <w:right w:val="nil"/>
            </w:tcBorders>
            <w:hideMark/>
          </w:tcPr>
          <w:p w14:paraId="0041321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mmol/L</w:t>
            </w:r>
          </w:p>
        </w:tc>
      </w:tr>
    </w:tbl>
    <w:p w14:paraId="1C9F3191" w14:textId="77777777" w:rsidR="009E462D" w:rsidRDefault="009E462D" w:rsidP="009E462D">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CHOL: Cholesterol; HDL: High-density lipoprotein; LDL: Low-density lipoprotein; TG: Triglycerides.</w:t>
      </w:r>
    </w:p>
    <w:p w14:paraId="223D3E13" w14:textId="77777777" w:rsidR="009E462D" w:rsidRDefault="009E462D" w:rsidP="009E462D">
      <w:pPr>
        <w:snapToGrid w:val="0"/>
        <w:spacing w:line="360" w:lineRule="auto"/>
        <w:jc w:val="both"/>
      </w:pPr>
    </w:p>
    <w:p w14:paraId="228333CC" w14:textId="77777777" w:rsidR="009E462D" w:rsidRDefault="009E462D" w:rsidP="009E462D">
      <w:pPr>
        <w:snapToGrid w:val="0"/>
        <w:spacing w:line="360" w:lineRule="auto"/>
        <w:jc w:val="both"/>
      </w:pPr>
    </w:p>
    <w:p w14:paraId="1E66EB3C" w14:textId="77777777" w:rsidR="009E462D" w:rsidRDefault="009E462D" w:rsidP="009E462D">
      <w:pPr>
        <w:snapToGrid w:val="0"/>
        <w:spacing w:line="360" w:lineRule="auto"/>
        <w:jc w:val="both"/>
      </w:pPr>
    </w:p>
    <w:p w14:paraId="6D5B1344" w14:textId="77777777" w:rsidR="009E462D" w:rsidRDefault="009E462D" w:rsidP="009E462D">
      <w:pPr>
        <w:jc w:val="both"/>
        <w:rPr>
          <w:rFonts w:ascii="Book Antiqua" w:eastAsia="Cambria" w:hAnsi="Book Antiqua" w:cs="Cambria"/>
          <w:b/>
          <w:color w:val="000000" w:themeColor="text1"/>
        </w:rPr>
      </w:pPr>
      <w:r>
        <w:rPr>
          <w:rFonts w:ascii="Book Antiqua" w:eastAsia="Cambria" w:hAnsi="Book Antiqua" w:cs="Cambria"/>
          <w:b/>
          <w:color w:val="000000" w:themeColor="text1"/>
        </w:rPr>
        <w:br w:type="page"/>
      </w:r>
    </w:p>
    <w:p w14:paraId="59FF19ED" w14:textId="77777777" w:rsidR="009E462D" w:rsidRDefault="009E462D" w:rsidP="009E462D">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Table 4</w:t>
      </w:r>
      <w:r>
        <w:rPr>
          <w:rFonts w:ascii="Book Antiqua" w:hAnsi="Book Antiqua" w:cs="Cambria" w:hint="eastAsia"/>
          <w:b/>
          <w:color w:val="000000" w:themeColor="text1"/>
        </w:rPr>
        <w:t xml:space="preserve"> </w:t>
      </w:r>
      <w:r>
        <w:rPr>
          <w:rFonts w:ascii="Book Antiqua" w:eastAsia="Cambria" w:hAnsi="Book Antiqua" w:cs="Cambria"/>
          <w:b/>
          <w:color w:val="000000" w:themeColor="text1"/>
        </w:rPr>
        <w:t>Coagulation</w:t>
      </w:r>
      <w:r>
        <w:rPr>
          <w:rFonts w:ascii="Book Antiqua" w:hAnsi="Book Antiqua" w:cs="Cambria" w:hint="eastAsia"/>
          <w:b/>
          <w:color w:val="000000" w:themeColor="text1"/>
        </w:rPr>
        <w:t xml:space="preserve"> </w:t>
      </w:r>
      <w:r>
        <w:rPr>
          <w:rFonts w:ascii="Book Antiqua" w:eastAsia="Cambria" w:hAnsi="Book Antiqua" w:cs="Cambria"/>
          <w:b/>
          <w:color w:val="000000" w:themeColor="text1"/>
        </w:rPr>
        <w:t>test results</w:t>
      </w:r>
    </w:p>
    <w:tbl>
      <w:tblPr>
        <w:tblStyle w:val="a5"/>
        <w:tblW w:w="7104" w:type="dxa"/>
        <w:tblBorders>
          <w:left w:val="none" w:sz="0" w:space="0" w:color="auto"/>
          <w:right w:val="none" w:sz="0" w:space="0" w:color="auto"/>
          <w:insideV w:val="none" w:sz="0" w:space="0" w:color="auto"/>
        </w:tblBorders>
        <w:tblLook w:val="04A0" w:firstRow="1" w:lastRow="0" w:firstColumn="1" w:lastColumn="0" w:noHBand="0" w:noVBand="1"/>
      </w:tblPr>
      <w:tblGrid>
        <w:gridCol w:w="1891"/>
        <w:gridCol w:w="1543"/>
        <w:gridCol w:w="1868"/>
        <w:gridCol w:w="1802"/>
      </w:tblGrid>
      <w:tr w:rsidR="009E462D" w14:paraId="5BCE33FF" w14:textId="77777777" w:rsidTr="004E3E12">
        <w:trPr>
          <w:trHeight w:val="453"/>
        </w:trPr>
        <w:tc>
          <w:tcPr>
            <w:tcW w:w="1891" w:type="dxa"/>
            <w:tcBorders>
              <w:top w:val="single" w:sz="4" w:space="0" w:color="auto"/>
              <w:left w:val="nil"/>
              <w:bottom w:val="single" w:sz="4" w:space="0" w:color="auto"/>
              <w:right w:val="nil"/>
            </w:tcBorders>
            <w:hideMark/>
          </w:tcPr>
          <w:p w14:paraId="2A928D9D"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Item</w:t>
            </w:r>
          </w:p>
        </w:tc>
        <w:tc>
          <w:tcPr>
            <w:tcW w:w="1543" w:type="dxa"/>
            <w:tcBorders>
              <w:top w:val="single" w:sz="4" w:space="0" w:color="auto"/>
              <w:left w:val="nil"/>
              <w:bottom w:val="single" w:sz="4" w:space="0" w:color="auto"/>
              <w:right w:val="nil"/>
            </w:tcBorders>
            <w:hideMark/>
          </w:tcPr>
          <w:p w14:paraId="534F84D2"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Result</w:t>
            </w:r>
          </w:p>
        </w:tc>
        <w:tc>
          <w:tcPr>
            <w:tcW w:w="1868" w:type="dxa"/>
            <w:tcBorders>
              <w:top w:val="single" w:sz="4" w:space="0" w:color="auto"/>
              <w:left w:val="nil"/>
              <w:bottom w:val="single" w:sz="4" w:space="0" w:color="auto"/>
              <w:right w:val="nil"/>
            </w:tcBorders>
            <w:hideMark/>
          </w:tcPr>
          <w:p w14:paraId="2CA73C64"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Reference range</w:t>
            </w:r>
          </w:p>
        </w:tc>
        <w:tc>
          <w:tcPr>
            <w:tcW w:w="1802" w:type="dxa"/>
            <w:tcBorders>
              <w:top w:val="single" w:sz="4" w:space="0" w:color="auto"/>
              <w:left w:val="nil"/>
              <w:bottom w:val="single" w:sz="4" w:space="0" w:color="auto"/>
              <w:right w:val="nil"/>
            </w:tcBorders>
            <w:hideMark/>
          </w:tcPr>
          <w:p w14:paraId="26C48279" w14:textId="77777777" w:rsidR="009E462D" w:rsidRDefault="009E462D" w:rsidP="004E3E12">
            <w:pPr>
              <w:adjustRightInd w:val="0"/>
              <w:snapToGrid w:val="0"/>
              <w:spacing w:line="360" w:lineRule="auto"/>
              <w:jc w:val="both"/>
              <w:rPr>
                <w:rFonts w:ascii="Book Antiqua" w:eastAsia="Cambria" w:hAnsi="Book Antiqua" w:cs="Cambria"/>
                <w:b/>
                <w:color w:val="000000" w:themeColor="text1"/>
              </w:rPr>
            </w:pPr>
            <w:r>
              <w:rPr>
                <w:rFonts w:ascii="Book Antiqua" w:eastAsia="Cambria" w:hAnsi="Book Antiqua" w:cs="Cambria"/>
                <w:b/>
                <w:color w:val="000000" w:themeColor="text1"/>
              </w:rPr>
              <w:t>Unit</w:t>
            </w:r>
          </w:p>
        </w:tc>
      </w:tr>
      <w:tr w:rsidR="009E462D" w14:paraId="5DD74D1C" w14:textId="77777777" w:rsidTr="004E3E12">
        <w:trPr>
          <w:trHeight w:val="453"/>
        </w:trPr>
        <w:tc>
          <w:tcPr>
            <w:tcW w:w="1891" w:type="dxa"/>
            <w:tcBorders>
              <w:top w:val="single" w:sz="4" w:space="0" w:color="auto"/>
              <w:left w:val="nil"/>
              <w:bottom w:val="nil"/>
              <w:right w:val="nil"/>
            </w:tcBorders>
            <w:hideMark/>
          </w:tcPr>
          <w:p w14:paraId="10ADA7E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PT-sec</w:t>
            </w:r>
          </w:p>
        </w:tc>
        <w:tc>
          <w:tcPr>
            <w:tcW w:w="1543" w:type="dxa"/>
            <w:tcBorders>
              <w:top w:val="single" w:sz="4" w:space="0" w:color="auto"/>
              <w:left w:val="nil"/>
              <w:bottom w:val="nil"/>
              <w:right w:val="nil"/>
            </w:tcBorders>
            <w:hideMark/>
          </w:tcPr>
          <w:p w14:paraId="710E78AB"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13.0</w:t>
            </w:r>
          </w:p>
        </w:tc>
        <w:tc>
          <w:tcPr>
            <w:tcW w:w="1868" w:type="dxa"/>
            <w:tcBorders>
              <w:top w:val="single" w:sz="4" w:space="0" w:color="auto"/>
              <w:left w:val="nil"/>
              <w:bottom w:val="nil"/>
              <w:right w:val="nil"/>
            </w:tcBorders>
            <w:hideMark/>
          </w:tcPr>
          <w:p w14:paraId="533823B8"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11-14</w:t>
            </w:r>
          </w:p>
        </w:tc>
        <w:tc>
          <w:tcPr>
            <w:tcW w:w="1802" w:type="dxa"/>
            <w:tcBorders>
              <w:top w:val="single" w:sz="4" w:space="0" w:color="auto"/>
              <w:left w:val="nil"/>
              <w:bottom w:val="nil"/>
              <w:right w:val="nil"/>
            </w:tcBorders>
            <w:hideMark/>
          </w:tcPr>
          <w:p w14:paraId="2BBF1D64" w14:textId="77777777" w:rsidR="009E462D" w:rsidRDefault="009E462D" w:rsidP="004E3E12">
            <w:pPr>
              <w:adjustRightInd w:val="0"/>
              <w:snapToGrid w:val="0"/>
              <w:spacing w:line="360" w:lineRule="auto"/>
              <w:jc w:val="both"/>
              <w:rPr>
                <w:rFonts w:ascii="Book Antiqua" w:eastAsiaTheme="minorEastAsia" w:hAnsi="Book Antiqua" w:cs="Cambria"/>
                <w:bCs/>
                <w:color w:val="000000" w:themeColor="text1"/>
              </w:rPr>
            </w:pPr>
            <w:r>
              <w:rPr>
                <w:rFonts w:ascii="Book Antiqua" w:eastAsiaTheme="minorEastAsia" w:hAnsi="Book Antiqua" w:cs="Cambria"/>
                <w:bCs/>
                <w:color w:val="000000" w:themeColor="text1"/>
              </w:rPr>
              <w:t>s</w:t>
            </w:r>
          </w:p>
        </w:tc>
      </w:tr>
      <w:tr w:rsidR="009E462D" w14:paraId="5997A75C" w14:textId="77777777" w:rsidTr="004E3E12">
        <w:trPr>
          <w:trHeight w:val="482"/>
        </w:trPr>
        <w:tc>
          <w:tcPr>
            <w:tcW w:w="1891" w:type="dxa"/>
            <w:tcBorders>
              <w:top w:val="nil"/>
              <w:left w:val="nil"/>
              <w:bottom w:val="nil"/>
              <w:right w:val="nil"/>
            </w:tcBorders>
            <w:hideMark/>
          </w:tcPr>
          <w:p w14:paraId="27B6057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PT-INR</w:t>
            </w:r>
          </w:p>
        </w:tc>
        <w:tc>
          <w:tcPr>
            <w:tcW w:w="1543" w:type="dxa"/>
            <w:tcBorders>
              <w:top w:val="nil"/>
              <w:left w:val="nil"/>
              <w:bottom w:val="nil"/>
              <w:right w:val="nil"/>
            </w:tcBorders>
            <w:hideMark/>
          </w:tcPr>
          <w:p w14:paraId="0CFC54F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1.09</w:t>
            </w:r>
          </w:p>
        </w:tc>
        <w:tc>
          <w:tcPr>
            <w:tcW w:w="1868" w:type="dxa"/>
            <w:tcBorders>
              <w:top w:val="nil"/>
              <w:left w:val="nil"/>
              <w:bottom w:val="nil"/>
              <w:right w:val="nil"/>
            </w:tcBorders>
            <w:hideMark/>
          </w:tcPr>
          <w:p w14:paraId="47552E9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0.8-1.2</w:t>
            </w:r>
          </w:p>
        </w:tc>
        <w:tc>
          <w:tcPr>
            <w:tcW w:w="1802" w:type="dxa"/>
            <w:tcBorders>
              <w:top w:val="nil"/>
              <w:left w:val="nil"/>
              <w:bottom w:val="nil"/>
              <w:right w:val="nil"/>
            </w:tcBorders>
            <w:hideMark/>
          </w:tcPr>
          <w:p w14:paraId="29E88DE1"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N/A</w:t>
            </w:r>
          </w:p>
        </w:tc>
      </w:tr>
      <w:tr w:rsidR="009E462D" w14:paraId="208059FF" w14:textId="77777777" w:rsidTr="004E3E12">
        <w:trPr>
          <w:trHeight w:val="467"/>
        </w:trPr>
        <w:tc>
          <w:tcPr>
            <w:tcW w:w="1891" w:type="dxa"/>
            <w:tcBorders>
              <w:top w:val="nil"/>
              <w:left w:val="nil"/>
              <w:bottom w:val="nil"/>
              <w:right w:val="nil"/>
            </w:tcBorders>
            <w:hideMark/>
          </w:tcPr>
          <w:p w14:paraId="29FC5E39"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APTT</w:t>
            </w:r>
          </w:p>
        </w:tc>
        <w:tc>
          <w:tcPr>
            <w:tcW w:w="1543" w:type="dxa"/>
            <w:tcBorders>
              <w:top w:val="nil"/>
              <w:left w:val="nil"/>
              <w:bottom w:val="nil"/>
              <w:right w:val="nil"/>
            </w:tcBorders>
            <w:hideMark/>
          </w:tcPr>
          <w:p w14:paraId="51B77677"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47.7</w:t>
            </w:r>
          </w:p>
        </w:tc>
        <w:tc>
          <w:tcPr>
            <w:tcW w:w="1868" w:type="dxa"/>
            <w:tcBorders>
              <w:top w:val="nil"/>
              <w:left w:val="nil"/>
              <w:bottom w:val="nil"/>
              <w:right w:val="nil"/>
            </w:tcBorders>
            <w:hideMark/>
          </w:tcPr>
          <w:p w14:paraId="0648913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27-45</w:t>
            </w:r>
          </w:p>
        </w:tc>
        <w:tc>
          <w:tcPr>
            <w:tcW w:w="1802" w:type="dxa"/>
            <w:tcBorders>
              <w:top w:val="nil"/>
              <w:left w:val="nil"/>
              <w:bottom w:val="nil"/>
              <w:right w:val="nil"/>
            </w:tcBorders>
            <w:hideMark/>
          </w:tcPr>
          <w:p w14:paraId="28F6D61A"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Theme="minorEastAsia" w:hAnsi="Book Antiqua" w:cs="Cambria"/>
                <w:bCs/>
                <w:color w:val="000000" w:themeColor="text1"/>
              </w:rPr>
              <w:t>s</w:t>
            </w:r>
          </w:p>
        </w:tc>
      </w:tr>
      <w:tr w:rsidR="009E462D" w14:paraId="29574896" w14:textId="77777777" w:rsidTr="004E3E12">
        <w:trPr>
          <w:trHeight w:val="467"/>
        </w:trPr>
        <w:tc>
          <w:tcPr>
            <w:tcW w:w="1891" w:type="dxa"/>
            <w:tcBorders>
              <w:top w:val="nil"/>
              <w:left w:val="nil"/>
              <w:bottom w:val="nil"/>
              <w:right w:val="nil"/>
            </w:tcBorders>
            <w:hideMark/>
          </w:tcPr>
          <w:p w14:paraId="7709481A"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FIB</w:t>
            </w:r>
          </w:p>
        </w:tc>
        <w:tc>
          <w:tcPr>
            <w:tcW w:w="1543" w:type="dxa"/>
            <w:tcBorders>
              <w:top w:val="nil"/>
              <w:left w:val="nil"/>
              <w:bottom w:val="nil"/>
              <w:right w:val="nil"/>
            </w:tcBorders>
            <w:hideMark/>
          </w:tcPr>
          <w:p w14:paraId="3A1FFDB0"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2.83</w:t>
            </w:r>
          </w:p>
        </w:tc>
        <w:tc>
          <w:tcPr>
            <w:tcW w:w="1868" w:type="dxa"/>
            <w:tcBorders>
              <w:top w:val="nil"/>
              <w:left w:val="nil"/>
              <w:bottom w:val="nil"/>
              <w:right w:val="nil"/>
            </w:tcBorders>
            <w:hideMark/>
          </w:tcPr>
          <w:p w14:paraId="785426AB"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2-4</w:t>
            </w:r>
          </w:p>
        </w:tc>
        <w:tc>
          <w:tcPr>
            <w:tcW w:w="1802" w:type="dxa"/>
            <w:tcBorders>
              <w:top w:val="nil"/>
              <w:left w:val="nil"/>
              <w:bottom w:val="nil"/>
              <w:right w:val="nil"/>
            </w:tcBorders>
            <w:hideMark/>
          </w:tcPr>
          <w:p w14:paraId="4F5C773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g/L</w:t>
            </w:r>
          </w:p>
        </w:tc>
      </w:tr>
      <w:tr w:rsidR="009E462D" w14:paraId="420E169F" w14:textId="77777777" w:rsidTr="004E3E12">
        <w:trPr>
          <w:trHeight w:val="467"/>
        </w:trPr>
        <w:tc>
          <w:tcPr>
            <w:tcW w:w="1891" w:type="dxa"/>
            <w:tcBorders>
              <w:top w:val="nil"/>
              <w:left w:val="nil"/>
              <w:bottom w:val="nil"/>
              <w:right w:val="nil"/>
            </w:tcBorders>
            <w:hideMark/>
          </w:tcPr>
          <w:p w14:paraId="14886BC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TT</w:t>
            </w:r>
          </w:p>
        </w:tc>
        <w:tc>
          <w:tcPr>
            <w:tcW w:w="1543" w:type="dxa"/>
            <w:tcBorders>
              <w:top w:val="nil"/>
              <w:left w:val="nil"/>
              <w:bottom w:val="nil"/>
              <w:right w:val="nil"/>
            </w:tcBorders>
            <w:hideMark/>
          </w:tcPr>
          <w:p w14:paraId="509B572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18.6</w:t>
            </w:r>
          </w:p>
        </w:tc>
        <w:tc>
          <w:tcPr>
            <w:tcW w:w="1868" w:type="dxa"/>
            <w:tcBorders>
              <w:top w:val="nil"/>
              <w:left w:val="nil"/>
              <w:bottom w:val="nil"/>
              <w:right w:val="nil"/>
            </w:tcBorders>
            <w:hideMark/>
          </w:tcPr>
          <w:p w14:paraId="726A82C6"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0-20</w:t>
            </w:r>
          </w:p>
        </w:tc>
        <w:tc>
          <w:tcPr>
            <w:tcW w:w="1802" w:type="dxa"/>
            <w:tcBorders>
              <w:top w:val="nil"/>
              <w:left w:val="nil"/>
              <w:bottom w:val="nil"/>
              <w:right w:val="nil"/>
            </w:tcBorders>
            <w:hideMark/>
          </w:tcPr>
          <w:p w14:paraId="7B27D47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Theme="minorEastAsia" w:hAnsi="Book Antiqua" w:cs="Cambria"/>
                <w:bCs/>
                <w:color w:val="000000" w:themeColor="text1"/>
              </w:rPr>
              <w:t>s</w:t>
            </w:r>
          </w:p>
        </w:tc>
      </w:tr>
      <w:tr w:rsidR="009E462D" w14:paraId="1D441764" w14:textId="77777777" w:rsidTr="004E3E12">
        <w:trPr>
          <w:trHeight w:val="467"/>
        </w:trPr>
        <w:tc>
          <w:tcPr>
            <w:tcW w:w="1891" w:type="dxa"/>
            <w:tcBorders>
              <w:top w:val="nil"/>
              <w:left w:val="nil"/>
              <w:bottom w:val="single" w:sz="4" w:space="0" w:color="auto"/>
              <w:right w:val="nil"/>
            </w:tcBorders>
            <w:hideMark/>
          </w:tcPr>
          <w:p w14:paraId="31869952"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D-Dimer</w:t>
            </w:r>
          </w:p>
        </w:tc>
        <w:tc>
          <w:tcPr>
            <w:tcW w:w="1543" w:type="dxa"/>
            <w:tcBorders>
              <w:top w:val="nil"/>
              <w:left w:val="nil"/>
              <w:bottom w:val="single" w:sz="4" w:space="0" w:color="auto"/>
              <w:right w:val="nil"/>
            </w:tcBorders>
            <w:hideMark/>
          </w:tcPr>
          <w:p w14:paraId="13B4A42D"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0.52</w:t>
            </w:r>
          </w:p>
        </w:tc>
        <w:tc>
          <w:tcPr>
            <w:tcW w:w="1868" w:type="dxa"/>
            <w:tcBorders>
              <w:top w:val="nil"/>
              <w:left w:val="nil"/>
              <w:bottom w:val="single" w:sz="4" w:space="0" w:color="auto"/>
              <w:right w:val="nil"/>
            </w:tcBorders>
            <w:hideMark/>
          </w:tcPr>
          <w:p w14:paraId="140B0D78"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0-1</w:t>
            </w:r>
          </w:p>
        </w:tc>
        <w:tc>
          <w:tcPr>
            <w:tcW w:w="1802" w:type="dxa"/>
            <w:tcBorders>
              <w:top w:val="nil"/>
              <w:left w:val="nil"/>
              <w:bottom w:val="single" w:sz="4" w:space="0" w:color="auto"/>
              <w:right w:val="nil"/>
            </w:tcBorders>
            <w:hideMark/>
          </w:tcPr>
          <w:p w14:paraId="07107423" w14:textId="77777777" w:rsidR="009E462D" w:rsidRDefault="009E462D" w:rsidP="004E3E12">
            <w:pPr>
              <w:adjustRightInd w:val="0"/>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mg/L</w:t>
            </w:r>
          </w:p>
        </w:tc>
      </w:tr>
    </w:tbl>
    <w:p w14:paraId="58422567" w14:textId="77777777" w:rsidR="009E462D" w:rsidRDefault="009E462D" w:rsidP="009E462D">
      <w:pPr>
        <w:snapToGrid w:val="0"/>
        <w:spacing w:line="360" w:lineRule="auto"/>
        <w:jc w:val="both"/>
        <w:rPr>
          <w:rFonts w:ascii="Book Antiqua" w:eastAsia="Cambria" w:hAnsi="Book Antiqua" w:cs="Cambria"/>
          <w:bCs/>
          <w:color w:val="000000" w:themeColor="text1"/>
        </w:rPr>
      </w:pPr>
      <w:r>
        <w:rPr>
          <w:rFonts w:ascii="Book Antiqua" w:eastAsia="Cambria" w:hAnsi="Book Antiqua" w:cs="Cambria"/>
          <w:bCs/>
          <w:color w:val="000000" w:themeColor="text1"/>
        </w:rPr>
        <w:t>APTT: Activated partial thromboplastin time; FIB: Fibrinogen; N/A: Not applicable; PT-sec: Prothrombin time in seconds; PT-INR: Prothrombin time international normalized ratio; TT: Thrombin time.</w:t>
      </w:r>
    </w:p>
    <w:p w14:paraId="7CA1C498" w14:textId="77777777" w:rsidR="009E462D" w:rsidRPr="00AA45D5" w:rsidRDefault="009E462D" w:rsidP="009E462D"/>
    <w:p w14:paraId="64FFF5CD" w14:textId="77777777" w:rsidR="009E462D" w:rsidRPr="009E462D" w:rsidRDefault="009E462D">
      <w:pPr>
        <w:spacing w:line="360" w:lineRule="auto"/>
        <w:jc w:val="both"/>
        <w:rPr>
          <w:lang w:eastAsia="zh-CN"/>
        </w:rPr>
      </w:pPr>
    </w:p>
    <w:sectPr w:rsidR="009E462D" w:rsidRPr="009E46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0FA01" w14:textId="77777777" w:rsidR="00CC0953" w:rsidRDefault="00CC0953" w:rsidP="009E462D">
      <w:r>
        <w:separator/>
      </w:r>
    </w:p>
  </w:endnote>
  <w:endnote w:type="continuationSeparator" w:id="0">
    <w:p w14:paraId="5C65C786" w14:textId="77777777" w:rsidR="00CC0953" w:rsidRDefault="00CC0953" w:rsidP="009E4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Segoe Print"/>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566660"/>
      <w:docPartObj>
        <w:docPartGallery w:val="Page Numbers (Bottom of Page)"/>
        <w:docPartUnique/>
      </w:docPartObj>
    </w:sdtPr>
    <w:sdtEndPr/>
    <w:sdtContent>
      <w:sdt>
        <w:sdtPr>
          <w:id w:val="98381352"/>
          <w:docPartObj>
            <w:docPartGallery w:val="Page Numbers (Top of Page)"/>
            <w:docPartUnique/>
          </w:docPartObj>
        </w:sdtPr>
        <w:sdtEndPr/>
        <w:sdtContent>
          <w:p w14:paraId="3B7DCC38" w14:textId="77777777" w:rsidR="009E462D" w:rsidRDefault="009E462D" w:rsidP="009E462D">
            <w:pPr>
              <w:pStyle w:val="a9"/>
              <w:jc w:val="right"/>
            </w:pPr>
            <w:r w:rsidRPr="009E462D">
              <w:rPr>
                <w:rFonts w:ascii="Book Antiqua" w:hAnsi="Book Antiqua"/>
                <w:sz w:val="24"/>
                <w:szCs w:val="24"/>
                <w:lang w:val="zh-CN" w:eastAsia="zh-CN"/>
              </w:rPr>
              <w:t xml:space="preserve"> </w:t>
            </w:r>
            <w:r w:rsidRPr="009E462D">
              <w:rPr>
                <w:rFonts w:ascii="Book Antiqua" w:hAnsi="Book Antiqua"/>
                <w:b/>
                <w:bCs/>
                <w:sz w:val="24"/>
                <w:szCs w:val="24"/>
              </w:rPr>
              <w:fldChar w:fldCharType="begin"/>
            </w:r>
            <w:r w:rsidRPr="009E462D">
              <w:rPr>
                <w:rFonts w:ascii="Book Antiqua" w:hAnsi="Book Antiqua"/>
                <w:b/>
                <w:bCs/>
                <w:sz w:val="24"/>
                <w:szCs w:val="24"/>
              </w:rPr>
              <w:instrText>PAGE</w:instrText>
            </w:r>
            <w:r w:rsidRPr="009E462D">
              <w:rPr>
                <w:rFonts w:ascii="Book Antiqua" w:hAnsi="Book Antiqua"/>
                <w:b/>
                <w:bCs/>
                <w:sz w:val="24"/>
                <w:szCs w:val="24"/>
              </w:rPr>
              <w:fldChar w:fldCharType="separate"/>
            </w:r>
            <w:r w:rsidR="00AE4281">
              <w:rPr>
                <w:rFonts w:ascii="Book Antiqua" w:hAnsi="Book Antiqua"/>
                <w:b/>
                <w:bCs/>
                <w:noProof/>
                <w:sz w:val="24"/>
                <w:szCs w:val="24"/>
              </w:rPr>
              <w:t>2</w:t>
            </w:r>
            <w:r w:rsidRPr="009E462D">
              <w:rPr>
                <w:rFonts w:ascii="Book Antiqua" w:hAnsi="Book Antiqua"/>
                <w:b/>
                <w:bCs/>
                <w:sz w:val="24"/>
                <w:szCs w:val="24"/>
              </w:rPr>
              <w:fldChar w:fldCharType="end"/>
            </w:r>
            <w:r w:rsidRPr="009E462D">
              <w:rPr>
                <w:rFonts w:ascii="Book Antiqua" w:hAnsi="Book Antiqua"/>
                <w:sz w:val="24"/>
                <w:szCs w:val="24"/>
                <w:lang w:val="zh-CN" w:eastAsia="zh-CN"/>
              </w:rPr>
              <w:t xml:space="preserve"> / </w:t>
            </w:r>
            <w:r w:rsidRPr="009E462D">
              <w:rPr>
                <w:rFonts w:ascii="Book Antiqua" w:hAnsi="Book Antiqua"/>
                <w:b/>
                <w:bCs/>
                <w:sz w:val="24"/>
                <w:szCs w:val="24"/>
              </w:rPr>
              <w:fldChar w:fldCharType="begin"/>
            </w:r>
            <w:r w:rsidRPr="009E462D">
              <w:rPr>
                <w:rFonts w:ascii="Book Antiqua" w:hAnsi="Book Antiqua"/>
                <w:b/>
                <w:bCs/>
                <w:sz w:val="24"/>
                <w:szCs w:val="24"/>
              </w:rPr>
              <w:instrText>NUMPAGES</w:instrText>
            </w:r>
            <w:r w:rsidRPr="009E462D">
              <w:rPr>
                <w:rFonts w:ascii="Book Antiqua" w:hAnsi="Book Antiqua"/>
                <w:b/>
                <w:bCs/>
                <w:sz w:val="24"/>
                <w:szCs w:val="24"/>
              </w:rPr>
              <w:fldChar w:fldCharType="separate"/>
            </w:r>
            <w:r w:rsidR="00AE4281">
              <w:rPr>
                <w:rFonts w:ascii="Book Antiqua" w:hAnsi="Book Antiqua"/>
                <w:b/>
                <w:bCs/>
                <w:noProof/>
                <w:sz w:val="24"/>
                <w:szCs w:val="24"/>
              </w:rPr>
              <w:t>23</w:t>
            </w:r>
            <w:r w:rsidRPr="009E462D">
              <w:rPr>
                <w:rFonts w:ascii="Book Antiqua" w:hAnsi="Book Antiqua"/>
                <w:b/>
                <w:bCs/>
                <w:sz w:val="24"/>
                <w:szCs w:val="24"/>
              </w:rPr>
              <w:fldChar w:fldCharType="end"/>
            </w:r>
          </w:p>
        </w:sdtContent>
      </w:sdt>
    </w:sdtContent>
  </w:sdt>
  <w:p w14:paraId="64106040" w14:textId="77777777" w:rsidR="009E462D" w:rsidRDefault="009E462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3371C" w14:textId="77777777" w:rsidR="00CC0953" w:rsidRDefault="00CC0953" w:rsidP="009E462D">
      <w:r>
        <w:separator/>
      </w:r>
    </w:p>
  </w:footnote>
  <w:footnote w:type="continuationSeparator" w:id="0">
    <w:p w14:paraId="69582B1B" w14:textId="77777777" w:rsidR="00CC0953" w:rsidRDefault="00CC0953" w:rsidP="009E46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431A"/>
    <w:rsid w:val="00125994"/>
    <w:rsid w:val="002E75EF"/>
    <w:rsid w:val="00990547"/>
    <w:rsid w:val="009E462D"/>
    <w:rsid w:val="00A41BE2"/>
    <w:rsid w:val="00A77B3E"/>
    <w:rsid w:val="00AD06EF"/>
    <w:rsid w:val="00AE4281"/>
    <w:rsid w:val="00CA2A55"/>
    <w:rsid w:val="00CC0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3AFCF5"/>
  <w15:docId w15:val="{FDAAADAC-86D7-491E-9CB9-D6240618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E462D"/>
    <w:rPr>
      <w:sz w:val="18"/>
      <w:szCs w:val="18"/>
    </w:rPr>
  </w:style>
  <w:style w:type="character" w:customStyle="1" w:styleId="a4">
    <w:name w:val="批注框文本 字符"/>
    <w:basedOn w:val="a0"/>
    <w:link w:val="a3"/>
    <w:rsid w:val="009E462D"/>
    <w:rPr>
      <w:sz w:val="18"/>
      <w:szCs w:val="18"/>
    </w:rPr>
  </w:style>
  <w:style w:type="table" w:styleId="a5">
    <w:name w:val="Table Grid"/>
    <w:basedOn w:val="a1"/>
    <w:uiPriority w:val="39"/>
    <w:qFormat/>
    <w:rsid w:val="009E462D"/>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E462D"/>
    <w:pPr>
      <w:widowControl w:val="0"/>
      <w:autoSpaceDE w:val="0"/>
      <w:autoSpaceDN w:val="0"/>
      <w:ind w:firstLineChars="200" w:firstLine="420"/>
    </w:pPr>
    <w:rPr>
      <w:rFonts w:ascii="Cambria" w:eastAsia="宋体" w:hAnsi="Cambria" w:cs="宋体"/>
      <w:sz w:val="22"/>
      <w:szCs w:val="22"/>
      <w:lang w:eastAsia="zh-CN"/>
    </w:rPr>
  </w:style>
  <w:style w:type="paragraph" w:styleId="a7">
    <w:name w:val="header"/>
    <w:basedOn w:val="a"/>
    <w:link w:val="a8"/>
    <w:rsid w:val="009E462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9E462D"/>
    <w:rPr>
      <w:sz w:val="18"/>
      <w:szCs w:val="18"/>
    </w:rPr>
  </w:style>
  <w:style w:type="paragraph" w:styleId="a9">
    <w:name w:val="footer"/>
    <w:basedOn w:val="a"/>
    <w:link w:val="aa"/>
    <w:uiPriority w:val="99"/>
    <w:rsid w:val="009E462D"/>
    <w:pPr>
      <w:tabs>
        <w:tab w:val="center" w:pos="4153"/>
        <w:tab w:val="right" w:pos="8306"/>
      </w:tabs>
      <w:snapToGrid w:val="0"/>
    </w:pPr>
    <w:rPr>
      <w:sz w:val="18"/>
      <w:szCs w:val="18"/>
    </w:rPr>
  </w:style>
  <w:style w:type="character" w:customStyle="1" w:styleId="aa">
    <w:name w:val="页脚 字符"/>
    <w:basedOn w:val="a0"/>
    <w:link w:val="a9"/>
    <w:uiPriority w:val="99"/>
    <w:rsid w:val="009E462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23</Pages>
  <Words>3237</Words>
  <Characters>18452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7</cp:revision>
  <dcterms:created xsi:type="dcterms:W3CDTF">2021-07-15T07:51:00Z</dcterms:created>
  <dcterms:modified xsi:type="dcterms:W3CDTF">2021-07-22T03:34:00Z</dcterms:modified>
</cp:coreProperties>
</file>