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35" w:rsidRPr="002B12EE" w:rsidRDefault="00C87C35" w:rsidP="002B12EE">
      <w:pPr>
        <w:spacing w:line="360" w:lineRule="auto"/>
        <w:rPr>
          <w:rFonts w:ascii="Book Antiqua" w:hAnsi="Book Antiqua" w:cs="Tahoma"/>
          <w:b/>
          <w:sz w:val="24"/>
        </w:rPr>
      </w:pPr>
      <w:r w:rsidRPr="002B12EE">
        <w:rPr>
          <w:rFonts w:ascii="Book Antiqua" w:hAnsi="Book Antiqua" w:cs="Tahoma"/>
          <w:b/>
          <w:sz w:val="24"/>
        </w:rPr>
        <w:t>Name of journal: World Journal of Gastroenterology</w:t>
      </w:r>
    </w:p>
    <w:p w:rsidR="00C87C35" w:rsidRPr="002B12EE" w:rsidRDefault="00C87C35" w:rsidP="002B12EE">
      <w:pPr>
        <w:spacing w:line="360" w:lineRule="auto"/>
        <w:rPr>
          <w:rFonts w:ascii="Book Antiqua" w:hAnsi="Book Antiqua" w:cs="Tahoma"/>
          <w:b/>
          <w:sz w:val="24"/>
        </w:rPr>
      </w:pPr>
      <w:r w:rsidRPr="002B12EE">
        <w:rPr>
          <w:rFonts w:ascii="Book Antiqua" w:hAnsi="Book Antiqua" w:cs="Tahoma"/>
          <w:b/>
          <w:sz w:val="24"/>
        </w:rPr>
        <w:t>ESPS Manuscript NO: 6691</w:t>
      </w:r>
    </w:p>
    <w:p w:rsidR="00C87C35" w:rsidRPr="002B12EE" w:rsidRDefault="00C87C35" w:rsidP="002B12EE">
      <w:pPr>
        <w:spacing w:line="360" w:lineRule="auto"/>
        <w:rPr>
          <w:rFonts w:ascii="Book Antiqua" w:hAnsi="Book Antiqua" w:cs="Tahoma"/>
          <w:b/>
          <w:sz w:val="24"/>
        </w:rPr>
      </w:pPr>
      <w:r w:rsidRPr="002B12EE">
        <w:rPr>
          <w:rFonts w:ascii="Book Antiqua" w:hAnsi="Book Antiqua" w:cs="Tahoma"/>
          <w:b/>
          <w:sz w:val="24"/>
        </w:rPr>
        <w:t>Columns: Meta-Analysis</w:t>
      </w:r>
    </w:p>
    <w:p w:rsidR="00C87C35" w:rsidRPr="002B12EE" w:rsidRDefault="00C87C35" w:rsidP="002B12EE">
      <w:pPr>
        <w:spacing w:line="360" w:lineRule="auto"/>
        <w:rPr>
          <w:rFonts w:ascii="Book Antiqua" w:hAnsi="Book Antiqua"/>
          <w:b/>
          <w:sz w:val="24"/>
        </w:rPr>
      </w:pPr>
    </w:p>
    <w:p w:rsidR="00C87C35" w:rsidRPr="002B12EE" w:rsidRDefault="00C87C35" w:rsidP="002B12EE">
      <w:pPr>
        <w:spacing w:line="360" w:lineRule="auto"/>
        <w:rPr>
          <w:rFonts w:ascii="Book Antiqua" w:hAnsi="Book Antiqua"/>
          <w:b/>
          <w:sz w:val="24"/>
        </w:rPr>
      </w:pPr>
      <w:r w:rsidRPr="002B12EE">
        <w:rPr>
          <w:rFonts w:ascii="Book Antiqua" w:hAnsi="Book Antiqua"/>
          <w:b/>
          <w:sz w:val="24"/>
        </w:rPr>
        <w:t>Addition of prokinetics to PPI therapy in gastroesophageal reflux diseases: A meta-analysis</w:t>
      </w:r>
    </w:p>
    <w:p w:rsidR="00C87C35" w:rsidRPr="002B12EE" w:rsidRDefault="00C87C35" w:rsidP="002B12EE">
      <w:pPr>
        <w:spacing w:line="360" w:lineRule="auto"/>
        <w:rPr>
          <w:rFonts w:ascii="Book Antiqua" w:eastAsia="Arial Unicode MS" w:hAnsi="Book Antiqua" w:cs="Arial Unicode MS"/>
          <w:b/>
          <w:color w:val="FF0000"/>
          <w:sz w:val="24"/>
        </w:rPr>
      </w:pPr>
      <w:bookmarkStart w:id="0" w:name="OLE_LINK36"/>
      <w:bookmarkStart w:id="1" w:name="OLE_LINK37"/>
      <w:bookmarkStart w:id="2" w:name="OLE_LINK156"/>
      <w:bookmarkStart w:id="3" w:name="OLE_LINK48"/>
      <w:bookmarkStart w:id="4" w:name="OLE_LINK49"/>
    </w:p>
    <w:p w:rsidR="00C87C35" w:rsidRPr="004E3264" w:rsidRDefault="00C87C35" w:rsidP="002B12EE">
      <w:pPr>
        <w:spacing w:line="360" w:lineRule="auto"/>
        <w:rPr>
          <w:rFonts w:ascii="Book Antiqua" w:eastAsia="Arial Unicode MS" w:hAnsi="Book Antiqua" w:cs="Arial Unicode MS"/>
          <w:sz w:val="24"/>
        </w:rPr>
      </w:pPr>
      <w:r w:rsidRPr="004E3264">
        <w:rPr>
          <w:rFonts w:ascii="Book Antiqua" w:eastAsia="Arial Unicode MS" w:hAnsi="Book Antiqua" w:cs="Arial Unicode MS"/>
          <w:sz w:val="24"/>
        </w:rPr>
        <w:t xml:space="preserve">Ren LH </w:t>
      </w:r>
      <w:r w:rsidRPr="004E3264">
        <w:rPr>
          <w:rFonts w:ascii="Book Antiqua" w:eastAsia="Arial Unicode MS" w:hAnsi="Book Antiqua" w:cs="Arial Unicode MS"/>
          <w:i/>
          <w:sz w:val="24"/>
        </w:rPr>
        <w:t>et al</w:t>
      </w:r>
      <w:r w:rsidRPr="004E3264">
        <w:rPr>
          <w:rFonts w:ascii="Book Antiqua" w:eastAsia="Arial Unicode MS" w:hAnsi="Book Antiqua" w:cs="Arial Unicode MS"/>
          <w:sz w:val="24"/>
        </w:rPr>
        <w:t>. Treatments for gastroesophageal reflux disease</w:t>
      </w:r>
    </w:p>
    <w:bookmarkEnd w:id="0"/>
    <w:bookmarkEnd w:id="1"/>
    <w:bookmarkEnd w:id="2"/>
    <w:bookmarkEnd w:id="3"/>
    <w:bookmarkEnd w:id="4"/>
    <w:p w:rsidR="00C87C35" w:rsidRPr="002B12EE" w:rsidRDefault="00C87C35" w:rsidP="002B12EE">
      <w:pPr>
        <w:spacing w:line="360" w:lineRule="auto"/>
        <w:rPr>
          <w:rFonts w:ascii="Book Antiqua" w:hAnsi="Book Antiqua"/>
          <w:b/>
          <w:sz w:val="24"/>
        </w:rPr>
      </w:pPr>
    </w:p>
    <w:p w:rsidR="00C87C35" w:rsidRPr="002B12EE" w:rsidRDefault="00C87C35" w:rsidP="002B12EE">
      <w:pPr>
        <w:spacing w:line="360" w:lineRule="auto"/>
        <w:rPr>
          <w:rFonts w:ascii="Book Antiqua" w:hAnsi="Book Antiqua"/>
          <w:kern w:val="3"/>
          <w:sz w:val="24"/>
          <w:vertAlign w:val="superscript"/>
        </w:rPr>
      </w:pPr>
      <w:r w:rsidRPr="002B12EE">
        <w:rPr>
          <w:rFonts w:ascii="Book Antiqua" w:hAnsi="Book Antiqua"/>
          <w:kern w:val="3"/>
          <w:sz w:val="24"/>
        </w:rPr>
        <w:t>Li-Hua Ren, Wei-Xu Chen, Li-Juan Qian, Shuo Li, Min Gu, Rui-Hua Shi</w:t>
      </w:r>
      <w:r w:rsidRPr="002B12EE">
        <w:rPr>
          <w:rFonts w:ascii="Book Antiqua" w:hAnsi="Book Antiqua"/>
          <w:kern w:val="3"/>
          <w:sz w:val="24"/>
          <w:vertAlign w:val="superscript"/>
        </w:rPr>
        <w:t xml:space="preserve"> </w:t>
      </w:r>
    </w:p>
    <w:p w:rsidR="00C87C35" w:rsidRPr="002B12EE" w:rsidRDefault="00C87C35" w:rsidP="002B12EE">
      <w:pPr>
        <w:spacing w:line="360" w:lineRule="auto"/>
        <w:rPr>
          <w:rFonts w:ascii="Book Antiqua" w:hAnsi="Book Antiqua"/>
          <w:i/>
          <w:kern w:val="3"/>
          <w:sz w:val="24"/>
        </w:rPr>
      </w:pPr>
    </w:p>
    <w:p w:rsidR="00C87C35" w:rsidRPr="002B12EE" w:rsidRDefault="00CF42B2" w:rsidP="002B12EE">
      <w:pPr>
        <w:spacing w:line="360" w:lineRule="auto"/>
        <w:rPr>
          <w:rFonts w:ascii="Book Antiqua" w:hAnsi="Book Antiqua"/>
          <w:b/>
          <w:kern w:val="3"/>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17145</wp:posOffset>
                </wp:positionV>
                <wp:extent cx="5486400" cy="8890"/>
                <wp:effectExtent l="0" t="0" r="19050" b="2921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8890"/>
                        </a:xfrm>
                        <a:prstGeom prst="line">
                          <a:avLst/>
                        </a:prstGeom>
                        <a:noFill/>
                        <a:ln w="254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5pt" to="42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" strokecolor="#a5a5a5" strokeweight="2pt">
                <v:shadow opacity="24903f" origin=",.5" offset="0,.55556mm"/>
              </v:line>
            </w:pict>
          </mc:Fallback>
        </mc:AlternateContent>
      </w:r>
    </w:p>
    <w:p w:rsidR="00C87C35" w:rsidRPr="002B12EE" w:rsidRDefault="00C87C35" w:rsidP="002B12EE">
      <w:pPr>
        <w:spacing w:line="360" w:lineRule="auto"/>
        <w:rPr>
          <w:rFonts w:ascii="Book Antiqua" w:hAnsi="Book Antiqua"/>
          <w:kern w:val="3"/>
          <w:sz w:val="24"/>
        </w:rPr>
      </w:pPr>
      <w:r w:rsidRPr="002B12EE">
        <w:rPr>
          <w:rFonts w:ascii="Book Antiqua" w:hAnsi="Book Antiqua"/>
          <w:b/>
          <w:kern w:val="3"/>
          <w:sz w:val="24"/>
        </w:rPr>
        <w:t>Li-Hua Ren, Wei-Xu Chen, Shuo Li, Min Gu, Rui-Hua Shi,</w:t>
      </w:r>
      <w:r w:rsidRPr="002B12EE">
        <w:rPr>
          <w:rFonts w:ascii="Book Antiqua" w:hAnsi="Book Antiqua"/>
          <w:kern w:val="3"/>
          <w:sz w:val="24"/>
        </w:rPr>
        <w:t xml:space="preserve"> Department of Gastroenterology, the First Affiliated Hospital of Nanjing Medical University, Nanjing 210029, Jiangsu Province, China</w:t>
      </w:r>
    </w:p>
    <w:p w:rsidR="00C87C35" w:rsidRPr="002B12EE" w:rsidRDefault="00C87C35" w:rsidP="002B12EE">
      <w:pPr>
        <w:spacing w:line="360" w:lineRule="auto"/>
        <w:rPr>
          <w:rFonts w:ascii="Book Antiqua" w:hAnsi="Book Antiqua"/>
          <w:kern w:val="3"/>
          <w:sz w:val="24"/>
        </w:rPr>
      </w:pPr>
    </w:p>
    <w:p w:rsidR="00C87C35" w:rsidRPr="002B12EE" w:rsidRDefault="00C87C35" w:rsidP="002B12EE">
      <w:pPr>
        <w:spacing w:line="360" w:lineRule="auto"/>
        <w:rPr>
          <w:rFonts w:ascii="Book Antiqua" w:hAnsi="Book Antiqua"/>
          <w:kern w:val="3"/>
          <w:sz w:val="24"/>
        </w:rPr>
      </w:pPr>
      <w:r w:rsidRPr="002B12EE">
        <w:rPr>
          <w:rFonts w:ascii="Book Antiqua" w:hAnsi="Book Antiqua"/>
          <w:b/>
          <w:kern w:val="3"/>
          <w:sz w:val="24"/>
        </w:rPr>
        <w:t>Li-Juan Qian,</w:t>
      </w:r>
      <w:r w:rsidRPr="002B12EE">
        <w:rPr>
          <w:rFonts w:ascii="Book Antiqua" w:hAnsi="Book Antiqua"/>
          <w:kern w:val="3"/>
          <w:sz w:val="24"/>
        </w:rPr>
        <w:t xml:space="preserve"> Department of Gastroenterology, the First Affiliated Hospital of Soochow University, Suzhou 215006, Jiangsu Province, China</w:t>
      </w:r>
    </w:p>
    <w:p w:rsidR="00C87C35" w:rsidRPr="002B12EE" w:rsidRDefault="00C87C35" w:rsidP="002B12EE">
      <w:pPr>
        <w:spacing w:line="360" w:lineRule="auto"/>
        <w:rPr>
          <w:rFonts w:ascii="Book Antiqua" w:hAnsi="Book Antiqua"/>
          <w:kern w:val="3"/>
          <w:sz w:val="24"/>
        </w:rPr>
      </w:pPr>
    </w:p>
    <w:p w:rsidR="00C87C35" w:rsidRPr="002B12EE" w:rsidRDefault="00C87C35" w:rsidP="002B12EE">
      <w:pPr>
        <w:spacing w:line="360" w:lineRule="auto"/>
        <w:rPr>
          <w:rFonts w:ascii="Book Antiqua" w:hAnsi="Book Antiqua"/>
          <w:kern w:val="3"/>
          <w:sz w:val="24"/>
        </w:rPr>
      </w:pPr>
      <w:r w:rsidRPr="002B12EE">
        <w:rPr>
          <w:rFonts w:ascii="Book Antiqua" w:hAnsi="Book Antiqua"/>
          <w:b/>
          <w:kern w:val="3"/>
          <w:sz w:val="24"/>
        </w:rPr>
        <w:t xml:space="preserve">Author contributions: </w:t>
      </w:r>
      <w:r w:rsidRPr="002B12EE">
        <w:rPr>
          <w:rFonts w:ascii="Book Antiqua" w:hAnsi="Book Antiqua"/>
          <w:kern w:val="3"/>
          <w:sz w:val="24"/>
        </w:rPr>
        <w:t>Ren LH, Chen WX, Qian LJ and Li S performed the research; Ren LH wrote the manuscript; Gu M contributed new reagents and analytical tools; Shi RH designed the research study.</w:t>
      </w:r>
    </w:p>
    <w:p w:rsidR="00C87C35" w:rsidRPr="002B12EE" w:rsidRDefault="00C87C35" w:rsidP="002B12EE">
      <w:pPr>
        <w:spacing w:line="360" w:lineRule="auto"/>
        <w:rPr>
          <w:rFonts w:ascii="Book Antiqua" w:hAnsi="Book Antiqua"/>
          <w:kern w:val="3"/>
          <w:sz w:val="24"/>
        </w:rPr>
      </w:pPr>
    </w:p>
    <w:p w:rsidR="00C87C35" w:rsidRPr="002B12EE" w:rsidRDefault="00C87C35" w:rsidP="002B12EE">
      <w:pPr>
        <w:spacing w:line="360" w:lineRule="auto"/>
        <w:rPr>
          <w:rFonts w:ascii="Book Antiqua" w:hAnsi="Book Antiqua"/>
          <w:kern w:val="3"/>
          <w:sz w:val="24"/>
        </w:rPr>
      </w:pPr>
      <w:r w:rsidRPr="002B12EE">
        <w:rPr>
          <w:rFonts w:ascii="Book Antiqua" w:hAnsi="Book Antiqua"/>
          <w:b/>
          <w:kern w:val="3"/>
          <w:sz w:val="24"/>
        </w:rPr>
        <w:t>Supported by</w:t>
      </w:r>
      <w:r w:rsidRPr="002B12EE">
        <w:rPr>
          <w:rFonts w:ascii="Book Antiqua" w:hAnsi="Book Antiqua"/>
          <w:kern w:val="3"/>
          <w:sz w:val="24"/>
        </w:rPr>
        <w:t xml:space="preserve"> A grant from the Innovative Team Project</w:t>
      </w:r>
      <w:r>
        <w:rPr>
          <w:rFonts w:ascii="Book Antiqua" w:hAnsi="Book Antiqua"/>
          <w:kern w:val="3"/>
          <w:sz w:val="24"/>
        </w:rPr>
        <w:t xml:space="preserve"> </w:t>
      </w:r>
      <w:r w:rsidRPr="002B12EE">
        <w:rPr>
          <w:rFonts w:ascii="Book Antiqua" w:hAnsi="Book Antiqua"/>
          <w:kern w:val="3"/>
          <w:sz w:val="24"/>
        </w:rPr>
        <w:t xml:space="preserve">to Shi RH, No. CX11 </w:t>
      </w:r>
    </w:p>
    <w:p w:rsidR="00C87C35" w:rsidRPr="002B12EE" w:rsidRDefault="00C87C35" w:rsidP="002B12EE">
      <w:pPr>
        <w:spacing w:line="360" w:lineRule="auto"/>
        <w:rPr>
          <w:rFonts w:ascii="Book Antiqua" w:hAnsi="Book Antiqua"/>
          <w:kern w:val="3"/>
          <w:sz w:val="24"/>
        </w:rPr>
      </w:pPr>
    </w:p>
    <w:p w:rsidR="00C87C35" w:rsidRDefault="00C87C35" w:rsidP="002B12EE">
      <w:pPr>
        <w:spacing w:line="360" w:lineRule="auto"/>
      </w:pPr>
      <w:r w:rsidRPr="002B12EE">
        <w:rPr>
          <w:rFonts w:ascii="Book Antiqua" w:hAnsi="Book Antiqua"/>
          <w:b/>
          <w:kern w:val="3"/>
          <w:sz w:val="24"/>
        </w:rPr>
        <w:t>Correspondence to:</w:t>
      </w:r>
      <w:r w:rsidRPr="002B12EE">
        <w:rPr>
          <w:rFonts w:ascii="Book Antiqua" w:hAnsi="Book Antiqua"/>
          <w:kern w:val="3"/>
          <w:sz w:val="24"/>
        </w:rPr>
        <w:t xml:space="preserve"> </w:t>
      </w:r>
      <w:r w:rsidRPr="002B12EE">
        <w:rPr>
          <w:rFonts w:ascii="Book Antiqua" w:hAnsi="Book Antiqua"/>
          <w:b/>
          <w:kern w:val="3"/>
          <w:sz w:val="24"/>
        </w:rPr>
        <w:t>Rui-Hua Shi, MD, PhD,</w:t>
      </w:r>
      <w:r w:rsidRPr="002B12EE">
        <w:rPr>
          <w:rFonts w:ascii="Book Antiqua" w:hAnsi="Book Antiqua"/>
          <w:kern w:val="3"/>
          <w:sz w:val="24"/>
        </w:rPr>
        <w:t xml:space="preserve"> Department of Gastroenterology, the First Affiliated Hospital of Nanjing Medical University, 300 Guangzhou Road, Nanjing 210029, Jiangsu Province, China. </w:t>
      </w:r>
      <w:hyperlink r:id="rId8" w:history="1">
        <w:r w:rsidRPr="002B12EE">
          <w:rPr>
            <w:rStyle w:val="a6"/>
            <w:rFonts w:ascii="Book Antiqua" w:hAnsi="Book Antiqua"/>
            <w:kern w:val="3"/>
            <w:sz w:val="24"/>
          </w:rPr>
          <w:t>ruihuashi@126.com</w:t>
        </w:r>
      </w:hyperlink>
    </w:p>
    <w:p w:rsidR="00C87C35" w:rsidRPr="002B12EE" w:rsidRDefault="00C87C35" w:rsidP="002B12EE">
      <w:pPr>
        <w:spacing w:line="360" w:lineRule="auto"/>
        <w:rPr>
          <w:rFonts w:ascii="Book Antiqua" w:hAnsi="Book Antiqua"/>
          <w:kern w:val="3"/>
          <w:sz w:val="24"/>
        </w:rPr>
      </w:pPr>
    </w:p>
    <w:p w:rsidR="00C87C35" w:rsidRPr="002B12EE" w:rsidRDefault="00C87C35" w:rsidP="002B12EE">
      <w:pPr>
        <w:spacing w:line="360" w:lineRule="auto"/>
        <w:rPr>
          <w:rFonts w:ascii="Book Antiqua" w:hAnsi="Book Antiqua"/>
          <w:kern w:val="3"/>
          <w:sz w:val="24"/>
        </w:rPr>
      </w:pPr>
      <w:r w:rsidRPr="002B12EE">
        <w:rPr>
          <w:rFonts w:ascii="Book Antiqua" w:hAnsi="Book Antiqua"/>
          <w:b/>
          <w:kern w:val="3"/>
          <w:sz w:val="24"/>
        </w:rPr>
        <w:lastRenderedPageBreak/>
        <w:t>Telephone:</w:t>
      </w:r>
      <w:r w:rsidRPr="002B12EE">
        <w:rPr>
          <w:rFonts w:ascii="Book Antiqua" w:hAnsi="Book Antiqua"/>
          <w:kern w:val="3"/>
          <w:sz w:val="24"/>
        </w:rPr>
        <w:t xml:space="preserve"> +86-25-83674636 </w:t>
      </w:r>
      <w:r w:rsidRPr="002B12EE">
        <w:rPr>
          <w:rFonts w:ascii="Book Antiqua" w:hAnsi="Book Antiqua"/>
          <w:kern w:val="3"/>
          <w:sz w:val="24"/>
        </w:rPr>
        <w:tab/>
      </w:r>
      <w:r>
        <w:rPr>
          <w:rFonts w:ascii="Book Antiqua" w:hAnsi="Book Antiqua"/>
          <w:kern w:val="3"/>
          <w:sz w:val="24"/>
        </w:rPr>
        <w:t xml:space="preserve">       </w:t>
      </w:r>
      <w:r w:rsidRPr="002B12EE">
        <w:rPr>
          <w:rFonts w:ascii="Book Antiqua" w:hAnsi="Book Antiqua"/>
          <w:b/>
          <w:kern w:val="3"/>
          <w:sz w:val="24"/>
        </w:rPr>
        <w:t>Fax:</w:t>
      </w:r>
      <w:r w:rsidRPr="002B12EE">
        <w:rPr>
          <w:rFonts w:ascii="Book Antiqua" w:hAnsi="Book Antiqua"/>
          <w:kern w:val="3"/>
          <w:sz w:val="24"/>
        </w:rPr>
        <w:t xml:space="preserve"> +86-25-83674636</w:t>
      </w:r>
    </w:p>
    <w:p w:rsidR="00C87C35" w:rsidRPr="002B12EE" w:rsidRDefault="00C87C35" w:rsidP="002B12EE">
      <w:pPr>
        <w:spacing w:line="360" w:lineRule="auto"/>
        <w:rPr>
          <w:rFonts w:ascii="Book Antiqua" w:hAnsi="Book Antiqua"/>
          <w:b/>
          <w:kern w:val="3"/>
          <w:sz w:val="24"/>
        </w:rPr>
      </w:pPr>
    </w:p>
    <w:p w:rsidR="00C87C35" w:rsidRPr="002B12EE" w:rsidRDefault="00C87C35" w:rsidP="002B12EE">
      <w:pPr>
        <w:spacing w:line="360" w:lineRule="auto"/>
        <w:rPr>
          <w:rFonts w:ascii="Book Antiqua" w:hAnsi="Book Antiqua"/>
          <w:b/>
          <w:kern w:val="3"/>
          <w:sz w:val="24"/>
        </w:rPr>
      </w:pPr>
      <w:r w:rsidRPr="002B12EE">
        <w:rPr>
          <w:rFonts w:ascii="Book Antiqua" w:hAnsi="Book Antiqua"/>
          <w:b/>
          <w:kern w:val="3"/>
          <w:sz w:val="24"/>
        </w:rPr>
        <w:t xml:space="preserve">Received: </w:t>
      </w:r>
      <w:r w:rsidRPr="00421E83">
        <w:rPr>
          <w:rFonts w:ascii="Book Antiqua" w:hAnsi="Book Antiqua"/>
          <w:sz w:val="24"/>
        </w:rPr>
        <w:t>October</w:t>
      </w:r>
      <w:r>
        <w:rPr>
          <w:rFonts w:ascii="Book Antiqua" w:hAnsi="Book Antiqua"/>
          <w:sz w:val="24"/>
        </w:rPr>
        <w:t xml:space="preserve"> 26, 2013  </w:t>
      </w:r>
      <w:r w:rsidRPr="002B12EE">
        <w:rPr>
          <w:rFonts w:ascii="Book Antiqua" w:hAnsi="Book Antiqua"/>
          <w:b/>
          <w:kern w:val="3"/>
          <w:sz w:val="24"/>
        </w:rPr>
        <w:t xml:space="preserve"> </w:t>
      </w:r>
      <w:r w:rsidRPr="002B12EE">
        <w:rPr>
          <w:rFonts w:ascii="Book Antiqua" w:hAnsi="Book Antiqua"/>
          <w:b/>
          <w:kern w:val="3"/>
          <w:sz w:val="24"/>
        </w:rPr>
        <w:tab/>
      </w:r>
      <w:r w:rsidRPr="002B12EE">
        <w:rPr>
          <w:rFonts w:ascii="Book Antiqua" w:hAnsi="Book Antiqua"/>
          <w:b/>
          <w:kern w:val="3"/>
          <w:sz w:val="24"/>
        </w:rPr>
        <w:tab/>
      </w:r>
      <w:r w:rsidRPr="002B12EE">
        <w:rPr>
          <w:rFonts w:ascii="Book Antiqua" w:hAnsi="Book Antiqua"/>
          <w:b/>
          <w:kern w:val="3"/>
          <w:sz w:val="24"/>
        </w:rPr>
        <w:tab/>
        <w:t>Revised:</w:t>
      </w:r>
      <w:r>
        <w:rPr>
          <w:rFonts w:ascii="Book Antiqua" w:hAnsi="Book Antiqua"/>
          <w:b/>
          <w:kern w:val="3"/>
          <w:sz w:val="24"/>
        </w:rPr>
        <w:t xml:space="preserve"> </w:t>
      </w:r>
      <w:bookmarkStart w:id="5" w:name="OLE_LINK8"/>
      <w:bookmarkStart w:id="6" w:name="OLE_LINK9"/>
      <w:r w:rsidRPr="00421E83">
        <w:rPr>
          <w:rFonts w:ascii="Book Antiqua" w:hAnsi="Book Antiqua"/>
          <w:sz w:val="24"/>
        </w:rPr>
        <w:t>December</w:t>
      </w:r>
      <w:bookmarkEnd w:id="5"/>
      <w:bookmarkEnd w:id="6"/>
      <w:r>
        <w:rPr>
          <w:rFonts w:ascii="Book Antiqua" w:hAnsi="Book Antiqua"/>
          <w:sz w:val="24"/>
        </w:rPr>
        <w:t xml:space="preserve"> 3, 2013</w:t>
      </w:r>
      <w:r w:rsidRPr="002B12EE">
        <w:rPr>
          <w:rFonts w:ascii="Book Antiqua" w:hAnsi="Book Antiqua"/>
          <w:b/>
          <w:kern w:val="3"/>
          <w:sz w:val="24"/>
        </w:rPr>
        <w:tab/>
      </w:r>
      <w:r w:rsidRPr="002B12EE">
        <w:rPr>
          <w:rFonts w:ascii="Book Antiqua" w:hAnsi="Book Antiqua"/>
          <w:b/>
          <w:kern w:val="3"/>
          <w:sz w:val="24"/>
        </w:rPr>
        <w:tab/>
      </w:r>
      <w:r w:rsidRPr="002B12EE">
        <w:rPr>
          <w:rFonts w:ascii="Book Antiqua" w:hAnsi="Book Antiqua"/>
          <w:b/>
          <w:kern w:val="3"/>
          <w:sz w:val="24"/>
        </w:rPr>
        <w:tab/>
      </w:r>
    </w:p>
    <w:p w:rsidR="00C667D9" w:rsidRPr="005065E4" w:rsidRDefault="00C87C35" w:rsidP="00C667D9">
      <w:pPr>
        <w:rPr>
          <w:rFonts w:ascii="Book Antiqua" w:hAnsi="Book Antiqua"/>
          <w:sz w:val="24"/>
        </w:rPr>
      </w:pPr>
      <w:r w:rsidRPr="002B12EE">
        <w:rPr>
          <w:rFonts w:ascii="Book Antiqua" w:hAnsi="Book Antiqua"/>
          <w:b/>
          <w:kern w:val="3"/>
          <w:sz w:val="24"/>
        </w:rPr>
        <w:t>Accepted:</w:t>
      </w:r>
      <w:bookmarkStart w:id="7" w:name="OLE_LINK1"/>
      <w:bookmarkStart w:id="8" w:name="OLE_LINK2"/>
      <w:r w:rsidR="00C667D9" w:rsidRPr="00C667D9">
        <w:rPr>
          <w:rFonts w:ascii="Book Antiqua" w:hAnsi="Book Antiqua"/>
          <w:sz w:val="24"/>
        </w:rPr>
        <w:t xml:space="preserve"> </w:t>
      </w:r>
      <w:r w:rsidR="00C667D9" w:rsidRPr="005065E4">
        <w:rPr>
          <w:rFonts w:ascii="Book Antiqua" w:hAnsi="Book Antiqua"/>
          <w:sz w:val="24"/>
        </w:rPr>
        <w:t>January 2, 2014</w:t>
      </w:r>
      <w:bookmarkEnd w:id="7"/>
      <w:bookmarkEnd w:id="8"/>
    </w:p>
    <w:p w:rsidR="00C87C35" w:rsidRPr="002B12EE" w:rsidRDefault="00C87C35" w:rsidP="002B12EE">
      <w:pPr>
        <w:spacing w:line="360" w:lineRule="auto"/>
        <w:rPr>
          <w:rFonts w:ascii="Book Antiqua" w:hAnsi="Book Antiqua"/>
          <w:b/>
          <w:kern w:val="3"/>
          <w:sz w:val="24"/>
        </w:rPr>
      </w:pPr>
      <w:bookmarkStart w:id="9" w:name="_GoBack"/>
      <w:bookmarkEnd w:id="9"/>
    </w:p>
    <w:p w:rsidR="00C87C35" w:rsidRPr="002B12EE" w:rsidRDefault="00C87C35" w:rsidP="002B12EE">
      <w:pPr>
        <w:spacing w:line="360" w:lineRule="auto"/>
        <w:rPr>
          <w:rFonts w:ascii="Book Antiqua" w:hAnsi="Book Antiqua"/>
          <w:b/>
          <w:kern w:val="3"/>
          <w:sz w:val="24"/>
        </w:rPr>
      </w:pPr>
      <w:r w:rsidRPr="002B12EE">
        <w:rPr>
          <w:rFonts w:ascii="Book Antiqua" w:hAnsi="Book Antiqua"/>
          <w:b/>
          <w:kern w:val="3"/>
          <w:sz w:val="24"/>
        </w:rPr>
        <w:t>Published online:</w:t>
      </w:r>
    </w:p>
    <w:p w:rsidR="00C87C35" w:rsidRPr="002B12EE" w:rsidRDefault="00C87C35" w:rsidP="002B12EE">
      <w:pPr>
        <w:spacing w:line="360" w:lineRule="auto"/>
        <w:rPr>
          <w:rFonts w:ascii="Book Antiqua" w:hAnsi="Book Antiqua"/>
          <w:kern w:val="3"/>
          <w:sz w:val="24"/>
        </w:rPr>
      </w:pPr>
    </w:p>
    <w:p w:rsidR="00C87C35" w:rsidRPr="002B12EE" w:rsidRDefault="00C87C35" w:rsidP="002B12EE">
      <w:pPr>
        <w:spacing w:line="360" w:lineRule="auto"/>
        <w:rPr>
          <w:rFonts w:ascii="Book Antiqua" w:hAnsi="Book Antiqua"/>
          <w:b/>
          <w:sz w:val="24"/>
        </w:rPr>
      </w:pPr>
    </w:p>
    <w:p w:rsidR="00C87C35" w:rsidRPr="002B12EE" w:rsidRDefault="00C87C35" w:rsidP="002B12EE">
      <w:pPr>
        <w:spacing w:line="360" w:lineRule="auto"/>
        <w:rPr>
          <w:rFonts w:ascii="Book Antiqua" w:hAnsi="Book Antiqua"/>
          <w:b/>
          <w:sz w:val="24"/>
        </w:rPr>
      </w:pPr>
    </w:p>
    <w:p w:rsidR="00C87C35" w:rsidRPr="002B12EE" w:rsidRDefault="00C87C35" w:rsidP="002B12EE">
      <w:pPr>
        <w:spacing w:line="360" w:lineRule="auto"/>
        <w:rPr>
          <w:rFonts w:ascii="Book Antiqua" w:hAnsi="Book Antiqua"/>
          <w:b/>
          <w:sz w:val="24"/>
        </w:rPr>
      </w:pPr>
    </w:p>
    <w:p w:rsidR="00C87C35" w:rsidRPr="002B12EE" w:rsidRDefault="00C87C35" w:rsidP="002B12EE">
      <w:pPr>
        <w:spacing w:line="360" w:lineRule="auto"/>
        <w:rPr>
          <w:rFonts w:ascii="Book Antiqua" w:hAnsi="Book Antiqua"/>
          <w:b/>
          <w:sz w:val="24"/>
        </w:rPr>
      </w:pPr>
    </w:p>
    <w:p w:rsidR="00C87C35" w:rsidRPr="002B12EE" w:rsidRDefault="00C87C35" w:rsidP="002B12EE">
      <w:pPr>
        <w:spacing w:line="360" w:lineRule="auto"/>
        <w:rPr>
          <w:rFonts w:ascii="Book Antiqua" w:hAnsi="Book Antiqua"/>
          <w:b/>
          <w:sz w:val="24"/>
        </w:rPr>
      </w:pPr>
    </w:p>
    <w:p w:rsidR="00C87C35" w:rsidRPr="002B12EE" w:rsidRDefault="00C87C35" w:rsidP="002B12EE">
      <w:pPr>
        <w:spacing w:line="360" w:lineRule="auto"/>
        <w:rPr>
          <w:rFonts w:ascii="Book Antiqua" w:hAnsi="Book Antiqua"/>
          <w:b/>
          <w:sz w:val="24"/>
        </w:rPr>
      </w:pPr>
    </w:p>
    <w:p w:rsidR="00C87C35" w:rsidRPr="002B12EE" w:rsidRDefault="00C87C35" w:rsidP="002B12EE">
      <w:pPr>
        <w:spacing w:line="360" w:lineRule="auto"/>
        <w:rPr>
          <w:rFonts w:ascii="Book Antiqua" w:hAnsi="Book Antiqua"/>
          <w:b/>
          <w:sz w:val="24"/>
        </w:rPr>
      </w:pPr>
      <w:r w:rsidRPr="002B12EE">
        <w:rPr>
          <w:rFonts w:ascii="Book Antiqua" w:hAnsi="Book Antiqua"/>
          <w:b/>
          <w:sz w:val="24"/>
        </w:rPr>
        <w:br w:type="page"/>
      </w:r>
      <w:r w:rsidRPr="002B12EE">
        <w:rPr>
          <w:rFonts w:ascii="Book Antiqua" w:hAnsi="Book Antiqua"/>
          <w:b/>
          <w:sz w:val="24"/>
        </w:rPr>
        <w:lastRenderedPageBreak/>
        <w:t>Abstract</w:t>
      </w:r>
    </w:p>
    <w:p w:rsidR="00C87C35" w:rsidRPr="002B12EE" w:rsidRDefault="00C87C35" w:rsidP="002B12EE">
      <w:pPr>
        <w:spacing w:line="360" w:lineRule="auto"/>
        <w:rPr>
          <w:rFonts w:ascii="Book Antiqua" w:hAnsi="Book Antiqua"/>
          <w:kern w:val="3"/>
          <w:sz w:val="24"/>
        </w:rPr>
      </w:pPr>
      <w:r w:rsidRPr="002B12EE">
        <w:rPr>
          <w:rFonts w:ascii="Book Antiqua" w:hAnsi="Book Antiqua"/>
          <w:b/>
          <w:sz w:val="24"/>
        </w:rPr>
        <w:t>AIM:</w:t>
      </w:r>
      <w:r w:rsidRPr="002B12EE">
        <w:rPr>
          <w:rFonts w:ascii="Book Antiqua" w:hAnsi="Book Antiqua"/>
          <w:b/>
          <w:kern w:val="3"/>
          <w:sz w:val="24"/>
        </w:rPr>
        <w:t xml:space="preserve"> </w:t>
      </w:r>
      <w:r w:rsidRPr="002B12EE">
        <w:rPr>
          <w:rFonts w:ascii="Book Antiqua" w:hAnsi="Book Antiqua"/>
          <w:kern w:val="3"/>
          <w:sz w:val="24"/>
        </w:rPr>
        <w:t>To investigate the efficacy of adding prokinetics to proton pump inhibitors (PPIs) for the treatment of gastroesophageal reflux diseases (GERDs).</w:t>
      </w:r>
    </w:p>
    <w:p w:rsidR="00C87C35" w:rsidRPr="002B12EE" w:rsidRDefault="00C87C35" w:rsidP="002B12EE">
      <w:pPr>
        <w:spacing w:line="360" w:lineRule="auto"/>
        <w:rPr>
          <w:rFonts w:ascii="Book Antiqua" w:hAnsi="Book Antiqua"/>
          <w:sz w:val="24"/>
        </w:rPr>
      </w:pPr>
    </w:p>
    <w:p w:rsidR="00C87C35" w:rsidRPr="002B12EE" w:rsidRDefault="00C87C35" w:rsidP="002B12EE">
      <w:pPr>
        <w:spacing w:line="360" w:lineRule="auto"/>
        <w:rPr>
          <w:rFonts w:ascii="Book Antiqua" w:hAnsi="Book Antiqua"/>
          <w:kern w:val="3"/>
          <w:sz w:val="24"/>
        </w:rPr>
      </w:pPr>
      <w:r w:rsidRPr="002B12EE">
        <w:rPr>
          <w:rFonts w:ascii="Book Antiqua" w:hAnsi="Book Antiqua"/>
          <w:b/>
          <w:sz w:val="24"/>
        </w:rPr>
        <w:t>METHODS:</w:t>
      </w:r>
      <w:r w:rsidRPr="002B12EE">
        <w:rPr>
          <w:rFonts w:ascii="Book Antiqua" w:hAnsi="Book Antiqua"/>
          <w:sz w:val="24"/>
        </w:rPr>
        <w:t xml:space="preserve"> </w:t>
      </w:r>
      <w:r w:rsidRPr="002B12EE">
        <w:rPr>
          <w:rFonts w:ascii="Book Antiqua" w:hAnsi="Book Antiqua"/>
          <w:kern w:val="3"/>
          <w:sz w:val="24"/>
        </w:rPr>
        <w:t xml:space="preserve">PubMed, </w:t>
      </w:r>
      <w:r w:rsidRPr="002B12EE">
        <w:rPr>
          <w:rFonts w:ascii="Book Antiqua" w:hAnsi="Book Antiqua"/>
          <w:kern w:val="21"/>
          <w:sz w:val="24"/>
        </w:rPr>
        <w:t>Cochrane Library, and</w:t>
      </w:r>
      <w:r w:rsidRPr="002B12EE">
        <w:rPr>
          <w:rFonts w:ascii="Book Antiqua" w:hAnsi="Book Antiqua"/>
          <w:kern w:val="3"/>
          <w:sz w:val="24"/>
        </w:rPr>
        <w:t xml:space="preserve"> Web of Knowledge databases (prior to October 2013) were systematically searched for randomized controlled trials (RCTs) that compared therapeutic efficacy of PPI alone (single therapy) or PPI plus prokinetics (combined therapy) for GERD. The primary outcome of those selected trials was complete or partial relief of non-erosive reflux disease (NERD) symptoms or mucosal healing in erosive reflux esophagitis (RE). Using the test of heterogeneity, we established a fixed or random effects model where the risk ratio (RR) was the primary readout for measuring efficacy.</w:t>
      </w:r>
    </w:p>
    <w:p w:rsidR="00C87C35" w:rsidRPr="002B12EE" w:rsidRDefault="00C87C35" w:rsidP="002B12EE">
      <w:pPr>
        <w:spacing w:line="360" w:lineRule="auto"/>
        <w:rPr>
          <w:rFonts w:ascii="Book Antiqua" w:hAnsi="Book Antiqua"/>
          <w:kern w:val="3"/>
          <w:sz w:val="24"/>
        </w:rPr>
      </w:pPr>
    </w:p>
    <w:p w:rsidR="00C87C35" w:rsidRPr="002B12EE" w:rsidRDefault="00C87C35" w:rsidP="002B12EE">
      <w:pPr>
        <w:spacing w:line="360" w:lineRule="auto"/>
        <w:rPr>
          <w:rFonts w:ascii="Book Antiqua" w:hAnsi="Book Antiqua"/>
          <w:color w:val="000000"/>
          <w:kern w:val="3"/>
          <w:sz w:val="24"/>
        </w:rPr>
      </w:pPr>
      <w:r w:rsidRPr="002B12EE">
        <w:rPr>
          <w:rFonts w:ascii="Book Antiqua" w:hAnsi="Book Antiqua"/>
          <w:b/>
          <w:sz w:val="24"/>
        </w:rPr>
        <w:t xml:space="preserve">RESULTS: </w:t>
      </w:r>
      <w:r w:rsidRPr="002B12EE">
        <w:rPr>
          <w:rFonts w:ascii="Book Antiqua" w:hAnsi="Book Antiqua"/>
          <w:kern w:val="3"/>
          <w:sz w:val="24"/>
        </w:rPr>
        <w:t>Twelve RCTs including 2403 patients in total were enrolled in this study. There was n</w:t>
      </w:r>
      <w:r w:rsidRPr="002B12EE">
        <w:rPr>
          <w:rFonts w:ascii="Book Antiqua" w:hAnsi="Book Antiqua"/>
          <w:color w:val="000000"/>
          <w:kern w:val="3"/>
          <w:sz w:val="24"/>
        </w:rPr>
        <w:t xml:space="preserve">o significant relief of symptoms or alterations in endoscopic responses to combined therapy </w:t>
      </w:r>
      <w:r>
        <w:rPr>
          <w:rFonts w:ascii="Book Antiqua" w:hAnsi="Book Antiqua"/>
          <w:color w:val="000000"/>
          <w:kern w:val="3"/>
          <w:sz w:val="24"/>
        </w:rPr>
        <w:t>relative to single therapy (1.0-</w:t>
      </w:r>
      <w:r w:rsidRPr="002B12EE">
        <w:rPr>
          <w:rFonts w:ascii="Book Antiqua" w:hAnsi="Book Antiqua"/>
          <w:color w:val="000000"/>
          <w:kern w:val="3"/>
          <w:sz w:val="24"/>
        </w:rPr>
        <w:t xml:space="preserve">1.2, </w:t>
      </w:r>
      <w:r w:rsidRPr="002B12EE">
        <w:rPr>
          <w:rFonts w:ascii="Book Antiqua" w:hAnsi="Book Antiqua"/>
          <w:i/>
          <w:color w:val="000000"/>
          <w:kern w:val="3"/>
          <w:sz w:val="24"/>
        </w:rPr>
        <w:t>P =</w:t>
      </w:r>
      <w:r w:rsidRPr="002B12EE">
        <w:rPr>
          <w:rFonts w:ascii="Book Antiqua" w:hAnsi="Book Antiqua"/>
          <w:color w:val="000000"/>
          <w:kern w:val="3"/>
          <w:sz w:val="24"/>
        </w:rPr>
        <w:t xml:space="preserve"> 0.05; 0.66</w:t>
      </w:r>
      <w:r>
        <w:rPr>
          <w:rFonts w:ascii="Book Antiqua" w:hAnsi="Book Antiqua"/>
          <w:color w:val="000000"/>
          <w:kern w:val="3"/>
          <w:sz w:val="24"/>
        </w:rPr>
        <w:t>-</w:t>
      </w:r>
      <w:r w:rsidRPr="002B12EE">
        <w:rPr>
          <w:rFonts w:ascii="Book Antiqua" w:hAnsi="Book Antiqua"/>
          <w:color w:val="000000"/>
          <w:kern w:val="3"/>
          <w:sz w:val="24"/>
        </w:rPr>
        <w:t xml:space="preserve">2.61, </w:t>
      </w:r>
      <w:r w:rsidRPr="002B12EE">
        <w:rPr>
          <w:rFonts w:ascii="Book Antiqua" w:hAnsi="Book Antiqua"/>
          <w:i/>
          <w:color w:val="000000"/>
          <w:kern w:val="3"/>
          <w:sz w:val="24"/>
        </w:rPr>
        <w:t>P =</w:t>
      </w:r>
      <w:r w:rsidRPr="002B12EE">
        <w:rPr>
          <w:rFonts w:ascii="Book Antiqua" w:hAnsi="Book Antiqua"/>
          <w:color w:val="000000"/>
          <w:kern w:val="3"/>
          <w:sz w:val="24"/>
        </w:rPr>
        <w:t xml:space="preserve"> 0.44). However, combined therapy was associated with a greater symptom score change relative to single therapy (2.14</w:t>
      </w:r>
      <w:r>
        <w:rPr>
          <w:rFonts w:ascii="Book Antiqua" w:hAnsi="Book Antiqua"/>
          <w:color w:val="000000"/>
          <w:kern w:val="3"/>
          <w:sz w:val="24"/>
        </w:rPr>
        <w:t>-</w:t>
      </w:r>
      <w:r w:rsidRPr="002B12EE">
        <w:rPr>
          <w:rFonts w:ascii="Book Antiqua" w:hAnsi="Book Antiqua"/>
          <w:color w:val="000000"/>
          <w:kern w:val="3"/>
          <w:sz w:val="24"/>
        </w:rPr>
        <w:t xml:space="preserve">3.02, </w:t>
      </w:r>
      <w:r w:rsidRPr="002B12EE">
        <w:rPr>
          <w:rFonts w:ascii="Book Antiqua" w:hAnsi="Book Antiqua"/>
          <w:i/>
          <w:color w:val="000000"/>
          <w:kern w:val="3"/>
          <w:sz w:val="24"/>
        </w:rPr>
        <w:t>P &lt;</w:t>
      </w:r>
      <w:r w:rsidRPr="002B12EE">
        <w:rPr>
          <w:rFonts w:ascii="Book Antiqua" w:hAnsi="Book Antiqua"/>
          <w:color w:val="000000"/>
          <w:kern w:val="3"/>
          <w:sz w:val="24"/>
        </w:rPr>
        <w:t xml:space="preserve"> 0.00001). Although there was a reduction in the number of reflux episodes in GERD (-5.96</w:t>
      </w:r>
      <w:r>
        <w:rPr>
          <w:rFonts w:ascii="Book Antiqua" w:hAnsi="Book Antiqua"/>
          <w:color w:val="000000"/>
          <w:kern w:val="3"/>
          <w:sz w:val="24"/>
        </w:rPr>
        <w:t>-</w:t>
      </w:r>
      <w:r w:rsidRPr="002B12EE">
        <w:rPr>
          <w:rFonts w:ascii="Book Antiqua" w:hAnsi="Book Antiqua"/>
          <w:color w:val="000000"/>
          <w:kern w:val="3"/>
          <w:sz w:val="24"/>
        </w:rPr>
        <w:t xml:space="preserve">-1.78, </w:t>
      </w:r>
      <w:r w:rsidRPr="002B12EE">
        <w:rPr>
          <w:rFonts w:ascii="Book Antiqua" w:hAnsi="Book Antiqua"/>
          <w:i/>
          <w:color w:val="000000"/>
          <w:kern w:val="3"/>
          <w:sz w:val="24"/>
        </w:rPr>
        <w:t>P =</w:t>
      </w:r>
      <w:r w:rsidRPr="002B12EE">
        <w:rPr>
          <w:rFonts w:ascii="Book Antiqua" w:hAnsi="Book Antiqua"/>
          <w:color w:val="000000"/>
          <w:kern w:val="3"/>
          <w:sz w:val="24"/>
        </w:rPr>
        <w:t xml:space="preserve"> 0.0003) with the combined therapy, there was no significant effect on acid exposure time (-0.37</w:t>
      </w:r>
      <w:r>
        <w:rPr>
          <w:rFonts w:ascii="Book Antiqua" w:hAnsi="Book Antiqua"/>
          <w:color w:val="000000"/>
          <w:kern w:val="3"/>
          <w:sz w:val="24"/>
        </w:rPr>
        <w:t>-</w:t>
      </w:r>
      <w:r w:rsidRPr="002B12EE">
        <w:rPr>
          <w:rFonts w:ascii="Book Antiqua" w:hAnsi="Book Antiqua"/>
          <w:color w:val="000000"/>
          <w:kern w:val="3"/>
          <w:sz w:val="24"/>
        </w:rPr>
        <w:t xml:space="preserve">0.60, </w:t>
      </w:r>
      <w:r w:rsidRPr="002B12EE">
        <w:rPr>
          <w:rFonts w:ascii="Book Antiqua" w:hAnsi="Book Antiqua"/>
          <w:i/>
          <w:color w:val="000000"/>
          <w:kern w:val="3"/>
          <w:sz w:val="24"/>
        </w:rPr>
        <w:t>P =</w:t>
      </w:r>
      <w:r w:rsidRPr="002B12EE">
        <w:rPr>
          <w:rFonts w:ascii="Book Antiqua" w:hAnsi="Book Antiqua"/>
          <w:color w:val="000000"/>
          <w:kern w:val="3"/>
          <w:sz w:val="24"/>
        </w:rPr>
        <w:t xml:space="preserve"> 0.65). The proportion of patients with adverse effects undergoing combined therapy was significantly higher than for PPI therapy alone (1.06</w:t>
      </w:r>
      <w:r>
        <w:rPr>
          <w:rFonts w:ascii="Book Antiqua" w:hAnsi="Book Antiqua"/>
          <w:color w:val="000000"/>
          <w:kern w:val="3"/>
          <w:sz w:val="24"/>
        </w:rPr>
        <w:t>-</w:t>
      </w:r>
      <w:r w:rsidRPr="002B12EE">
        <w:rPr>
          <w:rFonts w:ascii="Book Antiqua" w:hAnsi="Book Antiqua"/>
          <w:color w:val="000000"/>
          <w:kern w:val="3"/>
          <w:sz w:val="24"/>
        </w:rPr>
        <w:t xml:space="preserve">1.36, </w:t>
      </w:r>
      <w:r w:rsidRPr="002B12EE">
        <w:rPr>
          <w:rFonts w:ascii="Book Antiqua" w:hAnsi="Book Antiqua"/>
          <w:i/>
          <w:color w:val="000000"/>
          <w:kern w:val="3"/>
          <w:sz w:val="24"/>
        </w:rPr>
        <w:t>P =</w:t>
      </w:r>
      <w:r w:rsidRPr="002B12EE">
        <w:rPr>
          <w:rFonts w:ascii="Book Antiqua" w:hAnsi="Book Antiqua"/>
          <w:color w:val="000000"/>
          <w:kern w:val="3"/>
          <w:sz w:val="24"/>
        </w:rPr>
        <w:t xml:space="preserve"> 0.005) when the difference between 5-HT receptor agonist and PPI combined therapy and single therapy (0.84</w:t>
      </w:r>
      <w:r>
        <w:rPr>
          <w:rFonts w:ascii="Book Antiqua" w:hAnsi="Book Antiqua"/>
          <w:color w:val="000000"/>
          <w:kern w:val="3"/>
          <w:sz w:val="24"/>
        </w:rPr>
        <w:t>-</w:t>
      </w:r>
      <w:r w:rsidRPr="002B12EE">
        <w:rPr>
          <w:rFonts w:ascii="Book Antiqua" w:hAnsi="Book Antiqua"/>
          <w:color w:val="000000"/>
          <w:kern w:val="3"/>
          <w:sz w:val="24"/>
        </w:rPr>
        <w:t xml:space="preserve">1.39, </w:t>
      </w:r>
      <w:r w:rsidRPr="002B12EE">
        <w:rPr>
          <w:rFonts w:ascii="Book Antiqua" w:hAnsi="Book Antiqua"/>
          <w:i/>
          <w:color w:val="000000"/>
          <w:kern w:val="3"/>
          <w:sz w:val="24"/>
        </w:rPr>
        <w:t>P =</w:t>
      </w:r>
      <w:r w:rsidRPr="002B12EE">
        <w:rPr>
          <w:rFonts w:ascii="Book Antiqua" w:hAnsi="Book Antiqua"/>
          <w:color w:val="000000"/>
          <w:kern w:val="3"/>
          <w:sz w:val="24"/>
        </w:rPr>
        <w:t xml:space="preserve"> 0.53) was excluded.</w:t>
      </w:r>
    </w:p>
    <w:p w:rsidR="00C87C35" w:rsidRPr="002B12EE" w:rsidRDefault="00C87C35" w:rsidP="002B12EE">
      <w:pPr>
        <w:spacing w:line="360" w:lineRule="auto"/>
        <w:rPr>
          <w:rFonts w:ascii="Book Antiqua" w:hAnsi="Book Antiqua"/>
          <w:color w:val="000000"/>
          <w:kern w:val="3"/>
          <w:sz w:val="24"/>
        </w:rPr>
      </w:pPr>
    </w:p>
    <w:p w:rsidR="00C87C35" w:rsidRPr="002B12EE" w:rsidRDefault="00C87C35" w:rsidP="002B12EE">
      <w:pPr>
        <w:spacing w:line="360" w:lineRule="auto"/>
        <w:rPr>
          <w:rFonts w:ascii="Book Antiqua" w:hAnsi="Book Antiqua"/>
          <w:kern w:val="3"/>
          <w:sz w:val="24"/>
        </w:rPr>
      </w:pPr>
      <w:r w:rsidRPr="002B12EE">
        <w:rPr>
          <w:rFonts w:ascii="Book Antiqua" w:hAnsi="Book Antiqua"/>
          <w:b/>
          <w:sz w:val="24"/>
        </w:rPr>
        <w:t>CONCLUSION:</w:t>
      </w:r>
      <w:r w:rsidRPr="002B12EE">
        <w:rPr>
          <w:rFonts w:ascii="Book Antiqua" w:hAnsi="Book Antiqua"/>
          <w:kern w:val="21"/>
          <w:sz w:val="24"/>
        </w:rPr>
        <w:t xml:space="preserve"> </w:t>
      </w:r>
      <w:r w:rsidRPr="002B12EE">
        <w:rPr>
          <w:rFonts w:ascii="Book Antiqua" w:hAnsi="Book Antiqua"/>
          <w:kern w:val="3"/>
          <w:sz w:val="24"/>
        </w:rPr>
        <w:t xml:space="preserve">Combined therapy may partially improve patient quality of life, but has no significant effect on symptoms or endoscopic response of </w:t>
      </w:r>
      <w:r w:rsidRPr="002B12EE">
        <w:rPr>
          <w:rFonts w:ascii="Book Antiqua" w:hAnsi="Book Antiqua"/>
          <w:kern w:val="3"/>
          <w:sz w:val="24"/>
        </w:rPr>
        <w:lastRenderedPageBreak/>
        <w:t>GERDs.</w:t>
      </w:r>
    </w:p>
    <w:p w:rsidR="00C87C35" w:rsidRPr="002B12EE" w:rsidRDefault="00C87C35" w:rsidP="002B12EE">
      <w:pPr>
        <w:spacing w:line="360" w:lineRule="auto"/>
        <w:rPr>
          <w:rFonts w:ascii="Book Antiqua" w:hAnsi="Book Antiqua"/>
          <w:kern w:val="3"/>
          <w:sz w:val="24"/>
        </w:rPr>
      </w:pPr>
    </w:p>
    <w:p w:rsidR="00C87C35" w:rsidRPr="002B12EE" w:rsidRDefault="00C87C35" w:rsidP="002B12EE">
      <w:pPr>
        <w:spacing w:line="360" w:lineRule="auto"/>
        <w:rPr>
          <w:rFonts w:ascii="Book Antiqua" w:hAnsi="Book Antiqua"/>
          <w:sz w:val="24"/>
        </w:rPr>
      </w:pPr>
      <w:r w:rsidRPr="002B12EE">
        <w:rPr>
          <w:rFonts w:ascii="Book Antiqua" w:hAnsi="Book Antiqua"/>
          <w:sz w:val="24"/>
        </w:rPr>
        <w:t>© 2013 Baishideng Publishing Group Co., Limited. All rights reserved.</w:t>
      </w:r>
    </w:p>
    <w:p w:rsidR="00C87C35" w:rsidRPr="002B12EE" w:rsidRDefault="00C87C35" w:rsidP="002B12EE">
      <w:pPr>
        <w:spacing w:line="360" w:lineRule="auto"/>
        <w:rPr>
          <w:rFonts w:ascii="Book Antiqua" w:hAnsi="Book Antiqua"/>
          <w:kern w:val="3"/>
          <w:sz w:val="24"/>
        </w:rPr>
      </w:pPr>
    </w:p>
    <w:p w:rsidR="00C87C35" w:rsidRPr="002B12EE" w:rsidRDefault="00C87C35" w:rsidP="002B12EE">
      <w:pPr>
        <w:spacing w:line="360" w:lineRule="auto"/>
        <w:rPr>
          <w:rFonts w:ascii="Book Antiqua" w:hAnsi="Book Antiqua"/>
          <w:kern w:val="3"/>
          <w:sz w:val="24"/>
        </w:rPr>
      </w:pPr>
      <w:r w:rsidRPr="002B12EE">
        <w:rPr>
          <w:rFonts w:ascii="Book Antiqua" w:hAnsi="Book Antiqua"/>
          <w:b/>
          <w:sz w:val="24"/>
        </w:rPr>
        <w:t xml:space="preserve">Key words: </w:t>
      </w:r>
      <w:r w:rsidRPr="002B12EE">
        <w:rPr>
          <w:rFonts w:ascii="Book Antiqua" w:hAnsi="Book Antiqua"/>
          <w:kern w:val="3"/>
          <w:sz w:val="24"/>
        </w:rPr>
        <w:t>Gastroesophageal reflux diseases; Proton pump inhibitors; Prokinetics; GABA-B receptor agonists; Treatment; Meta-analysis</w:t>
      </w:r>
    </w:p>
    <w:p w:rsidR="00C87C35" w:rsidRPr="002B12EE" w:rsidRDefault="00C87C35" w:rsidP="002B12EE">
      <w:pPr>
        <w:spacing w:line="360" w:lineRule="auto"/>
        <w:rPr>
          <w:rFonts w:ascii="Book Antiqua" w:hAnsi="Book Antiqua"/>
          <w:kern w:val="3"/>
          <w:sz w:val="24"/>
        </w:rPr>
      </w:pPr>
    </w:p>
    <w:p w:rsidR="00C87C35" w:rsidRPr="002B12EE" w:rsidRDefault="00C87C35" w:rsidP="002B12EE">
      <w:pPr>
        <w:spacing w:line="360" w:lineRule="auto"/>
        <w:rPr>
          <w:rFonts w:ascii="Book Antiqua" w:hAnsi="Book Antiqua"/>
          <w:b/>
          <w:kern w:val="3"/>
          <w:sz w:val="24"/>
        </w:rPr>
      </w:pPr>
      <w:r w:rsidRPr="002B12EE">
        <w:rPr>
          <w:rFonts w:ascii="Book Antiqua" w:hAnsi="Book Antiqua"/>
          <w:b/>
          <w:kern w:val="3"/>
          <w:sz w:val="24"/>
        </w:rPr>
        <w:t xml:space="preserve">Core tip: </w:t>
      </w:r>
      <w:r w:rsidRPr="002B12EE">
        <w:rPr>
          <w:rFonts w:ascii="Book Antiqua" w:hAnsi="Book Antiqua"/>
          <w:kern w:val="3"/>
          <w:sz w:val="24"/>
        </w:rPr>
        <w:t>Proton pump inhibitors (PPIs) are generally accepted as the standard treatment of care for gastroesophageal reflux diseases (GERDs). However, many patients undergoing PPI treatment have no effective symptomatic relief. Although many studies have shown the clinical efficacy of adding prokinetics to PPI therapy in GERD, others have shown no therapeutic benefit. The efficacy and safety of combined prokinetic and PPI therapy with GERD remains controversial. In this retrospective meta-analysis, we find no advantage for the addition of prokinetics to a PPI therapeutic regimen, relative to PPI alone. However, combination therapy may improve symptom score and patient quality of life.</w:t>
      </w:r>
    </w:p>
    <w:p w:rsidR="00C87C35" w:rsidRPr="002B12EE" w:rsidRDefault="00C87C35" w:rsidP="002B12EE">
      <w:pPr>
        <w:spacing w:line="360" w:lineRule="auto"/>
        <w:rPr>
          <w:rFonts w:ascii="Book Antiqua" w:hAnsi="Book Antiqua"/>
          <w:color w:val="FF0000"/>
          <w:kern w:val="3"/>
          <w:sz w:val="24"/>
        </w:rPr>
      </w:pPr>
    </w:p>
    <w:p w:rsidR="00C87C35" w:rsidRPr="002B12EE" w:rsidRDefault="00C87C35" w:rsidP="002B12EE">
      <w:pPr>
        <w:pStyle w:val="Default"/>
        <w:spacing w:line="360" w:lineRule="auto"/>
        <w:jc w:val="both"/>
      </w:pPr>
      <w:r w:rsidRPr="002B12EE">
        <w:t xml:space="preserve">Ren LH, Qian LJ, Li S, Chen WX, Gu M, Shi RH. Addition of prokinetics to PPI therapy in gastroesophageal reflux diseases: A meta-analysis. </w:t>
      </w:r>
      <w:r w:rsidRPr="002B12EE">
        <w:rPr>
          <w:i/>
          <w:iCs/>
        </w:rPr>
        <w:t xml:space="preserve">World J Gastroenterol </w:t>
      </w:r>
      <w:r w:rsidRPr="002B12EE">
        <w:t xml:space="preserve">2013; </w:t>
      </w:r>
    </w:p>
    <w:p w:rsidR="00C87C35" w:rsidRPr="002B12EE" w:rsidRDefault="00C87C35" w:rsidP="002B12EE">
      <w:pPr>
        <w:pStyle w:val="p0"/>
        <w:spacing w:line="360" w:lineRule="auto"/>
        <w:jc w:val="both"/>
        <w:rPr>
          <w:rFonts w:cs="Book Antiqua"/>
          <w:b/>
          <w:bCs/>
          <w:color w:val="000000"/>
        </w:rPr>
      </w:pPr>
    </w:p>
    <w:p w:rsidR="00C87C35" w:rsidRPr="002B12EE" w:rsidRDefault="00C87C35" w:rsidP="002B12EE">
      <w:pPr>
        <w:pStyle w:val="p0"/>
        <w:spacing w:line="360" w:lineRule="auto"/>
        <w:jc w:val="both"/>
        <w:rPr>
          <w:rFonts w:cs="Book Antiqua"/>
          <w:color w:val="000000"/>
        </w:rPr>
      </w:pPr>
      <w:r w:rsidRPr="002B12EE">
        <w:rPr>
          <w:rFonts w:cs="Book Antiqua"/>
          <w:b/>
          <w:bCs/>
          <w:color w:val="000000"/>
        </w:rPr>
        <w:t xml:space="preserve">Available from: </w:t>
      </w:r>
      <w:r w:rsidRPr="002B12EE">
        <w:rPr>
          <w:rFonts w:cs="Book Antiqua"/>
          <w:color w:val="000000"/>
        </w:rPr>
        <w:t xml:space="preserve">URL: http://www.wjgnet.com/esps/ </w:t>
      </w:r>
    </w:p>
    <w:p w:rsidR="00C87C35" w:rsidRPr="002B12EE" w:rsidRDefault="00C87C35" w:rsidP="002B12EE">
      <w:pPr>
        <w:spacing w:line="360" w:lineRule="auto"/>
        <w:rPr>
          <w:rFonts w:ascii="Book Antiqua" w:hAnsi="Book Antiqua"/>
          <w:color w:val="FF0000"/>
          <w:kern w:val="3"/>
          <w:sz w:val="24"/>
        </w:rPr>
      </w:pPr>
      <w:r w:rsidRPr="002B12EE">
        <w:rPr>
          <w:rFonts w:ascii="Book Antiqua" w:hAnsi="Book Antiqua"/>
          <w:b/>
          <w:bCs/>
          <w:sz w:val="24"/>
        </w:rPr>
        <w:t xml:space="preserve">DOI: </w:t>
      </w:r>
      <w:r w:rsidRPr="002B12EE">
        <w:rPr>
          <w:rFonts w:ascii="Book Antiqua" w:hAnsi="Book Antiqua"/>
          <w:sz w:val="24"/>
        </w:rPr>
        <w:t>http://dx.doi.org/</w:t>
      </w:r>
    </w:p>
    <w:p w:rsidR="00C87C35" w:rsidRPr="002B12EE" w:rsidRDefault="00C87C35" w:rsidP="002B12EE">
      <w:pPr>
        <w:spacing w:line="360" w:lineRule="auto"/>
        <w:rPr>
          <w:rFonts w:ascii="Book Antiqua" w:hAnsi="Book Antiqua"/>
          <w:kern w:val="21"/>
          <w:sz w:val="24"/>
        </w:rPr>
      </w:pPr>
    </w:p>
    <w:p w:rsidR="00C87C35" w:rsidRPr="002B12EE" w:rsidRDefault="00C87C35" w:rsidP="002B12EE">
      <w:pPr>
        <w:spacing w:line="360" w:lineRule="auto"/>
        <w:rPr>
          <w:rFonts w:ascii="Book Antiqua" w:hAnsi="Book Antiqua"/>
          <w:b/>
          <w:sz w:val="24"/>
        </w:rPr>
      </w:pPr>
      <w:r w:rsidRPr="002B12EE">
        <w:rPr>
          <w:rFonts w:ascii="Book Antiqua" w:hAnsi="Book Antiqua"/>
          <w:b/>
          <w:sz w:val="24"/>
        </w:rPr>
        <w:br w:type="page"/>
      </w:r>
      <w:r w:rsidRPr="002B12EE">
        <w:rPr>
          <w:rFonts w:ascii="Book Antiqua" w:hAnsi="Book Antiqua"/>
          <w:b/>
          <w:sz w:val="24"/>
        </w:rPr>
        <w:lastRenderedPageBreak/>
        <w:t>INTRODUCTION</w:t>
      </w:r>
    </w:p>
    <w:p w:rsidR="00C87C35" w:rsidRPr="002B12EE" w:rsidRDefault="00C87C35" w:rsidP="002B12EE">
      <w:pPr>
        <w:spacing w:line="360" w:lineRule="auto"/>
        <w:rPr>
          <w:rFonts w:ascii="Book Antiqua" w:hAnsi="Book Antiqua"/>
          <w:kern w:val="3"/>
          <w:sz w:val="24"/>
        </w:rPr>
      </w:pPr>
      <w:r w:rsidRPr="002B12EE">
        <w:rPr>
          <w:rFonts w:ascii="Book Antiqua" w:hAnsi="Book Antiqua"/>
          <w:kern w:val="3"/>
          <w:sz w:val="24"/>
        </w:rPr>
        <w:t>Gastroesophageal reflux disease (GERD) is a common condition affecting 10 - 20% of Europeans</w:t>
      </w:r>
      <w:r w:rsidRPr="002B12EE">
        <w:rPr>
          <w:rFonts w:ascii="Book Antiqua" w:hAnsi="Book Antiqua"/>
          <w:kern w:val="3"/>
          <w:sz w:val="24"/>
          <w:vertAlign w:val="superscript"/>
        </w:rPr>
        <w:t>[1]</w:t>
      </w:r>
      <w:r w:rsidRPr="002B12EE">
        <w:rPr>
          <w:rFonts w:ascii="Book Antiqua" w:hAnsi="Book Antiqua"/>
          <w:kern w:val="3"/>
          <w:sz w:val="24"/>
        </w:rPr>
        <w:t xml:space="preserve"> and 3%-7% of Asians</w:t>
      </w:r>
      <w:r w:rsidRPr="002B12EE">
        <w:rPr>
          <w:rFonts w:ascii="Book Antiqua" w:hAnsi="Book Antiqua"/>
          <w:kern w:val="3"/>
          <w:sz w:val="24"/>
          <w:vertAlign w:val="superscript"/>
        </w:rPr>
        <w:t>[2]</w:t>
      </w:r>
      <w:r w:rsidRPr="002B12EE">
        <w:rPr>
          <w:rFonts w:ascii="Book Antiqua" w:hAnsi="Book Antiqua"/>
          <w:kern w:val="3"/>
          <w:sz w:val="24"/>
        </w:rPr>
        <w:t>. Based on an endoscopy study, the prevalence of erosive reflux esophagitis (RE), a chronic form of GERD associated with damage to the esophagus, is from 6%-10% in Asia</w:t>
      </w:r>
      <w:r w:rsidRPr="002B12EE">
        <w:rPr>
          <w:rFonts w:ascii="Book Antiqua" w:hAnsi="Book Antiqua"/>
          <w:kern w:val="3"/>
          <w:sz w:val="24"/>
          <w:vertAlign w:val="superscript"/>
        </w:rPr>
        <w:t>[3]</w:t>
      </w:r>
      <w:r w:rsidRPr="002B12EE">
        <w:rPr>
          <w:rFonts w:ascii="Book Antiqua" w:hAnsi="Book Antiqua"/>
          <w:kern w:val="3"/>
          <w:sz w:val="24"/>
        </w:rPr>
        <w:t>. Since the endoscopy detection of RE is more sensitive than for non-erosive reflux disease (NERD), the incidence of RE is higher than GERD. Symptoms of GERD, which include heartburn, non-cardiac chest pain, acid regurgitation, chronic cough, bloating and belching, may seriously affect quality of life of some patients. Furthermore, GERD is linked with serious complications, such as hemorrhage, peptic stricture, Barrett’s esophagus, and esophageal adenocarcinoma</w:t>
      </w:r>
      <w:r w:rsidRPr="002B12EE">
        <w:rPr>
          <w:rFonts w:ascii="Book Antiqua" w:hAnsi="Book Antiqua"/>
          <w:kern w:val="3"/>
          <w:sz w:val="24"/>
          <w:vertAlign w:val="superscript"/>
        </w:rPr>
        <w:t>[3</w:t>
      </w:r>
      <w:r>
        <w:rPr>
          <w:rFonts w:ascii="Book Antiqua" w:hAnsi="Book Antiqua"/>
          <w:kern w:val="3"/>
          <w:sz w:val="24"/>
          <w:vertAlign w:val="superscript"/>
        </w:rPr>
        <w:t>-</w:t>
      </w:r>
      <w:r w:rsidRPr="002B12EE">
        <w:rPr>
          <w:rFonts w:ascii="Book Antiqua" w:hAnsi="Book Antiqua"/>
          <w:kern w:val="3"/>
          <w:sz w:val="24"/>
          <w:vertAlign w:val="superscript"/>
        </w:rPr>
        <w:t>5]</w:t>
      </w:r>
      <w:r w:rsidRPr="002B12EE">
        <w:rPr>
          <w:rFonts w:ascii="Book Antiqua" w:hAnsi="Book Antiqua"/>
          <w:kern w:val="3"/>
          <w:sz w:val="24"/>
        </w:rPr>
        <w:t>. Both NERD and RE are subtypes of GERD. NERD presents clinically with acid reflux and heartburn with no mucosal break, whereas RE patients have mucosal damage detectable by endoscopy</w:t>
      </w:r>
      <w:r w:rsidRPr="002B12EE">
        <w:rPr>
          <w:rFonts w:ascii="Book Antiqua" w:hAnsi="Book Antiqua"/>
          <w:kern w:val="3"/>
          <w:sz w:val="24"/>
          <w:vertAlign w:val="superscript"/>
        </w:rPr>
        <w:t>[6]</w:t>
      </w:r>
      <w:r w:rsidRPr="002B12EE">
        <w:rPr>
          <w:rFonts w:ascii="Book Antiqua" w:hAnsi="Book Antiqua"/>
          <w:kern w:val="3"/>
          <w:sz w:val="24"/>
        </w:rPr>
        <w:t>. The mechanisms underlying GERD may include esophageal hypersensitivity and transient lower esophageal sphincter relaxation (TLESR)</w:t>
      </w:r>
      <w:r w:rsidRPr="002B12EE">
        <w:rPr>
          <w:rFonts w:ascii="Book Antiqua" w:hAnsi="Book Antiqua"/>
          <w:kern w:val="3"/>
          <w:sz w:val="24"/>
          <w:vertAlign w:val="superscript"/>
        </w:rPr>
        <w:t>[7]</w:t>
      </w:r>
      <w:r w:rsidRPr="002B12EE">
        <w:rPr>
          <w:rFonts w:ascii="Book Antiqua" w:hAnsi="Book Antiqua"/>
          <w:kern w:val="3"/>
          <w:sz w:val="24"/>
        </w:rPr>
        <w:t>. Studies show that changes in diet, physical activity, and BMI increase the risk for GERD</w:t>
      </w:r>
      <w:r w:rsidRPr="002B12EE">
        <w:rPr>
          <w:rFonts w:ascii="Book Antiqua" w:hAnsi="Book Antiqua"/>
          <w:kern w:val="3"/>
          <w:sz w:val="24"/>
          <w:vertAlign w:val="superscript"/>
        </w:rPr>
        <w:t>[3]</w:t>
      </w:r>
      <w:r w:rsidRPr="002B12EE">
        <w:rPr>
          <w:rFonts w:ascii="Book Antiqua" w:hAnsi="Book Antiqua"/>
          <w:kern w:val="3"/>
          <w:sz w:val="24"/>
        </w:rPr>
        <w:t>. NERD may be due to visceral hypersensitivity, prolonged contraction of the lower esophagus, and other psychological factors</w:t>
      </w:r>
      <w:r w:rsidRPr="002B12EE">
        <w:rPr>
          <w:rFonts w:ascii="Book Antiqua" w:hAnsi="Book Antiqua"/>
          <w:kern w:val="3"/>
          <w:sz w:val="24"/>
          <w:vertAlign w:val="superscript"/>
        </w:rPr>
        <w:t>[8]</w:t>
      </w:r>
      <w:r w:rsidRPr="002B12EE">
        <w:rPr>
          <w:rFonts w:ascii="Book Antiqua" w:hAnsi="Book Antiqua"/>
          <w:kern w:val="3"/>
          <w:sz w:val="24"/>
        </w:rPr>
        <w:t>.</w:t>
      </w:r>
      <w:r w:rsidRPr="002B12EE">
        <w:rPr>
          <w:rFonts w:ascii="Book Antiqua" w:hAnsi="Book Antiqua"/>
          <w:color w:val="000000"/>
          <w:kern w:val="3"/>
          <w:sz w:val="24"/>
        </w:rPr>
        <w:t xml:space="preserve"> </w:t>
      </w:r>
    </w:p>
    <w:p w:rsidR="00C87C35" w:rsidRPr="002B12EE" w:rsidRDefault="00C87C35" w:rsidP="002B12EE">
      <w:pPr>
        <w:spacing w:line="360" w:lineRule="auto"/>
        <w:ind w:firstLine="420"/>
        <w:rPr>
          <w:rFonts w:ascii="Book Antiqua" w:hAnsi="Book Antiqua"/>
          <w:kern w:val="3"/>
          <w:sz w:val="24"/>
        </w:rPr>
      </w:pPr>
      <w:r w:rsidRPr="002B12EE">
        <w:rPr>
          <w:rFonts w:ascii="Book Antiqua" w:hAnsi="Book Antiqua"/>
          <w:kern w:val="3"/>
          <w:sz w:val="24"/>
        </w:rPr>
        <w:t>Proton pump inhibitors (PPIs) are generally accepted as the standard treatment paradigm for GERD. Although many patients with RE have symptomatic relief with this drug alone</w:t>
      </w:r>
      <w:r w:rsidRPr="002B12EE">
        <w:rPr>
          <w:rFonts w:ascii="Book Antiqua" w:hAnsi="Book Antiqua"/>
          <w:kern w:val="3"/>
          <w:sz w:val="24"/>
          <w:vertAlign w:val="superscript"/>
        </w:rPr>
        <w:t>[9]</w:t>
      </w:r>
      <w:r w:rsidRPr="002B12EE">
        <w:rPr>
          <w:rFonts w:ascii="Book Antiqua" w:hAnsi="Book Antiqua"/>
          <w:kern w:val="3"/>
          <w:sz w:val="24"/>
        </w:rPr>
        <w:t>, many patients have no symptomatic resolution</w:t>
      </w:r>
      <w:r w:rsidRPr="002B12EE">
        <w:rPr>
          <w:rFonts w:ascii="Book Antiqua" w:hAnsi="Book Antiqua"/>
          <w:kern w:val="3"/>
          <w:sz w:val="24"/>
          <w:vertAlign w:val="superscript"/>
        </w:rPr>
        <w:t>[10-13]</w:t>
      </w:r>
      <w:r w:rsidRPr="002B12EE">
        <w:rPr>
          <w:rFonts w:ascii="Book Antiqua" w:hAnsi="Book Antiqua"/>
          <w:kern w:val="3"/>
          <w:sz w:val="24"/>
        </w:rPr>
        <w:t>.</w:t>
      </w:r>
      <w:r w:rsidRPr="002B12EE">
        <w:rPr>
          <w:rFonts w:ascii="Book Antiqua" w:hAnsi="Book Antiqua"/>
          <w:kern w:val="3"/>
          <w:sz w:val="24"/>
          <w:vertAlign w:val="superscript"/>
        </w:rPr>
        <w:t xml:space="preserve"> </w:t>
      </w:r>
      <w:r w:rsidRPr="002B12EE">
        <w:rPr>
          <w:rFonts w:ascii="Book Antiqua" w:hAnsi="Book Antiqua"/>
          <w:kern w:val="3"/>
          <w:sz w:val="24"/>
        </w:rPr>
        <w:t>Overall, 30% of GERD patients, 10</w:t>
      </w:r>
      <w:r w:rsidRPr="007C23B2">
        <w:rPr>
          <w:rFonts w:ascii="Book Antiqua" w:hAnsi="Book Antiqua"/>
          <w:kern w:val="3"/>
          <w:sz w:val="24"/>
        </w:rPr>
        <w:t>%</w:t>
      </w:r>
      <w:r w:rsidRPr="002B12EE">
        <w:rPr>
          <w:rFonts w:ascii="Book Antiqua" w:hAnsi="Book Antiqua"/>
          <w:kern w:val="3"/>
          <w:sz w:val="24"/>
        </w:rPr>
        <w:t>-15% of RE patients, and 40%-50% of NERD patients do not experience symptom alleviation with conventional PPI therapy</w:t>
      </w:r>
      <w:r w:rsidRPr="002B12EE">
        <w:rPr>
          <w:rFonts w:ascii="Book Antiqua" w:hAnsi="Book Antiqua"/>
          <w:kern w:val="3"/>
          <w:sz w:val="24"/>
          <w:vertAlign w:val="superscript"/>
        </w:rPr>
        <w:t>[14</w:t>
      </w:r>
      <w:r>
        <w:rPr>
          <w:rFonts w:ascii="Book Antiqua" w:hAnsi="Book Antiqua"/>
          <w:kern w:val="3"/>
          <w:sz w:val="24"/>
          <w:vertAlign w:val="superscript"/>
        </w:rPr>
        <w:t>-</w:t>
      </w:r>
      <w:r w:rsidRPr="002B12EE">
        <w:rPr>
          <w:rFonts w:ascii="Book Antiqua" w:hAnsi="Book Antiqua"/>
          <w:kern w:val="3"/>
          <w:sz w:val="24"/>
          <w:vertAlign w:val="superscript"/>
        </w:rPr>
        <w:t>16]</w:t>
      </w:r>
      <w:r w:rsidRPr="002B12EE">
        <w:rPr>
          <w:rFonts w:ascii="Book Antiqua" w:hAnsi="Book Antiqua"/>
          <w:kern w:val="3"/>
          <w:sz w:val="24"/>
        </w:rPr>
        <w:t>. New PPI formulations and regenerative types of acid-suppressive drugs for GERD are urgently needed.</w:t>
      </w:r>
    </w:p>
    <w:p w:rsidR="00C87C35" w:rsidRPr="002B12EE" w:rsidRDefault="00C87C35" w:rsidP="002B12EE">
      <w:pPr>
        <w:spacing w:line="360" w:lineRule="auto"/>
        <w:ind w:firstLine="420"/>
        <w:rPr>
          <w:rFonts w:ascii="Book Antiqua" w:hAnsi="Book Antiqua"/>
          <w:kern w:val="3"/>
          <w:sz w:val="24"/>
        </w:rPr>
      </w:pPr>
      <w:r w:rsidRPr="002B12EE">
        <w:rPr>
          <w:rFonts w:ascii="Book Antiqua" w:hAnsi="Book Antiqua"/>
          <w:kern w:val="3"/>
          <w:sz w:val="24"/>
        </w:rPr>
        <w:t xml:space="preserve">Prokinetics are agents that increase lower esophageal sphincter pressure (LESP), enhance esophageal peristalsis, and augment gastric emptying. These include 5-hydroxytryptamine (5-HT) receptor agonist, GABA-B receptor agonist, dopamine receptor antagonist, and others. Five-HT receptor agonists </w:t>
      </w:r>
      <w:r w:rsidRPr="002B12EE">
        <w:rPr>
          <w:rFonts w:ascii="Book Antiqua" w:hAnsi="Book Antiqua"/>
          <w:kern w:val="3"/>
          <w:sz w:val="24"/>
        </w:rPr>
        <w:lastRenderedPageBreak/>
        <w:t>increase acetylcholine release from parasympathetic nerve roots and promote gastric emptying and bowel motility</w:t>
      </w:r>
      <w:r w:rsidRPr="002B12EE">
        <w:rPr>
          <w:rFonts w:ascii="Book Antiqua" w:hAnsi="Book Antiqua"/>
          <w:kern w:val="3"/>
          <w:sz w:val="24"/>
          <w:vertAlign w:val="superscript"/>
        </w:rPr>
        <w:t>[14, 17]</w:t>
      </w:r>
      <w:r w:rsidRPr="002B12EE">
        <w:rPr>
          <w:rFonts w:ascii="Book Antiqua" w:hAnsi="Book Antiqua"/>
          <w:kern w:val="3"/>
          <w:sz w:val="24"/>
        </w:rPr>
        <w:t>, and are frequently used in combination with PPI therapy. Cisapride is a canonical prokinetic agent with equal efficacy as a 5-HT4 receptor agonist and a H2 histamine receptor antagonist. In addition to protecting the esophageal mucosa, it was reported that cisapride increased LEST and esophageal peristaltic amplitude; however, cisapride is now prohibited in Europe due to its detrimental side effects on the cardiac system</w:t>
      </w:r>
      <w:r w:rsidRPr="002B12EE">
        <w:rPr>
          <w:rFonts w:ascii="Book Antiqua" w:hAnsi="Book Antiqua"/>
          <w:kern w:val="3"/>
          <w:sz w:val="24"/>
          <w:vertAlign w:val="superscript"/>
        </w:rPr>
        <w:t>[18]</w:t>
      </w:r>
      <w:r w:rsidRPr="002B12EE">
        <w:rPr>
          <w:rFonts w:ascii="Book Antiqua" w:hAnsi="Book Antiqua"/>
          <w:kern w:val="3"/>
          <w:sz w:val="24"/>
        </w:rPr>
        <w:t>. Mosapride, another 5-HT4 agonist, is a structural analog of cisapride with less cardiac side effects</w:t>
      </w:r>
      <w:r w:rsidRPr="002B12EE">
        <w:rPr>
          <w:rFonts w:ascii="Book Antiqua" w:hAnsi="Book Antiqua"/>
          <w:kern w:val="3"/>
          <w:sz w:val="24"/>
          <w:vertAlign w:val="superscript"/>
        </w:rPr>
        <w:t>[19, 20]</w:t>
      </w:r>
      <w:r w:rsidRPr="002B12EE">
        <w:rPr>
          <w:rFonts w:ascii="Book Antiqua" w:hAnsi="Book Antiqua"/>
          <w:kern w:val="3"/>
          <w:sz w:val="24"/>
        </w:rPr>
        <w:t>. It has been approved in Asia for the treatment of partial function gastrointestinal disorders, such as functional dyspepsia. Baclofen and lesogaberan (AZD 3355) were developed as selective GABA-B agonists based on their inhibition of TLESR and reflux episodes</w:t>
      </w:r>
      <w:r w:rsidRPr="002B12EE">
        <w:rPr>
          <w:rFonts w:ascii="Book Antiqua" w:hAnsi="Book Antiqua"/>
          <w:kern w:val="3"/>
          <w:sz w:val="24"/>
          <w:vertAlign w:val="superscript"/>
        </w:rPr>
        <w:t>[21]</w:t>
      </w:r>
      <w:r w:rsidRPr="002B12EE">
        <w:rPr>
          <w:rFonts w:ascii="Book Antiqua" w:hAnsi="Book Antiqua"/>
          <w:kern w:val="3"/>
          <w:sz w:val="24"/>
        </w:rPr>
        <w:t>. A phase II study reported that lesogaberan combined with PPI modestly improved GERD symptoms</w:t>
      </w:r>
      <w:r w:rsidRPr="002B12EE">
        <w:rPr>
          <w:rFonts w:ascii="Book Antiqua" w:hAnsi="Book Antiqua"/>
          <w:kern w:val="3"/>
          <w:sz w:val="24"/>
          <w:vertAlign w:val="superscript"/>
        </w:rPr>
        <w:t>[22]</w:t>
      </w:r>
      <w:r w:rsidRPr="002B12EE">
        <w:rPr>
          <w:rFonts w:ascii="Book Antiqua" w:hAnsi="Book Antiqua"/>
          <w:kern w:val="3"/>
          <w:sz w:val="24"/>
        </w:rPr>
        <w:t>, but its efficacy and safety were not determined.</w:t>
      </w:r>
    </w:p>
    <w:p w:rsidR="00C87C35" w:rsidRPr="002B12EE" w:rsidRDefault="00C87C35" w:rsidP="002B12EE">
      <w:pPr>
        <w:spacing w:line="360" w:lineRule="auto"/>
        <w:ind w:firstLine="420"/>
        <w:rPr>
          <w:rFonts w:ascii="Book Antiqua" w:hAnsi="Book Antiqua"/>
          <w:kern w:val="3"/>
          <w:sz w:val="24"/>
        </w:rPr>
      </w:pPr>
      <w:r w:rsidRPr="002B12EE">
        <w:rPr>
          <w:rFonts w:ascii="Book Antiqua" w:hAnsi="Book Antiqua"/>
          <w:kern w:val="3"/>
          <w:sz w:val="24"/>
        </w:rPr>
        <w:t>Although many studies have shown that addition of a prokinetic to PPI can improve the symptoms of GERD, there is still some controversy in the literature. The efficacy and safety profiles of combination prokinetics and PPI therapy regimens relative to PPI monotherapy for GERD remain unclear. Here, we performed a retrospective meta-analysis in order to identify the efficacy and safety of these two types of treatments in GERD.</w:t>
      </w:r>
    </w:p>
    <w:p w:rsidR="00C87C35" w:rsidRPr="002B12EE" w:rsidRDefault="00C87C35" w:rsidP="002B12EE">
      <w:pPr>
        <w:spacing w:line="360" w:lineRule="auto"/>
        <w:ind w:firstLine="420"/>
        <w:rPr>
          <w:rFonts w:ascii="Book Antiqua" w:hAnsi="Book Antiqua"/>
          <w:kern w:val="3"/>
          <w:sz w:val="24"/>
        </w:rPr>
      </w:pPr>
    </w:p>
    <w:p w:rsidR="00C87C35" w:rsidRPr="002B12EE" w:rsidRDefault="00C87C35" w:rsidP="002B12EE">
      <w:pPr>
        <w:spacing w:line="360" w:lineRule="auto"/>
        <w:rPr>
          <w:rFonts w:ascii="Book Antiqua" w:hAnsi="Book Antiqua"/>
          <w:b/>
          <w:kern w:val="21"/>
          <w:sz w:val="24"/>
        </w:rPr>
      </w:pPr>
      <w:r w:rsidRPr="002B12EE">
        <w:rPr>
          <w:rFonts w:ascii="Book Antiqua" w:hAnsi="Book Antiqua"/>
          <w:b/>
          <w:kern w:val="21"/>
          <w:sz w:val="24"/>
        </w:rPr>
        <w:t>MATERIALS AND METHODS</w:t>
      </w:r>
    </w:p>
    <w:p w:rsidR="00C87C35" w:rsidRPr="002B12EE" w:rsidRDefault="00C87C35" w:rsidP="002B12EE">
      <w:pPr>
        <w:spacing w:line="360" w:lineRule="auto"/>
        <w:rPr>
          <w:rFonts w:ascii="Book Antiqua" w:hAnsi="Book Antiqua"/>
          <w:b/>
          <w:i/>
          <w:kern w:val="21"/>
          <w:sz w:val="24"/>
        </w:rPr>
      </w:pPr>
      <w:r w:rsidRPr="002B12EE">
        <w:rPr>
          <w:rFonts w:ascii="Book Antiqua" w:hAnsi="Book Antiqua"/>
          <w:b/>
          <w:i/>
          <w:kern w:val="21"/>
          <w:sz w:val="24"/>
        </w:rPr>
        <w:t>Literature search</w:t>
      </w:r>
    </w:p>
    <w:p w:rsidR="00C87C35" w:rsidRPr="002B12EE" w:rsidRDefault="00C87C35" w:rsidP="002B12EE">
      <w:pPr>
        <w:spacing w:line="360" w:lineRule="auto"/>
        <w:rPr>
          <w:rFonts w:ascii="Book Antiqua" w:hAnsi="Book Antiqua"/>
          <w:sz w:val="24"/>
        </w:rPr>
      </w:pPr>
      <w:r w:rsidRPr="002B12EE">
        <w:rPr>
          <w:rFonts w:ascii="Book Antiqua" w:hAnsi="Book Antiqua"/>
          <w:kern w:val="21"/>
          <w:sz w:val="24"/>
        </w:rPr>
        <w:t xml:space="preserve">All eligible articles in English published prior to October 2013 were searched from PubMed, Cochrane Library, and Web of Knowledge. </w:t>
      </w:r>
      <w:r w:rsidRPr="002B12EE">
        <w:rPr>
          <w:rFonts w:ascii="Book Antiqua" w:hAnsi="Book Antiqua"/>
          <w:sz w:val="24"/>
        </w:rPr>
        <w:t xml:space="preserve">The search strategy consisted of a combination of the following MESH terms and text words: gastroesophageal reflux diseases, GERD, non-erosive reflux diseases, NERD, reflux esophagitis, RE, proton pump inhibitors, PPI, prokinetics, and </w:t>
      </w:r>
      <w:r w:rsidRPr="002B12EE">
        <w:rPr>
          <w:rFonts w:ascii="Book Antiqua" w:hAnsi="Book Antiqua"/>
          <w:kern w:val="3"/>
          <w:sz w:val="24"/>
        </w:rPr>
        <w:t>GABA-B receptor agonists</w:t>
      </w:r>
      <w:r w:rsidRPr="002B12EE">
        <w:rPr>
          <w:rFonts w:ascii="Book Antiqua" w:hAnsi="Book Antiqua"/>
          <w:sz w:val="24"/>
        </w:rPr>
        <w:t xml:space="preserve">. A Cochrane filter for identifying randomized control trials </w:t>
      </w:r>
      <w:r w:rsidRPr="002B12EE">
        <w:rPr>
          <w:rFonts w:ascii="Book Antiqua" w:hAnsi="Book Antiqua"/>
          <w:sz w:val="24"/>
        </w:rPr>
        <w:lastRenderedPageBreak/>
        <w:t xml:space="preserve">(RCTs) was applied to the search results, and all potentially relevant abstracts and citations were retrieved for further review. Furthermore, we searched the bibliographies of selected trials obtained through the electronic screen to identify additional studies of interest. </w:t>
      </w:r>
    </w:p>
    <w:p w:rsidR="00C87C35" w:rsidRPr="002B12EE" w:rsidRDefault="00C87C35" w:rsidP="002B12EE">
      <w:pPr>
        <w:spacing w:line="360" w:lineRule="auto"/>
        <w:rPr>
          <w:rFonts w:ascii="Book Antiqua" w:hAnsi="Book Antiqua"/>
          <w:kern w:val="21"/>
          <w:sz w:val="24"/>
        </w:rPr>
      </w:pPr>
    </w:p>
    <w:p w:rsidR="00C87C35" w:rsidRPr="002B12EE" w:rsidRDefault="00C87C35" w:rsidP="002B12EE">
      <w:pPr>
        <w:spacing w:line="360" w:lineRule="auto"/>
        <w:rPr>
          <w:rFonts w:ascii="Book Antiqua" w:hAnsi="Book Antiqua"/>
          <w:b/>
          <w:i/>
          <w:kern w:val="21"/>
          <w:sz w:val="24"/>
        </w:rPr>
      </w:pPr>
      <w:r w:rsidRPr="002B12EE">
        <w:rPr>
          <w:rFonts w:ascii="Book Antiqua" w:hAnsi="Book Antiqua"/>
          <w:b/>
          <w:i/>
          <w:kern w:val="21"/>
          <w:sz w:val="24"/>
        </w:rPr>
        <w:t>Criteria for inclusion</w:t>
      </w:r>
    </w:p>
    <w:p w:rsidR="00C87C35" w:rsidRPr="002B12EE" w:rsidRDefault="00C87C35" w:rsidP="002B12EE">
      <w:pPr>
        <w:spacing w:line="360" w:lineRule="auto"/>
        <w:rPr>
          <w:rFonts w:ascii="Book Antiqua" w:hAnsi="Book Antiqua"/>
          <w:kern w:val="21"/>
          <w:sz w:val="24"/>
        </w:rPr>
      </w:pPr>
      <w:r w:rsidRPr="002B12EE">
        <w:rPr>
          <w:rFonts w:ascii="Book Antiqua" w:hAnsi="Book Antiqua"/>
          <w:kern w:val="21"/>
          <w:sz w:val="24"/>
        </w:rPr>
        <w:t xml:space="preserve">Articles were eligible for inclusion in this meta-analysis if they met the following criteria: </w:t>
      </w:r>
      <w:r>
        <w:rPr>
          <w:rFonts w:ascii="Book Antiqua" w:hAnsi="Book Antiqua"/>
          <w:kern w:val="21"/>
          <w:sz w:val="24"/>
        </w:rPr>
        <w:t>(</w:t>
      </w:r>
      <w:r w:rsidRPr="002B12EE">
        <w:rPr>
          <w:rFonts w:ascii="Book Antiqua" w:hAnsi="Book Antiqua"/>
          <w:kern w:val="21"/>
          <w:sz w:val="24"/>
        </w:rPr>
        <w:t xml:space="preserve">1) Diagnosis of GERD (RE or NERD); </w:t>
      </w:r>
      <w:r>
        <w:rPr>
          <w:rFonts w:ascii="Book Antiqua" w:hAnsi="Book Antiqua"/>
          <w:kern w:val="21"/>
          <w:sz w:val="24"/>
        </w:rPr>
        <w:t>(</w:t>
      </w:r>
      <w:r w:rsidRPr="002B12EE">
        <w:rPr>
          <w:rFonts w:ascii="Book Antiqua" w:hAnsi="Book Antiqua"/>
          <w:kern w:val="21"/>
          <w:sz w:val="24"/>
        </w:rPr>
        <w:t xml:space="preserve">2) Participants were 18 years or older; </w:t>
      </w:r>
      <w:r>
        <w:rPr>
          <w:rFonts w:ascii="Book Antiqua" w:hAnsi="Book Antiqua"/>
          <w:kern w:val="21"/>
          <w:sz w:val="24"/>
        </w:rPr>
        <w:t>(</w:t>
      </w:r>
      <w:r w:rsidRPr="002B12EE">
        <w:rPr>
          <w:rFonts w:ascii="Book Antiqua" w:hAnsi="Book Antiqua"/>
          <w:kern w:val="21"/>
          <w:sz w:val="24"/>
        </w:rPr>
        <w:t xml:space="preserve">3) Patients receiving PPI monotherapy were compared with patients receiving combined prokinetic and PPI therapy; </w:t>
      </w:r>
      <w:r>
        <w:rPr>
          <w:rFonts w:ascii="Book Antiqua" w:hAnsi="Book Antiqua"/>
          <w:kern w:val="21"/>
          <w:sz w:val="24"/>
        </w:rPr>
        <w:t>(</w:t>
      </w:r>
      <w:r w:rsidRPr="002B12EE">
        <w:rPr>
          <w:rFonts w:ascii="Book Antiqua" w:hAnsi="Book Antiqua"/>
          <w:kern w:val="21"/>
          <w:sz w:val="24"/>
        </w:rPr>
        <w:t xml:space="preserve">4) The study was a RCT; </w:t>
      </w:r>
      <w:r>
        <w:rPr>
          <w:rFonts w:ascii="Book Antiqua" w:hAnsi="Book Antiqua"/>
          <w:kern w:val="21"/>
          <w:sz w:val="24"/>
        </w:rPr>
        <w:t>(</w:t>
      </w:r>
      <w:r w:rsidRPr="002B12EE">
        <w:rPr>
          <w:rFonts w:ascii="Book Antiqua" w:hAnsi="Book Antiqua"/>
          <w:kern w:val="21"/>
          <w:sz w:val="24"/>
        </w:rPr>
        <w:t xml:space="preserve">5) Criteria for successful treatment was clearly defined; </w:t>
      </w:r>
      <w:r>
        <w:rPr>
          <w:rFonts w:ascii="Book Antiqua" w:hAnsi="Book Antiqua"/>
          <w:kern w:val="21"/>
          <w:sz w:val="24"/>
        </w:rPr>
        <w:t>and (</w:t>
      </w:r>
      <w:r w:rsidRPr="002B12EE">
        <w:rPr>
          <w:rFonts w:ascii="Book Antiqua" w:hAnsi="Book Antiqua"/>
          <w:kern w:val="21"/>
          <w:sz w:val="24"/>
        </w:rPr>
        <w:t xml:space="preserve">6) Treatment lasted for two or more weeks. </w:t>
      </w:r>
    </w:p>
    <w:p w:rsidR="00C87C35" w:rsidRPr="002B12EE" w:rsidRDefault="00C87C35" w:rsidP="002B12EE">
      <w:pPr>
        <w:spacing w:line="360" w:lineRule="auto"/>
        <w:rPr>
          <w:rFonts w:ascii="Book Antiqua" w:hAnsi="Book Antiqua"/>
          <w:kern w:val="21"/>
          <w:sz w:val="24"/>
        </w:rPr>
      </w:pPr>
    </w:p>
    <w:p w:rsidR="00C87C35" w:rsidRPr="002B12EE" w:rsidRDefault="00C87C35" w:rsidP="002B12EE">
      <w:pPr>
        <w:spacing w:line="360" w:lineRule="auto"/>
        <w:rPr>
          <w:rFonts w:ascii="Book Antiqua" w:hAnsi="Book Antiqua"/>
          <w:b/>
          <w:i/>
          <w:kern w:val="21"/>
          <w:sz w:val="24"/>
        </w:rPr>
      </w:pPr>
      <w:r w:rsidRPr="002B12EE">
        <w:rPr>
          <w:rFonts w:ascii="Book Antiqua" w:hAnsi="Book Antiqua"/>
          <w:b/>
          <w:i/>
          <w:kern w:val="21"/>
          <w:sz w:val="24"/>
        </w:rPr>
        <w:t>Criteria for exclusion</w:t>
      </w:r>
    </w:p>
    <w:p w:rsidR="00C87C35" w:rsidRPr="002B12EE" w:rsidRDefault="00C87C35" w:rsidP="002B12EE">
      <w:pPr>
        <w:spacing w:line="360" w:lineRule="auto"/>
        <w:rPr>
          <w:rFonts w:ascii="Book Antiqua" w:hAnsi="Book Antiqua"/>
          <w:kern w:val="21"/>
          <w:sz w:val="24"/>
        </w:rPr>
      </w:pPr>
      <w:r w:rsidRPr="002B12EE">
        <w:rPr>
          <w:rFonts w:ascii="Book Antiqua" w:hAnsi="Book Antiqua"/>
          <w:kern w:val="21"/>
          <w:sz w:val="24"/>
        </w:rPr>
        <w:t xml:space="preserve">Publications were excluded according to the following criteria: </w:t>
      </w:r>
      <w:r>
        <w:rPr>
          <w:rFonts w:ascii="Book Antiqua" w:hAnsi="Book Antiqua"/>
          <w:kern w:val="21"/>
          <w:sz w:val="24"/>
        </w:rPr>
        <w:t>(</w:t>
      </w:r>
      <w:r w:rsidRPr="002B12EE">
        <w:rPr>
          <w:rFonts w:ascii="Book Antiqua" w:hAnsi="Book Antiqua"/>
          <w:kern w:val="21"/>
          <w:sz w:val="24"/>
        </w:rPr>
        <w:t xml:space="preserve">1) Studies comparing H2 receptor antagonist plus prokinetic to H2 receptor antagonist; </w:t>
      </w:r>
      <w:r>
        <w:rPr>
          <w:rFonts w:ascii="Book Antiqua" w:hAnsi="Book Antiqua"/>
          <w:kern w:val="21"/>
          <w:sz w:val="24"/>
        </w:rPr>
        <w:t>(</w:t>
      </w:r>
      <w:r w:rsidRPr="002B12EE">
        <w:rPr>
          <w:rFonts w:ascii="Book Antiqua" w:hAnsi="Book Antiqua"/>
          <w:kern w:val="21"/>
          <w:sz w:val="24"/>
        </w:rPr>
        <w:t xml:space="preserve">2) Participants with complications in addition to GERD; </w:t>
      </w:r>
      <w:r>
        <w:rPr>
          <w:rFonts w:ascii="Book Antiqua" w:hAnsi="Book Antiqua"/>
          <w:kern w:val="21"/>
          <w:sz w:val="24"/>
        </w:rPr>
        <w:t>and (</w:t>
      </w:r>
      <w:r w:rsidRPr="002B12EE">
        <w:rPr>
          <w:rFonts w:ascii="Book Antiqua" w:hAnsi="Book Antiqua"/>
          <w:kern w:val="21"/>
          <w:sz w:val="24"/>
        </w:rPr>
        <w:t>3) Missing or unclear data for final outcomes of interest.</w:t>
      </w:r>
    </w:p>
    <w:p w:rsidR="00C87C35" w:rsidRPr="002B12EE" w:rsidRDefault="00C87C35" w:rsidP="002B12EE">
      <w:pPr>
        <w:spacing w:line="360" w:lineRule="auto"/>
        <w:rPr>
          <w:rFonts w:ascii="Book Antiqua" w:hAnsi="Book Antiqua"/>
          <w:sz w:val="24"/>
        </w:rPr>
      </w:pPr>
    </w:p>
    <w:p w:rsidR="00C87C35" w:rsidRPr="002B12EE" w:rsidRDefault="00C87C35" w:rsidP="002B12EE">
      <w:pPr>
        <w:spacing w:line="360" w:lineRule="auto"/>
        <w:rPr>
          <w:rFonts w:ascii="Book Antiqua" w:hAnsi="Book Antiqua"/>
          <w:b/>
          <w:i/>
          <w:kern w:val="21"/>
          <w:sz w:val="24"/>
        </w:rPr>
      </w:pPr>
      <w:r w:rsidRPr="002B12EE">
        <w:rPr>
          <w:rFonts w:ascii="Book Antiqua" w:hAnsi="Book Antiqua"/>
          <w:b/>
          <w:i/>
          <w:kern w:val="21"/>
          <w:sz w:val="24"/>
        </w:rPr>
        <w:t>Data extraction</w:t>
      </w:r>
    </w:p>
    <w:p w:rsidR="00C87C35" w:rsidRPr="002B12EE" w:rsidRDefault="00C87C35" w:rsidP="002B12EE">
      <w:pPr>
        <w:spacing w:line="360" w:lineRule="auto"/>
        <w:rPr>
          <w:rFonts w:ascii="Book Antiqua" w:hAnsi="Book Antiqua"/>
          <w:kern w:val="21"/>
          <w:sz w:val="24"/>
        </w:rPr>
      </w:pPr>
      <w:r w:rsidRPr="002B12EE">
        <w:rPr>
          <w:rFonts w:ascii="Book Antiqua" w:hAnsi="Book Antiqua"/>
          <w:kern w:val="21"/>
          <w:sz w:val="24"/>
        </w:rPr>
        <w:t xml:space="preserve">To avoid bias in the data abstraction process, two investigators (Ren LH and Chen WX) independently abstracted the data, recorded the first author, year of study, study design, and study population characteristics, and compared the results. All data were checked by a third reviewer and disagreements were resolved by discussion. </w:t>
      </w:r>
    </w:p>
    <w:p w:rsidR="00C87C35" w:rsidRPr="002B12EE" w:rsidRDefault="00C87C35" w:rsidP="002B12EE">
      <w:pPr>
        <w:spacing w:line="360" w:lineRule="auto"/>
        <w:rPr>
          <w:rFonts w:ascii="Book Antiqua" w:hAnsi="Book Antiqua"/>
          <w:sz w:val="24"/>
        </w:rPr>
      </w:pPr>
    </w:p>
    <w:p w:rsidR="00C87C35" w:rsidRPr="002B12EE" w:rsidRDefault="00C87C35" w:rsidP="002B12EE">
      <w:pPr>
        <w:spacing w:line="360" w:lineRule="auto"/>
        <w:rPr>
          <w:rFonts w:ascii="Book Antiqua" w:hAnsi="Book Antiqua"/>
          <w:b/>
          <w:i/>
          <w:kern w:val="21"/>
          <w:sz w:val="24"/>
        </w:rPr>
      </w:pPr>
      <w:r w:rsidRPr="002B12EE">
        <w:rPr>
          <w:rFonts w:ascii="Book Antiqua" w:hAnsi="Book Antiqua"/>
          <w:b/>
          <w:i/>
          <w:kern w:val="21"/>
          <w:sz w:val="24"/>
        </w:rPr>
        <w:t>Statistical analysis</w:t>
      </w:r>
    </w:p>
    <w:p w:rsidR="00C87C35" w:rsidRPr="002B12EE" w:rsidRDefault="00C87C35" w:rsidP="002B12EE">
      <w:pPr>
        <w:spacing w:line="360" w:lineRule="auto"/>
        <w:rPr>
          <w:rFonts w:ascii="Book Antiqua" w:hAnsi="Book Antiqua"/>
          <w:kern w:val="21"/>
          <w:sz w:val="24"/>
        </w:rPr>
      </w:pPr>
      <w:r w:rsidRPr="002B12EE">
        <w:rPr>
          <w:rFonts w:ascii="Book Antiqua" w:hAnsi="Book Antiqua"/>
          <w:kern w:val="21"/>
          <w:sz w:val="24"/>
        </w:rPr>
        <w:t xml:space="preserve">Appropriate RCTs were included, and Review Manager Version 5.1 (The Cochran Collaboration, Oxford, England) was used for preparation of the review. Stata 12.0 software (StataCorp, College Station, TX, </w:t>
      </w:r>
      <w:bookmarkStart w:id="10" w:name="OLE_LINK144"/>
      <w:bookmarkStart w:id="11" w:name="OLE_LINK145"/>
      <w:r w:rsidRPr="00506C76">
        <w:rPr>
          <w:rFonts w:ascii="Book Antiqua" w:hAnsi="Book Antiqua" w:cs="Garamond"/>
          <w:kern w:val="0"/>
          <w:sz w:val="24"/>
        </w:rPr>
        <w:t>United States</w:t>
      </w:r>
      <w:bookmarkEnd w:id="10"/>
      <w:bookmarkEnd w:id="11"/>
      <w:r w:rsidRPr="002B12EE">
        <w:rPr>
          <w:rFonts w:ascii="Book Antiqua" w:hAnsi="Book Antiqua"/>
          <w:kern w:val="21"/>
          <w:sz w:val="24"/>
        </w:rPr>
        <w:t xml:space="preserve">) was </w:t>
      </w:r>
      <w:r w:rsidRPr="002B12EE">
        <w:rPr>
          <w:rFonts w:ascii="Book Antiqua" w:hAnsi="Book Antiqua"/>
          <w:kern w:val="21"/>
          <w:sz w:val="24"/>
        </w:rPr>
        <w:lastRenderedPageBreak/>
        <w:t xml:space="preserve">used for statistical analysis. The risk ratio (RR) of data was estimated by the Mantel-Haenszel </w:t>
      </w:r>
      <w:r w:rsidRPr="002B12EE">
        <w:rPr>
          <w:rFonts w:ascii="Book Antiqua" w:hAnsi="Book Antiqua"/>
          <w:kern w:val="21"/>
          <w:sz w:val="24"/>
        </w:rPr>
        <w:sym w:font="Symbol" w:char="F020"/>
      </w:r>
      <w:r w:rsidRPr="002B12EE">
        <w:rPr>
          <w:rFonts w:ascii="Book Antiqua" w:hAnsi="Book Antiqua"/>
          <w:kern w:val="21"/>
          <w:sz w:val="24"/>
        </w:rPr>
        <w:sym w:font="Symbol" w:char="F063"/>
      </w:r>
      <w:r w:rsidRPr="002B12EE">
        <w:rPr>
          <w:rFonts w:ascii="Book Antiqua" w:hAnsi="Book Antiqua"/>
          <w:kern w:val="21"/>
          <w:sz w:val="24"/>
          <w:vertAlign w:val="superscript"/>
        </w:rPr>
        <w:t>2</w:t>
      </w:r>
      <w:r w:rsidRPr="002B12EE">
        <w:rPr>
          <w:rFonts w:ascii="Book Antiqua" w:hAnsi="Book Antiqua"/>
          <w:kern w:val="21"/>
          <w:sz w:val="24"/>
        </w:rPr>
        <w:t xml:space="preserve"> method, where </w:t>
      </w:r>
      <w:r w:rsidRPr="002B12EE">
        <w:rPr>
          <w:rFonts w:ascii="Book Antiqua" w:hAnsi="Book Antiqua"/>
          <w:i/>
          <w:kern w:val="21"/>
          <w:sz w:val="24"/>
        </w:rPr>
        <w:t>P</w:t>
      </w:r>
      <w:r w:rsidRPr="002B12EE">
        <w:rPr>
          <w:rFonts w:ascii="Book Antiqua" w:hAnsi="Book Antiqua"/>
          <w:kern w:val="21"/>
          <w:sz w:val="24"/>
        </w:rPr>
        <w:t xml:space="preserve"> values &lt;</w:t>
      </w:r>
      <w:r>
        <w:rPr>
          <w:rFonts w:ascii="Book Antiqua" w:hAnsi="Book Antiqua"/>
          <w:kern w:val="21"/>
          <w:sz w:val="24"/>
        </w:rPr>
        <w:t xml:space="preserve"> </w:t>
      </w:r>
      <w:r w:rsidRPr="002B12EE">
        <w:rPr>
          <w:rFonts w:ascii="Book Antiqua" w:hAnsi="Book Antiqua"/>
          <w:kern w:val="21"/>
          <w:sz w:val="24"/>
        </w:rPr>
        <w:t xml:space="preserve">0.05 were considered significantly different. Study heterogeneity was evaluated by Cochran </w:t>
      </w:r>
      <w:r w:rsidRPr="002B12EE">
        <w:rPr>
          <w:rFonts w:ascii="Book Antiqua" w:hAnsi="Book Antiqua"/>
          <w:i/>
          <w:kern w:val="21"/>
          <w:sz w:val="24"/>
        </w:rPr>
        <w:t>I</w:t>
      </w:r>
      <w:r w:rsidRPr="002B12EE">
        <w:rPr>
          <w:rFonts w:ascii="Book Antiqua" w:hAnsi="Book Antiqua"/>
          <w:kern w:val="21"/>
          <w:sz w:val="24"/>
          <w:vertAlign w:val="superscript"/>
        </w:rPr>
        <w:t>2</w:t>
      </w:r>
      <w:r w:rsidRPr="002B12EE">
        <w:rPr>
          <w:rFonts w:ascii="Book Antiqua" w:hAnsi="Book Antiqua"/>
          <w:kern w:val="21"/>
          <w:sz w:val="24"/>
        </w:rPr>
        <w:t xml:space="preserve"> statistics, where </w:t>
      </w:r>
      <w:r w:rsidRPr="002B12EE">
        <w:rPr>
          <w:rFonts w:ascii="Book Antiqua" w:hAnsi="Book Antiqua"/>
          <w:i/>
          <w:kern w:val="21"/>
          <w:sz w:val="24"/>
        </w:rPr>
        <w:t>I</w:t>
      </w:r>
      <w:r w:rsidRPr="002B12EE">
        <w:rPr>
          <w:rFonts w:ascii="Book Antiqua" w:hAnsi="Book Antiqua"/>
          <w:kern w:val="21"/>
          <w:sz w:val="24"/>
          <w:vertAlign w:val="superscript"/>
        </w:rPr>
        <w:t>2</w:t>
      </w:r>
      <w:r w:rsidRPr="002B12EE">
        <w:rPr>
          <w:rFonts w:ascii="Book Antiqua" w:hAnsi="Book Antiqua"/>
          <w:kern w:val="21"/>
          <w:sz w:val="24"/>
        </w:rPr>
        <w:t xml:space="preserve"> &lt;</w:t>
      </w:r>
      <w:r>
        <w:rPr>
          <w:rFonts w:ascii="Book Antiqua" w:hAnsi="Book Antiqua"/>
          <w:kern w:val="21"/>
          <w:sz w:val="24"/>
        </w:rPr>
        <w:t xml:space="preserve"> </w:t>
      </w:r>
      <w:r w:rsidRPr="002B12EE">
        <w:rPr>
          <w:rFonts w:ascii="Book Antiqua" w:hAnsi="Book Antiqua"/>
          <w:kern w:val="21"/>
          <w:sz w:val="24"/>
        </w:rPr>
        <w:t xml:space="preserve">50% indicated a lack of heterogeneity. If significant heterogeneity was found, a random effects model was applied for evaluation of the pooled data; otherwise, a fixed effects model was used. Possible publication bias was assessed by Egger’s and Begg’s funnel plots, where </w:t>
      </w:r>
      <w:r w:rsidRPr="002B12EE">
        <w:rPr>
          <w:rFonts w:ascii="Book Antiqua" w:hAnsi="Book Antiqua"/>
          <w:i/>
          <w:kern w:val="21"/>
          <w:sz w:val="24"/>
        </w:rPr>
        <w:t>P</w:t>
      </w:r>
      <w:r w:rsidRPr="002B12EE">
        <w:rPr>
          <w:rFonts w:ascii="Book Antiqua" w:hAnsi="Book Antiqua"/>
          <w:kern w:val="21"/>
          <w:sz w:val="24"/>
        </w:rPr>
        <w:t xml:space="preserve"> values &lt;</w:t>
      </w:r>
      <w:r>
        <w:rPr>
          <w:rFonts w:ascii="Book Antiqua" w:hAnsi="Book Antiqua"/>
          <w:kern w:val="21"/>
          <w:sz w:val="24"/>
        </w:rPr>
        <w:t xml:space="preserve"> </w:t>
      </w:r>
      <w:r w:rsidRPr="002B12EE">
        <w:rPr>
          <w:rFonts w:ascii="Book Antiqua" w:hAnsi="Book Antiqua"/>
          <w:kern w:val="21"/>
          <w:sz w:val="24"/>
        </w:rPr>
        <w:t>0.05 indicated little publication bias.</w:t>
      </w:r>
    </w:p>
    <w:p w:rsidR="00C87C35" w:rsidRPr="002B12EE" w:rsidRDefault="00C87C35" w:rsidP="002B12EE">
      <w:pPr>
        <w:spacing w:line="360" w:lineRule="auto"/>
        <w:rPr>
          <w:rFonts w:ascii="Book Antiqua" w:hAnsi="Book Antiqua"/>
          <w:kern w:val="21"/>
          <w:sz w:val="24"/>
        </w:rPr>
      </w:pPr>
    </w:p>
    <w:p w:rsidR="00C87C35" w:rsidRPr="002B12EE" w:rsidRDefault="00C87C35" w:rsidP="002B12EE">
      <w:pPr>
        <w:spacing w:line="360" w:lineRule="auto"/>
        <w:rPr>
          <w:rFonts w:ascii="Book Antiqua" w:hAnsi="Book Antiqua"/>
          <w:b/>
          <w:kern w:val="21"/>
          <w:sz w:val="24"/>
        </w:rPr>
      </w:pPr>
      <w:r w:rsidRPr="002B12EE">
        <w:rPr>
          <w:rFonts w:ascii="Book Antiqua" w:hAnsi="Book Antiqua"/>
          <w:b/>
          <w:kern w:val="21"/>
          <w:sz w:val="24"/>
        </w:rPr>
        <w:t>RESULTS</w:t>
      </w:r>
    </w:p>
    <w:p w:rsidR="00C87C35" w:rsidRPr="002B12EE" w:rsidRDefault="00C87C35" w:rsidP="002B12EE">
      <w:pPr>
        <w:spacing w:line="360" w:lineRule="auto"/>
        <w:rPr>
          <w:rFonts w:ascii="Book Antiqua" w:hAnsi="Book Antiqua"/>
          <w:color w:val="99CC00"/>
          <w:kern w:val="0"/>
          <w:sz w:val="24"/>
        </w:rPr>
      </w:pPr>
      <w:r w:rsidRPr="002B12EE">
        <w:rPr>
          <w:rFonts w:ascii="Book Antiqua" w:hAnsi="Book Antiqua"/>
          <w:kern w:val="21"/>
          <w:sz w:val="24"/>
        </w:rPr>
        <w:t xml:space="preserve">Twelve RCTs met the inclusion criteria, characteristics of each study are presented in Table 1. In total, there were 2403 enrolled participants in the trials who were treated with 5-HT agonists, </w:t>
      </w:r>
      <w:r w:rsidRPr="002B12EE">
        <w:rPr>
          <w:rFonts w:ascii="Book Antiqua" w:hAnsi="Book Antiqua"/>
          <w:kern w:val="3"/>
          <w:sz w:val="24"/>
        </w:rPr>
        <w:t>GABA-B receptor agonists,</w:t>
      </w:r>
      <w:r w:rsidRPr="002B12EE">
        <w:rPr>
          <w:rFonts w:ascii="Book Antiqua" w:hAnsi="Book Antiqua"/>
          <w:sz w:val="24"/>
        </w:rPr>
        <w:t xml:space="preserve"> </w:t>
      </w:r>
      <w:r w:rsidRPr="002B12EE">
        <w:rPr>
          <w:rFonts w:ascii="Book Antiqua" w:hAnsi="Book Antiqua"/>
          <w:kern w:val="3"/>
          <w:sz w:val="24"/>
        </w:rPr>
        <w:t>dopamine-receptor antagonists, and placebo control</w:t>
      </w:r>
      <w:r w:rsidRPr="002B12EE">
        <w:rPr>
          <w:rFonts w:ascii="Book Antiqua" w:hAnsi="Book Antiqua"/>
          <w:kern w:val="0"/>
          <w:sz w:val="24"/>
        </w:rPr>
        <w:t xml:space="preserve">. Combination 5-HT agonist and PPI therapy was given in seven trials, combination </w:t>
      </w:r>
      <w:r w:rsidRPr="002B12EE">
        <w:rPr>
          <w:rFonts w:ascii="Book Antiqua" w:hAnsi="Book Antiqua"/>
          <w:kern w:val="3"/>
          <w:sz w:val="24"/>
        </w:rPr>
        <w:t xml:space="preserve">GABA-B receptor agonist and PPI therapy was given in four trials, and </w:t>
      </w:r>
      <w:r w:rsidRPr="002B12EE">
        <w:rPr>
          <w:rFonts w:ascii="Book Antiqua" w:hAnsi="Book Antiqua"/>
          <w:kern w:val="0"/>
          <w:sz w:val="24"/>
        </w:rPr>
        <w:t xml:space="preserve">combination </w:t>
      </w:r>
      <w:r w:rsidRPr="002B12EE">
        <w:rPr>
          <w:rFonts w:ascii="Book Antiqua" w:hAnsi="Book Antiqua"/>
          <w:kern w:val="3"/>
          <w:sz w:val="24"/>
        </w:rPr>
        <w:t>dopamine-receptor antagonist and PPI therapy was given in one trial. In all RCTs, mono-therapy was directly compared with combination PPI therapy. In the 5-HT agonist studies, the doses of PPI and mosapride or cisapride were the same across patients. However, in the GABA-B receptor agonist studies</w:t>
      </w:r>
      <w:r w:rsidRPr="002B12EE">
        <w:rPr>
          <w:rFonts w:ascii="Book Antiqua" w:hAnsi="Book Antiqua"/>
          <w:kern w:val="0"/>
          <w:sz w:val="24"/>
        </w:rPr>
        <w:t xml:space="preserve">, different kinds of PPI and variable doses of baclofen or lesogaberan were used. All trials included mild to moderate GERD patients, with severe participants divided into a subgroup. </w:t>
      </w:r>
      <w:r w:rsidRPr="002B12EE">
        <w:rPr>
          <w:rFonts w:ascii="Book Antiqua" w:hAnsi="Book Antiqua"/>
          <w:kern w:val="21"/>
          <w:sz w:val="24"/>
        </w:rPr>
        <w:t xml:space="preserve">The primary endpoints evaluated in these trials were symptom or endoscopic response, and the relief score was used to determine the symptomatic remission. </w:t>
      </w:r>
    </w:p>
    <w:p w:rsidR="00C87C35" w:rsidRPr="002B12EE" w:rsidRDefault="00C87C35" w:rsidP="002B12EE">
      <w:pPr>
        <w:spacing w:line="360" w:lineRule="auto"/>
        <w:rPr>
          <w:rFonts w:ascii="Book Antiqua" w:hAnsi="Book Antiqua"/>
          <w:b/>
          <w:color w:val="000000"/>
          <w:kern w:val="0"/>
          <w:sz w:val="24"/>
        </w:rPr>
      </w:pPr>
    </w:p>
    <w:p w:rsidR="00C87C35" w:rsidRPr="002B12EE" w:rsidRDefault="00C87C35" w:rsidP="002B12EE">
      <w:pPr>
        <w:spacing w:line="360" w:lineRule="auto"/>
        <w:rPr>
          <w:rFonts w:ascii="Book Antiqua" w:hAnsi="Book Antiqua"/>
          <w:b/>
          <w:i/>
          <w:color w:val="FF0000"/>
          <w:kern w:val="0"/>
          <w:sz w:val="24"/>
        </w:rPr>
      </w:pPr>
      <w:r w:rsidRPr="002B12EE">
        <w:rPr>
          <w:rFonts w:ascii="Book Antiqua" w:hAnsi="Book Antiqua"/>
          <w:b/>
          <w:i/>
          <w:kern w:val="0"/>
          <w:sz w:val="24"/>
        </w:rPr>
        <w:t>Symptom response</w:t>
      </w:r>
    </w:p>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Table 2 details the symptom response in ten studies. Six trials</w:t>
      </w:r>
      <w:r w:rsidRPr="002B12EE">
        <w:rPr>
          <w:rFonts w:ascii="Book Antiqua" w:hAnsi="Book Antiqua"/>
          <w:color w:val="000000"/>
          <w:kern w:val="0"/>
          <w:sz w:val="24"/>
          <w:vertAlign w:val="superscript"/>
        </w:rPr>
        <w:t>[2, 13, 20, 25</w:t>
      </w:r>
      <w:r>
        <w:rPr>
          <w:rFonts w:ascii="Book Antiqua" w:hAnsi="Book Antiqua"/>
          <w:color w:val="000000"/>
          <w:kern w:val="0"/>
          <w:sz w:val="24"/>
          <w:vertAlign w:val="superscript"/>
        </w:rPr>
        <w:t>-</w:t>
      </w:r>
      <w:r w:rsidRPr="002B12EE">
        <w:rPr>
          <w:rFonts w:ascii="Book Antiqua" w:hAnsi="Book Antiqua"/>
          <w:color w:val="000000"/>
          <w:kern w:val="0"/>
          <w:sz w:val="24"/>
          <w:vertAlign w:val="superscript"/>
        </w:rPr>
        <w:t xml:space="preserve">27] </w:t>
      </w:r>
      <w:r w:rsidRPr="002B12EE">
        <w:rPr>
          <w:rFonts w:ascii="Book Antiqua" w:hAnsi="Book Antiqua"/>
          <w:color w:val="000000"/>
          <w:kern w:val="0"/>
          <w:sz w:val="24"/>
        </w:rPr>
        <w:t>compared the addition of mosapride or cisapride to PPI therapy to PPI alone therapy, and four trials</w:t>
      </w:r>
      <w:r w:rsidRPr="002B12EE">
        <w:rPr>
          <w:rFonts w:ascii="Book Antiqua" w:hAnsi="Book Antiqua"/>
          <w:color w:val="000000"/>
          <w:kern w:val="0"/>
          <w:sz w:val="24"/>
          <w:vertAlign w:val="superscript"/>
        </w:rPr>
        <w:t>[23</w:t>
      </w:r>
      <w:r>
        <w:rPr>
          <w:rFonts w:ascii="Book Antiqua" w:hAnsi="Book Antiqua"/>
          <w:color w:val="000000"/>
          <w:kern w:val="0"/>
          <w:sz w:val="24"/>
          <w:vertAlign w:val="superscript"/>
        </w:rPr>
        <w:t xml:space="preserve">, </w:t>
      </w:r>
      <w:r w:rsidRPr="002B12EE">
        <w:rPr>
          <w:rFonts w:ascii="Book Antiqua" w:hAnsi="Book Antiqua"/>
          <w:color w:val="000000"/>
          <w:kern w:val="0"/>
          <w:sz w:val="24"/>
          <w:vertAlign w:val="superscript"/>
        </w:rPr>
        <w:t>24, 28</w:t>
      </w:r>
      <w:r>
        <w:rPr>
          <w:rFonts w:ascii="Book Antiqua" w:hAnsi="Book Antiqua"/>
          <w:color w:val="000000"/>
          <w:kern w:val="0"/>
          <w:sz w:val="24"/>
          <w:vertAlign w:val="superscript"/>
        </w:rPr>
        <w:t xml:space="preserve">, </w:t>
      </w:r>
      <w:r w:rsidRPr="002B12EE">
        <w:rPr>
          <w:rFonts w:ascii="Book Antiqua" w:hAnsi="Book Antiqua"/>
          <w:color w:val="000000"/>
          <w:kern w:val="0"/>
          <w:sz w:val="24"/>
          <w:vertAlign w:val="superscript"/>
        </w:rPr>
        <w:t>29]</w:t>
      </w:r>
      <w:r w:rsidRPr="002B12EE">
        <w:rPr>
          <w:rFonts w:ascii="Book Antiqua" w:hAnsi="Book Antiqua"/>
          <w:color w:val="000000"/>
          <w:kern w:val="0"/>
          <w:sz w:val="24"/>
        </w:rPr>
        <w:t xml:space="preserve"> compared baclofen or lesogaberan to placebo </w:t>
      </w:r>
      <w:r w:rsidRPr="002B12EE">
        <w:rPr>
          <w:rFonts w:ascii="Book Antiqua" w:hAnsi="Book Antiqua"/>
          <w:color w:val="000000"/>
          <w:kern w:val="0"/>
          <w:sz w:val="24"/>
        </w:rPr>
        <w:lastRenderedPageBreak/>
        <w:t xml:space="preserve">PPI control. There was no statistically significant difference in symptom response between combined therapy and single therapy in these ten trials (1.0 - 1.2, </w:t>
      </w:r>
      <w:r w:rsidRPr="002B12EE">
        <w:rPr>
          <w:rFonts w:ascii="Book Antiqua" w:hAnsi="Book Antiqua"/>
          <w:i/>
          <w:color w:val="000000"/>
          <w:kern w:val="0"/>
          <w:sz w:val="24"/>
        </w:rPr>
        <w:t>P =</w:t>
      </w:r>
      <w:r w:rsidRPr="002B12EE">
        <w:rPr>
          <w:rFonts w:ascii="Book Antiqua" w:hAnsi="Book Antiqua"/>
          <w:color w:val="000000"/>
          <w:kern w:val="0"/>
          <w:sz w:val="24"/>
        </w:rPr>
        <w:t xml:space="preserve"> 0.05) (Figure 1</w:t>
      </w:r>
      <w:r>
        <w:rPr>
          <w:rFonts w:ascii="Book Antiqua" w:hAnsi="Book Antiqua"/>
          <w:color w:val="000000"/>
          <w:kern w:val="0"/>
          <w:sz w:val="24"/>
        </w:rPr>
        <w:t>A</w:t>
      </w:r>
      <w:r w:rsidRPr="002B12EE">
        <w:rPr>
          <w:rFonts w:ascii="Book Antiqua" w:hAnsi="Book Antiqua"/>
          <w:color w:val="000000"/>
          <w:kern w:val="0"/>
          <w:sz w:val="24"/>
        </w:rPr>
        <w:t xml:space="preserve">). Furthermore, we divided those ten trials into a 5-HT agonist group and a </w:t>
      </w:r>
      <w:r w:rsidRPr="002B12EE">
        <w:rPr>
          <w:rFonts w:ascii="Book Antiqua" w:hAnsi="Book Antiqua"/>
          <w:kern w:val="3"/>
          <w:sz w:val="24"/>
        </w:rPr>
        <w:t>GABA-B receptor agonist group</w:t>
      </w:r>
      <w:r w:rsidRPr="002B12EE">
        <w:rPr>
          <w:rFonts w:ascii="Book Antiqua" w:hAnsi="Book Antiqua"/>
          <w:color w:val="000000"/>
          <w:kern w:val="0"/>
          <w:sz w:val="24"/>
        </w:rPr>
        <w:t xml:space="preserve"> and found that neither group displayed significant differences between combination and mono-therapy for symptom response (1.0-1.2, </w:t>
      </w:r>
      <w:r w:rsidRPr="002B12EE">
        <w:rPr>
          <w:rFonts w:ascii="Book Antiqua" w:hAnsi="Book Antiqua"/>
          <w:i/>
          <w:color w:val="000000"/>
          <w:kern w:val="0"/>
          <w:sz w:val="24"/>
        </w:rPr>
        <w:t>P =</w:t>
      </w:r>
      <w:r w:rsidRPr="002B12EE">
        <w:rPr>
          <w:rFonts w:ascii="Book Antiqua" w:hAnsi="Book Antiqua"/>
          <w:color w:val="000000"/>
          <w:kern w:val="0"/>
          <w:sz w:val="24"/>
        </w:rPr>
        <w:t xml:space="preserve"> 0.21; 0.8-1.7, </w:t>
      </w:r>
      <w:r w:rsidRPr="002B12EE">
        <w:rPr>
          <w:rFonts w:ascii="Book Antiqua" w:hAnsi="Book Antiqua"/>
          <w:i/>
          <w:color w:val="000000"/>
          <w:kern w:val="0"/>
          <w:sz w:val="24"/>
        </w:rPr>
        <w:t>P =</w:t>
      </w:r>
      <w:r w:rsidRPr="002B12EE">
        <w:rPr>
          <w:rFonts w:ascii="Book Antiqua" w:hAnsi="Book Antiqua"/>
          <w:color w:val="000000"/>
          <w:kern w:val="0"/>
          <w:sz w:val="24"/>
        </w:rPr>
        <w:t xml:space="preserve"> 0.40) (Figure</w:t>
      </w:r>
      <w:r>
        <w:rPr>
          <w:rFonts w:ascii="Book Antiqua" w:hAnsi="Book Antiqua"/>
          <w:color w:val="000000"/>
          <w:kern w:val="0"/>
          <w:sz w:val="24"/>
        </w:rPr>
        <w:t xml:space="preserve"> 1</w:t>
      </w:r>
      <w:r w:rsidRPr="002B12EE">
        <w:rPr>
          <w:rFonts w:ascii="Book Antiqua" w:hAnsi="Book Antiqua"/>
          <w:color w:val="000000"/>
          <w:kern w:val="0"/>
          <w:sz w:val="24"/>
        </w:rPr>
        <w:t xml:space="preserve"> </w:t>
      </w:r>
      <w:r>
        <w:rPr>
          <w:rFonts w:ascii="Book Antiqua" w:hAnsi="Book Antiqua"/>
          <w:color w:val="000000"/>
          <w:kern w:val="0"/>
          <w:sz w:val="24"/>
        </w:rPr>
        <w:t>B</w:t>
      </w:r>
      <w:r w:rsidRPr="002B12EE">
        <w:rPr>
          <w:rFonts w:ascii="Book Antiqua" w:hAnsi="Book Antiqua"/>
          <w:color w:val="000000"/>
          <w:kern w:val="0"/>
          <w:sz w:val="24"/>
        </w:rPr>
        <w:t xml:space="preserve"> and </w:t>
      </w:r>
      <w:r>
        <w:rPr>
          <w:rFonts w:ascii="Book Antiqua" w:hAnsi="Book Antiqua"/>
          <w:color w:val="000000"/>
          <w:kern w:val="0"/>
          <w:sz w:val="24"/>
        </w:rPr>
        <w:t>C</w:t>
      </w:r>
      <w:r w:rsidRPr="002B12EE">
        <w:rPr>
          <w:rFonts w:ascii="Book Antiqua" w:hAnsi="Book Antiqua"/>
          <w:color w:val="000000"/>
          <w:kern w:val="0"/>
          <w:sz w:val="24"/>
        </w:rPr>
        <w:t>).</w:t>
      </w:r>
    </w:p>
    <w:p w:rsidR="00C87C35" w:rsidRPr="002B12EE" w:rsidRDefault="00C87C35" w:rsidP="002B12EE">
      <w:pPr>
        <w:spacing w:line="360" w:lineRule="auto"/>
        <w:rPr>
          <w:rFonts w:ascii="Book Antiqua" w:hAnsi="Book Antiqua"/>
          <w:b/>
          <w:color w:val="000000"/>
          <w:kern w:val="0"/>
          <w:sz w:val="24"/>
        </w:rPr>
      </w:pPr>
    </w:p>
    <w:p w:rsidR="00C87C35" w:rsidRPr="002B12EE" w:rsidRDefault="00C87C35" w:rsidP="002B12EE">
      <w:pPr>
        <w:spacing w:line="360" w:lineRule="auto"/>
        <w:rPr>
          <w:rFonts w:ascii="Book Antiqua" w:hAnsi="Book Antiqua"/>
          <w:i/>
          <w:color w:val="000000"/>
          <w:kern w:val="0"/>
          <w:sz w:val="24"/>
        </w:rPr>
      </w:pPr>
      <w:r w:rsidRPr="002B12EE">
        <w:rPr>
          <w:rFonts w:ascii="Book Antiqua" w:hAnsi="Book Antiqua"/>
          <w:b/>
          <w:i/>
          <w:color w:val="000000"/>
          <w:kern w:val="0"/>
          <w:sz w:val="24"/>
        </w:rPr>
        <w:t>Symptom score change</w:t>
      </w:r>
    </w:p>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The 5-HT receptor agonist group showed a change in symptom score in the two treatment groups, even though the symptom assessments were different. Since </w:t>
      </w:r>
      <w:r w:rsidRPr="002B12EE">
        <w:rPr>
          <w:rFonts w:ascii="Book Antiqua" w:hAnsi="Book Antiqua"/>
          <w:kern w:val="0"/>
          <w:sz w:val="24"/>
        </w:rPr>
        <w:t xml:space="preserve">Ndraha </w:t>
      </w:r>
      <w:r w:rsidRPr="004B095D">
        <w:rPr>
          <w:rFonts w:ascii="Book Antiqua" w:hAnsi="Book Antiqua"/>
          <w:i/>
          <w:kern w:val="0"/>
          <w:sz w:val="24"/>
        </w:rPr>
        <w:t>et al</w:t>
      </w:r>
      <w:r w:rsidRPr="002B12EE">
        <w:rPr>
          <w:rFonts w:ascii="Book Antiqua" w:hAnsi="Book Antiqua"/>
          <w:kern w:val="0"/>
          <w:sz w:val="24"/>
          <w:vertAlign w:val="superscript"/>
        </w:rPr>
        <w:t>[29]</w:t>
      </w:r>
      <w:r w:rsidRPr="002B12EE">
        <w:rPr>
          <w:rFonts w:ascii="Book Antiqua" w:hAnsi="Book Antiqua"/>
          <w:color w:val="000000"/>
          <w:kern w:val="0"/>
          <w:sz w:val="24"/>
        </w:rPr>
        <w:t xml:space="preserve"> and</w:t>
      </w:r>
      <w:r w:rsidRPr="002B12EE">
        <w:rPr>
          <w:rFonts w:ascii="Book Antiqua" w:hAnsi="Book Antiqua"/>
          <w:kern w:val="0"/>
          <w:sz w:val="24"/>
        </w:rPr>
        <w:t xml:space="preserve"> Hsu </w:t>
      </w:r>
      <w:r w:rsidRPr="004B095D">
        <w:rPr>
          <w:rFonts w:ascii="Book Antiqua" w:hAnsi="Book Antiqua"/>
          <w:i/>
          <w:kern w:val="0"/>
          <w:sz w:val="24"/>
        </w:rPr>
        <w:t>et al</w:t>
      </w:r>
      <w:r w:rsidRPr="002B12EE">
        <w:rPr>
          <w:rFonts w:ascii="Book Antiqua" w:hAnsi="Book Antiqua"/>
          <w:kern w:val="0"/>
          <w:sz w:val="24"/>
          <w:vertAlign w:val="superscript"/>
        </w:rPr>
        <w:t>[2]</w:t>
      </w:r>
      <w:r w:rsidRPr="002B12EE">
        <w:rPr>
          <w:rFonts w:ascii="Book Antiqua" w:hAnsi="Book Antiqua"/>
          <w:color w:val="000000"/>
          <w:kern w:val="0"/>
          <w:sz w:val="24"/>
        </w:rPr>
        <w:t xml:space="preserve"> used the frequency scale for the symptoms of gastroesophageal reflux (FSSG) score, we combined the two trials to assess the change in symptom score. Combination therapy yielded more symptomatic relief relative to monotherapy (2.1-3.0, </w:t>
      </w:r>
      <w:r w:rsidRPr="002B12EE">
        <w:rPr>
          <w:rFonts w:ascii="Book Antiqua" w:hAnsi="Book Antiqua"/>
          <w:i/>
          <w:color w:val="000000"/>
          <w:kern w:val="0"/>
          <w:sz w:val="24"/>
        </w:rPr>
        <w:t>P &lt;</w:t>
      </w:r>
      <w:r w:rsidRPr="002B12EE">
        <w:rPr>
          <w:rFonts w:ascii="Book Antiqua" w:hAnsi="Book Antiqua"/>
          <w:color w:val="000000"/>
          <w:kern w:val="3"/>
          <w:sz w:val="24"/>
        </w:rPr>
        <w:t xml:space="preserve"> 0.00001</w:t>
      </w:r>
      <w:r w:rsidRPr="002B12EE">
        <w:rPr>
          <w:rFonts w:ascii="Book Antiqua" w:hAnsi="Book Antiqua"/>
          <w:color w:val="000000"/>
          <w:kern w:val="0"/>
          <w:sz w:val="24"/>
        </w:rPr>
        <w:t xml:space="preserve">) (Figure </w:t>
      </w:r>
      <w:r>
        <w:rPr>
          <w:rFonts w:ascii="Book Antiqua" w:hAnsi="Book Antiqua"/>
          <w:color w:val="000000"/>
          <w:kern w:val="0"/>
          <w:sz w:val="24"/>
        </w:rPr>
        <w:t>D</w:t>
      </w:r>
      <w:r w:rsidRPr="002B12EE">
        <w:rPr>
          <w:rFonts w:ascii="Book Antiqua" w:hAnsi="Book Antiqua"/>
          <w:color w:val="000000"/>
          <w:kern w:val="0"/>
          <w:sz w:val="24"/>
        </w:rPr>
        <w:t xml:space="preserve">). Although symptom response in these two treatment groups was not statistically different, the clinical symptoms in the combination therapy group were relieved more than the single therapy group. Overall, these findings suggest that combined therapy may have improved patient quality of life. </w:t>
      </w:r>
    </w:p>
    <w:p w:rsidR="00C87C35" w:rsidRPr="002B12EE" w:rsidRDefault="00C87C35" w:rsidP="002B12EE">
      <w:pPr>
        <w:spacing w:line="360" w:lineRule="auto"/>
        <w:rPr>
          <w:rFonts w:ascii="Book Antiqua" w:hAnsi="Book Antiqua"/>
          <w:b/>
          <w:color w:val="000000"/>
          <w:kern w:val="0"/>
          <w:sz w:val="24"/>
        </w:rPr>
      </w:pPr>
    </w:p>
    <w:p w:rsidR="00C87C35" w:rsidRPr="002B12EE" w:rsidRDefault="00C87C35" w:rsidP="002B12EE">
      <w:pPr>
        <w:spacing w:line="360" w:lineRule="auto"/>
        <w:rPr>
          <w:rFonts w:ascii="Book Antiqua" w:hAnsi="Book Antiqua"/>
          <w:b/>
          <w:i/>
          <w:color w:val="000000"/>
          <w:kern w:val="0"/>
          <w:sz w:val="24"/>
        </w:rPr>
      </w:pPr>
      <w:r w:rsidRPr="002B12EE">
        <w:rPr>
          <w:rFonts w:ascii="Book Antiqua" w:hAnsi="Book Antiqua"/>
          <w:b/>
          <w:i/>
          <w:color w:val="000000"/>
          <w:kern w:val="0"/>
          <w:sz w:val="24"/>
        </w:rPr>
        <w:t xml:space="preserve">Endoscopic response </w:t>
      </w:r>
    </w:p>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kern w:val="0"/>
          <w:sz w:val="24"/>
        </w:rPr>
        <w:t>To</w:t>
      </w:r>
      <w:r w:rsidRPr="002B12EE">
        <w:rPr>
          <w:rFonts w:ascii="Book Antiqua" w:hAnsi="Book Antiqua"/>
          <w:color w:val="FF0000"/>
          <w:kern w:val="0"/>
          <w:sz w:val="24"/>
        </w:rPr>
        <w:t xml:space="preserve"> </w:t>
      </w:r>
      <w:r w:rsidRPr="002B12EE">
        <w:rPr>
          <w:rFonts w:ascii="Book Antiqua" w:hAnsi="Book Antiqua"/>
          <w:kern w:val="0"/>
          <w:sz w:val="24"/>
        </w:rPr>
        <w:t xml:space="preserve">explore the mucosal healing in RE patients, we investigated the endoscopic response of </w:t>
      </w:r>
      <w:r w:rsidRPr="002B12EE">
        <w:rPr>
          <w:rFonts w:ascii="Book Antiqua" w:hAnsi="Book Antiqua"/>
          <w:color w:val="000000"/>
          <w:kern w:val="0"/>
          <w:sz w:val="24"/>
        </w:rPr>
        <w:t>two trials</w:t>
      </w:r>
      <w:r w:rsidRPr="002B12EE">
        <w:rPr>
          <w:rFonts w:ascii="Book Antiqua" w:hAnsi="Book Antiqua"/>
          <w:color w:val="000000"/>
          <w:kern w:val="0"/>
          <w:sz w:val="24"/>
          <w:vertAlign w:val="superscript"/>
        </w:rPr>
        <w:t>[19,</w:t>
      </w:r>
      <w:r w:rsidRPr="002B12EE">
        <w:rPr>
          <w:rFonts w:ascii="Book Antiqua" w:hAnsi="Book Antiqua"/>
          <w:color w:val="000000"/>
          <w:kern w:val="0"/>
          <w:sz w:val="24"/>
        </w:rPr>
        <w:t xml:space="preserve"> </w:t>
      </w:r>
      <w:r w:rsidRPr="002B12EE">
        <w:rPr>
          <w:rFonts w:ascii="Book Antiqua" w:hAnsi="Book Antiqua"/>
          <w:color w:val="000000"/>
          <w:kern w:val="0"/>
          <w:sz w:val="24"/>
          <w:vertAlign w:val="superscript"/>
        </w:rPr>
        <w:t>25]</w:t>
      </w:r>
      <w:r w:rsidRPr="002B12EE">
        <w:rPr>
          <w:rFonts w:ascii="Book Antiqua" w:hAnsi="Book Antiqua"/>
          <w:color w:val="000000"/>
          <w:kern w:val="0"/>
          <w:sz w:val="24"/>
        </w:rPr>
        <w:t xml:space="preserve"> where endoscopic response was reported. Overall, the endoscopic response in RE patients was not significantly different between 5-HT agonist and PPI combined therapy and PPI single therapy (0.7-2.6, </w:t>
      </w:r>
      <w:r w:rsidRPr="002B12EE">
        <w:rPr>
          <w:rFonts w:ascii="Book Antiqua" w:hAnsi="Book Antiqua"/>
          <w:i/>
          <w:color w:val="000000"/>
          <w:kern w:val="0"/>
          <w:sz w:val="24"/>
        </w:rPr>
        <w:t>P =</w:t>
      </w:r>
      <w:r w:rsidRPr="002B12EE">
        <w:rPr>
          <w:rFonts w:ascii="Book Antiqua" w:hAnsi="Book Antiqua"/>
          <w:color w:val="000000"/>
          <w:kern w:val="0"/>
          <w:sz w:val="24"/>
        </w:rPr>
        <w:t xml:space="preserve"> 0.44) (Figure </w:t>
      </w:r>
      <w:r>
        <w:rPr>
          <w:rFonts w:ascii="Book Antiqua" w:hAnsi="Book Antiqua"/>
          <w:color w:val="000000"/>
          <w:kern w:val="0"/>
          <w:sz w:val="24"/>
        </w:rPr>
        <w:t>E</w:t>
      </w:r>
      <w:r w:rsidRPr="002B12EE">
        <w:rPr>
          <w:rFonts w:ascii="Book Antiqua" w:hAnsi="Book Antiqua"/>
          <w:color w:val="000000"/>
          <w:kern w:val="0"/>
          <w:sz w:val="24"/>
        </w:rPr>
        <w:t>).</w:t>
      </w:r>
    </w:p>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 </w:t>
      </w:r>
    </w:p>
    <w:p w:rsidR="00C87C35" w:rsidRPr="002B12EE" w:rsidRDefault="00C87C35" w:rsidP="002B12EE">
      <w:pPr>
        <w:spacing w:line="360" w:lineRule="auto"/>
        <w:rPr>
          <w:rFonts w:ascii="Book Antiqua" w:hAnsi="Book Antiqua"/>
          <w:b/>
          <w:i/>
          <w:color w:val="000000"/>
          <w:kern w:val="0"/>
          <w:sz w:val="24"/>
        </w:rPr>
      </w:pPr>
      <w:r w:rsidRPr="002B12EE">
        <w:rPr>
          <w:rFonts w:ascii="Book Antiqua" w:hAnsi="Book Antiqua"/>
          <w:b/>
          <w:i/>
          <w:color w:val="000000"/>
          <w:kern w:val="0"/>
          <w:sz w:val="24"/>
        </w:rPr>
        <w:t>Reflux wave amplitude and wave duration</w:t>
      </w:r>
    </w:p>
    <w:p w:rsidR="00C87C35" w:rsidRPr="002B12EE" w:rsidRDefault="00C87C35" w:rsidP="002B12EE">
      <w:pPr>
        <w:spacing w:line="360" w:lineRule="auto"/>
        <w:rPr>
          <w:rFonts w:ascii="Book Antiqua" w:hAnsi="Book Antiqua"/>
          <w:color w:val="000000"/>
          <w:kern w:val="3"/>
          <w:sz w:val="24"/>
        </w:rPr>
      </w:pPr>
      <w:r w:rsidRPr="002B12EE">
        <w:rPr>
          <w:rFonts w:ascii="Book Antiqua" w:hAnsi="Book Antiqua"/>
          <w:color w:val="000000"/>
          <w:kern w:val="0"/>
          <w:sz w:val="24"/>
        </w:rPr>
        <w:t>Two trial</w:t>
      </w:r>
      <w:r w:rsidRPr="002B12EE">
        <w:rPr>
          <w:rFonts w:ascii="Book Antiqua" w:hAnsi="Book Antiqua"/>
          <w:color w:val="000000"/>
          <w:kern w:val="0"/>
          <w:sz w:val="24"/>
          <w:vertAlign w:val="superscript"/>
        </w:rPr>
        <w:t>[24,</w:t>
      </w:r>
      <w:r w:rsidRPr="002B12EE">
        <w:rPr>
          <w:rFonts w:ascii="Book Antiqua" w:hAnsi="Book Antiqua"/>
          <w:color w:val="000000"/>
          <w:kern w:val="0"/>
          <w:sz w:val="24"/>
        </w:rPr>
        <w:t xml:space="preserve"> </w:t>
      </w:r>
      <w:r w:rsidRPr="002B12EE">
        <w:rPr>
          <w:rFonts w:ascii="Book Antiqua" w:hAnsi="Book Antiqua"/>
          <w:color w:val="000000"/>
          <w:kern w:val="0"/>
          <w:sz w:val="24"/>
          <w:vertAlign w:val="superscript"/>
        </w:rPr>
        <w:t>29]</w:t>
      </w:r>
      <w:r w:rsidRPr="002B12EE">
        <w:rPr>
          <w:rFonts w:ascii="Book Antiqua" w:hAnsi="Book Antiqua"/>
          <w:color w:val="000000"/>
          <w:kern w:val="0"/>
          <w:sz w:val="24"/>
        </w:rPr>
        <w:t xml:space="preserve"> reported LESP, reflux wave amplitude, and wave duration. As shown in Figure </w:t>
      </w:r>
      <w:r>
        <w:rPr>
          <w:rFonts w:ascii="Book Antiqua" w:hAnsi="Book Antiqua"/>
          <w:color w:val="000000"/>
          <w:kern w:val="0"/>
          <w:sz w:val="24"/>
        </w:rPr>
        <w:t>F</w:t>
      </w:r>
      <w:r w:rsidRPr="002B12EE">
        <w:rPr>
          <w:rFonts w:ascii="Book Antiqua" w:hAnsi="Book Antiqua"/>
          <w:color w:val="000000"/>
          <w:kern w:val="0"/>
          <w:sz w:val="24"/>
        </w:rPr>
        <w:t xml:space="preserve">, combined therapy may reduce reflux wave amplitude </w:t>
      </w:r>
      <w:r w:rsidRPr="002B12EE">
        <w:rPr>
          <w:rFonts w:ascii="Book Antiqua" w:hAnsi="Book Antiqua"/>
          <w:color w:val="000000"/>
          <w:kern w:val="0"/>
          <w:sz w:val="24"/>
        </w:rPr>
        <w:lastRenderedPageBreak/>
        <w:t xml:space="preserve">(-6.0--1.8, </w:t>
      </w:r>
      <w:r w:rsidRPr="002B12EE">
        <w:rPr>
          <w:rFonts w:ascii="Book Antiqua" w:hAnsi="Book Antiqua"/>
          <w:i/>
          <w:color w:val="000000"/>
          <w:kern w:val="0"/>
          <w:sz w:val="24"/>
        </w:rPr>
        <w:t>P =</w:t>
      </w:r>
      <w:r w:rsidRPr="002B12EE">
        <w:rPr>
          <w:rFonts w:ascii="Book Antiqua" w:hAnsi="Book Antiqua"/>
          <w:color w:val="000000"/>
          <w:kern w:val="0"/>
          <w:sz w:val="24"/>
        </w:rPr>
        <w:t xml:space="preserve"> 0.0003) but not wave duration (-0.4-0.6, </w:t>
      </w:r>
      <w:r w:rsidRPr="002B12EE">
        <w:rPr>
          <w:rFonts w:ascii="Book Antiqua" w:hAnsi="Book Antiqua"/>
          <w:i/>
          <w:color w:val="000000"/>
          <w:kern w:val="0"/>
          <w:sz w:val="24"/>
        </w:rPr>
        <w:t>P =</w:t>
      </w:r>
      <w:r w:rsidRPr="002B12EE">
        <w:rPr>
          <w:rFonts w:ascii="Book Antiqua" w:hAnsi="Book Antiqua"/>
          <w:color w:val="000000"/>
          <w:kern w:val="0"/>
          <w:sz w:val="24"/>
        </w:rPr>
        <w:t xml:space="preserve"> 0.65) (Figure </w:t>
      </w:r>
      <w:r>
        <w:rPr>
          <w:rFonts w:ascii="Book Antiqua" w:hAnsi="Book Antiqua"/>
          <w:color w:val="000000"/>
          <w:kern w:val="0"/>
          <w:sz w:val="24"/>
        </w:rPr>
        <w:t>G</w:t>
      </w:r>
      <w:r w:rsidRPr="002B12EE">
        <w:rPr>
          <w:rFonts w:ascii="Book Antiqua" w:hAnsi="Book Antiqua"/>
          <w:color w:val="000000"/>
          <w:kern w:val="0"/>
          <w:sz w:val="24"/>
        </w:rPr>
        <w:t xml:space="preserve">). Taken together, these findings suggest that </w:t>
      </w:r>
      <w:r w:rsidRPr="002B12EE">
        <w:rPr>
          <w:rFonts w:ascii="Book Antiqua" w:hAnsi="Book Antiqua"/>
          <w:color w:val="000000"/>
          <w:kern w:val="3"/>
          <w:sz w:val="24"/>
        </w:rPr>
        <w:t>combined therapy in GERD may reduce the number of reflux episodes but not the duration of acid exposure time.</w:t>
      </w:r>
    </w:p>
    <w:p w:rsidR="00C87C35" w:rsidRPr="002B12EE" w:rsidRDefault="00C87C35" w:rsidP="002B12EE">
      <w:pPr>
        <w:spacing w:line="360" w:lineRule="auto"/>
        <w:rPr>
          <w:rFonts w:ascii="Book Antiqua" w:hAnsi="Book Antiqua"/>
          <w:b/>
          <w:color w:val="000000"/>
          <w:kern w:val="0"/>
          <w:sz w:val="24"/>
        </w:rPr>
      </w:pPr>
    </w:p>
    <w:p w:rsidR="00C87C35" w:rsidRPr="002B12EE" w:rsidRDefault="00C87C35" w:rsidP="002B12EE">
      <w:pPr>
        <w:spacing w:line="360" w:lineRule="auto"/>
        <w:rPr>
          <w:rFonts w:ascii="Book Antiqua" w:hAnsi="Book Antiqua"/>
          <w:b/>
          <w:i/>
          <w:color w:val="000000"/>
          <w:kern w:val="0"/>
          <w:sz w:val="24"/>
        </w:rPr>
      </w:pPr>
      <w:r w:rsidRPr="002B12EE">
        <w:rPr>
          <w:rFonts w:ascii="Book Antiqua" w:hAnsi="Book Antiqua"/>
          <w:b/>
          <w:i/>
          <w:color w:val="000000"/>
          <w:kern w:val="0"/>
          <w:sz w:val="24"/>
        </w:rPr>
        <w:t>Adverse effects proportion</w:t>
      </w:r>
    </w:p>
    <w:p w:rsidR="00C87C35" w:rsidRPr="002B12EE" w:rsidRDefault="00C87C35" w:rsidP="002B12EE">
      <w:pPr>
        <w:spacing w:line="360" w:lineRule="auto"/>
        <w:rPr>
          <w:rFonts w:ascii="Book Antiqua" w:hAnsi="Book Antiqua"/>
          <w:kern w:val="3"/>
          <w:sz w:val="24"/>
        </w:rPr>
      </w:pPr>
      <w:r w:rsidRPr="002B12EE">
        <w:rPr>
          <w:rFonts w:ascii="Book Antiqua" w:hAnsi="Book Antiqua"/>
          <w:color w:val="000000"/>
          <w:kern w:val="0"/>
          <w:sz w:val="24"/>
        </w:rPr>
        <w:t xml:space="preserve">Combined prokinetic and PPI therapy may be linked to additional side effects, such as reflux, abdominal pain, indigestion, diarrhea, chest pain, and constipation. Since only six of the 12 trials reported adverse effects, we only included these studies in our proportional analysis. The side-effects ratio demonstrated that side effects were elevated in patients with combined relative to single PPI therapy (1.06-1.36, </w:t>
      </w:r>
      <w:r w:rsidRPr="002B12EE">
        <w:rPr>
          <w:rFonts w:ascii="Book Antiqua" w:hAnsi="Book Antiqua"/>
          <w:i/>
          <w:color w:val="000000"/>
          <w:kern w:val="0"/>
          <w:sz w:val="24"/>
        </w:rPr>
        <w:t>P =</w:t>
      </w:r>
      <w:r w:rsidRPr="002B12EE">
        <w:rPr>
          <w:rFonts w:ascii="Book Antiqua" w:hAnsi="Book Antiqua"/>
          <w:color w:val="000000"/>
          <w:kern w:val="0"/>
          <w:sz w:val="24"/>
        </w:rPr>
        <w:t xml:space="preserve"> 0.005) (Figure </w:t>
      </w:r>
      <w:r>
        <w:rPr>
          <w:rFonts w:ascii="Book Antiqua" w:hAnsi="Book Antiqua"/>
          <w:color w:val="000000"/>
          <w:kern w:val="0"/>
          <w:sz w:val="24"/>
        </w:rPr>
        <w:t>H</w:t>
      </w:r>
      <w:r w:rsidRPr="002B12EE">
        <w:rPr>
          <w:rFonts w:ascii="Book Antiqua" w:hAnsi="Book Antiqua"/>
          <w:color w:val="000000"/>
          <w:kern w:val="0"/>
          <w:sz w:val="24"/>
        </w:rPr>
        <w:t xml:space="preserve">). To further explore the side-effects of the 5-HT group, we excluded the GABA-B receptor </w:t>
      </w:r>
      <w:r w:rsidRPr="002B12EE">
        <w:rPr>
          <w:rFonts w:ascii="Book Antiqua" w:hAnsi="Book Antiqua"/>
          <w:kern w:val="3"/>
          <w:sz w:val="24"/>
        </w:rPr>
        <w:t>agonists group. However, we found no difference between the two therapies</w:t>
      </w:r>
      <w:r w:rsidRPr="002B12EE">
        <w:rPr>
          <w:rFonts w:ascii="Book Antiqua" w:hAnsi="Book Antiqua"/>
          <w:color w:val="000000"/>
          <w:kern w:val="0"/>
          <w:sz w:val="24"/>
        </w:rPr>
        <w:t xml:space="preserve"> for the 5-HT agonist group (0.84-1.39, </w:t>
      </w:r>
      <w:r w:rsidRPr="002B12EE">
        <w:rPr>
          <w:rFonts w:ascii="Book Antiqua" w:hAnsi="Book Antiqua"/>
          <w:i/>
          <w:color w:val="000000"/>
          <w:kern w:val="0"/>
          <w:sz w:val="24"/>
        </w:rPr>
        <w:t>P =</w:t>
      </w:r>
      <w:r w:rsidRPr="002B12EE">
        <w:rPr>
          <w:rFonts w:ascii="Book Antiqua" w:hAnsi="Book Antiqua"/>
          <w:color w:val="000000"/>
          <w:kern w:val="0"/>
          <w:sz w:val="24"/>
        </w:rPr>
        <w:t xml:space="preserve"> 0.53) (Figure </w:t>
      </w:r>
      <w:r>
        <w:rPr>
          <w:rFonts w:ascii="Book Antiqua" w:hAnsi="Book Antiqua"/>
          <w:color w:val="000000"/>
          <w:kern w:val="0"/>
          <w:sz w:val="24"/>
        </w:rPr>
        <w:t>I</w:t>
      </w:r>
      <w:r w:rsidRPr="002B12EE">
        <w:rPr>
          <w:rFonts w:ascii="Book Antiqua" w:hAnsi="Book Antiqua"/>
          <w:color w:val="000000"/>
          <w:kern w:val="0"/>
          <w:sz w:val="24"/>
        </w:rPr>
        <w:t xml:space="preserve">). Single side-effects ratio in the GABA-B receptor </w:t>
      </w:r>
      <w:r w:rsidRPr="002B12EE">
        <w:rPr>
          <w:rFonts w:ascii="Book Antiqua" w:hAnsi="Book Antiqua"/>
          <w:kern w:val="3"/>
          <w:sz w:val="24"/>
        </w:rPr>
        <w:t xml:space="preserve">agonist group were evaluated, and there were significantly more side-effects in the GABA-B </w:t>
      </w:r>
      <w:r w:rsidRPr="002B12EE">
        <w:rPr>
          <w:rFonts w:ascii="Book Antiqua" w:hAnsi="Book Antiqua"/>
          <w:color w:val="000000"/>
          <w:kern w:val="0"/>
          <w:sz w:val="24"/>
        </w:rPr>
        <w:t xml:space="preserve">receptor </w:t>
      </w:r>
      <w:r w:rsidRPr="002B12EE">
        <w:rPr>
          <w:rFonts w:ascii="Book Antiqua" w:hAnsi="Book Antiqua"/>
          <w:kern w:val="3"/>
          <w:sz w:val="24"/>
        </w:rPr>
        <w:t xml:space="preserve">agonists combined group than in the group with PPI therapy alone (1.1-1.5, </w:t>
      </w:r>
      <w:r w:rsidRPr="002B12EE">
        <w:rPr>
          <w:rFonts w:ascii="Book Antiqua" w:hAnsi="Book Antiqua"/>
          <w:i/>
          <w:kern w:val="3"/>
          <w:sz w:val="24"/>
        </w:rPr>
        <w:t>P =</w:t>
      </w:r>
      <w:r w:rsidRPr="002B12EE">
        <w:rPr>
          <w:rFonts w:ascii="Book Antiqua" w:hAnsi="Book Antiqua"/>
          <w:kern w:val="3"/>
          <w:sz w:val="24"/>
        </w:rPr>
        <w:t xml:space="preserve"> 0.004) (Figure </w:t>
      </w:r>
      <w:r>
        <w:rPr>
          <w:rFonts w:ascii="Book Antiqua" w:hAnsi="Book Antiqua"/>
          <w:kern w:val="3"/>
          <w:sz w:val="24"/>
        </w:rPr>
        <w:t>J</w:t>
      </w:r>
      <w:r w:rsidRPr="002B12EE">
        <w:rPr>
          <w:rFonts w:ascii="Book Antiqua" w:hAnsi="Book Antiqua"/>
          <w:kern w:val="3"/>
          <w:sz w:val="24"/>
        </w:rPr>
        <w:t>).</w:t>
      </w:r>
    </w:p>
    <w:p w:rsidR="00C87C35" w:rsidRPr="002B12EE" w:rsidRDefault="00C87C35" w:rsidP="002B12EE">
      <w:pPr>
        <w:spacing w:line="360" w:lineRule="auto"/>
        <w:rPr>
          <w:rFonts w:ascii="Book Antiqua" w:hAnsi="Book Antiqua"/>
          <w:b/>
          <w:kern w:val="3"/>
          <w:sz w:val="24"/>
        </w:rPr>
      </w:pPr>
    </w:p>
    <w:p w:rsidR="00C87C35" w:rsidRPr="002B12EE" w:rsidRDefault="00C87C35" w:rsidP="002B12EE">
      <w:pPr>
        <w:spacing w:line="360" w:lineRule="auto"/>
        <w:rPr>
          <w:rFonts w:ascii="Book Antiqua" w:hAnsi="Book Antiqua"/>
          <w:b/>
          <w:i/>
          <w:kern w:val="3"/>
          <w:sz w:val="24"/>
        </w:rPr>
      </w:pPr>
      <w:r w:rsidRPr="002B12EE">
        <w:rPr>
          <w:rFonts w:ascii="Book Antiqua" w:hAnsi="Book Antiqua"/>
          <w:b/>
          <w:i/>
          <w:kern w:val="3"/>
          <w:sz w:val="24"/>
        </w:rPr>
        <w:t>Publication bias</w:t>
      </w:r>
    </w:p>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kern w:val="3"/>
          <w:sz w:val="24"/>
        </w:rPr>
        <w:t xml:space="preserve">As shown in Figure </w:t>
      </w:r>
      <w:r>
        <w:rPr>
          <w:rFonts w:ascii="Book Antiqua" w:hAnsi="Book Antiqua"/>
          <w:kern w:val="3"/>
          <w:sz w:val="24"/>
        </w:rPr>
        <w:t>2</w:t>
      </w:r>
      <w:r w:rsidRPr="002B12EE">
        <w:rPr>
          <w:rFonts w:ascii="Book Antiqua" w:hAnsi="Book Antiqua"/>
          <w:kern w:val="3"/>
          <w:sz w:val="24"/>
        </w:rPr>
        <w:t xml:space="preserve">, no publication bias was detected in symptoms response (A) (Egger’s test </w:t>
      </w:r>
      <w:r w:rsidRPr="002B12EE">
        <w:rPr>
          <w:rFonts w:ascii="Book Antiqua" w:hAnsi="Book Antiqua"/>
          <w:i/>
          <w:kern w:val="3"/>
          <w:sz w:val="24"/>
        </w:rPr>
        <w:t>P =</w:t>
      </w:r>
      <w:r w:rsidRPr="002B12EE">
        <w:rPr>
          <w:rFonts w:ascii="Book Antiqua" w:hAnsi="Book Antiqua"/>
          <w:kern w:val="3"/>
          <w:sz w:val="24"/>
        </w:rPr>
        <w:t xml:space="preserve"> 0.333; Begg’s test </w:t>
      </w:r>
      <w:r w:rsidRPr="002B12EE">
        <w:rPr>
          <w:rFonts w:ascii="Book Antiqua" w:hAnsi="Book Antiqua"/>
          <w:i/>
          <w:kern w:val="3"/>
          <w:sz w:val="24"/>
        </w:rPr>
        <w:t>P =</w:t>
      </w:r>
      <w:r w:rsidRPr="002B12EE">
        <w:rPr>
          <w:rFonts w:ascii="Book Antiqua" w:hAnsi="Book Antiqua"/>
          <w:kern w:val="3"/>
          <w:sz w:val="24"/>
        </w:rPr>
        <w:t xml:space="preserve"> 0.721) or adverse events proportion (B) (Egger’s test </w:t>
      </w:r>
      <w:r w:rsidRPr="002B12EE">
        <w:rPr>
          <w:rFonts w:ascii="Book Antiqua" w:hAnsi="Book Antiqua"/>
          <w:i/>
          <w:kern w:val="3"/>
          <w:sz w:val="24"/>
        </w:rPr>
        <w:t>P =</w:t>
      </w:r>
      <w:r w:rsidRPr="002B12EE">
        <w:rPr>
          <w:rFonts w:ascii="Book Antiqua" w:hAnsi="Book Antiqua"/>
          <w:kern w:val="3"/>
          <w:sz w:val="24"/>
        </w:rPr>
        <w:t xml:space="preserve"> 0.246; Begg’s test </w:t>
      </w:r>
      <w:r w:rsidRPr="002B12EE">
        <w:rPr>
          <w:rFonts w:ascii="Book Antiqua" w:hAnsi="Book Antiqua"/>
          <w:i/>
          <w:kern w:val="3"/>
          <w:sz w:val="24"/>
        </w:rPr>
        <w:t>P =</w:t>
      </w:r>
      <w:r w:rsidRPr="002B12EE">
        <w:rPr>
          <w:rFonts w:ascii="Book Antiqua" w:hAnsi="Book Antiqua"/>
          <w:kern w:val="3"/>
          <w:sz w:val="24"/>
        </w:rPr>
        <w:t xml:space="preserve"> 0.452).</w:t>
      </w:r>
    </w:p>
    <w:p w:rsidR="00C87C35" w:rsidRPr="002B12EE" w:rsidRDefault="00C87C35" w:rsidP="002B12EE">
      <w:pPr>
        <w:spacing w:line="360" w:lineRule="auto"/>
        <w:rPr>
          <w:rFonts w:ascii="Book Antiqua" w:hAnsi="Book Antiqua"/>
          <w:b/>
          <w:color w:val="000000"/>
          <w:kern w:val="0"/>
          <w:sz w:val="24"/>
        </w:rPr>
      </w:pPr>
    </w:p>
    <w:p w:rsidR="00C87C35" w:rsidRPr="002B12EE" w:rsidRDefault="00C87C35" w:rsidP="002B12EE">
      <w:pPr>
        <w:spacing w:line="360" w:lineRule="auto"/>
        <w:rPr>
          <w:rFonts w:ascii="Book Antiqua" w:hAnsi="Book Antiqua"/>
          <w:b/>
          <w:color w:val="000000"/>
          <w:kern w:val="0"/>
          <w:sz w:val="24"/>
        </w:rPr>
      </w:pPr>
      <w:r w:rsidRPr="002B12EE">
        <w:rPr>
          <w:rFonts w:ascii="Book Antiqua" w:hAnsi="Book Antiqua"/>
          <w:b/>
          <w:color w:val="000000"/>
          <w:kern w:val="0"/>
          <w:sz w:val="24"/>
        </w:rPr>
        <w:t>DISCUSSION</w:t>
      </w:r>
    </w:p>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Previous studies have reported that PPI therapy was more effective than H2R agonists and prokinetics for GERD</w:t>
      </w:r>
      <w:r w:rsidRPr="002B12EE">
        <w:rPr>
          <w:rFonts w:ascii="Book Antiqua" w:hAnsi="Book Antiqua"/>
          <w:color w:val="000000"/>
          <w:kern w:val="0"/>
          <w:sz w:val="24"/>
          <w:vertAlign w:val="superscript"/>
        </w:rPr>
        <w:t>[4]</w:t>
      </w:r>
      <w:r w:rsidRPr="002B12EE">
        <w:rPr>
          <w:rFonts w:ascii="Book Antiqua" w:hAnsi="Book Antiqua"/>
          <w:color w:val="000000"/>
          <w:kern w:val="0"/>
          <w:sz w:val="24"/>
        </w:rPr>
        <w:t xml:space="preserve">, but none had investigated the efficacy of combined prokinetic and PPI therapy. In this systematic review and meta-analysis, we demonstrated that combination prokinetic and PPI therapy was no more efficacious than PPI alone for GERD. This therapy did improve </w:t>
      </w:r>
      <w:r w:rsidRPr="002B12EE">
        <w:rPr>
          <w:rFonts w:ascii="Book Antiqua" w:hAnsi="Book Antiqua"/>
          <w:color w:val="000000"/>
          <w:kern w:val="0"/>
          <w:sz w:val="24"/>
        </w:rPr>
        <w:lastRenderedPageBreak/>
        <w:t xml:space="preserve">patients’ reported symptoms score, suggesting it may enhance patient quality of life. </w:t>
      </w:r>
    </w:p>
    <w:p w:rsidR="00C87C35" w:rsidRPr="002B12EE" w:rsidRDefault="00C87C35" w:rsidP="002B12EE">
      <w:pPr>
        <w:spacing w:line="360" w:lineRule="auto"/>
        <w:ind w:firstLine="420"/>
        <w:rPr>
          <w:rFonts w:ascii="Book Antiqua" w:hAnsi="Book Antiqua"/>
          <w:color w:val="000000"/>
          <w:kern w:val="0"/>
          <w:sz w:val="24"/>
        </w:rPr>
      </w:pPr>
      <w:r w:rsidRPr="002B12EE">
        <w:rPr>
          <w:rFonts w:ascii="Book Antiqua" w:hAnsi="Book Antiqua"/>
          <w:color w:val="000000"/>
          <w:kern w:val="0"/>
          <w:sz w:val="24"/>
        </w:rPr>
        <w:t>Since the 1990s, PPIs have been the mainstay treatment of GERD</w:t>
      </w:r>
      <w:r w:rsidRPr="002B12EE">
        <w:rPr>
          <w:rFonts w:ascii="Book Antiqua" w:hAnsi="Book Antiqua"/>
          <w:color w:val="000000"/>
          <w:kern w:val="0"/>
          <w:sz w:val="24"/>
          <w:vertAlign w:val="superscript"/>
        </w:rPr>
        <w:t>[31]</w:t>
      </w:r>
      <w:r w:rsidRPr="002B12EE">
        <w:rPr>
          <w:rFonts w:ascii="Book Antiqua" w:hAnsi="Book Antiqua"/>
          <w:color w:val="000000"/>
          <w:kern w:val="0"/>
          <w:sz w:val="24"/>
        </w:rPr>
        <w:t xml:space="preserve"> even though a large number of patients fail to improve with a standard single PPI therapy</w:t>
      </w:r>
      <w:r w:rsidRPr="002B12EE">
        <w:rPr>
          <w:rFonts w:ascii="Book Antiqua" w:hAnsi="Book Antiqua"/>
          <w:color w:val="000000"/>
          <w:kern w:val="0"/>
          <w:sz w:val="24"/>
          <w:vertAlign w:val="superscript"/>
        </w:rPr>
        <w:t>[7]</w:t>
      </w:r>
      <w:r w:rsidRPr="002B12EE">
        <w:rPr>
          <w:rFonts w:ascii="Book Antiqua" w:hAnsi="Book Antiqua"/>
          <w:color w:val="000000"/>
          <w:kern w:val="0"/>
          <w:sz w:val="24"/>
        </w:rPr>
        <w:t>. Approximately 15% of eosinophilic esophagitis (EE) patients (mainly of Los Angeles grades C and D), 20% of Barrett’s esophagus (BE) patients, 40%-50% of NERD patients</w:t>
      </w:r>
      <w:r w:rsidRPr="002B12EE">
        <w:rPr>
          <w:rFonts w:ascii="Book Antiqua" w:hAnsi="Book Antiqua"/>
          <w:color w:val="000000"/>
          <w:kern w:val="0"/>
          <w:sz w:val="24"/>
          <w:vertAlign w:val="superscript"/>
        </w:rPr>
        <w:t>[15]</w:t>
      </w:r>
      <w:r w:rsidRPr="002B12EE">
        <w:rPr>
          <w:rFonts w:ascii="Book Antiqua" w:hAnsi="Book Antiqua"/>
          <w:color w:val="000000"/>
          <w:kern w:val="0"/>
          <w:sz w:val="24"/>
        </w:rPr>
        <w:t>, and up to 40% of patients with extra-esophageal manifestations of GERD</w:t>
      </w:r>
      <w:r w:rsidRPr="002B12EE">
        <w:rPr>
          <w:rFonts w:ascii="Book Antiqua" w:hAnsi="Book Antiqua"/>
          <w:color w:val="000000"/>
          <w:kern w:val="0"/>
          <w:sz w:val="24"/>
          <w:vertAlign w:val="superscript"/>
        </w:rPr>
        <w:t>[32]</w:t>
      </w:r>
      <w:r w:rsidRPr="002B12EE">
        <w:rPr>
          <w:rFonts w:ascii="Book Antiqua" w:hAnsi="Book Antiqua"/>
          <w:color w:val="000000"/>
          <w:kern w:val="0"/>
          <w:sz w:val="24"/>
        </w:rPr>
        <w:t xml:space="preserve"> did not therapeutically benefit from standard PPI therapy. Recently, a number of studies found that PPIs are less effective for NERD than RE</w:t>
      </w:r>
      <w:r w:rsidRPr="002B12EE">
        <w:rPr>
          <w:rFonts w:ascii="Book Antiqua" w:hAnsi="Book Antiqua"/>
          <w:color w:val="000000"/>
          <w:kern w:val="0"/>
          <w:sz w:val="24"/>
          <w:vertAlign w:val="superscript"/>
        </w:rPr>
        <w:t>[10, 13, 15, 33]</w:t>
      </w:r>
      <w:r w:rsidRPr="002B12EE">
        <w:rPr>
          <w:rFonts w:ascii="Book Antiqua" w:hAnsi="Book Antiqua"/>
          <w:color w:val="000000"/>
          <w:kern w:val="0"/>
          <w:sz w:val="24"/>
        </w:rPr>
        <w:t xml:space="preserve">, but the underlying mechanism remains unknown. </w:t>
      </w:r>
    </w:p>
    <w:p w:rsidR="00C87C35" w:rsidRPr="002B12EE" w:rsidRDefault="00C87C35" w:rsidP="002B12EE">
      <w:pPr>
        <w:spacing w:line="360" w:lineRule="auto"/>
        <w:ind w:firstLine="420"/>
        <w:rPr>
          <w:rFonts w:ascii="Book Antiqua" w:hAnsi="Book Antiqua"/>
          <w:color w:val="000000"/>
          <w:kern w:val="0"/>
          <w:sz w:val="24"/>
        </w:rPr>
      </w:pPr>
      <w:r w:rsidRPr="002B12EE">
        <w:rPr>
          <w:rFonts w:ascii="Book Antiqua" w:hAnsi="Book Antiqua"/>
          <w:color w:val="000000"/>
          <w:kern w:val="3"/>
          <w:sz w:val="24"/>
        </w:rPr>
        <w:t xml:space="preserve">Hiyama </w:t>
      </w:r>
      <w:r w:rsidRPr="004B095D">
        <w:rPr>
          <w:rFonts w:ascii="Book Antiqua" w:hAnsi="Book Antiqua"/>
          <w:i/>
          <w:color w:val="000000"/>
          <w:kern w:val="3"/>
          <w:sz w:val="24"/>
        </w:rPr>
        <w:t>et al</w:t>
      </w:r>
      <w:r w:rsidRPr="002B12EE">
        <w:rPr>
          <w:rFonts w:ascii="Book Antiqua" w:hAnsi="Book Antiqua"/>
          <w:kern w:val="3"/>
          <w:sz w:val="24"/>
          <w:vertAlign w:val="superscript"/>
        </w:rPr>
        <w:t>[34]</w:t>
      </w:r>
      <w:r w:rsidRPr="002B12EE">
        <w:rPr>
          <w:rFonts w:ascii="Book Antiqua" w:hAnsi="Book Antiqua"/>
          <w:kern w:val="3"/>
          <w:sz w:val="24"/>
        </w:rPr>
        <w:t xml:space="preserve"> evaluated whether </w:t>
      </w:r>
      <w:r w:rsidRPr="002B12EE">
        <w:rPr>
          <w:rFonts w:ascii="Book Antiqua" w:hAnsi="Book Antiqua"/>
          <w:i/>
          <w:kern w:val="3"/>
          <w:sz w:val="24"/>
        </w:rPr>
        <w:t>Heliobacter pylori</w:t>
      </w:r>
      <w:r w:rsidRPr="002B12EE">
        <w:rPr>
          <w:rFonts w:ascii="Book Antiqua" w:hAnsi="Book Antiqua"/>
          <w:kern w:val="3"/>
          <w:sz w:val="24"/>
        </w:rPr>
        <w:t xml:space="preserve"> infection and sex may contribute to attenuated PPI efficacy in NERD. </w:t>
      </w:r>
      <w:r w:rsidRPr="002B12EE">
        <w:rPr>
          <w:rFonts w:ascii="Book Antiqua" w:hAnsi="Book Antiqua"/>
          <w:kern w:val="0"/>
          <w:sz w:val="24"/>
        </w:rPr>
        <w:t xml:space="preserve">Miyamoto </w:t>
      </w:r>
      <w:r w:rsidRPr="004B095D">
        <w:rPr>
          <w:rFonts w:ascii="Book Antiqua" w:hAnsi="Book Antiqua"/>
          <w:i/>
          <w:kern w:val="0"/>
          <w:sz w:val="24"/>
        </w:rPr>
        <w:t>et al</w:t>
      </w:r>
      <w:r w:rsidRPr="002B12EE">
        <w:rPr>
          <w:rFonts w:ascii="Book Antiqua" w:hAnsi="Book Antiqua"/>
          <w:kern w:val="0"/>
          <w:sz w:val="24"/>
          <w:vertAlign w:val="superscript"/>
        </w:rPr>
        <w:t>[33]</w:t>
      </w:r>
      <w:r w:rsidRPr="002B12EE">
        <w:rPr>
          <w:rFonts w:ascii="Book Antiqua" w:hAnsi="Book Antiqua"/>
          <w:kern w:val="0"/>
          <w:sz w:val="24"/>
        </w:rPr>
        <w:t xml:space="preserve"> identified younger age, constipation, and GI dysmotility as potential influencing factors of PPI non-responsiveness in NERD</w:t>
      </w:r>
      <w:r w:rsidRPr="002B12EE">
        <w:rPr>
          <w:rFonts w:ascii="Book Antiqua" w:hAnsi="Book Antiqua"/>
          <w:color w:val="000000"/>
          <w:kern w:val="0"/>
          <w:sz w:val="24"/>
        </w:rPr>
        <w:t>. Adding a prokinetic to PPI may partly alleviate symptoms of NERD, but there is little evidence available regarding an impact on mucosal healing</w:t>
      </w:r>
      <w:r w:rsidRPr="002B12EE">
        <w:rPr>
          <w:rFonts w:ascii="Book Antiqua" w:hAnsi="Book Antiqua"/>
          <w:sz w:val="24"/>
          <w:vertAlign w:val="superscript"/>
        </w:rPr>
        <w:t>[35]</w:t>
      </w:r>
      <w:r w:rsidRPr="002B12EE">
        <w:rPr>
          <w:rFonts w:ascii="Book Antiqua" w:hAnsi="Book Antiqua"/>
          <w:kern w:val="0"/>
          <w:sz w:val="24"/>
        </w:rPr>
        <w:t>.</w:t>
      </w:r>
      <w:r w:rsidRPr="002B12EE">
        <w:rPr>
          <w:rFonts w:ascii="Book Antiqua" w:hAnsi="Book Antiqua"/>
          <w:kern w:val="21"/>
          <w:sz w:val="24"/>
        </w:rPr>
        <w:t xml:space="preserve"> </w:t>
      </w:r>
      <w:r w:rsidRPr="002B12EE">
        <w:rPr>
          <w:rFonts w:ascii="Book Antiqua" w:hAnsi="Book Antiqua"/>
          <w:color w:val="000000"/>
          <w:kern w:val="0"/>
          <w:sz w:val="24"/>
        </w:rPr>
        <w:t xml:space="preserve">However, Koshino </w:t>
      </w:r>
      <w:r w:rsidRPr="004B095D">
        <w:rPr>
          <w:rFonts w:ascii="Book Antiqua" w:hAnsi="Book Antiqua"/>
          <w:i/>
          <w:color w:val="000000"/>
          <w:kern w:val="0"/>
          <w:sz w:val="24"/>
        </w:rPr>
        <w:t>et al</w:t>
      </w:r>
      <w:r w:rsidRPr="002B12EE">
        <w:rPr>
          <w:rFonts w:ascii="Book Antiqua" w:hAnsi="Book Antiqua"/>
          <w:color w:val="000000"/>
          <w:kern w:val="0"/>
          <w:sz w:val="24"/>
          <w:vertAlign w:val="superscript"/>
        </w:rPr>
        <w:t>[16]</w:t>
      </w:r>
      <w:r w:rsidRPr="002B12EE">
        <w:rPr>
          <w:rFonts w:ascii="Book Antiqua" w:hAnsi="Book Antiqua"/>
          <w:color w:val="000000"/>
          <w:kern w:val="0"/>
          <w:sz w:val="24"/>
        </w:rPr>
        <w:t xml:space="preserve"> demonstrated that mosapride (15 mg/d) did not change salivary secretion and esophageal motility in healthy volunteers. </w:t>
      </w:r>
    </w:p>
    <w:p w:rsidR="00C87C35" w:rsidRPr="002B12EE" w:rsidRDefault="00C87C35" w:rsidP="002B12EE">
      <w:pPr>
        <w:spacing w:line="360" w:lineRule="auto"/>
        <w:ind w:firstLine="420"/>
        <w:rPr>
          <w:rFonts w:ascii="Book Antiqua" w:hAnsi="Book Antiqua"/>
          <w:color w:val="000000"/>
          <w:kern w:val="0"/>
          <w:sz w:val="24"/>
        </w:rPr>
      </w:pPr>
      <w:r w:rsidRPr="002B12EE">
        <w:rPr>
          <w:rFonts w:ascii="Book Antiqua" w:hAnsi="Book Antiqua"/>
          <w:kern w:val="0"/>
          <w:sz w:val="24"/>
        </w:rPr>
        <w:t xml:space="preserve">There are available different PPIs for the treatment of GERD, including omeprazole, lansoprazole, rabeprazole, pantoprazole, esomeprazole, and others. </w:t>
      </w:r>
      <w:r w:rsidRPr="002B12EE">
        <w:rPr>
          <w:rFonts w:ascii="Book Antiqua" w:hAnsi="Book Antiqua"/>
          <w:color w:val="000000"/>
          <w:kern w:val="0"/>
          <w:sz w:val="24"/>
        </w:rPr>
        <w:t>Meta-analyses failed to reveal a difference in efficacy for symptom relief among the various PPIs</w:t>
      </w:r>
      <w:r w:rsidRPr="002B12EE">
        <w:rPr>
          <w:rFonts w:ascii="Book Antiqua" w:hAnsi="Book Antiqua"/>
          <w:color w:val="000000"/>
          <w:kern w:val="0"/>
          <w:sz w:val="24"/>
          <w:vertAlign w:val="superscript"/>
        </w:rPr>
        <w:t>[36]</w:t>
      </w:r>
      <w:r w:rsidRPr="002B12EE">
        <w:rPr>
          <w:rFonts w:ascii="Book Antiqua" w:hAnsi="Book Antiqua"/>
          <w:color w:val="000000"/>
          <w:kern w:val="0"/>
          <w:sz w:val="24"/>
        </w:rPr>
        <w:t xml:space="preserve">. Prokinetics in addition to PPI therapy may be a new treatment paradigm for PPI-non responsive patients. The GABA-B agonists, </w:t>
      </w:r>
      <w:r w:rsidRPr="002B12EE">
        <w:rPr>
          <w:rFonts w:ascii="Book Antiqua" w:hAnsi="Book Antiqua"/>
          <w:kern w:val="3"/>
          <w:sz w:val="24"/>
        </w:rPr>
        <w:t>baclofen and lesogaberan, were reported to be effective in treating GERD by reducing LES pressure, LES relaxations, and acid reflux episodes</w:t>
      </w:r>
      <w:r w:rsidRPr="002B12EE">
        <w:rPr>
          <w:rFonts w:ascii="Book Antiqua" w:hAnsi="Book Antiqua"/>
          <w:kern w:val="3"/>
          <w:sz w:val="24"/>
          <w:vertAlign w:val="superscript"/>
        </w:rPr>
        <w:t>[37]</w:t>
      </w:r>
      <w:r w:rsidRPr="002B12EE">
        <w:rPr>
          <w:rFonts w:ascii="Book Antiqua" w:hAnsi="Book Antiqua"/>
          <w:kern w:val="3"/>
          <w:sz w:val="24"/>
        </w:rPr>
        <w:t>. Unfortunately, its use clinically is limited by side effects, including dizziness and constipation</w:t>
      </w:r>
      <w:r w:rsidRPr="002B12EE">
        <w:rPr>
          <w:rFonts w:ascii="Book Antiqua" w:hAnsi="Book Antiqua"/>
          <w:kern w:val="3"/>
          <w:sz w:val="24"/>
          <w:vertAlign w:val="superscript"/>
        </w:rPr>
        <w:t>[9]</w:t>
      </w:r>
      <w:r w:rsidRPr="002B12EE">
        <w:rPr>
          <w:rFonts w:ascii="Book Antiqua" w:hAnsi="Book Antiqua"/>
          <w:kern w:val="3"/>
          <w:sz w:val="24"/>
        </w:rPr>
        <w:t>.</w:t>
      </w:r>
    </w:p>
    <w:p w:rsidR="00C87C35" w:rsidRPr="002B12EE" w:rsidRDefault="00C87C35" w:rsidP="002B12EE">
      <w:pPr>
        <w:spacing w:line="360" w:lineRule="auto"/>
        <w:ind w:firstLine="420"/>
        <w:rPr>
          <w:rFonts w:ascii="Book Antiqua" w:hAnsi="Book Antiqua"/>
          <w:color w:val="000000"/>
          <w:kern w:val="3"/>
          <w:sz w:val="24"/>
        </w:rPr>
      </w:pPr>
      <w:r w:rsidRPr="002B12EE">
        <w:rPr>
          <w:rFonts w:ascii="Book Antiqua" w:hAnsi="Book Antiqua"/>
          <w:color w:val="000000"/>
          <w:kern w:val="0"/>
          <w:sz w:val="24"/>
        </w:rPr>
        <w:t xml:space="preserve">Here, we analyzed 12 RCTs to determine the therapeutic benefit of combination prokinetic and PPI therapy over PPI therapy alone. We found no </w:t>
      </w:r>
      <w:r w:rsidRPr="002B12EE">
        <w:rPr>
          <w:rFonts w:ascii="Book Antiqua" w:hAnsi="Book Antiqua"/>
          <w:color w:val="000000"/>
          <w:kern w:val="0"/>
          <w:sz w:val="24"/>
        </w:rPr>
        <w:lastRenderedPageBreak/>
        <w:t>significant difference between these two groups regarding symptoms or endoscopic response. When we divided these 12 trials into two groups, according to 5-HT agonist and GABA-B agonist, we still did not find any difference between the combination and single therapy groups. Regarding adverse events, GABA-B agonists, but not 5-HT agonists, were associated with increased frequency of adverse effects. In terms of symptom score change, combined therapy may improve patient quality of life by decreasing</w:t>
      </w:r>
      <w:r w:rsidRPr="002B12EE">
        <w:rPr>
          <w:rFonts w:ascii="Book Antiqua" w:hAnsi="Book Antiqua"/>
          <w:color w:val="000000"/>
          <w:kern w:val="3"/>
          <w:sz w:val="24"/>
        </w:rPr>
        <w:t xml:space="preserve"> the number of reflux episodes, although acid exposure time was unaltered. </w:t>
      </w:r>
    </w:p>
    <w:p w:rsidR="00C87C35" w:rsidRPr="002B12EE" w:rsidRDefault="00C87C35" w:rsidP="002B12EE">
      <w:pPr>
        <w:spacing w:line="360" w:lineRule="auto"/>
        <w:ind w:firstLine="420"/>
        <w:rPr>
          <w:rFonts w:ascii="Book Antiqua" w:hAnsi="Book Antiqua"/>
          <w:color w:val="000000"/>
          <w:kern w:val="0"/>
          <w:sz w:val="24"/>
        </w:rPr>
      </w:pPr>
      <w:r w:rsidRPr="002B12EE">
        <w:rPr>
          <w:rFonts w:ascii="Book Antiqua" w:hAnsi="Book Antiqua"/>
          <w:color w:val="000000"/>
          <w:kern w:val="3"/>
          <w:sz w:val="24"/>
        </w:rPr>
        <w:t xml:space="preserve">There are some limitations of our meta-analysis to consider. First, </w:t>
      </w:r>
      <w:r w:rsidRPr="002B12EE">
        <w:rPr>
          <w:rFonts w:ascii="Book Antiqua" w:hAnsi="Book Antiqua"/>
          <w:color w:val="000000"/>
          <w:kern w:val="0"/>
          <w:sz w:val="24"/>
        </w:rPr>
        <w:t>PPI and prokinetic therapies in the 12 trials were not identical</w:t>
      </w:r>
      <w:r w:rsidRPr="002B12EE">
        <w:rPr>
          <w:rFonts w:ascii="Book Antiqua" w:hAnsi="Book Antiqua"/>
          <w:color w:val="000000"/>
          <w:kern w:val="3"/>
          <w:sz w:val="24"/>
        </w:rPr>
        <w:t xml:space="preserve">. </w:t>
      </w:r>
      <w:r w:rsidRPr="002B12EE">
        <w:rPr>
          <w:rFonts w:ascii="Book Antiqua" w:hAnsi="Book Antiqua"/>
          <w:color w:val="000000"/>
          <w:kern w:val="0"/>
          <w:sz w:val="24"/>
        </w:rPr>
        <w:t>Although one study found little impact on symptom response</w:t>
      </w:r>
      <w:r w:rsidRPr="002B12EE">
        <w:rPr>
          <w:rFonts w:ascii="Book Antiqua" w:hAnsi="Book Antiqua"/>
          <w:color w:val="000000"/>
          <w:kern w:val="0"/>
          <w:sz w:val="24"/>
          <w:vertAlign w:val="superscript"/>
        </w:rPr>
        <w:t>[36]</w:t>
      </w:r>
      <w:r w:rsidRPr="002B12EE">
        <w:rPr>
          <w:rFonts w:ascii="Book Antiqua" w:hAnsi="Book Antiqua"/>
          <w:color w:val="000000"/>
          <w:kern w:val="0"/>
          <w:sz w:val="24"/>
        </w:rPr>
        <w:t>, we cannot rule out the possibility of treatment course affecting this measure. To limit this complication, we only chose studies for this analysis with a treatment course for GERD longer than two weeks. Second, an inherent weakness of all systematic reviews and meta-analyses is the possibility that some studies failed to find significant symptom improvement in the peer-reviewed literature</w:t>
      </w:r>
      <w:r w:rsidRPr="002B12EE">
        <w:rPr>
          <w:rFonts w:ascii="Book Antiqua" w:hAnsi="Book Antiqua"/>
          <w:color w:val="000000"/>
          <w:kern w:val="0"/>
          <w:sz w:val="24"/>
          <w:vertAlign w:val="superscript"/>
        </w:rPr>
        <w:t>[38]</w:t>
      </w:r>
      <w:r w:rsidRPr="002B12EE">
        <w:rPr>
          <w:rFonts w:ascii="Book Antiqua" w:hAnsi="Book Antiqua"/>
          <w:color w:val="000000"/>
          <w:kern w:val="0"/>
          <w:sz w:val="24"/>
        </w:rPr>
        <w:t>, thereby leading us to underestimate the main effect. To overcome these limitations, long-term RCTs need to be performed with a larger quantity of participants to more effectively determine efficacy and safety profiles of combined prokinetic and PPI therapy.</w:t>
      </w:r>
    </w:p>
    <w:p w:rsidR="00C87C35" w:rsidRPr="002B12EE" w:rsidRDefault="00C87C35" w:rsidP="002B12EE">
      <w:pPr>
        <w:spacing w:line="360" w:lineRule="auto"/>
        <w:ind w:firstLine="420"/>
        <w:rPr>
          <w:rFonts w:ascii="Book Antiqua" w:hAnsi="Book Antiqua"/>
          <w:kern w:val="21"/>
          <w:sz w:val="24"/>
        </w:rPr>
      </w:pPr>
      <w:r w:rsidRPr="002B12EE">
        <w:rPr>
          <w:rFonts w:ascii="Book Antiqua" w:hAnsi="Book Antiqua"/>
          <w:kern w:val="21"/>
          <w:sz w:val="24"/>
        </w:rPr>
        <w:t xml:space="preserve">In summary, patients with GERD respond to combined prokinetic and PPI therapy. Combination therapy may improve patient quality of life although there was no significant difference in symptom or endoscopic responses. Side effects of combined therapy may be greater than single therapy, especially with GABA-B agonists. </w:t>
      </w:r>
      <w:r w:rsidRPr="002B12EE">
        <w:rPr>
          <w:rFonts w:ascii="Book Antiqua" w:hAnsi="Book Antiqua"/>
          <w:kern w:val="0"/>
          <w:sz w:val="24"/>
        </w:rPr>
        <w:t>Whether prokinetic plus PPI is indeed therapeutically efficacious for GERD will require future trials.</w:t>
      </w:r>
    </w:p>
    <w:p w:rsidR="00C87C35" w:rsidRDefault="00C87C35" w:rsidP="002B12EE">
      <w:pPr>
        <w:spacing w:line="360" w:lineRule="auto"/>
        <w:ind w:firstLine="420"/>
        <w:rPr>
          <w:rFonts w:ascii="Book Antiqua" w:hAnsi="Book Antiqua"/>
          <w:kern w:val="21"/>
          <w:sz w:val="24"/>
        </w:rPr>
      </w:pPr>
      <w:r>
        <w:rPr>
          <w:rFonts w:ascii="Book Antiqua" w:hAnsi="Book Antiqua"/>
          <w:kern w:val="21"/>
          <w:sz w:val="24"/>
        </w:rPr>
        <w:br w:type="page"/>
      </w:r>
    </w:p>
    <w:p w:rsidR="00C87C35" w:rsidRPr="002B12EE" w:rsidRDefault="00C87C35" w:rsidP="002B12EE">
      <w:pPr>
        <w:spacing w:line="360" w:lineRule="auto"/>
        <w:rPr>
          <w:rFonts w:ascii="Book Antiqua" w:hAnsi="Book Antiqua"/>
          <w:sz w:val="24"/>
        </w:rPr>
      </w:pPr>
      <w:bookmarkStart w:id="12" w:name="OLE_LINK14"/>
      <w:bookmarkStart w:id="13" w:name="OLE_LINK15"/>
      <w:bookmarkStart w:id="14" w:name="OLE_LINK23"/>
      <w:bookmarkStart w:id="15" w:name="OLE_LINK119"/>
      <w:bookmarkStart w:id="16" w:name="OLE_LINK180"/>
      <w:bookmarkStart w:id="17" w:name="OLE_LINK200"/>
      <w:bookmarkStart w:id="18" w:name="OLE_LINK30"/>
      <w:bookmarkStart w:id="19" w:name="OLE_LINK31"/>
      <w:bookmarkStart w:id="20" w:name="OLE_LINK46"/>
      <w:bookmarkStart w:id="21" w:name="OLE_LINK50"/>
      <w:bookmarkStart w:id="22" w:name="OLE_LINK168"/>
      <w:bookmarkStart w:id="23" w:name="OLE_LINK201"/>
      <w:r w:rsidRPr="002B12EE">
        <w:rPr>
          <w:rFonts w:ascii="Book Antiqua" w:hAnsi="Book Antiqua"/>
          <w:b/>
          <w:sz w:val="24"/>
        </w:rPr>
        <w:t>COMMENTS</w:t>
      </w:r>
    </w:p>
    <w:bookmarkEnd w:id="12"/>
    <w:bookmarkEnd w:id="13"/>
    <w:bookmarkEnd w:id="14"/>
    <w:bookmarkEnd w:id="15"/>
    <w:bookmarkEnd w:id="16"/>
    <w:bookmarkEnd w:id="17"/>
    <w:bookmarkEnd w:id="18"/>
    <w:bookmarkEnd w:id="19"/>
    <w:bookmarkEnd w:id="20"/>
    <w:bookmarkEnd w:id="21"/>
    <w:bookmarkEnd w:id="22"/>
    <w:bookmarkEnd w:id="23"/>
    <w:p w:rsidR="00C87C35" w:rsidRPr="002B12EE" w:rsidRDefault="00C87C35" w:rsidP="002B12EE">
      <w:pPr>
        <w:spacing w:line="360" w:lineRule="auto"/>
        <w:rPr>
          <w:rFonts w:ascii="Book Antiqua" w:hAnsi="Book Antiqua"/>
          <w:b/>
          <w:i/>
          <w:kern w:val="21"/>
          <w:sz w:val="24"/>
        </w:rPr>
      </w:pPr>
      <w:r w:rsidRPr="002B12EE">
        <w:rPr>
          <w:rFonts w:ascii="Book Antiqua" w:hAnsi="Book Antiqua"/>
          <w:b/>
          <w:i/>
          <w:kern w:val="21"/>
          <w:sz w:val="24"/>
        </w:rPr>
        <w:t>Background</w:t>
      </w:r>
    </w:p>
    <w:p w:rsidR="00C87C35" w:rsidRPr="002B12EE" w:rsidRDefault="00C87C35" w:rsidP="002B12EE">
      <w:pPr>
        <w:spacing w:line="360" w:lineRule="auto"/>
        <w:rPr>
          <w:rFonts w:ascii="Book Antiqua" w:hAnsi="Book Antiqua"/>
          <w:kern w:val="21"/>
          <w:sz w:val="24"/>
        </w:rPr>
      </w:pPr>
      <w:r w:rsidRPr="002B12EE">
        <w:rPr>
          <w:rFonts w:ascii="Book Antiqua" w:hAnsi="Book Antiqua"/>
          <w:kern w:val="21"/>
          <w:sz w:val="24"/>
        </w:rPr>
        <w:t>Gastroesophageal reflux disease (GERD) is a common disease, affecting individuals of all nationalities. The standard treatment regimen is proton pump inhibitors (PPIs). Despite this therapy, however, many patients still remain symptomatic. The addition of prokinetics to PPI therapy may improve the symptoms of GERD in these patients, but the efficacy and safety of prokinetics still remain to be established.</w:t>
      </w:r>
    </w:p>
    <w:p w:rsidR="00C87C35" w:rsidRPr="002B12EE" w:rsidRDefault="00C87C35" w:rsidP="002B12EE">
      <w:pPr>
        <w:spacing w:line="360" w:lineRule="auto"/>
        <w:rPr>
          <w:rFonts w:ascii="Book Antiqua" w:hAnsi="Book Antiqua"/>
          <w:kern w:val="21"/>
          <w:sz w:val="24"/>
        </w:rPr>
      </w:pPr>
    </w:p>
    <w:p w:rsidR="00C87C35" w:rsidRPr="002B12EE" w:rsidRDefault="00C87C35" w:rsidP="002B12EE">
      <w:pPr>
        <w:spacing w:line="360" w:lineRule="auto"/>
        <w:rPr>
          <w:rFonts w:ascii="Book Antiqua" w:hAnsi="Book Antiqua"/>
          <w:b/>
          <w:i/>
          <w:kern w:val="21"/>
          <w:sz w:val="24"/>
        </w:rPr>
      </w:pPr>
      <w:r w:rsidRPr="002B12EE">
        <w:rPr>
          <w:rFonts w:ascii="Book Antiqua" w:hAnsi="Book Antiqua"/>
          <w:b/>
          <w:i/>
          <w:kern w:val="21"/>
          <w:sz w:val="24"/>
        </w:rPr>
        <w:t>Research frontiers</w:t>
      </w:r>
    </w:p>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kern w:val="21"/>
          <w:sz w:val="24"/>
        </w:rPr>
        <w:t xml:space="preserve">This meta-analysis was performed in order to assess the efficacy and safety of PPI mono-therapy versus combined therapy in patients with GERD. The main measured outcomes are as follows: symptom response, symptoms score change, endoscopic response, wave </w:t>
      </w:r>
      <w:r w:rsidRPr="002B12EE">
        <w:rPr>
          <w:rFonts w:ascii="Book Antiqua" w:hAnsi="Book Antiqua"/>
          <w:color w:val="000000"/>
          <w:kern w:val="0"/>
          <w:sz w:val="24"/>
        </w:rPr>
        <w:t>amplitude, wave duration, and adverse events.</w:t>
      </w:r>
    </w:p>
    <w:p w:rsidR="00C87C35" w:rsidRPr="002B12EE" w:rsidRDefault="00C87C35" w:rsidP="002B12EE">
      <w:pPr>
        <w:spacing w:line="360" w:lineRule="auto"/>
        <w:rPr>
          <w:rFonts w:ascii="Book Antiqua" w:hAnsi="Book Antiqua"/>
          <w:color w:val="000000"/>
          <w:kern w:val="0"/>
          <w:sz w:val="24"/>
        </w:rPr>
      </w:pPr>
    </w:p>
    <w:p w:rsidR="00C87C35" w:rsidRPr="002B12EE" w:rsidRDefault="00C87C35" w:rsidP="002B12EE">
      <w:pPr>
        <w:spacing w:line="360" w:lineRule="auto"/>
        <w:rPr>
          <w:rFonts w:ascii="Book Antiqua" w:hAnsi="Book Antiqua"/>
          <w:b/>
          <w:i/>
          <w:color w:val="000000"/>
          <w:kern w:val="0"/>
          <w:sz w:val="24"/>
        </w:rPr>
      </w:pPr>
      <w:r w:rsidRPr="002B12EE">
        <w:rPr>
          <w:rFonts w:ascii="Book Antiqua" w:hAnsi="Book Antiqua"/>
          <w:b/>
          <w:i/>
          <w:color w:val="000000"/>
          <w:kern w:val="0"/>
          <w:sz w:val="24"/>
        </w:rPr>
        <w:t>Innovations and breakthroughs</w:t>
      </w:r>
    </w:p>
    <w:p w:rsidR="00C87C35" w:rsidRPr="002B12EE" w:rsidRDefault="00C87C35" w:rsidP="002B12EE">
      <w:pPr>
        <w:spacing w:line="360" w:lineRule="auto"/>
        <w:rPr>
          <w:rFonts w:ascii="Book Antiqua" w:hAnsi="Book Antiqua"/>
          <w:kern w:val="21"/>
          <w:sz w:val="24"/>
        </w:rPr>
      </w:pPr>
      <w:r>
        <w:rPr>
          <w:rFonts w:ascii="Book Antiqua" w:hAnsi="Book Antiqua"/>
          <w:kern w:val="21"/>
          <w:sz w:val="24"/>
        </w:rPr>
        <w:t>Authors’</w:t>
      </w:r>
      <w:r w:rsidRPr="002B12EE">
        <w:rPr>
          <w:rFonts w:ascii="Book Antiqua" w:hAnsi="Book Antiqua"/>
          <w:kern w:val="21"/>
          <w:sz w:val="24"/>
        </w:rPr>
        <w:t xml:space="preserve"> found with this meta-analysis no demonstrable effect of either combination therapy for relief of symptoms or alteration in endoscopic response. However, with combination therapy there was a greater symptoms score change, suggesting that this therapy did improve patient quality of life.</w:t>
      </w:r>
    </w:p>
    <w:p w:rsidR="00C87C35" w:rsidRPr="002B12EE" w:rsidRDefault="00C87C35" w:rsidP="002B12EE">
      <w:pPr>
        <w:spacing w:line="360" w:lineRule="auto"/>
        <w:rPr>
          <w:rFonts w:ascii="Book Antiqua" w:hAnsi="Book Antiqua"/>
          <w:kern w:val="21"/>
          <w:sz w:val="24"/>
        </w:rPr>
      </w:pPr>
    </w:p>
    <w:p w:rsidR="00C87C35" w:rsidRPr="002B12EE" w:rsidRDefault="00C87C35" w:rsidP="002B12EE">
      <w:pPr>
        <w:spacing w:line="360" w:lineRule="auto"/>
        <w:rPr>
          <w:rFonts w:ascii="Book Antiqua" w:hAnsi="Book Antiqua"/>
          <w:b/>
          <w:i/>
          <w:kern w:val="21"/>
          <w:sz w:val="24"/>
        </w:rPr>
      </w:pPr>
      <w:r w:rsidRPr="002B12EE">
        <w:rPr>
          <w:rFonts w:ascii="Book Antiqua" w:hAnsi="Book Antiqua"/>
          <w:b/>
          <w:i/>
          <w:kern w:val="21"/>
          <w:sz w:val="24"/>
        </w:rPr>
        <w:t>Applications</w:t>
      </w:r>
    </w:p>
    <w:p w:rsidR="00C87C35" w:rsidRPr="002B12EE" w:rsidRDefault="00C87C35" w:rsidP="002B12EE">
      <w:pPr>
        <w:spacing w:line="360" w:lineRule="auto"/>
        <w:rPr>
          <w:rFonts w:ascii="Book Antiqua" w:hAnsi="Book Antiqua"/>
          <w:kern w:val="21"/>
          <w:sz w:val="24"/>
        </w:rPr>
      </w:pPr>
      <w:r>
        <w:rPr>
          <w:rFonts w:ascii="Book Antiqua" w:hAnsi="Book Antiqua"/>
          <w:kern w:val="21"/>
          <w:sz w:val="24"/>
        </w:rPr>
        <w:t>Authors’</w:t>
      </w:r>
      <w:r w:rsidRPr="002B12EE">
        <w:rPr>
          <w:rFonts w:ascii="Book Antiqua" w:hAnsi="Book Antiqua"/>
          <w:kern w:val="21"/>
          <w:sz w:val="24"/>
        </w:rPr>
        <w:t xml:space="preserve"> results suggest that combination therapy may have some advantage for symptomatic or endoscopic response relative to PPI alone. There is some evidence that combination therapy may partially improve patient quality of life. Until further randomized controlled trails with a large population number are carried out, we suggest use of combination therapy on an individual basis.</w:t>
      </w:r>
    </w:p>
    <w:p w:rsidR="00C87C35" w:rsidRPr="002B12EE" w:rsidRDefault="00C87C35" w:rsidP="002B12EE">
      <w:pPr>
        <w:spacing w:line="360" w:lineRule="auto"/>
        <w:rPr>
          <w:rFonts w:ascii="Book Antiqua" w:hAnsi="Book Antiqua"/>
          <w:kern w:val="21"/>
          <w:sz w:val="24"/>
        </w:rPr>
      </w:pPr>
    </w:p>
    <w:p w:rsidR="00C87C35" w:rsidRPr="002B12EE" w:rsidRDefault="00C87C35" w:rsidP="002B12EE">
      <w:pPr>
        <w:spacing w:line="360" w:lineRule="auto"/>
        <w:rPr>
          <w:rFonts w:ascii="Book Antiqua" w:hAnsi="Book Antiqua"/>
          <w:b/>
          <w:i/>
          <w:kern w:val="21"/>
          <w:sz w:val="24"/>
        </w:rPr>
      </w:pPr>
      <w:r w:rsidRPr="002B12EE">
        <w:rPr>
          <w:rFonts w:ascii="Book Antiqua" w:hAnsi="Book Antiqua"/>
          <w:b/>
          <w:i/>
          <w:kern w:val="21"/>
          <w:sz w:val="24"/>
        </w:rPr>
        <w:t>Terminology</w:t>
      </w:r>
    </w:p>
    <w:p w:rsidR="00C87C35" w:rsidRPr="002B12EE" w:rsidRDefault="00C87C35" w:rsidP="002B12EE">
      <w:pPr>
        <w:spacing w:line="360" w:lineRule="auto"/>
        <w:rPr>
          <w:rFonts w:ascii="Book Antiqua" w:hAnsi="Book Antiqua"/>
          <w:kern w:val="21"/>
          <w:sz w:val="24"/>
        </w:rPr>
      </w:pPr>
      <w:r w:rsidRPr="002B12EE">
        <w:rPr>
          <w:rFonts w:ascii="Book Antiqua" w:hAnsi="Book Antiqua"/>
          <w:kern w:val="21"/>
          <w:sz w:val="24"/>
        </w:rPr>
        <w:t>FSSG score: a questionnaire given to GERD patients in order to assess severity of symptoms, based on a frequency scale for symptoms of GERD.</w:t>
      </w:r>
    </w:p>
    <w:p w:rsidR="00C87C35" w:rsidRPr="002B12EE" w:rsidRDefault="00C87C35" w:rsidP="002B12EE">
      <w:pPr>
        <w:spacing w:line="360" w:lineRule="auto"/>
        <w:rPr>
          <w:rFonts w:ascii="Book Antiqua" w:hAnsi="Book Antiqua"/>
          <w:kern w:val="21"/>
          <w:sz w:val="24"/>
        </w:rPr>
      </w:pPr>
    </w:p>
    <w:p w:rsidR="00C87C35" w:rsidRPr="002B12EE" w:rsidRDefault="00C87C35" w:rsidP="002B12EE">
      <w:pPr>
        <w:spacing w:line="360" w:lineRule="auto"/>
        <w:rPr>
          <w:rFonts w:ascii="Book Antiqua" w:hAnsi="Book Antiqua"/>
          <w:b/>
          <w:i/>
          <w:kern w:val="21"/>
          <w:sz w:val="24"/>
        </w:rPr>
      </w:pPr>
      <w:r w:rsidRPr="002B12EE">
        <w:rPr>
          <w:rFonts w:ascii="Book Antiqua" w:hAnsi="Book Antiqua"/>
          <w:b/>
          <w:i/>
          <w:kern w:val="21"/>
          <w:sz w:val="24"/>
        </w:rPr>
        <w:t>Peer review</w:t>
      </w:r>
    </w:p>
    <w:p w:rsidR="00C87C35" w:rsidRPr="002B12EE" w:rsidRDefault="00C87C35" w:rsidP="002B12EE">
      <w:pPr>
        <w:spacing w:line="360" w:lineRule="auto"/>
        <w:rPr>
          <w:rFonts w:ascii="Book Antiqua" w:hAnsi="Book Antiqua"/>
          <w:kern w:val="0"/>
          <w:sz w:val="24"/>
        </w:rPr>
      </w:pPr>
      <w:r w:rsidRPr="002B12EE">
        <w:rPr>
          <w:rFonts w:ascii="Book Antiqua" w:hAnsi="Book Antiqua"/>
          <w:kern w:val="0"/>
          <w:sz w:val="24"/>
        </w:rPr>
        <w:t>The efficacy and safety for the use of prokinetics plus PPI compared to PPI mono-therapy for GERD remains unclear. Therefore, the authors conducted a meta-analysis determine the efficacy and safety of these two treatment regimens for GERD. The authors concluded that combination therapy may partially improve the patient quality of life (symptoms score change, reflux wave amplitude, and wave duration)</w:t>
      </w:r>
      <w:r>
        <w:rPr>
          <w:rFonts w:ascii="Book Antiqua" w:hAnsi="Book Antiqua"/>
          <w:kern w:val="0"/>
          <w:sz w:val="24"/>
        </w:rPr>
        <w:t>.</w:t>
      </w:r>
    </w:p>
    <w:p w:rsidR="00C87C35" w:rsidRPr="002B12EE" w:rsidRDefault="00C87C35" w:rsidP="002B12EE">
      <w:pPr>
        <w:spacing w:line="360" w:lineRule="auto"/>
        <w:rPr>
          <w:rFonts w:ascii="Book Antiqua" w:hAnsi="Book Antiqua"/>
          <w:kern w:val="21"/>
          <w:sz w:val="24"/>
        </w:rPr>
      </w:pPr>
    </w:p>
    <w:p w:rsidR="00C87C35" w:rsidRPr="002B12EE" w:rsidRDefault="00C87C35" w:rsidP="002B12EE">
      <w:pPr>
        <w:spacing w:line="360" w:lineRule="auto"/>
        <w:rPr>
          <w:rFonts w:ascii="Book Antiqua" w:hAnsi="Book Antiqua"/>
          <w:b/>
          <w:color w:val="000000"/>
          <w:kern w:val="0"/>
          <w:sz w:val="24"/>
        </w:rPr>
      </w:pPr>
      <w:r w:rsidRPr="002B12EE">
        <w:rPr>
          <w:rFonts w:ascii="Book Antiqua" w:hAnsi="Book Antiqua"/>
          <w:b/>
          <w:color w:val="000000"/>
          <w:kern w:val="0"/>
          <w:sz w:val="24"/>
        </w:rPr>
        <w:br w:type="page"/>
      </w:r>
      <w:r w:rsidRPr="002B12EE">
        <w:rPr>
          <w:rFonts w:ascii="Book Antiqua" w:hAnsi="Book Antiqua"/>
          <w:b/>
          <w:color w:val="000000"/>
          <w:kern w:val="0"/>
          <w:sz w:val="24"/>
        </w:rPr>
        <w:lastRenderedPageBreak/>
        <w:t>REFERENCES</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1 </w:t>
      </w:r>
      <w:r w:rsidRPr="006A24B5">
        <w:rPr>
          <w:rFonts w:ascii="Book Antiqua" w:hAnsi="Book Antiqua" w:cs="宋体"/>
          <w:b/>
          <w:bCs/>
          <w:color w:val="000000"/>
          <w:kern w:val="0"/>
          <w:sz w:val="24"/>
        </w:rPr>
        <w:t>Dent J</w:t>
      </w:r>
      <w:r w:rsidRPr="006A24B5">
        <w:rPr>
          <w:rFonts w:ascii="Book Antiqua" w:hAnsi="Book Antiqua" w:cs="宋体"/>
          <w:color w:val="000000"/>
          <w:kern w:val="0"/>
          <w:sz w:val="24"/>
        </w:rPr>
        <w:t>, El-Serag HB, Wallander MA, Johansson S. Epidemiology of gastro-oesophageal reflux disease: a systematic review. </w:t>
      </w:r>
      <w:r w:rsidRPr="006A24B5">
        <w:rPr>
          <w:rFonts w:ascii="Book Antiqua" w:hAnsi="Book Antiqua" w:cs="宋体"/>
          <w:i/>
          <w:iCs/>
          <w:color w:val="000000"/>
          <w:kern w:val="0"/>
          <w:sz w:val="24"/>
        </w:rPr>
        <w:t>Gut</w:t>
      </w:r>
      <w:r w:rsidRPr="006A24B5">
        <w:rPr>
          <w:rFonts w:ascii="Book Antiqua" w:hAnsi="Book Antiqua" w:cs="宋体"/>
          <w:color w:val="000000"/>
          <w:kern w:val="0"/>
          <w:sz w:val="24"/>
        </w:rPr>
        <w:t> 2005; </w:t>
      </w:r>
      <w:r w:rsidRPr="006A24B5">
        <w:rPr>
          <w:rFonts w:ascii="Book Antiqua" w:hAnsi="Book Antiqua" w:cs="宋体"/>
          <w:b/>
          <w:bCs/>
          <w:color w:val="000000"/>
          <w:kern w:val="0"/>
          <w:sz w:val="24"/>
        </w:rPr>
        <w:t>54</w:t>
      </w:r>
      <w:r w:rsidRPr="006A24B5">
        <w:rPr>
          <w:rFonts w:ascii="Book Antiqua" w:hAnsi="Book Antiqua" w:cs="宋体"/>
          <w:color w:val="000000"/>
          <w:kern w:val="0"/>
          <w:sz w:val="24"/>
        </w:rPr>
        <w:t>: 710-717 [PMID: 15831922 DOI: 10.1136/gut.2004.051821]</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2 </w:t>
      </w:r>
      <w:r w:rsidRPr="006A24B5">
        <w:rPr>
          <w:rFonts w:ascii="Book Antiqua" w:hAnsi="Book Antiqua" w:cs="宋体"/>
          <w:b/>
          <w:bCs/>
          <w:color w:val="000000"/>
          <w:kern w:val="0"/>
          <w:sz w:val="24"/>
        </w:rPr>
        <w:t>Hsu YC</w:t>
      </w:r>
      <w:r w:rsidRPr="006A24B5">
        <w:rPr>
          <w:rFonts w:ascii="Book Antiqua" w:hAnsi="Book Antiqua" w:cs="宋体"/>
          <w:color w:val="000000"/>
          <w:kern w:val="0"/>
          <w:sz w:val="24"/>
        </w:rPr>
        <w:t>, Yang TH, Hsu WL, Wu HT, Cheng YC, Chiang MF, Wang CS, Lin HJ. Mosapride as an adjunct to lansoprazole for symptom relief of reflux oesophagitis. </w:t>
      </w:r>
      <w:r w:rsidRPr="006A24B5">
        <w:rPr>
          <w:rFonts w:ascii="Book Antiqua" w:hAnsi="Book Antiqua" w:cs="宋体"/>
          <w:i/>
          <w:iCs/>
          <w:color w:val="000000"/>
          <w:kern w:val="0"/>
          <w:sz w:val="24"/>
        </w:rPr>
        <w:t>Br J Clin Pharmacol</w:t>
      </w:r>
      <w:r w:rsidRPr="006A24B5">
        <w:rPr>
          <w:rFonts w:ascii="Book Antiqua" w:hAnsi="Book Antiqua" w:cs="宋体"/>
          <w:color w:val="000000"/>
          <w:kern w:val="0"/>
          <w:sz w:val="24"/>
        </w:rPr>
        <w:t> 2010; </w:t>
      </w:r>
      <w:r w:rsidRPr="006A24B5">
        <w:rPr>
          <w:rFonts w:ascii="Book Antiqua" w:hAnsi="Book Antiqua" w:cs="宋体"/>
          <w:b/>
          <w:bCs/>
          <w:color w:val="000000"/>
          <w:kern w:val="0"/>
          <w:sz w:val="24"/>
        </w:rPr>
        <w:t>70</w:t>
      </w:r>
      <w:r w:rsidRPr="006A24B5">
        <w:rPr>
          <w:rFonts w:ascii="Book Antiqua" w:hAnsi="Book Antiqua" w:cs="宋体"/>
          <w:color w:val="000000"/>
          <w:kern w:val="0"/>
          <w:sz w:val="24"/>
        </w:rPr>
        <w:t>: 171-179 [PMID: 20653670 DOI: 10.1111/j.1365-2125.2010.03696.x]</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3 </w:t>
      </w:r>
      <w:r w:rsidRPr="006A24B5">
        <w:rPr>
          <w:rFonts w:ascii="Book Antiqua" w:hAnsi="Book Antiqua" w:cs="宋体"/>
          <w:b/>
          <w:bCs/>
          <w:color w:val="000000"/>
          <w:kern w:val="0"/>
          <w:sz w:val="24"/>
        </w:rPr>
        <w:t>Goh KL</w:t>
      </w:r>
      <w:r w:rsidRPr="006A24B5">
        <w:rPr>
          <w:rFonts w:ascii="Book Antiqua" w:hAnsi="Book Antiqua" w:cs="宋体"/>
          <w:color w:val="000000"/>
          <w:kern w:val="0"/>
          <w:sz w:val="24"/>
        </w:rPr>
        <w:t>. Gastroesophageal reflux disease in Asia: A historical perspective and present challenges. </w:t>
      </w:r>
      <w:r w:rsidRPr="006A24B5">
        <w:rPr>
          <w:rFonts w:ascii="Book Antiqua" w:hAnsi="Book Antiqua" w:cs="宋体"/>
          <w:i/>
          <w:iCs/>
          <w:color w:val="000000"/>
          <w:kern w:val="0"/>
          <w:sz w:val="24"/>
        </w:rPr>
        <w:t>J Gastroenterol Hepatol</w:t>
      </w:r>
      <w:r w:rsidRPr="006A24B5">
        <w:rPr>
          <w:rFonts w:ascii="Book Antiqua" w:hAnsi="Book Antiqua" w:cs="宋体"/>
          <w:color w:val="000000"/>
          <w:kern w:val="0"/>
          <w:sz w:val="24"/>
        </w:rPr>
        <w:t> 2011; </w:t>
      </w:r>
      <w:r w:rsidRPr="006A24B5">
        <w:rPr>
          <w:rFonts w:ascii="Book Antiqua" w:hAnsi="Book Antiqua" w:cs="宋体"/>
          <w:b/>
          <w:bCs/>
          <w:color w:val="000000"/>
          <w:kern w:val="0"/>
          <w:sz w:val="24"/>
        </w:rPr>
        <w:t xml:space="preserve">26 </w:t>
      </w:r>
      <w:r w:rsidRPr="006A24B5">
        <w:rPr>
          <w:rFonts w:ascii="Book Antiqua" w:hAnsi="Book Antiqua" w:cs="宋体"/>
          <w:bCs/>
          <w:color w:val="000000"/>
          <w:kern w:val="0"/>
          <w:sz w:val="24"/>
        </w:rPr>
        <w:t>Suppl 1</w:t>
      </w:r>
      <w:r w:rsidRPr="006A24B5">
        <w:rPr>
          <w:rFonts w:ascii="Book Antiqua" w:hAnsi="Book Antiqua" w:cs="宋体"/>
          <w:color w:val="000000"/>
          <w:kern w:val="0"/>
          <w:sz w:val="24"/>
        </w:rPr>
        <w:t>: 2-10 [PMID: 21199509 DOI: 10.1111/j.1440-1746.2010.06534.x]</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4 </w:t>
      </w:r>
      <w:r w:rsidRPr="006A24B5">
        <w:rPr>
          <w:rFonts w:ascii="Book Antiqua" w:hAnsi="Book Antiqua" w:cs="宋体"/>
          <w:b/>
          <w:bCs/>
          <w:color w:val="000000"/>
          <w:kern w:val="0"/>
          <w:sz w:val="24"/>
        </w:rPr>
        <w:t>van Pinxteren B</w:t>
      </w:r>
      <w:r w:rsidRPr="006A24B5">
        <w:rPr>
          <w:rFonts w:ascii="Book Antiqua" w:hAnsi="Book Antiqua" w:cs="宋体"/>
          <w:color w:val="000000"/>
          <w:kern w:val="0"/>
          <w:sz w:val="24"/>
        </w:rPr>
        <w:t>, Sigterman KE, Bonis P, Lau J, Numans ME. Short-term treatment with proton pump inhibitors, H2-receptor antagonists and prokinetics for gastro-oesophageal reflux disease-like symptoms and endoscopy negative reflux disease. </w:t>
      </w:r>
      <w:r w:rsidRPr="006A24B5">
        <w:rPr>
          <w:rFonts w:ascii="Book Antiqua" w:hAnsi="Book Antiqua" w:cs="宋体"/>
          <w:i/>
          <w:iCs/>
          <w:color w:val="000000"/>
          <w:kern w:val="0"/>
          <w:sz w:val="24"/>
        </w:rPr>
        <w:t>Cochrane Database Syst Rev</w:t>
      </w:r>
      <w:r w:rsidRPr="006A24B5">
        <w:rPr>
          <w:rFonts w:ascii="Book Antiqua" w:hAnsi="Book Antiqua" w:cs="宋体"/>
          <w:color w:val="000000"/>
          <w:kern w:val="0"/>
          <w:sz w:val="24"/>
        </w:rPr>
        <w:t> 2010; : CD002095 [PMID: 21069670 DOI: 10.1002/14651858.CD002095.pub4]</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5 </w:t>
      </w:r>
      <w:r w:rsidRPr="006A24B5">
        <w:rPr>
          <w:rFonts w:ascii="Book Antiqua" w:hAnsi="Book Antiqua" w:cs="宋体"/>
          <w:b/>
          <w:bCs/>
          <w:color w:val="000000"/>
          <w:kern w:val="0"/>
          <w:sz w:val="24"/>
        </w:rPr>
        <w:t>Lagergren J</w:t>
      </w:r>
      <w:r w:rsidRPr="006A24B5">
        <w:rPr>
          <w:rFonts w:ascii="Book Antiqua" w:hAnsi="Book Antiqua" w:cs="宋体"/>
          <w:color w:val="000000"/>
          <w:kern w:val="0"/>
          <w:sz w:val="24"/>
        </w:rPr>
        <w:t>, Bergström R, Lindgren A, Nyrén O. Symptomatic gastroesophageal reflux as a risk factor for esophageal adenocarcinoma. </w:t>
      </w:r>
      <w:r w:rsidRPr="006A24B5">
        <w:rPr>
          <w:rFonts w:ascii="Book Antiqua" w:hAnsi="Book Antiqua" w:cs="宋体"/>
          <w:i/>
          <w:iCs/>
          <w:color w:val="000000"/>
          <w:kern w:val="0"/>
          <w:sz w:val="24"/>
        </w:rPr>
        <w:t>N Engl J Med</w:t>
      </w:r>
      <w:r w:rsidRPr="006A24B5">
        <w:rPr>
          <w:rFonts w:ascii="Book Antiqua" w:hAnsi="Book Antiqua" w:cs="宋体"/>
          <w:color w:val="000000"/>
          <w:kern w:val="0"/>
          <w:sz w:val="24"/>
        </w:rPr>
        <w:t> 1999; </w:t>
      </w:r>
      <w:r w:rsidRPr="006A24B5">
        <w:rPr>
          <w:rFonts w:ascii="Book Antiqua" w:hAnsi="Book Antiqua" w:cs="宋体"/>
          <w:b/>
          <w:bCs/>
          <w:color w:val="000000"/>
          <w:kern w:val="0"/>
          <w:sz w:val="24"/>
        </w:rPr>
        <w:t>340</w:t>
      </w:r>
      <w:r w:rsidRPr="006A24B5">
        <w:rPr>
          <w:rFonts w:ascii="Book Antiqua" w:hAnsi="Book Antiqua" w:cs="宋体"/>
          <w:color w:val="000000"/>
          <w:kern w:val="0"/>
          <w:sz w:val="24"/>
        </w:rPr>
        <w:t>: 825-831 [PMID: 10080844 DOI: 10.1056/nejm199903183401101]</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6 </w:t>
      </w:r>
      <w:r w:rsidRPr="006A24B5">
        <w:rPr>
          <w:rFonts w:ascii="Book Antiqua" w:hAnsi="Book Antiqua" w:cs="宋体"/>
          <w:b/>
          <w:bCs/>
          <w:color w:val="000000"/>
          <w:kern w:val="0"/>
          <w:sz w:val="24"/>
        </w:rPr>
        <w:t>Hiyama T</w:t>
      </w:r>
      <w:r w:rsidRPr="006A24B5">
        <w:rPr>
          <w:rFonts w:ascii="Book Antiqua" w:hAnsi="Book Antiqua" w:cs="宋体"/>
          <w:color w:val="000000"/>
          <w:kern w:val="0"/>
          <w:sz w:val="24"/>
        </w:rPr>
        <w:t>, Yoshihara M, Tanaka S, Haruma K, Chayama K. Strategy for treatment of nonerosive reflux disease in Asia. </w:t>
      </w:r>
      <w:r w:rsidRPr="006A24B5">
        <w:rPr>
          <w:rFonts w:ascii="Book Antiqua" w:hAnsi="Book Antiqua" w:cs="宋体"/>
          <w:i/>
          <w:iCs/>
          <w:color w:val="000000"/>
          <w:kern w:val="0"/>
          <w:sz w:val="24"/>
        </w:rPr>
        <w:t>World J Gastroenterol</w:t>
      </w:r>
      <w:r w:rsidRPr="006A24B5">
        <w:rPr>
          <w:rFonts w:ascii="Book Antiqua" w:hAnsi="Book Antiqua" w:cs="宋体"/>
          <w:color w:val="000000"/>
          <w:kern w:val="0"/>
          <w:sz w:val="24"/>
        </w:rPr>
        <w:t> 2008; </w:t>
      </w:r>
      <w:r w:rsidRPr="006A24B5">
        <w:rPr>
          <w:rFonts w:ascii="Book Antiqua" w:hAnsi="Book Antiqua" w:cs="宋体"/>
          <w:b/>
          <w:bCs/>
          <w:color w:val="000000"/>
          <w:kern w:val="0"/>
          <w:sz w:val="24"/>
        </w:rPr>
        <w:t>14</w:t>
      </w:r>
      <w:r w:rsidRPr="006A24B5">
        <w:rPr>
          <w:rFonts w:ascii="Book Antiqua" w:hAnsi="Book Antiqua" w:cs="宋体"/>
          <w:color w:val="000000"/>
          <w:kern w:val="0"/>
          <w:sz w:val="24"/>
        </w:rPr>
        <w:t>: 3123-3128 [PMID: 18506915</w:t>
      </w:r>
      <w:r>
        <w:rPr>
          <w:rFonts w:ascii="Book Antiqua" w:hAnsi="Book Antiqua" w:cs="宋体"/>
          <w:color w:val="000000"/>
          <w:kern w:val="0"/>
          <w:sz w:val="24"/>
        </w:rPr>
        <w:t xml:space="preserve"> DOI: </w:t>
      </w:r>
      <w:r w:rsidRPr="00777370">
        <w:rPr>
          <w:rFonts w:ascii="Book Antiqua" w:hAnsi="Book Antiqua" w:cs="宋体"/>
          <w:color w:val="000000"/>
          <w:kern w:val="0"/>
          <w:sz w:val="24"/>
        </w:rPr>
        <w:t>10.3748/wjg.14.3123</w:t>
      </w:r>
      <w:r w:rsidRPr="006A24B5">
        <w:rPr>
          <w:rFonts w:ascii="Book Antiqua" w:hAnsi="Book Antiqua" w:cs="宋体"/>
          <w:color w:val="000000"/>
          <w:kern w:val="0"/>
          <w:sz w:val="24"/>
        </w:rPr>
        <w:t>]</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7 </w:t>
      </w:r>
      <w:r w:rsidRPr="006A24B5">
        <w:rPr>
          <w:rFonts w:ascii="Book Antiqua" w:hAnsi="Book Antiqua" w:cs="宋体"/>
          <w:b/>
          <w:bCs/>
          <w:color w:val="000000"/>
          <w:kern w:val="0"/>
          <w:sz w:val="24"/>
        </w:rPr>
        <w:t>Altan E</w:t>
      </w:r>
      <w:r w:rsidRPr="006A24B5">
        <w:rPr>
          <w:rFonts w:ascii="Book Antiqua" w:hAnsi="Book Antiqua" w:cs="宋体"/>
          <w:color w:val="000000"/>
          <w:kern w:val="0"/>
          <w:sz w:val="24"/>
        </w:rPr>
        <w:t>, Blondeau K, Pauwels A, Farré R, Tack J. Evolving pharmacological approaches in gastroesophageal reflux disease. </w:t>
      </w:r>
      <w:r w:rsidRPr="006A24B5">
        <w:rPr>
          <w:rFonts w:ascii="Book Antiqua" w:hAnsi="Book Antiqua" w:cs="宋体"/>
          <w:i/>
          <w:iCs/>
          <w:color w:val="000000"/>
          <w:kern w:val="0"/>
          <w:sz w:val="24"/>
        </w:rPr>
        <w:t>Expert Opin Emerg Drugs</w:t>
      </w:r>
      <w:r w:rsidRPr="006A24B5">
        <w:rPr>
          <w:rFonts w:ascii="Book Antiqua" w:hAnsi="Book Antiqua" w:cs="宋体"/>
          <w:color w:val="000000"/>
          <w:kern w:val="0"/>
          <w:sz w:val="24"/>
        </w:rPr>
        <w:t> 2012; </w:t>
      </w:r>
      <w:r w:rsidRPr="006A24B5">
        <w:rPr>
          <w:rFonts w:ascii="Book Antiqua" w:hAnsi="Book Antiqua" w:cs="宋体"/>
          <w:b/>
          <w:bCs/>
          <w:color w:val="000000"/>
          <w:kern w:val="0"/>
          <w:sz w:val="24"/>
        </w:rPr>
        <w:t>17</w:t>
      </w:r>
      <w:r w:rsidRPr="006A24B5">
        <w:rPr>
          <w:rFonts w:ascii="Book Antiqua" w:hAnsi="Book Antiqua" w:cs="宋体"/>
          <w:color w:val="000000"/>
          <w:kern w:val="0"/>
          <w:sz w:val="24"/>
        </w:rPr>
        <w:t>: 347-359 [PMID: 22834684 DOI: 10.1517/14728214.2012.702753]</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8 </w:t>
      </w:r>
      <w:r w:rsidRPr="006A24B5">
        <w:rPr>
          <w:rFonts w:ascii="Book Antiqua" w:hAnsi="Book Antiqua" w:cs="宋体"/>
          <w:b/>
          <w:bCs/>
          <w:color w:val="000000"/>
          <w:kern w:val="0"/>
          <w:sz w:val="24"/>
        </w:rPr>
        <w:t>Futagami S</w:t>
      </w:r>
      <w:r w:rsidRPr="006A24B5">
        <w:rPr>
          <w:rFonts w:ascii="Book Antiqua" w:hAnsi="Book Antiqua" w:cs="宋体"/>
          <w:color w:val="000000"/>
          <w:kern w:val="0"/>
          <w:sz w:val="24"/>
        </w:rPr>
        <w:t xml:space="preserve">, Iwakiri K, Shindo T, Kawagoe T, Horie A, Shimpuku M, Tanaka Y, Kawami N, Gudis K, Sakamoto C. The prokinetic effect of mosapride citrate combined with omeprazole therapy improves clinical symptoms and gastric emptying in PPI-resistant NERD patients with delayed </w:t>
      </w:r>
      <w:r w:rsidRPr="006A24B5">
        <w:rPr>
          <w:rFonts w:ascii="Book Antiqua" w:hAnsi="Book Antiqua" w:cs="宋体"/>
          <w:color w:val="000000"/>
          <w:kern w:val="0"/>
          <w:sz w:val="24"/>
        </w:rPr>
        <w:lastRenderedPageBreak/>
        <w:t>gastric emptying. </w:t>
      </w:r>
      <w:r w:rsidRPr="006A24B5">
        <w:rPr>
          <w:rFonts w:ascii="Book Antiqua" w:hAnsi="Book Antiqua" w:cs="宋体"/>
          <w:i/>
          <w:iCs/>
          <w:color w:val="000000"/>
          <w:kern w:val="0"/>
          <w:sz w:val="24"/>
        </w:rPr>
        <w:t>J Gastroenterol</w:t>
      </w:r>
      <w:r w:rsidRPr="006A24B5">
        <w:rPr>
          <w:rFonts w:ascii="Book Antiqua" w:hAnsi="Book Antiqua" w:cs="宋体"/>
          <w:color w:val="000000"/>
          <w:kern w:val="0"/>
          <w:sz w:val="24"/>
        </w:rPr>
        <w:t> 2010; </w:t>
      </w:r>
      <w:r w:rsidRPr="006A24B5">
        <w:rPr>
          <w:rFonts w:ascii="Book Antiqua" w:hAnsi="Book Antiqua" w:cs="宋体"/>
          <w:b/>
          <w:bCs/>
          <w:color w:val="000000"/>
          <w:kern w:val="0"/>
          <w:sz w:val="24"/>
        </w:rPr>
        <w:t>45</w:t>
      </w:r>
      <w:r w:rsidRPr="006A24B5">
        <w:rPr>
          <w:rFonts w:ascii="Book Antiqua" w:hAnsi="Book Antiqua" w:cs="宋体"/>
          <w:color w:val="000000"/>
          <w:kern w:val="0"/>
          <w:sz w:val="24"/>
        </w:rPr>
        <w:t>: 413-421 [PMID: 19997942 DOI: 10.1007/s00535-009-0173-0]</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9 </w:t>
      </w:r>
      <w:r w:rsidRPr="006A24B5">
        <w:rPr>
          <w:rFonts w:ascii="Book Antiqua" w:hAnsi="Book Antiqua" w:cs="宋体"/>
          <w:b/>
          <w:bCs/>
          <w:color w:val="000000"/>
          <w:kern w:val="0"/>
          <w:sz w:val="24"/>
        </w:rPr>
        <w:t>Katz PO</w:t>
      </w:r>
      <w:r w:rsidRPr="006A24B5">
        <w:rPr>
          <w:rFonts w:ascii="Book Antiqua" w:hAnsi="Book Antiqua" w:cs="宋体"/>
          <w:color w:val="000000"/>
          <w:kern w:val="0"/>
          <w:sz w:val="24"/>
        </w:rPr>
        <w:t>, Gerson LB, Vela MF. Guidelines for the diagnosis and management of gastroesophageal reflux disease. </w:t>
      </w:r>
      <w:r w:rsidRPr="006A24B5">
        <w:rPr>
          <w:rFonts w:ascii="Book Antiqua" w:hAnsi="Book Antiqua" w:cs="宋体"/>
          <w:i/>
          <w:iCs/>
          <w:color w:val="000000"/>
          <w:kern w:val="0"/>
          <w:sz w:val="24"/>
        </w:rPr>
        <w:t>Am J Gastroenterol</w:t>
      </w:r>
      <w:r w:rsidRPr="006A24B5">
        <w:rPr>
          <w:rFonts w:ascii="Book Antiqua" w:hAnsi="Book Antiqua" w:cs="宋体"/>
          <w:color w:val="000000"/>
          <w:kern w:val="0"/>
          <w:sz w:val="24"/>
        </w:rPr>
        <w:t> 2013; </w:t>
      </w:r>
      <w:r w:rsidRPr="006A24B5">
        <w:rPr>
          <w:rFonts w:ascii="Book Antiqua" w:hAnsi="Book Antiqua" w:cs="宋体"/>
          <w:b/>
          <w:bCs/>
          <w:color w:val="000000"/>
          <w:kern w:val="0"/>
          <w:sz w:val="24"/>
        </w:rPr>
        <w:t>108</w:t>
      </w:r>
      <w:r w:rsidRPr="006A24B5">
        <w:rPr>
          <w:rFonts w:ascii="Book Antiqua" w:hAnsi="Book Antiqua" w:cs="宋体"/>
          <w:color w:val="000000"/>
          <w:kern w:val="0"/>
          <w:sz w:val="24"/>
        </w:rPr>
        <w:t>: 308-28; quiz 329 [PMID: 23419381 DOI: 10.1038/ajg.2012.444]</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10 </w:t>
      </w:r>
      <w:r w:rsidRPr="006A24B5">
        <w:rPr>
          <w:rFonts w:ascii="Book Antiqua" w:hAnsi="Book Antiqua" w:cs="宋体"/>
          <w:b/>
          <w:bCs/>
          <w:color w:val="000000"/>
          <w:kern w:val="0"/>
          <w:sz w:val="24"/>
        </w:rPr>
        <w:t>Wang C</w:t>
      </w:r>
      <w:r w:rsidRPr="006A24B5">
        <w:rPr>
          <w:rFonts w:ascii="Book Antiqua" w:hAnsi="Book Antiqua" w:cs="宋体"/>
          <w:color w:val="000000"/>
          <w:kern w:val="0"/>
          <w:sz w:val="24"/>
        </w:rPr>
        <w:t>, Hunt RH. Medical management of gastroesophageal reflux disease. </w:t>
      </w:r>
      <w:r w:rsidRPr="006A24B5">
        <w:rPr>
          <w:rFonts w:ascii="Book Antiqua" w:hAnsi="Book Antiqua" w:cs="宋体"/>
          <w:i/>
          <w:iCs/>
          <w:color w:val="000000"/>
          <w:kern w:val="0"/>
          <w:sz w:val="24"/>
        </w:rPr>
        <w:t>Gastroenterol Clin North Am</w:t>
      </w:r>
      <w:r w:rsidRPr="006A24B5">
        <w:rPr>
          <w:rFonts w:ascii="Book Antiqua" w:hAnsi="Book Antiqua" w:cs="宋体"/>
          <w:color w:val="000000"/>
          <w:kern w:val="0"/>
          <w:sz w:val="24"/>
        </w:rPr>
        <w:t> 2008; </w:t>
      </w:r>
      <w:r w:rsidRPr="006A24B5">
        <w:rPr>
          <w:rFonts w:ascii="Book Antiqua" w:hAnsi="Book Antiqua" w:cs="宋体"/>
          <w:b/>
          <w:bCs/>
          <w:color w:val="000000"/>
          <w:kern w:val="0"/>
          <w:sz w:val="24"/>
        </w:rPr>
        <w:t>37</w:t>
      </w:r>
      <w:r w:rsidRPr="006A24B5">
        <w:rPr>
          <w:rFonts w:ascii="Book Antiqua" w:hAnsi="Book Antiqua" w:cs="宋体"/>
          <w:color w:val="000000"/>
          <w:kern w:val="0"/>
          <w:sz w:val="24"/>
        </w:rPr>
        <w:t>: 879-99, ix [PMID: 19028323 DOI: 10.1016/j.gtc.2008.09.001]</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11 </w:t>
      </w:r>
      <w:r w:rsidRPr="006A24B5">
        <w:rPr>
          <w:rFonts w:ascii="Book Antiqua" w:hAnsi="Book Antiqua" w:cs="宋体"/>
          <w:b/>
          <w:bCs/>
          <w:color w:val="000000"/>
          <w:kern w:val="0"/>
          <w:sz w:val="24"/>
        </w:rPr>
        <w:t>Heidelbaugh JJ</w:t>
      </w:r>
      <w:r w:rsidRPr="006A24B5">
        <w:rPr>
          <w:rFonts w:ascii="Book Antiqua" w:hAnsi="Book Antiqua" w:cs="宋体"/>
          <w:color w:val="000000"/>
          <w:kern w:val="0"/>
          <w:sz w:val="24"/>
        </w:rPr>
        <w:t>, Nostrant TT, Kim C, Van Harrison R. Management of gastroesophageal reflux disease. </w:t>
      </w:r>
      <w:r w:rsidRPr="006A24B5">
        <w:rPr>
          <w:rFonts w:ascii="Book Antiqua" w:hAnsi="Book Antiqua" w:cs="宋体"/>
          <w:i/>
          <w:iCs/>
          <w:color w:val="000000"/>
          <w:kern w:val="0"/>
          <w:sz w:val="24"/>
        </w:rPr>
        <w:t>Am Fam Physician</w:t>
      </w:r>
      <w:r w:rsidRPr="006A24B5">
        <w:rPr>
          <w:rFonts w:ascii="Book Antiqua" w:hAnsi="Book Antiqua" w:cs="宋体"/>
          <w:color w:val="000000"/>
          <w:kern w:val="0"/>
          <w:sz w:val="24"/>
        </w:rPr>
        <w:t> 2003; </w:t>
      </w:r>
      <w:r w:rsidRPr="006A24B5">
        <w:rPr>
          <w:rFonts w:ascii="Book Antiqua" w:hAnsi="Book Antiqua" w:cs="宋体"/>
          <w:b/>
          <w:bCs/>
          <w:color w:val="000000"/>
          <w:kern w:val="0"/>
          <w:sz w:val="24"/>
        </w:rPr>
        <w:t>68</w:t>
      </w:r>
      <w:r w:rsidRPr="006A24B5">
        <w:rPr>
          <w:rFonts w:ascii="Book Antiqua" w:hAnsi="Book Antiqua" w:cs="宋体"/>
          <w:color w:val="000000"/>
          <w:kern w:val="0"/>
          <w:sz w:val="24"/>
        </w:rPr>
        <w:t>: 1311-1318 [PMID: 14567485]</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12 </w:t>
      </w:r>
      <w:r w:rsidRPr="006A24B5">
        <w:rPr>
          <w:rFonts w:ascii="Book Antiqua" w:hAnsi="Book Antiqua" w:cs="宋体"/>
          <w:b/>
          <w:bCs/>
          <w:color w:val="000000"/>
          <w:kern w:val="0"/>
          <w:sz w:val="24"/>
        </w:rPr>
        <w:t>Miwa H</w:t>
      </w:r>
      <w:r w:rsidRPr="006A24B5">
        <w:rPr>
          <w:rFonts w:ascii="Book Antiqua" w:hAnsi="Book Antiqua" w:cs="宋体"/>
          <w:color w:val="000000"/>
          <w:kern w:val="0"/>
          <w:sz w:val="24"/>
        </w:rPr>
        <w:t>, Inoue K, Ashida K, Kogawa T, Nagahara A, Yoshida S, Tano N, Yamazaki Y, Wada T, Asaoka D, Fujita T, Tanaka J, Shimatani T, Manabe N, Oshima T, Haruma K, Azuma T, Yokoyama T. Randomised clinical trial: efficacy of the addition of a prokinetic, mosapride citrate, to omeprazole in the treatment of patients with non-erosive reflux disease - a double-blind, placebo-controlled study. </w:t>
      </w:r>
      <w:r w:rsidRPr="006A24B5">
        <w:rPr>
          <w:rFonts w:ascii="Book Antiqua" w:hAnsi="Book Antiqua" w:cs="宋体"/>
          <w:i/>
          <w:iCs/>
          <w:color w:val="000000"/>
          <w:kern w:val="0"/>
          <w:sz w:val="24"/>
        </w:rPr>
        <w:t>Aliment Pharmacol Ther</w:t>
      </w:r>
      <w:r w:rsidRPr="006A24B5">
        <w:rPr>
          <w:rFonts w:ascii="Book Antiqua" w:hAnsi="Book Antiqua" w:cs="宋体"/>
          <w:color w:val="000000"/>
          <w:kern w:val="0"/>
          <w:sz w:val="24"/>
        </w:rPr>
        <w:t> 2011; </w:t>
      </w:r>
      <w:r w:rsidRPr="006A24B5">
        <w:rPr>
          <w:rFonts w:ascii="Book Antiqua" w:hAnsi="Book Antiqua" w:cs="宋体"/>
          <w:b/>
          <w:bCs/>
          <w:color w:val="000000"/>
          <w:kern w:val="0"/>
          <w:sz w:val="24"/>
        </w:rPr>
        <w:t>33</w:t>
      </w:r>
      <w:r w:rsidRPr="006A24B5">
        <w:rPr>
          <w:rFonts w:ascii="Book Antiqua" w:hAnsi="Book Antiqua" w:cs="宋体"/>
          <w:color w:val="000000"/>
          <w:kern w:val="0"/>
          <w:sz w:val="24"/>
        </w:rPr>
        <w:t>: 323-332 [PMID: 21118395 DOI: 10.1111/j.1365-2036.2010.04517.x]</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13 </w:t>
      </w:r>
      <w:r w:rsidRPr="006A24B5">
        <w:rPr>
          <w:rFonts w:ascii="Book Antiqua" w:hAnsi="Book Antiqua" w:cs="宋体"/>
          <w:b/>
          <w:bCs/>
          <w:color w:val="000000"/>
          <w:kern w:val="0"/>
          <w:sz w:val="24"/>
        </w:rPr>
        <w:t>Bruley des Varannes S</w:t>
      </w:r>
      <w:r w:rsidRPr="006A24B5">
        <w:rPr>
          <w:rFonts w:ascii="Book Antiqua" w:hAnsi="Book Antiqua" w:cs="宋体"/>
          <w:color w:val="000000"/>
          <w:kern w:val="0"/>
          <w:sz w:val="24"/>
        </w:rPr>
        <w:t>, Coron E, Galmiche JP. Short and long-term PPI treatment for GERD. Do we need more-potent anti-secretory drugs? </w:t>
      </w:r>
      <w:r w:rsidRPr="006A24B5">
        <w:rPr>
          <w:rFonts w:ascii="Book Antiqua" w:hAnsi="Book Antiqua" w:cs="宋体"/>
          <w:i/>
          <w:iCs/>
          <w:color w:val="000000"/>
          <w:kern w:val="0"/>
          <w:sz w:val="24"/>
        </w:rPr>
        <w:t>Best Pract Res Clin Gastroenterol</w:t>
      </w:r>
      <w:r w:rsidRPr="006A24B5">
        <w:rPr>
          <w:rFonts w:ascii="Book Antiqua" w:hAnsi="Book Antiqua" w:cs="宋体"/>
          <w:color w:val="000000"/>
          <w:kern w:val="0"/>
          <w:sz w:val="24"/>
        </w:rPr>
        <w:t> 2010; </w:t>
      </w:r>
      <w:r w:rsidRPr="006A24B5">
        <w:rPr>
          <w:rFonts w:ascii="Book Antiqua" w:hAnsi="Book Antiqua" w:cs="宋体"/>
          <w:b/>
          <w:bCs/>
          <w:color w:val="000000"/>
          <w:kern w:val="0"/>
          <w:sz w:val="24"/>
        </w:rPr>
        <w:t>24</w:t>
      </w:r>
      <w:r w:rsidRPr="006A24B5">
        <w:rPr>
          <w:rFonts w:ascii="Book Antiqua" w:hAnsi="Book Antiqua" w:cs="宋体"/>
          <w:color w:val="000000"/>
          <w:kern w:val="0"/>
          <w:sz w:val="24"/>
        </w:rPr>
        <w:t>: 905-921 [PMID: 21126703 DOI: 10.1016/j.bpg.2010.09.004]</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14 </w:t>
      </w:r>
      <w:r w:rsidRPr="006A24B5">
        <w:rPr>
          <w:rFonts w:ascii="Book Antiqua" w:hAnsi="Book Antiqua" w:cs="宋体"/>
          <w:b/>
          <w:bCs/>
          <w:color w:val="000000"/>
          <w:kern w:val="0"/>
          <w:sz w:val="24"/>
        </w:rPr>
        <w:t>Dean BB</w:t>
      </w:r>
      <w:r w:rsidRPr="006A24B5">
        <w:rPr>
          <w:rFonts w:ascii="Book Antiqua" w:hAnsi="Book Antiqua" w:cs="宋体"/>
          <w:color w:val="000000"/>
          <w:kern w:val="0"/>
          <w:sz w:val="24"/>
        </w:rPr>
        <w:t>, Gano AD, Knight K, Ofman JJ, Fass R. Effectiveness of proton pump inhibitors in nonerosive reflux disease. </w:t>
      </w:r>
      <w:r w:rsidRPr="006A24B5">
        <w:rPr>
          <w:rFonts w:ascii="Book Antiqua" w:hAnsi="Book Antiqua" w:cs="宋体"/>
          <w:i/>
          <w:iCs/>
          <w:color w:val="000000"/>
          <w:kern w:val="0"/>
          <w:sz w:val="24"/>
        </w:rPr>
        <w:t>Clin Gastroenterol Hepatol</w:t>
      </w:r>
      <w:r w:rsidRPr="006A24B5">
        <w:rPr>
          <w:rFonts w:ascii="Book Antiqua" w:hAnsi="Book Antiqua" w:cs="宋体"/>
          <w:color w:val="000000"/>
          <w:kern w:val="0"/>
          <w:sz w:val="24"/>
        </w:rPr>
        <w:t> 2004; </w:t>
      </w:r>
      <w:r w:rsidRPr="006A24B5">
        <w:rPr>
          <w:rFonts w:ascii="Book Antiqua" w:hAnsi="Book Antiqua" w:cs="宋体"/>
          <w:b/>
          <w:bCs/>
          <w:color w:val="000000"/>
          <w:kern w:val="0"/>
          <w:sz w:val="24"/>
        </w:rPr>
        <w:t>2</w:t>
      </w:r>
      <w:r w:rsidRPr="006A24B5">
        <w:rPr>
          <w:rFonts w:ascii="Book Antiqua" w:hAnsi="Book Antiqua" w:cs="宋体"/>
          <w:color w:val="000000"/>
          <w:kern w:val="0"/>
          <w:sz w:val="24"/>
        </w:rPr>
        <w:t>: 656-664 [PMID: 15290657]</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15 </w:t>
      </w:r>
      <w:r w:rsidRPr="006A24B5">
        <w:rPr>
          <w:rFonts w:ascii="Book Antiqua" w:hAnsi="Book Antiqua" w:cs="宋体"/>
          <w:b/>
          <w:bCs/>
          <w:color w:val="000000"/>
          <w:kern w:val="0"/>
          <w:sz w:val="24"/>
        </w:rPr>
        <w:t>Fass R</w:t>
      </w:r>
      <w:r w:rsidRPr="006A24B5">
        <w:rPr>
          <w:rFonts w:ascii="Book Antiqua" w:hAnsi="Book Antiqua" w:cs="宋体"/>
          <w:color w:val="000000"/>
          <w:kern w:val="0"/>
          <w:sz w:val="24"/>
        </w:rPr>
        <w:t>, Shapiro M, Dekel R, Sewell J. Systematic review: proton-pump inhibitor failure in gastro-oesophageal reflux disease--where next? </w:t>
      </w:r>
      <w:r w:rsidRPr="006A24B5">
        <w:rPr>
          <w:rFonts w:ascii="Book Antiqua" w:hAnsi="Book Antiqua" w:cs="宋体"/>
          <w:i/>
          <w:iCs/>
          <w:color w:val="000000"/>
          <w:kern w:val="0"/>
          <w:sz w:val="24"/>
        </w:rPr>
        <w:t>Aliment Pharmacol Ther</w:t>
      </w:r>
      <w:r w:rsidRPr="006A24B5">
        <w:rPr>
          <w:rFonts w:ascii="Book Antiqua" w:hAnsi="Book Antiqua" w:cs="宋体"/>
          <w:color w:val="000000"/>
          <w:kern w:val="0"/>
          <w:sz w:val="24"/>
        </w:rPr>
        <w:t> 2005; </w:t>
      </w:r>
      <w:r w:rsidRPr="006A24B5">
        <w:rPr>
          <w:rFonts w:ascii="Book Antiqua" w:hAnsi="Book Antiqua" w:cs="宋体"/>
          <w:b/>
          <w:bCs/>
          <w:color w:val="000000"/>
          <w:kern w:val="0"/>
          <w:sz w:val="24"/>
        </w:rPr>
        <w:t>22</w:t>
      </w:r>
      <w:r w:rsidRPr="006A24B5">
        <w:rPr>
          <w:rFonts w:ascii="Book Antiqua" w:hAnsi="Book Antiqua" w:cs="宋体"/>
          <w:color w:val="000000"/>
          <w:kern w:val="0"/>
          <w:sz w:val="24"/>
        </w:rPr>
        <w:t>: 79-94 [PMID: 16011666 DOI: 10.1111/j.1365-2036.2005.02531.x]</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16 </w:t>
      </w:r>
      <w:r w:rsidRPr="006A24B5">
        <w:rPr>
          <w:rFonts w:ascii="Book Antiqua" w:hAnsi="Book Antiqua" w:cs="宋体"/>
          <w:b/>
          <w:bCs/>
          <w:color w:val="000000"/>
          <w:kern w:val="0"/>
          <w:sz w:val="24"/>
        </w:rPr>
        <w:t>Koshino K</w:t>
      </w:r>
      <w:r w:rsidRPr="006A24B5">
        <w:rPr>
          <w:rFonts w:ascii="Book Antiqua" w:hAnsi="Book Antiqua" w:cs="宋体"/>
          <w:color w:val="000000"/>
          <w:kern w:val="0"/>
          <w:sz w:val="24"/>
        </w:rPr>
        <w:t xml:space="preserve">, Adachi K, Furuta K, Ohara S, Morita T, Nakata S, Tanimura T, </w:t>
      </w:r>
      <w:r w:rsidRPr="006A24B5">
        <w:rPr>
          <w:rFonts w:ascii="Book Antiqua" w:hAnsi="Book Antiqua" w:cs="宋体"/>
          <w:color w:val="000000"/>
          <w:kern w:val="0"/>
          <w:sz w:val="24"/>
        </w:rPr>
        <w:lastRenderedPageBreak/>
        <w:t>Miki M, Kinoshita Y. Effects of mosapride on esophageal functions and gastroesophageal reflux. </w:t>
      </w:r>
      <w:r w:rsidRPr="006A24B5">
        <w:rPr>
          <w:rFonts w:ascii="Book Antiqua" w:hAnsi="Book Antiqua" w:cs="宋体"/>
          <w:i/>
          <w:iCs/>
          <w:color w:val="000000"/>
          <w:kern w:val="0"/>
          <w:sz w:val="24"/>
        </w:rPr>
        <w:t>J Gastroenterol Hepatol</w:t>
      </w:r>
      <w:r w:rsidRPr="006A24B5">
        <w:rPr>
          <w:rFonts w:ascii="Book Antiqua" w:hAnsi="Book Antiqua" w:cs="宋体"/>
          <w:color w:val="000000"/>
          <w:kern w:val="0"/>
          <w:sz w:val="24"/>
        </w:rPr>
        <w:t> 2010; </w:t>
      </w:r>
      <w:r w:rsidRPr="006A24B5">
        <w:rPr>
          <w:rFonts w:ascii="Book Antiqua" w:hAnsi="Book Antiqua" w:cs="宋体"/>
          <w:b/>
          <w:bCs/>
          <w:color w:val="000000"/>
          <w:kern w:val="0"/>
          <w:sz w:val="24"/>
        </w:rPr>
        <w:t>25</w:t>
      </w:r>
      <w:r w:rsidRPr="006A24B5">
        <w:rPr>
          <w:rFonts w:ascii="Book Antiqua" w:hAnsi="Book Antiqua" w:cs="宋体"/>
          <w:color w:val="000000"/>
          <w:kern w:val="0"/>
          <w:sz w:val="24"/>
        </w:rPr>
        <w:t>: 1066-1071 [PMID: 20594220 DOI: 10.1111/j.1440-1746.2010.06280.x]</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17 </w:t>
      </w:r>
      <w:r w:rsidRPr="006A24B5">
        <w:rPr>
          <w:rFonts w:ascii="Book Antiqua" w:hAnsi="Book Antiqua" w:cs="宋体"/>
          <w:b/>
          <w:bCs/>
          <w:color w:val="000000"/>
          <w:kern w:val="0"/>
          <w:sz w:val="24"/>
        </w:rPr>
        <w:t>Sanger GJ</w:t>
      </w:r>
      <w:r w:rsidRPr="006A24B5">
        <w:rPr>
          <w:rFonts w:ascii="Book Antiqua" w:hAnsi="Book Antiqua" w:cs="宋体"/>
          <w:color w:val="000000"/>
          <w:kern w:val="0"/>
          <w:sz w:val="24"/>
        </w:rPr>
        <w:t>. Translating 5-HT receptor pharmacology. </w:t>
      </w:r>
      <w:r w:rsidRPr="006A24B5">
        <w:rPr>
          <w:rFonts w:ascii="Book Antiqua" w:hAnsi="Book Antiqua" w:cs="宋体"/>
          <w:i/>
          <w:iCs/>
          <w:color w:val="000000"/>
          <w:kern w:val="0"/>
          <w:sz w:val="24"/>
        </w:rPr>
        <w:t>Neurogastroenterol Motil</w:t>
      </w:r>
      <w:r w:rsidRPr="006A24B5">
        <w:rPr>
          <w:rFonts w:ascii="Book Antiqua" w:hAnsi="Book Antiqua" w:cs="宋体"/>
          <w:color w:val="000000"/>
          <w:kern w:val="0"/>
          <w:sz w:val="24"/>
        </w:rPr>
        <w:t> 2009; </w:t>
      </w:r>
      <w:r w:rsidRPr="006A24B5">
        <w:rPr>
          <w:rFonts w:ascii="Book Antiqua" w:hAnsi="Book Antiqua" w:cs="宋体"/>
          <w:b/>
          <w:bCs/>
          <w:color w:val="000000"/>
          <w:kern w:val="0"/>
          <w:sz w:val="24"/>
        </w:rPr>
        <w:t>21</w:t>
      </w:r>
      <w:r w:rsidRPr="006A24B5">
        <w:rPr>
          <w:rFonts w:ascii="Book Antiqua" w:hAnsi="Book Antiqua" w:cs="宋体"/>
          <w:color w:val="000000"/>
          <w:kern w:val="0"/>
          <w:sz w:val="24"/>
        </w:rPr>
        <w:t>: 1235-1238 [PMID: 19906028 DOI: 10.1111/j.1365-2982.2009.01425.x]</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18 </w:t>
      </w:r>
      <w:r w:rsidRPr="006A24B5">
        <w:rPr>
          <w:rFonts w:ascii="Book Antiqua" w:hAnsi="Book Antiqua" w:cs="宋体"/>
          <w:b/>
          <w:bCs/>
          <w:color w:val="000000"/>
          <w:kern w:val="0"/>
          <w:sz w:val="24"/>
        </w:rPr>
        <w:t>Quigley EM</w:t>
      </w:r>
      <w:r w:rsidRPr="006A24B5">
        <w:rPr>
          <w:rFonts w:ascii="Book Antiqua" w:hAnsi="Book Antiqua" w:cs="宋体"/>
          <w:color w:val="000000"/>
          <w:kern w:val="0"/>
          <w:sz w:val="24"/>
        </w:rPr>
        <w:t>. Cisapride: what can we learn from the rise and fall of a prokinetic? </w:t>
      </w:r>
      <w:r w:rsidRPr="006A24B5">
        <w:rPr>
          <w:rFonts w:ascii="Book Antiqua" w:hAnsi="Book Antiqua" w:cs="宋体"/>
          <w:i/>
          <w:iCs/>
          <w:color w:val="000000"/>
          <w:kern w:val="0"/>
          <w:sz w:val="24"/>
        </w:rPr>
        <w:t>J Dig Dis</w:t>
      </w:r>
      <w:r w:rsidRPr="006A24B5">
        <w:rPr>
          <w:rFonts w:ascii="Book Antiqua" w:hAnsi="Book Antiqua" w:cs="宋体"/>
          <w:color w:val="000000"/>
          <w:kern w:val="0"/>
          <w:sz w:val="24"/>
        </w:rPr>
        <w:t> 2011; </w:t>
      </w:r>
      <w:r w:rsidRPr="006A24B5">
        <w:rPr>
          <w:rFonts w:ascii="Book Antiqua" w:hAnsi="Book Antiqua" w:cs="宋体"/>
          <w:b/>
          <w:bCs/>
          <w:color w:val="000000"/>
          <w:kern w:val="0"/>
          <w:sz w:val="24"/>
        </w:rPr>
        <w:t>12</w:t>
      </w:r>
      <w:r w:rsidRPr="006A24B5">
        <w:rPr>
          <w:rFonts w:ascii="Book Antiqua" w:hAnsi="Book Antiqua" w:cs="宋体"/>
          <w:color w:val="000000"/>
          <w:kern w:val="0"/>
          <w:sz w:val="24"/>
        </w:rPr>
        <w:t>: 147-156 [PMID: 21615867 DOI: 10.1111/j.1751-2980.2011.00491.x]</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19 </w:t>
      </w:r>
      <w:r w:rsidRPr="006A24B5">
        <w:rPr>
          <w:rFonts w:ascii="Book Antiqua" w:hAnsi="Book Antiqua" w:cs="宋体"/>
          <w:b/>
          <w:bCs/>
          <w:color w:val="000000"/>
          <w:kern w:val="0"/>
          <w:sz w:val="24"/>
        </w:rPr>
        <w:t>Madan K</w:t>
      </w:r>
      <w:r w:rsidRPr="006A24B5">
        <w:rPr>
          <w:rFonts w:ascii="Book Antiqua" w:hAnsi="Book Antiqua" w:cs="宋体"/>
          <w:color w:val="000000"/>
          <w:kern w:val="0"/>
          <w:sz w:val="24"/>
        </w:rPr>
        <w:t>, Ahuja V, Kashyap PC, Sharma MP. Comparison of efficacy of pantoprazole alone versus pantoprazole plus mosapride in therapy of gastroesophageal reflux disease: a randomized trial. </w:t>
      </w:r>
      <w:r w:rsidRPr="006A24B5">
        <w:rPr>
          <w:rFonts w:ascii="Book Antiqua" w:hAnsi="Book Antiqua" w:cs="宋体"/>
          <w:i/>
          <w:iCs/>
          <w:color w:val="000000"/>
          <w:kern w:val="0"/>
          <w:sz w:val="24"/>
        </w:rPr>
        <w:t>Dis Esophagus</w:t>
      </w:r>
      <w:r w:rsidRPr="006A24B5">
        <w:rPr>
          <w:rFonts w:ascii="Book Antiqua" w:hAnsi="Book Antiqua" w:cs="宋体"/>
          <w:color w:val="000000"/>
          <w:kern w:val="0"/>
          <w:sz w:val="24"/>
        </w:rPr>
        <w:t> 2004; </w:t>
      </w:r>
      <w:r w:rsidRPr="006A24B5">
        <w:rPr>
          <w:rFonts w:ascii="Book Antiqua" w:hAnsi="Book Antiqua" w:cs="宋体"/>
          <w:b/>
          <w:bCs/>
          <w:color w:val="000000"/>
          <w:kern w:val="0"/>
          <w:sz w:val="24"/>
        </w:rPr>
        <w:t>17</w:t>
      </w:r>
      <w:r w:rsidRPr="006A24B5">
        <w:rPr>
          <w:rFonts w:ascii="Book Antiqua" w:hAnsi="Book Antiqua" w:cs="宋体"/>
          <w:color w:val="000000"/>
          <w:kern w:val="0"/>
          <w:sz w:val="24"/>
        </w:rPr>
        <w:t>: 274-278 [PMID: 15569362 DOI: 10.1111/j.1442-2050.2004.00424.x]</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20 </w:t>
      </w:r>
      <w:r w:rsidRPr="006A24B5">
        <w:rPr>
          <w:rFonts w:ascii="Book Antiqua" w:hAnsi="Book Antiqua" w:cs="宋体"/>
          <w:b/>
          <w:bCs/>
          <w:color w:val="000000"/>
          <w:kern w:val="0"/>
          <w:sz w:val="24"/>
        </w:rPr>
        <w:t>Tack J</w:t>
      </w:r>
      <w:r w:rsidRPr="006A24B5">
        <w:rPr>
          <w:rFonts w:ascii="Book Antiqua" w:hAnsi="Book Antiqua" w:cs="宋体"/>
          <w:color w:val="000000"/>
          <w:kern w:val="0"/>
          <w:sz w:val="24"/>
        </w:rPr>
        <w:t>, Camilleri M, Chang L, Chey WD, Galligan JJ, Lacy BE, Müller-Lissner S, Quigley EM, Schuurkes J, De Maeyer JH, Stanghellini V. Systematic review: cardiovascular safety profile of 5-HT(4) agonists developed for gastrointestinal disorders. </w:t>
      </w:r>
      <w:r w:rsidRPr="006A24B5">
        <w:rPr>
          <w:rFonts w:ascii="Book Antiqua" w:hAnsi="Book Antiqua" w:cs="宋体"/>
          <w:i/>
          <w:iCs/>
          <w:color w:val="000000"/>
          <w:kern w:val="0"/>
          <w:sz w:val="24"/>
        </w:rPr>
        <w:t>Aliment Pharmacol Ther</w:t>
      </w:r>
      <w:r w:rsidRPr="006A24B5">
        <w:rPr>
          <w:rFonts w:ascii="Book Antiqua" w:hAnsi="Book Antiqua" w:cs="宋体"/>
          <w:color w:val="000000"/>
          <w:kern w:val="0"/>
          <w:sz w:val="24"/>
        </w:rPr>
        <w:t> 2012; </w:t>
      </w:r>
      <w:r w:rsidRPr="006A24B5">
        <w:rPr>
          <w:rFonts w:ascii="Book Antiqua" w:hAnsi="Book Antiqua" w:cs="宋体"/>
          <w:b/>
          <w:bCs/>
          <w:color w:val="000000"/>
          <w:kern w:val="0"/>
          <w:sz w:val="24"/>
        </w:rPr>
        <w:t>35</w:t>
      </w:r>
      <w:r w:rsidRPr="006A24B5">
        <w:rPr>
          <w:rFonts w:ascii="Book Antiqua" w:hAnsi="Book Antiqua" w:cs="宋体"/>
          <w:color w:val="000000"/>
          <w:kern w:val="0"/>
          <w:sz w:val="24"/>
        </w:rPr>
        <w:t>: 745-767 [PMID: 22356640 DOI: 10.1111/j.1365-2036.2012.05011.x]</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21 </w:t>
      </w:r>
      <w:r w:rsidRPr="006A24B5">
        <w:rPr>
          <w:rFonts w:ascii="Book Antiqua" w:hAnsi="Book Antiqua" w:cs="宋体"/>
          <w:b/>
          <w:bCs/>
          <w:color w:val="000000"/>
          <w:kern w:val="0"/>
          <w:sz w:val="24"/>
        </w:rPr>
        <w:t>Blackshaw LA</w:t>
      </w:r>
      <w:r w:rsidRPr="006A24B5">
        <w:rPr>
          <w:rFonts w:ascii="Book Antiqua" w:hAnsi="Book Antiqua" w:cs="宋体"/>
          <w:color w:val="000000"/>
          <w:kern w:val="0"/>
          <w:sz w:val="24"/>
        </w:rPr>
        <w:t>. Receptors and transmission in the brain-gut axis: potential for novel therapies. IV. GABA(B) receptors in the brain-gastroesophageal axis. </w:t>
      </w:r>
      <w:r w:rsidRPr="006A24B5">
        <w:rPr>
          <w:rFonts w:ascii="Book Antiqua" w:hAnsi="Book Antiqua" w:cs="宋体"/>
          <w:i/>
          <w:iCs/>
          <w:color w:val="000000"/>
          <w:kern w:val="0"/>
          <w:sz w:val="24"/>
        </w:rPr>
        <w:t>Am J Physiol Gastrointest Liver Physiol</w:t>
      </w:r>
      <w:r w:rsidRPr="006A24B5">
        <w:rPr>
          <w:rFonts w:ascii="Book Antiqua" w:hAnsi="Book Antiqua" w:cs="宋体"/>
          <w:color w:val="000000"/>
          <w:kern w:val="0"/>
          <w:sz w:val="24"/>
        </w:rPr>
        <w:t> 2001; </w:t>
      </w:r>
      <w:r w:rsidRPr="006A24B5">
        <w:rPr>
          <w:rFonts w:ascii="Book Antiqua" w:hAnsi="Book Antiqua" w:cs="宋体"/>
          <w:b/>
          <w:bCs/>
          <w:color w:val="000000"/>
          <w:kern w:val="0"/>
          <w:sz w:val="24"/>
        </w:rPr>
        <w:t>281</w:t>
      </w:r>
      <w:r w:rsidRPr="006A24B5">
        <w:rPr>
          <w:rFonts w:ascii="Book Antiqua" w:hAnsi="Book Antiqua" w:cs="宋体"/>
          <w:color w:val="000000"/>
          <w:kern w:val="0"/>
          <w:sz w:val="24"/>
        </w:rPr>
        <w:t>: G311-G315 [PMID: 11447009]</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22 </w:t>
      </w:r>
      <w:r w:rsidRPr="006A24B5">
        <w:rPr>
          <w:rFonts w:ascii="Book Antiqua" w:hAnsi="Book Antiqua" w:cs="宋体"/>
          <w:b/>
          <w:bCs/>
          <w:color w:val="000000"/>
          <w:kern w:val="0"/>
          <w:sz w:val="24"/>
        </w:rPr>
        <w:t>Boeckxstaens GE</w:t>
      </w:r>
      <w:r w:rsidRPr="006A24B5">
        <w:rPr>
          <w:rFonts w:ascii="Book Antiqua" w:hAnsi="Book Antiqua" w:cs="宋体"/>
          <w:color w:val="000000"/>
          <w:kern w:val="0"/>
          <w:sz w:val="24"/>
        </w:rPr>
        <w:t>, Beaumont H, Hatlebakk JG, Silberg DG, Björck K, Karlsson M, Denison H. A novel reflux inhibitor lesogaberan (AZD3355) as add-on treatment in patients with GORD with persistent reflux symptoms despite proton pump inhibitor therapy: a randomised placebo-controlled trial. </w:t>
      </w:r>
      <w:r w:rsidRPr="006A24B5">
        <w:rPr>
          <w:rFonts w:ascii="Book Antiqua" w:hAnsi="Book Antiqua" w:cs="宋体"/>
          <w:i/>
          <w:iCs/>
          <w:color w:val="000000"/>
          <w:kern w:val="0"/>
          <w:sz w:val="24"/>
        </w:rPr>
        <w:t>Gut</w:t>
      </w:r>
      <w:r w:rsidRPr="006A24B5">
        <w:rPr>
          <w:rFonts w:ascii="Book Antiqua" w:hAnsi="Book Antiqua" w:cs="宋体"/>
          <w:color w:val="000000"/>
          <w:kern w:val="0"/>
          <w:sz w:val="24"/>
        </w:rPr>
        <w:t> 2011; </w:t>
      </w:r>
      <w:r w:rsidRPr="006A24B5">
        <w:rPr>
          <w:rFonts w:ascii="Book Antiqua" w:hAnsi="Book Antiqua" w:cs="宋体"/>
          <w:b/>
          <w:bCs/>
          <w:color w:val="000000"/>
          <w:kern w:val="0"/>
          <w:sz w:val="24"/>
        </w:rPr>
        <w:t>60</w:t>
      </w:r>
      <w:r w:rsidRPr="006A24B5">
        <w:rPr>
          <w:rFonts w:ascii="Book Antiqua" w:hAnsi="Book Antiqua" w:cs="宋体"/>
          <w:color w:val="000000"/>
          <w:kern w:val="0"/>
          <w:sz w:val="24"/>
        </w:rPr>
        <w:t>: 1182-1188 [PMID: 21402616 DOI: 10.1136/gut.2010.235630]</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23 </w:t>
      </w:r>
      <w:r w:rsidRPr="006A24B5">
        <w:rPr>
          <w:rFonts w:ascii="Book Antiqua" w:hAnsi="Book Antiqua" w:cs="宋体"/>
          <w:b/>
          <w:bCs/>
          <w:color w:val="000000"/>
          <w:kern w:val="0"/>
          <w:sz w:val="24"/>
        </w:rPr>
        <w:t>Vakil NB</w:t>
      </w:r>
      <w:r w:rsidRPr="006A24B5">
        <w:rPr>
          <w:rFonts w:ascii="Book Antiqua" w:hAnsi="Book Antiqua" w:cs="宋体"/>
          <w:color w:val="000000"/>
          <w:kern w:val="0"/>
          <w:sz w:val="24"/>
        </w:rPr>
        <w:t>, Huff FJ, Cundy KC. Randomised clinical trial: arbaclofen placarbil in gastro-oesophageal reflux disease--insights into study design for transient lower sphincter relaxation inhibitors. </w:t>
      </w:r>
      <w:r w:rsidRPr="006A24B5">
        <w:rPr>
          <w:rFonts w:ascii="Book Antiqua" w:hAnsi="Book Antiqua" w:cs="宋体"/>
          <w:i/>
          <w:iCs/>
          <w:color w:val="000000"/>
          <w:kern w:val="0"/>
          <w:sz w:val="24"/>
        </w:rPr>
        <w:t>Aliment Pharmacol Ther</w:t>
      </w:r>
      <w:r w:rsidRPr="006A24B5">
        <w:rPr>
          <w:rFonts w:ascii="Book Antiqua" w:hAnsi="Book Antiqua" w:cs="宋体"/>
          <w:color w:val="000000"/>
          <w:kern w:val="0"/>
          <w:sz w:val="24"/>
        </w:rPr>
        <w:t> 2013; </w:t>
      </w:r>
      <w:r w:rsidRPr="006A24B5">
        <w:rPr>
          <w:rFonts w:ascii="Book Antiqua" w:hAnsi="Book Antiqua" w:cs="宋体"/>
          <w:b/>
          <w:bCs/>
          <w:color w:val="000000"/>
          <w:kern w:val="0"/>
          <w:sz w:val="24"/>
        </w:rPr>
        <w:t>38</w:t>
      </w:r>
      <w:r w:rsidRPr="006A24B5">
        <w:rPr>
          <w:rFonts w:ascii="Book Antiqua" w:hAnsi="Book Antiqua" w:cs="宋体"/>
          <w:color w:val="000000"/>
          <w:kern w:val="0"/>
          <w:sz w:val="24"/>
        </w:rPr>
        <w:t xml:space="preserve">: </w:t>
      </w:r>
      <w:r w:rsidRPr="006A24B5">
        <w:rPr>
          <w:rFonts w:ascii="Book Antiqua" w:hAnsi="Book Antiqua" w:cs="宋体"/>
          <w:color w:val="000000"/>
          <w:kern w:val="0"/>
          <w:sz w:val="24"/>
        </w:rPr>
        <w:lastRenderedPageBreak/>
        <w:t>107-117 [PMID: 23721547 DOI: 10.1111/apt.12363]</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24 </w:t>
      </w:r>
      <w:r w:rsidRPr="006A24B5">
        <w:rPr>
          <w:rFonts w:ascii="Book Antiqua" w:hAnsi="Book Antiqua" w:cs="宋体"/>
          <w:b/>
          <w:bCs/>
          <w:color w:val="000000"/>
          <w:kern w:val="0"/>
          <w:sz w:val="24"/>
        </w:rPr>
        <w:t>Cho YK</w:t>
      </w:r>
      <w:r w:rsidRPr="006A24B5">
        <w:rPr>
          <w:rFonts w:ascii="Book Antiqua" w:hAnsi="Book Antiqua" w:cs="宋体"/>
          <w:color w:val="000000"/>
          <w:kern w:val="0"/>
          <w:sz w:val="24"/>
        </w:rPr>
        <w:t>, Choi MG, Park EY, Lim CH, Kim JS, Park JM, Lee IS, Kim SW, Choi KY. Effect of mosapride combined with esomeprazole improves esophageal peristaltic function in patients with gastroesophageal reflux disease: a study using high resolution manometry. </w:t>
      </w:r>
      <w:r w:rsidRPr="006A24B5">
        <w:rPr>
          <w:rFonts w:ascii="Book Antiqua" w:hAnsi="Book Antiqua" w:cs="宋体"/>
          <w:i/>
          <w:iCs/>
          <w:color w:val="000000"/>
          <w:kern w:val="0"/>
          <w:sz w:val="24"/>
        </w:rPr>
        <w:t>Dig Dis Sci</w:t>
      </w:r>
      <w:r w:rsidRPr="006A24B5">
        <w:rPr>
          <w:rFonts w:ascii="Book Antiqua" w:hAnsi="Book Antiqua" w:cs="宋体"/>
          <w:color w:val="000000"/>
          <w:kern w:val="0"/>
          <w:sz w:val="24"/>
        </w:rPr>
        <w:t> 2013; </w:t>
      </w:r>
      <w:r w:rsidRPr="006A24B5">
        <w:rPr>
          <w:rFonts w:ascii="Book Antiqua" w:hAnsi="Book Antiqua" w:cs="宋体"/>
          <w:b/>
          <w:bCs/>
          <w:color w:val="000000"/>
          <w:kern w:val="0"/>
          <w:sz w:val="24"/>
        </w:rPr>
        <w:t>58</w:t>
      </w:r>
      <w:r w:rsidRPr="006A24B5">
        <w:rPr>
          <w:rFonts w:ascii="Book Antiqua" w:hAnsi="Book Antiqua" w:cs="宋体"/>
          <w:color w:val="000000"/>
          <w:kern w:val="0"/>
          <w:sz w:val="24"/>
        </w:rPr>
        <w:t>: 1035-1041 [PMID: 23053900 DOI: 10.1007/s10620-012-2430-y]</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25 </w:t>
      </w:r>
      <w:r w:rsidRPr="006A24B5">
        <w:rPr>
          <w:rFonts w:ascii="Book Antiqua" w:hAnsi="Book Antiqua" w:cs="宋体"/>
          <w:b/>
          <w:bCs/>
          <w:color w:val="000000"/>
          <w:kern w:val="0"/>
          <w:sz w:val="24"/>
        </w:rPr>
        <w:t>van Rensburg CJ</w:t>
      </w:r>
      <w:r w:rsidRPr="006A24B5">
        <w:rPr>
          <w:rFonts w:ascii="Book Antiqua" w:hAnsi="Book Antiqua" w:cs="宋体"/>
          <w:color w:val="000000"/>
          <w:kern w:val="0"/>
          <w:sz w:val="24"/>
        </w:rPr>
        <w:t>, Bardhan KD. No clinical benefit of adding cisapride to pantoprazole for treatment of gastro-oesophageal reflux disease. </w:t>
      </w:r>
      <w:r w:rsidRPr="006A24B5">
        <w:rPr>
          <w:rFonts w:ascii="Book Antiqua" w:hAnsi="Book Antiqua" w:cs="宋体"/>
          <w:i/>
          <w:iCs/>
          <w:color w:val="000000"/>
          <w:kern w:val="0"/>
          <w:sz w:val="24"/>
        </w:rPr>
        <w:t>Eur J Gastroenterol Hepatol</w:t>
      </w:r>
      <w:r w:rsidRPr="006A24B5">
        <w:rPr>
          <w:rFonts w:ascii="Book Antiqua" w:hAnsi="Book Antiqua" w:cs="宋体"/>
          <w:color w:val="000000"/>
          <w:kern w:val="0"/>
          <w:sz w:val="24"/>
        </w:rPr>
        <w:t> 2001; </w:t>
      </w:r>
      <w:r w:rsidRPr="006A24B5">
        <w:rPr>
          <w:rFonts w:ascii="Book Antiqua" w:hAnsi="Book Antiqua" w:cs="宋体"/>
          <w:b/>
          <w:bCs/>
          <w:color w:val="000000"/>
          <w:kern w:val="0"/>
          <w:sz w:val="24"/>
        </w:rPr>
        <w:t>13</w:t>
      </w:r>
      <w:r w:rsidRPr="006A24B5">
        <w:rPr>
          <w:rFonts w:ascii="Book Antiqua" w:hAnsi="Book Antiqua" w:cs="宋体"/>
          <w:color w:val="000000"/>
          <w:kern w:val="0"/>
          <w:sz w:val="24"/>
        </w:rPr>
        <w:t>: 909-914 [PMID: 11507354]</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26 </w:t>
      </w:r>
      <w:r w:rsidRPr="006A24B5">
        <w:rPr>
          <w:rFonts w:ascii="Book Antiqua" w:hAnsi="Book Antiqua" w:cs="宋体"/>
          <w:b/>
          <w:bCs/>
          <w:color w:val="000000"/>
          <w:kern w:val="0"/>
          <w:sz w:val="24"/>
        </w:rPr>
        <w:t>Vigneri S</w:t>
      </w:r>
      <w:r w:rsidRPr="006A24B5">
        <w:rPr>
          <w:rFonts w:ascii="Book Antiqua" w:hAnsi="Book Antiqua" w:cs="宋体"/>
          <w:color w:val="000000"/>
          <w:kern w:val="0"/>
          <w:sz w:val="24"/>
        </w:rPr>
        <w:t>, Termini R, Leandro G, Badalamenti S, Pantalena M, Savarino V, Di Mario F, Battaglia G, Mela GS, Pilotto A. A comparison of five maintenance therapies for reflux esophagitis. </w:t>
      </w:r>
      <w:r w:rsidRPr="006A24B5">
        <w:rPr>
          <w:rFonts w:ascii="Book Antiqua" w:hAnsi="Book Antiqua" w:cs="宋体"/>
          <w:i/>
          <w:iCs/>
          <w:color w:val="000000"/>
          <w:kern w:val="0"/>
          <w:sz w:val="24"/>
        </w:rPr>
        <w:t>N Engl J Med</w:t>
      </w:r>
      <w:r w:rsidRPr="006A24B5">
        <w:rPr>
          <w:rFonts w:ascii="Book Antiqua" w:hAnsi="Book Antiqua" w:cs="宋体"/>
          <w:color w:val="000000"/>
          <w:kern w:val="0"/>
          <w:sz w:val="24"/>
        </w:rPr>
        <w:t> 1995; </w:t>
      </w:r>
      <w:r w:rsidRPr="006A24B5">
        <w:rPr>
          <w:rFonts w:ascii="Book Antiqua" w:hAnsi="Book Antiqua" w:cs="宋体"/>
          <w:b/>
          <w:bCs/>
          <w:color w:val="000000"/>
          <w:kern w:val="0"/>
          <w:sz w:val="24"/>
        </w:rPr>
        <w:t>333</w:t>
      </w:r>
      <w:r w:rsidRPr="006A24B5">
        <w:rPr>
          <w:rFonts w:ascii="Book Antiqua" w:hAnsi="Book Antiqua" w:cs="宋体"/>
          <w:color w:val="000000"/>
          <w:kern w:val="0"/>
          <w:sz w:val="24"/>
        </w:rPr>
        <w:t>: 1106-1110 [PMID: 7565948 DOI: 10.1056/nejm199510263331703]</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27 </w:t>
      </w:r>
      <w:r w:rsidRPr="006A24B5">
        <w:rPr>
          <w:rFonts w:ascii="Book Antiqua" w:hAnsi="Book Antiqua" w:cs="宋体"/>
          <w:b/>
          <w:bCs/>
          <w:color w:val="000000"/>
          <w:kern w:val="0"/>
          <w:sz w:val="24"/>
        </w:rPr>
        <w:t>Beaumont H</w:t>
      </w:r>
      <w:r w:rsidRPr="006A24B5">
        <w:rPr>
          <w:rFonts w:ascii="Book Antiqua" w:hAnsi="Book Antiqua" w:cs="宋体"/>
          <w:color w:val="000000"/>
          <w:kern w:val="0"/>
          <w:sz w:val="24"/>
        </w:rPr>
        <w:t>, Boeckxstaens GE. Does the presence of a hiatal hernia affect the efficacy of the reflux inhibitor baclofen during add-on therapy? </w:t>
      </w:r>
      <w:r w:rsidRPr="006A24B5">
        <w:rPr>
          <w:rFonts w:ascii="Book Antiqua" w:hAnsi="Book Antiqua" w:cs="宋体"/>
          <w:i/>
          <w:iCs/>
          <w:color w:val="000000"/>
          <w:kern w:val="0"/>
          <w:sz w:val="24"/>
        </w:rPr>
        <w:t>Am J Gastroenterol</w:t>
      </w:r>
      <w:r w:rsidRPr="006A24B5">
        <w:rPr>
          <w:rFonts w:ascii="Book Antiqua" w:hAnsi="Book Antiqua" w:cs="宋体"/>
          <w:color w:val="000000"/>
          <w:kern w:val="0"/>
          <w:sz w:val="24"/>
        </w:rPr>
        <w:t> 2009; </w:t>
      </w:r>
      <w:r w:rsidRPr="006A24B5">
        <w:rPr>
          <w:rFonts w:ascii="Book Antiqua" w:hAnsi="Book Antiqua" w:cs="宋体"/>
          <w:b/>
          <w:bCs/>
          <w:color w:val="000000"/>
          <w:kern w:val="0"/>
          <w:sz w:val="24"/>
        </w:rPr>
        <w:t>104</w:t>
      </w:r>
      <w:r w:rsidRPr="006A24B5">
        <w:rPr>
          <w:rFonts w:ascii="Book Antiqua" w:hAnsi="Book Antiqua" w:cs="宋体"/>
          <w:color w:val="000000"/>
          <w:kern w:val="0"/>
          <w:sz w:val="24"/>
        </w:rPr>
        <w:t>: 1764-1771 [PMID: 19491837 DOI: 10.1038/ajg.2009.247]</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28 </w:t>
      </w:r>
      <w:r w:rsidRPr="006A24B5">
        <w:rPr>
          <w:rFonts w:ascii="Book Antiqua" w:hAnsi="Book Antiqua" w:cs="宋体"/>
          <w:b/>
          <w:bCs/>
          <w:color w:val="000000"/>
          <w:kern w:val="0"/>
          <w:sz w:val="24"/>
        </w:rPr>
        <w:t>Shaheen NJ</w:t>
      </w:r>
      <w:r w:rsidRPr="006A24B5">
        <w:rPr>
          <w:rFonts w:ascii="Book Antiqua" w:hAnsi="Book Antiqua" w:cs="宋体"/>
          <w:color w:val="000000"/>
          <w:kern w:val="0"/>
          <w:sz w:val="24"/>
        </w:rPr>
        <w:t>, Denison H, Björck K, Karlsson M, Silberg DG. Efficacy and safety of lesogaberan in gastro-oesophageal reflux disease: a randomised controlled trial. </w:t>
      </w:r>
      <w:r w:rsidRPr="006A24B5">
        <w:rPr>
          <w:rFonts w:ascii="Book Antiqua" w:hAnsi="Book Antiqua" w:cs="宋体"/>
          <w:i/>
          <w:iCs/>
          <w:color w:val="000000"/>
          <w:kern w:val="0"/>
          <w:sz w:val="24"/>
        </w:rPr>
        <w:t>Gut</w:t>
      </w:r>
      <w:r w:rsidRPr="006A24B5">
        <w:rPr>
          <w:rFonts w:ascii="Book Antiqua" w:hAnsi="Book Antiqua" w:cs="宋体"/>
          <w:color w:val="000000"/>
          <w:kern w:val="0"/>
          <w:sz w:val="24"/>
        </w:rPr>
        <w:t> 2013; </w:t>
      </w:r>
      <w:r w:rsidRPr="006A24B5">
        <w:rPr>
          <w:rFonts w:ascii="Book Antiqua" w:hAnsi="Book Antiqua" w:cs="宋体"/>
          <w:b/>
          <w:bCs/>
          <w:color w:val="000000"/>
          <w:kern w:val="0"/>
          <w:sz w:val="24"/>
        </w:rPr>
        <w:t>62</w:t>
      </w:r>
      <w:r w:rsidRPr="006A24B5">
        <w:rPr>
          <w:rFonts w:ascii="Book Antiqua" w:hAnsi="Book Antiqua" w:cs="宋体"/>
          <w:color w:val="000000"/>
          <w:kern w:val="0"/>
          <w:sz w:val="24"/>
        </w:rPr>
        <w:t>: 1248-1255 [PMID: 22730470 DOI: 10.1136/gutjnl-2012-302737]</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29 </w:t>
      </w:r>
      <w:r w:rsidRPr="006A24B5">
        <w:rPr>
          <w:rFonts w:ascii="Book Antiqua" w:hAnsi="Book Antiqua" w:cs="宋体"/>
          <w:b/>
          <w:bCs/>
          <w:color w:val="000000"/>
          <w:kern w:val="0"/>
          <w:sz w:val="24"/>
        </w:rPr>
        <w:t>Ndraha S</w:t>
      </w:r>
      <w:r w:rsidRPr="006A24B5">
        <w:rPr>
          <w:rFonts w:ascii="Book Antiqua" w:hAnsi="Book Antiqua" w:cs="宋体"/>
          <w:color w:val="000000"/>
          <w:kern w:val="0"/>
          <w:sz w:val="24"/>
        </w:rPr>
        <w:t>. Combination of PPI with a prokinetic drug in gastroesophageal reflux disease. </w:t>
      </w:r>
      <w:r w:rsidRPr="006A24B5">
        <w:rPr>
          <w:rFonts w:ascii="Book Antiqua" w:hAnsi="Book Antiqua" w:cs="宋体"/>
          <w:i/>
          <w:iCs/>
          <w:color w:val="000000"/>
          <w:kern w:val="0"/>
          <w:sz w:val="24"/>
        </w:rPr>
        <w:t>Acta Med Indones</w:t>
      </w:r>
      <w:r w:rsidRPr="006A24B5">
        <w:rPr>
          <w:rFonts w:ascii="Book Antiqua" w:hAnsi="Book Antiqua" w:cs="宋体"/>
          <w:color w:val="000000"/>
          <w:kern w:val="0"/>
          <w:sz w:val="24"/>
        </w:rPr>
        <w:t> 2011; </w:t>
      </w:r>
      <w:r w:rsidRPr="006A24B5">
        <w:rPr>
          <w:rFonts w:ascii="Book Antiqua" w:hAnsi="Book Antiqua" w:cs="宋体"/>
          <w:b/>
          <w:bCs/>
          <w:color w:val="000000"/>
          <w:kern w:val="0"/>
          <w:sz w:val="24"/>
        </w:rPr>
        <w:t>43</w:t>
      </w:r>
      <w:r w:rsidRPr="006A24B5">
        <w:rPr>
          <w:rFonts w:ascii="Book Antiqua" w:hAnsi="Book Antiqua" w:cs="宋体"/>
          <w:color w:val="000000"/>
          <w:kern w:val="0"/>
          <w:sz w:val="24"/>
        </w:rPr>
        <w:t>: 233-236 [PMID: 22156354]</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30 </w:t>
      </w:r>
      <w:r w:rsidRPr="006A24B5">
        <w:rPr>
          <w:rFonts w:ascii="Book Antiqua" w:hAnsi="Book Antiqua" w:cs="宋体"/>
          <w:b/>
          <w:bCs/>
          <w:color w:val="000000"/>
          <w:kern w:val="0"/>
          <w:sz w:val="24"/>
        </w:rPr>
        <w:t>Smythe A</w:t>
      </w:r>
      <w:r w:rsidRPr="006A24B5">
        <w:rPr>
          <w:rFonts w:ascii="Book Antiqua" w:hAnsi="Book Antiqua" w:cs="宋体"/>
          <w:color w:val="000000"/>
          <w:kern w:val="0"/>
          <w:sz w:val="24"/>
        </w:rPr>
        <w:t>, Bird NC, Troy GP, Ackroyd R, Johnson AG. Does the addition of a prokinetic to proton pump inhibitor therapy help reduce duodenogastro-oesophageal reflux in patients with Barrett's oesophagus? </w:t>
      </w:r>
      <w:r w:rsidRPr="006A24B5">
        <w:rPr>
          <w:rFonts w:ascii="Book Antiqua" w:hAnsi="Book Antiqua" w:cs="宋体"/>
          <w:i/>
          <w:iCs/>
          <w:color w:val="000000"/>
          <w:kern w:val="0"/>
          <w:sz w:val="24"/>
        </w:rPr>
        <w:t>Eur J Gastroenterol Hepatol</w:t>
      </w:r>
      <w:r w:rsidRPr="006A24B5">
        <w:rPr>
          <w:rFonts w:ascii="Book Antiqua" w:hAnsi="Book Antiqua" w:cs="宋体"/>
          <w:color w:val="000000"/>
          <w:kern w:val="0"/>
          <w:sz w:val="24"/>
        </w:rPr>
        <w:t> 2003; </w:t>
      </w:r>
      <w:r w:rsidRPr="006A24B5">
        <w:rPr>
          <w:rFonts w:ascii="Book Antiqua" w:hAnsi="Book Antiqua" w:cs="宋体"/>
          <w:b/>
          <w:bCs/>
          <w:color w:val="000000"/>
          <w:kern w:val="0"/>
          <w:sz w:val="24"/>
        </w:rPr>
        <w:t>15</w:t>
      </w:r>
      <w:r w:rsidRPr="006A24B5">
        <w:rPr>
          <w:rFonts w:ascii="Book Antiqua" w:hAnsi="Book Antiqua" w:cs="宋体"/>
          <w:color w:val="000000"/>
          <w:kern w:val="0"/>
          <w:sz w:val="24"/>
        </w:rPr>
        <w:t>: 305-312 [PMID: 12610326 DOI: 10.1097/01.meg.0000050003.68425.a5]</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31 </w:t>
      </w:r>
      <w:r w:rsidRPr="006A24B5">
        <w:rPr>
          <w:rFonts w:ascii="Book Antiqua" w:hAnsi="Book Antiqua" w:cs="宋体"/>
          <w:b/>
          <w:bCs/>
          <w:color w:val="000000"/>
          <w:kern w:val="0"/>
          <w:sz w:val="24"/>
        </w:rPr>
        <w:t>Horn J</w:t>
      </w:r>
      <w:r w:rsidRPr="006A24B5">
        <w:rPr>
          <w:rFonts w:ascii="Book Antiqua" w:hAnsi="Book Antiqua" w:cs="宋体"/>
          <w:color w:val="000000"/>
          <w:kern w:val="0"/>
          <w:sz w:val="24"/>
        </w:rPr>
        <w:t>. The proton-pump inhibitors: similarities and differences. </w:t>
      </w:r>
      <w:r w:rsidRPr="006A24B5">
        <w:rPr>
          <w:rFonts w:ascii="Book Antiqua" w:hAnsi="Book Antiqua" w:cs="宋体"/>
          <w:i/>
          <w:iCs/>
          <w:color w:val="000000"/>
          <w:kern w:val="0"/>
          <w:sz w:val="24"/>
        </w:rPr>
        <w:t>Clin Ther</w:t>
      </w:r>
      <w:r w:rsidRPr="006A24B5">
        <w:rPr>
          <w:rFonts w:ascii="Book Antiqua" w:hAnsi="Book Antiqua" w:cs="宋体"/>
          <w:color w:val="000000"/>
          <w:kern w:val="0"/>
          <w:sz w:val="24"/>
        </w:rPr>
        <w:t> 2000; </w:t>
      </w:r>
      <w:r w:rsidRPr="006A24B5">
        <w:rPr>
          <w:rFonts w:ascii="Book Antiqua" w:hAnsi="Book Antiqua" w:cs="宋体"/>
          <w:b/>
          <w:bCs/>
          <w:color w:val="000000"/>
          <w:kern w:val="0"/>
          <w:sz w:val="24"/>
        </w:rPr>
        <w:t>22</w:t>
      </w:r>
      <w:r w:rsidRPr="006A24B5">
        <w:rPr>
          <w:rFonts w:ascii="Book Antiqua" w:hAnsi="Book Antiqua" w:cs="宋体"/>
          <w:color w:val="000000"/>
          <w:kern w:val="0"/>
          <w:sz w:val="24"/>
        </w:rPr>
        <w:t>: 266-80; discussion 265 [PMID: 10963283 DOI: 10.1016/s0149-2918(00)80032-6]</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lastRenderedPageBreak/>
        <w:t>32 </w:t>
      </w:r>
      <w:r w:rsidRPr="006A24B5">
        <w:rPr>
          <w:rFonts w:ascii="Book Antiqua" w:hAnsi="Book Antiqua" w:cs="宋体"/>
          <w:b/>
          <w:bCs/>
          <w:color w:val="000000"/>
          <w:kern w:val="0"/>
          <w:sz w:val="24"/>
        </w:rPr>
        <w:t>Moore JM</w:t>
      </w:r>
      <w:r w:rsidRPr="006A24B5">
        <w:rPr>
          <w:rFonts w:ascii="Book Antiqua" w:hAnsi="Book Antiqua" w:cs="宋体"/>
          <w:color w:val="000000"/>
          <w:kern w:val="0"/>
          <w:sz w:val="24"/>
        </w:rPr>
        <w:t>, Vaezi MF. Extraesophageal manifestations of gastroesophageal reflux disease: real or imagined? </w:t>
      </w:r>
      <w:r w:rsidRPr="006A24B5">
        <w:rPr>
          <w:rFonts w:ascii="Book Antiqua" w:hAnsi="Book Antiqua" w:cs="宋体"/>
          <w:i/>
          <w:iCs/>
          <w:color w:val="000000"/>
          <w:kern w:val="0"/>
          <w:sz w:val="24"/>
        </w:rPr>
        <w:t>Curr Opin Gastroenterol</w:t>
      </w:r>
      <w:r w:rsidRPr="006A24B5">
        <w:rPr>
          <w:rFonts w:ascii="Book Antiqua" w:hAnsi="Book Antiqua" w:cs="宋体"/>
          <w:color w:val="000000"/>
          <w:kern w:val="0"/>
          <w:sz w:val="24"/>
        </w:rPr>
        <w:t> 2010; </w:t>
      </w:r>
      <w:r w:rsidRPr="006A24B5">
        <w:rPr>
          <w:rFonts w:ascii="Book Antiqua" w:hAnsi="Book Antiqua" w:cs="宋体"/>
          <w:b/>
          <w:bCs/>
          <w:color w:val="000000"/>
          <w:kern w:val="0"/>
          <w:sz w:val="24"/>
        </w:rPr>
        <w:t>26</w:t>
      </w:r>
      <w:r w:rsidRPr="006A24B5">
        <w:rPr>
          <w:rFonts w:ascii="Book Antiqua" w:hAnsi="Book Antiqua" w:cs="宋体"/>
          <w:color w:val="000000"/>
          <w:kern w:val="0"/>
          <w:sz w:val="24"/>
        </w:rPr>
        <w:t>: 389-394 [PMID: 20473157 DOI: 10.1097/MOG.0b013e32833adc8d]</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33 </w:t>
      </w:r>
      <w:r w:rsidRPr="006A24B5">
        <w:rPr>
          <w:rFonts w:ascii="Book Antiqua" w:hAnsi="Book Antiqua" w:cs="宋体"/>
          <w:b/>
          <w:bCs/>
          <w:color w:val="000000"/>
          <w:kern w:val="0"/>
          <w:sz w:val="24"/>
        </w:rPr>
        <w:t>Miyamoto M</w:t>
      </w:r>
      <w:r w:rsidRPr="006A24B5">
        <w:rPr>
          <w:rFonts w:ascii="Book Antiqua" w:hAnsi="Book Antiqua" w:cs="宋体"/>
          <w:color w:val="000000"/>
          <w:kern w:val="0"/>
          <w:sz w:val="24"/>
        </w:rPr>
        <w:t>, Manabe N, Haruma K. Efficacy of the addition of prokinetics for proton pump inhibitor (PPI) resistant non-erosive reflux disease (NERD) patients: significance of frequency scale for the symptom of GERD (FSSG) on decision of treatment strategy. </w:t>
      </w:r>
      <w:r w:rsidRPr="006A24B5">
        <w:rPr>
          <w:rFonts w:ascii="Book Antiqua" w:hAnsi="Book Antiqua" w:cs="宋体"/>
          <w:i/>
          <w:iCs/>
          <w:color w:val="000000"/>
          <w:kern w:val="0"/>
          <w:sz w:val="24"/>
        </w:rPr>
        <w:t>Intern Med</w:t>
      </w:r>
      <w:r w:rsidRPr="006A24B5">
        <w:rPr>
          <w:rFonts w:ascii="Book Antiqua" w:hAnsi="Book Antiqua" w:cs="宋体"/>
          <w:color w:val="000000"/>
          <w:kern w:val="0"/>
          <w:sz w:val="24"/>
        </w:rPr>
        <w:t> 2010; </w:t>
      </w:r>
      <w:r w:rsidRPr="006A24B5">
        <w:rPr>
          <w:rFonts w:ascii="Book Antiqua" w:hAnsi="Book Antiqua" w:cs="宋体"/>
          <w:b/>
          <w:bCs/>
          <w:color w:val="000000"/>
          <w:kern w:val="0"/>
          <w:sz w:val="24"/>
        </w:rPr>
        <w:t>49</w:t>
      </w:r>
      <w:r w:rsidRPr="006A24B5">
        <w:rPr>
          <w:rFonts w:ascii="Book Antiqua" w:hAnsi="Book Antiqua" w:cs="宋体"/>
          <w:color w:val="000000"/>
          <w:kern w:val="0"/>
          <w:sz w:val="24"/>
        </w:rPr>
        <w:t>: 1469-1476 [PMID: 20686276]</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34 </w:t>
      </w:r>
      <w:r w:rsidRPr="006A24B5">
        <w:rPr>
          <w:rFonts w:ascii="Book Antiqua" w:hAnsi="Book Antiqua" w:cs="宋体"/>
          <w:b/>
          <w:bCs/>
          <w:color w:val="000000"/>
          <w:kern w:val="0"/>
          <w:sz w:val="24"/>
        </w:rPr>
        <w:t>Hiyama T</w:t>
      </w:r>
      <w:r w:rsidRPr="006A24B5">
        <w:rPr>
          <w:rFonts w:ascii="Book Antiqua" w:hAnsi="Book Antiqua" w:cs="宋体"/>
          <w:color w:val="000000"/>
          <w:kern w:val="0"/>
          <w:sz w:val="24"/>
        </w:rPr>
        <w:t>, Matsuo K, Urabe Y, Fukuhara T, Tanaka S, Yoshihara M, Haruma K, Chayama K. Meta-analysis used to identify factors associated with the effectiveness of proton pump inhibitors against non-erosive reflux disease. </w:t>
      </w:r>
      <w:r w:rsidRPr="006A24B5">
        <w:rPr>
          <w:rFonts w:ascii="Book Antiqua" w:hAnsi="Book Antiqua" w:cs="宋体"/>
          <w:i/>
          <w:iCs/>
          <w:color w:val="000000"/>
          <w:kern w:val="0"/>
          <w:sz w:val="24"/>
        </w:rPr>
        <w:t>J Gastroenterol Hepatol</w:t>
      </w:r>
      <w:r w:rsidRPr="006A24B5">
        <w:rPr>
          <w:rFonts w:ascii="Book Antiqua" w:hAnsi="Book Antiqua" w:cs="宋体"/>
          <w:color w:val="000000"/>
          <w:kern w:val="0"/>
          <w:sz w:val="24"/>
        </w:rPr>
        <w:t> 2009; </w:t>
      </w:r>
      <w:r w:rsidRPr="006A24B5">
        <w:rPr>
          <w:rFonts w:ascii="Book Antiqua" w:hAnsi="Book Antiqua" w:cs="宋体"/>
          <w:b/>
          <w:bCs/>
          <w:color w:val="000000"/>
          <w:kern w:val="0"/>
          <w:sz w:val="24"/>
        </w:rPr>
        <w:t>24</w:t>
      </w:r>
      <w:r w:rsidRPr="006A24B5">
        <w:rPr>
          <w:rFonts w:ascii="Book Antiqua" w:hAnsi="Book Antiqua" w:cs="宋体"/>
          <w:color w:val="000000"/>
          <w:kern w:val="0"/>
          <w:sz w:val="24"/>
        </w:rPr>
        <w:t>: 1326-1332 [PMID: 19702900 DOI: 10.1111/j.1440-1746.2009.05879.x]</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35 </w:t>
      </w:r>
      <w:r w:rsidRPr="006A24B5">
        <w:rPr>
          <w:rFonts w:ascii="Book Antiqua" w:hAnsi="Book Antiqua" w:cs="宋体"/>
          <w:b/>
          <w:bCs/>
          <w:color w:val="000000"/>
          <w:kern w:val="0"/>
          <w:sz w:val="24"/>
        </w:rPr>
        <w:t>Manzotti ME</w:t>
      </w:r>
      <w:r w:rsidRPr="006A24B5">
        <w:rPr>
          <w:rFonts w:ascii="Book Antiqua" w:hAnsi="Book Antiqua" w:cs="宋体"/>
          <w:color w:val="000000"/>
          <w:kern w:val="0"/>
          <w:sz w:val="24"/>
        </w:rPr>
        <w:t>, Catalano HN, Serrano FA, Di Stilio G, Koch MF, Guyatt G. Prokinetic drug utility in the treatment of gastroesophageal reflux esophagitis: a systematic review of randomized controlled trials. </w:t>
      </w:r>
      <w:r w:rsidRPr="006A24B5">
        <w:rPr>
          <w:rFonts w:ascii="Book Antiqua" w:hAnsi="Book Antiqua" w:cs="宋体"/>
          <w:i/>
          <w:iCs/>
          <w:color w:val="000000"/>
          <w:kern w:val="0"/>
          <w:sz w:val="24"/>
        </w:rPr>
        <w:t>Open Med</w:t>
      </w:r>
      <w:r w:rsidRPr="006A24B5">
        <w:rPr>
          <w:rFonts w:ascii="Book Antiqua" w:hAnsi="Book Antiqua" w:cs="宋体"/>
          <w:color w:val="000000"/>
          <w:kern w:val="0"/>
          <w:sz w:val="24"/>
        </w:rPr>
        <w:t> 2007; </w:t>
      </w:r>
      <w:r w:rsidRPr="006A24B5">
        <w:rPr>
          <w:rFonts w:ascii="Book Antiqua" w:hAnsi="Book Antiqua" w:cs="宋体"/>
          <w:b/>
          <w:bCs/>
          <w:color w:val="000000"/>
          <w:kern w:val="0"/>
          <w:sz w:val="24"/>
        </w:rPr>
        <w:t>1</w:t>
      </w:r>
      <w:r w:rsidRPr="006A24B5">
        <w:rPr>
          <w:rFonts w:ascii="Book Antiqua" w:hAnsi="Book Antiqua" w:cs="宋体"/>
          <w:color w:val="000000"/>
          <w:kern w:val="0"/>
          <w:sz w:val="24"/>
        </w:rPr>
        <w:t>: e171-e180 [PMID: 21673949]</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36 </w:t>
      </w:r>
      <w:r w:rsidRPr="006A24B5">
        <w:rPr>
          <w:rFonts w:ascii="Book Antiqua" w:hAnsi="Book Antiqua" w:cs="宋体"/>
          <w:b/>
          <w:bCs/>
          <w:color w:val="000000"/>
          <w:kern w:val="0"/>
          <w:sz w:val="24"/>
        </w:rPr>
        <w:t>Gralnek IM</w:t>
      </w:r>
      <w:r w:rsidRPr="006A24B5">
        <w:rPr>
          <w:rFonts w:ascii="Book Antiqua" w:hAnsi="Book Antiqua" w:cs="宋体"/>
          <w:color w:val="000000"/>
          <w:kern w:val="0"/>
          <w:sz w:val="24"/>
        </w:rPr>
        <w:t>, Dulai GS, Fennerty MB, Spiegel BM. Esomeprazole versus other proton pump inhibitors in erosive esophagitis: a meta-analysis of randomized clinical trials. </w:t>
      </w:r>
      <w:r w:rsidRPr="006A24B5">
        <w:rPr>
          <w:rFonts w:ascii="Book Antiqua" w:hAnsi="Book Antiqua" w:cs="宋体"/>
          <w:i/>
          <w:iCs/>
          <w:color w:val="000000"/>
          <w:kern w:val="0"/>
          <w:sz w:val="24"/>
        </w:rPr>
        <w:t>Clin Gastroenterol Hepatol</w:t>
      </w:r>
      <w:r w:rsidRPr="006A24B5">
        <w:rPr>
          <w:rFonts w:ascii="Book Antiqua" w:hAnsi="Book Antiqua" w:cs="宋体"/>
          <w:color w:val="000000"/>
          <w:kern w:val="0"/>
          <w:sz w:val="24"/>
        </w:rPr>
        <w:t> 2006; </w:t>
      </w:r>
      <w:r w:rsidRPr="006A24B5">
        <w:rPr>
          <w:rFonts w:ascii="Book Antiqua" w:hAnsi="Book Antiqua" w:cs="宋体"/>
          <w:b/>
          <w:bCs/>
          <w:color w:val="000000"/>
          <w:kern w:val="0"/>
          <w:sz w:val="24"/>
        </w:rPr>
        <w:t>4</w:t>
      </w:r>
      <w:r w:rsidRPr="006A24B5">
        <w:rPr>
          <w:rFonts w:ascii="Book Antiqua" w:hAnsi="Book Antiqua" w:cs="宋体"/>
          <w:color w:val="000000"/>
          <w:kern w:val="0"/>
          <w:sz w:val="24"/>
        </w:rPr>
        <w:t>: 1452-1458 [PMID: 17162239 DOI: 10.1016/j.cgh.2006.09.013]</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37 </w:t>
      </w:r>
      <w:r w:rsidRPr="006A24B5">
        <w:rPr>
          <w:rFonts w:ascii="Book Antiqua" w:hAnsi="Book Antiqua" w:cs="宋体"/>
          <w:b/>
          <w:bCs/>
          <w:color w:val="000000"/>
          <w:kern w:val="0"/>
          <w:sz w:val="24"/>
        </w:rPr>
        <w:t>Grossi L</w:t>
      </w:r>
      <w:r w:rsidRPr="006A24B5">
        <w:rPr>
          <w:rFonts w:ascii="Book Antiqua" w:hAnsi="Book Antiqua" w:cs="宋体"/>
          <w:color w:val="000000"/>
          <w:kern w:val="0"/>
          <w:sz w:val="24"/>
        </w:rPr>
        <w:t>, Spezzaferro M, Sacco LF, Marzio L. Effect of baclofen on oesophageal motility and transient lower oesophageal sphincter relaxations in GORD patients: a 48-h manometric study. </w:t>
      </w:r>
      <w:r w:rsidRPr="006A24B5">
        <w:rPr>
          <w:rFonts w:ascii="Book Antiqua" w:hAnsi="Book Antiqua" w:cs="宋体"/>
          <w:i/>
          <w:iCs/>
          <w:color w:val="000000"/>
          <w:kern w:val="0"/>
          <w:sz w:val="24"/>
        </w:rPr>
        <w:t>Neurogastroenterol Motil</w:t>
      </w:r>
      <w:r w:rsidRPr="006A24B5">
        <w:rPr>
          <w:rFonts w:ascii="Book Antiqua" w:hAnsi="Book Antiqua" w:cs="宋体"/>
          <w:color w:val="000000"/>
          <w:kern w:val="0"/>
          <w:sz w:val="24"/>
        </w:rPr>
        <w:t> 2008; </w:t>
      </w:r>
      <w:r w:rsidRPr="006A24B5">
        <w:rPr>
          <w:rFonts w:ascii="Book Antiqua" w:hAnsi="Book Antiqua" w:cs="宋体"/>
          <w:b/>
          <w:bCs/>
          <w:color w:val="000000"/>
          <w:kern w:val="0"/>
          <w:sz w:val="24"/>
        </w:rPr>
        <w:t>20</w:t>
      </w:r>
      <w:r w:rsidRPr="006A24B5">
        <w:rPr>
          <w:rFonts w:ascii="Book Antiqua" w:hAnsi="Book Antiqua" w:cs="宋体"/>
          <w:color w:val="000000"/>
          <w:kern w:val="0"/>
          <w:sz w:val="24"/>
        </w:rPr>
        <w:t>: 760-766 [PMID: 18373654 DOI: 10.1111/j.1365-2982.2008.01115.x]</w:t>
      </w:r>
    </w:p>
    <w:p w:rsidR="00C87C35" w:rsidRPr="006A24B5" w:rsidRDefault="00C87C35" w:rsidP="0098033C">
      <w:pPr>
        <w:spacing w:line="360" w:lineRule="auto"/>
        <w:rPr>
          <w:rFonts w:ascii="Book Antiqua" w:hAnsi="Book Antiqua" w:cs="宋体"/>
          <w:color w:val="000000"/>
          <w:kern w:val="0"/>
          <w:sz w:val="24"/>
        </w:rPr>
      </w:pPr>
      <w:r w:rsidRPr="006A24B5">
        <w:rPr>
          <w:rFonts w:ascii="Book Antiqua" w:hAnsi="Book Antiqua" w:cs="宋体"/>
          <w:color w:val="000000"/>
          <w:kern w:val="0"/>
          <w:sz w:val="24"/>
        </w:rPr>
        <w:t>38 </w:t>
      </w:r>
      <w:r w:rsidRPr="006A24B5">
        <w:rPr>
          <w:rFonts w:ascii="Book Antiqua" w:hAnsi="Book Antiqua" w:cs="宋体"/>
          <w:b/>
          <w:bCs/>
          <w:color w:val="000000"/>
          <w:kern w:val="0"/>
          <w:sz w:val="24"/>
        </w:rPr>
        <w:t>Thornton A</w:t>
      </w:r>
      <w:r w:rsidRPr="006A24B5">
        <w:rPr>
          <w:rFonts w:ascii="Book Antiqua" w:hAnsi="Book Antiqua" w:cs="宋体"/>
          <w:color w:val="000000"/>
          <w:kern w:val="0"/>
          <w:sz w:val="24"/>
        </w:rPr>
        <w:t>, Lee P. Publication bias in meta-analysis: its causes and consequences. </w:t>
      </w:r>
      <w:r w:rsidRPr="006A24B5">
        <w:rPr>
          <w:rFonts w:ascii="Book Antiqua" w:hAnsi="Book Antiqua" w:cs="宋体"/>
          <w:i/>
          <w:iCs/>
          <w:color w:val="000000"/>
          <w:kern w:val="0"/>
          <w:sz w:val="24"/>
        </w:rPr>
        <w:t>J Clin Epidemiol</w:t>
      </w:r>
      <w:r w:rsidRPr="006A24B5">
        <w:rPr>
          <w:rFonts w:ascii="Book Antiqua" w:hAnsi="Book Antiqua" w:cs="宋体"/>
          <w:color w:val="000000"/>
          <w:kern w:val="0"/>
          <w:sz w:val="24"/>
        </w:rPr>
        <w:t> 2000; </w:t>
      </w:r>
      <w:r w:rsidRPr="006A24B5">
        <w:rPr>
          <w:rFonts w:ascii="Book Antiqua" w:hAnsi="Book Antiqua" w:cs="宋体"/>
          <w:b/>
          <w:bCs/>
          <w:color w:val="000000"/>
          <w:kern w:val="0"/>
          <w:sz w:val="24"/>
        </w:rPr>
        <w:t>53</w:t>
      </w:r>
      <w:r w:rsidRPr="006A24B5">
        <w:rPr>
          <w:rFonts w:ascii="Book Antiqua" w:hAnsi="Book Antiqua" w:cs="宋体"/>
          <w:color w:val="000000"/>
          <w:kern w:val="0"/>
          <w:sz w:val="24"/>
        </w:rPr>
        <w:t>: 207-216 [PMID: 10729693]</w:t>
      </w:r>
    </w:p>
    <w:p w:rsidR="00C87C35" w:rsidRPr="006A24B5" w:rsidRDefault="00C87C35" w:rsidP="0098033C">
      <w:pPr>
        <w:spacing w:line="360" w:lineRule="auto"/>
        <w:rPr>
          <w:rFonts w:ascii="Book Antiqua" w:hAnsi="Book Antiqua"/>
          <w:sz w:val="24"/>
        </w:rPr>
      </w:pPr>
    </w:p>
    <w:p w:rsidR="00C87C35" w:rsidRDefault="00C87C35" w:rsidP="0098033C">
      <w:pPr>
        <w:spacing w:line="360" w:lineRule="auto"/>
        <w:rPr>
          <w:rFonts w:ascii="Book Antiqua" w:hAnsi="Book Antiqua"/>
          <w:b/>
          <w:bCs/>
          <w:color w:val="000000"/>
          <w:sz w:val="24"/>
        </w:rPr>
      </w:pPr>
      <w:bookmarkStart w:id="24" w:name="OLE_LINK11"/>
      <w:bookmarkStart w:id="25" w:name="OLE_LINK12"/>
      <w:bookmarkStart w:id="26" w:name="OLE_LINK20"/>
      <w:bookmarkStart w:id="27" w:name="OLE_LINK80"/>
      <w:bookmarkStart w:id="28" w:name="OLE_LINK85"/>
      <w:bookmarkStart w:id="29" w:name="OLE_LINK194"/>
      <w:bookmarkStart w:id="30" w:name="OLE_LINK118"/>
      <w:bookmarkStart w:id="31" w:name="OLE_LINK159"/>
      <w:r w:rsidRPr="00CE4867">
        <w:rPr>
          <w:rStyle w:val="ae"/>
          <w:rFonts w:ascii="Book Antiqua" w:hAnsi="Book Antiqua"/>
          <w:bCs/>
          <w:noProof/>
          <w:color w:val="000000"/>
          <w:sz w:val="24"/>
        </w:rPr>
        <w:t>P-Reviewer</w:t>
      </w:r>
      <w:bookmarkEnd w:id="24"/>
      <w:bookmarkEnd w:id="25"/>
      <w:r>
        <w:rPr>
          <w:rStyle w:val="ae"/>
          <w:rFonts w:ascii="Book Antiqua" w:hAnsi="Book Antiqua"/>
          <w:bCs/>
          <w:noProof/>
          <w:color w:val="000000"/>
          <w:sz w:val="24"/>
        </w:rPr>
        <w:t>s:</w:t>
      </w:r>
      <w:r w:rsidRPr="00CE4867">
        <w:rPr>
          <w:rFonts w:ascii="Book Antiqua" w:hAnsi="Book Antiqua"/>
          <w:b/>
          <w:bCs/>
          <w:color w:val="000000"/>
          <w:sz w:val="24"/>
        </w:rPr>
        <w:t xml:space="preserve"> </w:t>
      </w:r>
      <w:r w:rsidRPr="00D562FD">
        <w:rPr>
          <w:rFonts w:ascii="Book Antiqua" w:hAnsi="Book Antiqua"/>
          <w:bCs/>
          <w:color w:val="000000"/>
          <w:sz w:val="24"/>
        </w:rPr>
        <w:t>Hashimoto</w:t>
      </w:r>
      <w:r w:rsidRPr="00CE4867">
        <w:rPr>
          <w:rFonts w:ascii="Book Antiqua" w:hAnsi="Book Antiqua"/>
          <w:b/>
          <w:bCs/>
          <w:color w:val="000000"/>
          <w:sz w:val="24"/>
        </w:rPr>
        <w:t xml:space="preserve"> </w:t>
      </w:r>
      <w:r>
        <w:rPr>
          <w:rFonts w:ascii="Book Antiqua" w:hAnsi="Book Antiqua"/>
          <w:b/>
          <w:bCs/>
          <w:color w:val="000000"/>
          <w:sz w:val="24"/>
        </w:rPr>
        <w:t>N,</w:t>
      </w:r>
      <w:r w:rsidRPr="00CE4867">
        <w:rPr>
          <w:rFonts w:ascii="Book Antiqua" w:hAnsi="Book Antiqua"/>
          <w:b/>
          <w:bCs/>
          <w:color w:val="000000"/>
          <w:sz w:val="24"/>
        </w:rPr>
        <w:t xml:space="preserve"> </w:t>
      </w:r>
      <w:r w:rsidRPr="00435E93">
        <w:rPr>
          <w:rFonts w:ascii="Book Antiqua" w:hAnsi="Book Antiqua"/>
          <w:bCs/>
          <w:color w:val="000000"/>
          <w:sz w:val="24"/>
        </w:rPr>
        <w:t xml:space="preserve">Gillessen A </w:t>
      </w:r>
      <w:r w:rsidRPr="00CE4867">
        <w:rPr>
          <w:rFonts w:ascii="Book Antiqua" w:hAnsi="Book Antiqua"/>
          <w:b/>
          <w:bCs/>
          <w:color w:val="000000"/>
          <w:sz w:val="24"/>
        </w:rPr>
        <w:t xml:space="preserve">     S-Editor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b/>
          <w:bCs/>
          <w:color w:val="000000"/>
          <w:sz w:val="24"/>
        </w:rPr>
        <w:t xml:space="preserve">: </w:t>
      </w:r>
      <w:r>
        <w:rPr>
          <w:rFonts w:ascii="Book Antiqua" w:hAnsi="Book Antiqua"/>
          <w:b/>
          <w:bCs/>
          <w:color w:val="000000"/>
          <w:sz w:val="24"/>
        </w:rPr>
        <w:br w:type="page"/>
      </w:r>
    </w:p>
    <w:bookmarkEnd w:id="26"/>
    <w:bookmarkEnd w:id="27"/>
    <w:bookmarkEnd w:id="28"/>
    <w:bookmarkEnd w:id="29"/>
    <w:bookmarkEnd w:id="30"/>
    <w:bookmarkEnd w:id="31"/>
    <w:p w:rsidR="00C87C35" w:rsidRPr="002B12EE" w:rsidRDefault="00CF42B2" w:rsidP="00851192">
      <w:pPr>
        <w:spacing w:line="360" w:lineRule="auto"/>
        <w:rPr>
          <w:rFonts w:ascii="Book Antiqua" w:hAnsi="Book Antiqua"/>
          <w:color w:val="000000"/>
          <w:kern w:val="0"/>
          <w:sz w:val="24"/>
        </w:rPr>
      </w:pPr>
      <w:r>
        <w:rPr>
          <w:rFonts w:ascii="Book Antiqua" w:hAnsi="Book Antiqua"/>
          <w:noProof/>
          <w:sz w:val="24"/>
        </w:rPr>
        <w:drawing>
          <wp:inline distT="0" distB="0" distL="0" distR="0">
            <wp:extent cx="5438775" cy="2101850"/>
            <wp:effectExtent l="0" t="0" r="9525" b="0"/>
            <wp:docPr id="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2101850"/>
                    </a:xfrm>
                    <a:prstGeom prst="rect">
                      <a:avLst/>
                    </a:prstGeom>
                    <a:noFill/>
                    <a:ln>
                      <a:noFill/>
                    </a:ln>
                  </pic:spPr>
                </pic:pic>
              </a:graphicData>
            </a:graphic>
          </wp:inline>
        </w:drawing>
      </w:r>
    </w:p>
    <w:p w:rsidR="00C87C35" w:rsidRPr="002B12EE" w:rsidRDefault="00C87C35" w:rsidP="00851192">
      <w:pPr>
        <w:spacing w:line="360" w:lineRule="auto"/>
        <w:rPr>
          <w:rFonts w:ascii="Book Antiqua" w:hAnsi="Book Antiqua"/>
          <w:b/>
          <w:color w:val="000000"/>
          <w:kern w:val="0"/>
          <w:sz w:val="24"/>
        </w:rPr>
      </w:pPr>
      <w:r>
        <w:rPr>
          <w:rFonts w:ascii="Book Antiqua" w:hAnsi="Book Antiqua"/>
          <w:b/>
          <w:color w:val="000000"/>
          <w:kern w:val="0"/>
          <w:sz w:val="24"/>
        </w:rPr>
        <w:t>A</w:t>
      </w:r>
    </w:p>
    <w:p w:rsidR="00C87C35" w:rsidRPr="002B12EE" w:rsidRDefault="00CF42B2" w:rsidP="00851192">
      <w:pPr>
        <w:spacing w:line="360" w:lineRule="auto"/>
        <w:rPr>
          <w:rFonts w:ascii="Book Antiqua" w:hAnsi="Book Antiqua"/>
          <w:color w:val="000000"/>
          <w:kern w:val="0"/>
          <w:sz w:val="24"/>
        </w:rPr>
      </w:pPr>
      <w:r>
        <w:rPr>
          <w:rFonts w:ascii="Book Antiqua" w:hAnsi="Book Antiqua"/>
          <w:noProof/>
          <w:sz w:val="24"/>
        </w:rPr>
        <w:drawing>
          <wp:inline distT="0" distB="0" distL="0" distR="0">
            <wp:extent cx="5431790" cy="1685290"/>
            <wp:effectExtent l="0" t="0" r="0" b="0"/>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1790" cy="1685290"/>
                    </a:xfrm>
                    <a:prstGeom prst="rect">
                      <a:avLst/>
                    </a:prstGeom>
                    <a:noFill/>
                    <a:ln>
                      <a:noFill/>
                    </a:ln>
                  </pic:spPr>
                </pic:pic>
              </a:graphicData>
            </a:graphic>
          </wp:inline>
        </w:drawing>
      </w:r>
    </w:p>
    <w:p w:rsidR="00C87C35" w:rsidRPr="002B12EE" w:rsidRDefault="00C87C35" w:rsidP="00851192">
      <w:pPr>
        <w:spacing w:line="360" w:lineRule="auto"/>
        <w:rPr>
          <w:rFonts w:ascii="Book Antiqua" w:hAnsi="Book Antiqua"/>
          <w:b/>
          <w:color w:val="000000"/>
          <w:kern w:val="0"/>
          <w:sz w:val="24"/>
        </w:rPr>
      </w:pPr>
      <w:r>
        <w:rPr>
          <w:rFonts w:ascii="Book Antiqua" w:hAnsi="Book Antiqua"/>
          <w:b/>
          <w:color w:val="000000"/>
          <w:kern w:val="0"/>
          <w:sz w:val="24"/>
        </w:rPr>
        <w:t>B</w:t>
      </w:r>
    </w:p>
    <w:p w:rsidR="00C87C35" w:rsidRPr="002B12EE" w:rsidRDefault="00CF42B2" w:rsidP="00851192">
      <w:pPr>
        <w:spacing w:line="360" w:lineRule="auto"/>
        <w:rPr>
          <w:rFonts w:ascii="Book Antiqua" w:hAnsi="Book Antiqua"/>
          <w:color w:val="000000"/>
          <w:kern w:val="0"/>
          <w:sz w:val="24"/>
        </w:rPr>
      </w:pPr>
      <w:r>
        <w:rPr>
          <w:rFonts w:ascii="Book Antiqua" w:hAnsi="Book Antiqua"/>
          <w:noProof/>
          <w:sz w:val="24"/>
        </w:rPr>
        <w:drawing>
          <wp:inline distT="0" distB="0" distL="0" distR="0">
            <wp:extent cx="5431790" cy="1419225"/>
            <wp:effectExtent l="0" t="0" r="0" b="9525"/>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1790" cy="1419225"/>
                    </a:xfrm>
                    <a:prstGeom prst="rect">
                      <a:avLst/>
                    </a:prstGeom>
                    <a:noFill/>
                    <a:ln>
                      <a:noFill/>
                    </a:ln>
                  </pic:spPr>
                </pic:pic>
              </a:graphicData>
            </a:graphic>
          </wp:inline>
        </w:drawing>
      </w:r>
    </w:p>
    <w:p w:rsidR="00C87C35" w:rsidRPr="002B12EE" w:rsidRDefault="00C87C35" w:rsidP="00851192">
      <w:pPr>
        <w:spacing w:line="360" w:lineRule="auto"/>
        <w:rPr>
          <w:rFonts w:ascii="Book Antiqua" w:hAnsi="Book Antiqua"/>
          <w:b/>
          <w:color w:val="000000"/>
          <w:kern w:val="0"/>
          <w:sz w:val="24"/>
        </w:rPr>
      </w:pPr>
      <w:r>
        <w:rPr>
          <w:rFonts w:ascii="Book Antiqua" w:hAnsi="Book Antiqua"/>
          <w:b/>
          <w:color w:val="000000"/>
          <w:kern w:val="0"/>
          <w:sz w:val="24"/>
        </w:rPr>
        <w:t>C</w:t>
      </w:r>
    </w:p>
    <w:p w:rsidR="00C87C35" w:rsidRPr="002B12EE" w:rsidRDefault="00CF42B2" w:rsidP="00851192">
      <w:pPr>
        <w:spacing w:line="360" w:lineRule="auto"/>
        <w:ind w:leftChars="-450" w:left="135" w:hangingChars="450" w:hanging="1080"/>
        <w:rPr>
          <w:rFonts w:ascii="Book Antiqua" w:hAnsi="Book Antiqua"/>
          <w:noProof/>
          <w:sz w:val="24"/>
        </w:rPr>
      </w:pPr>
      <w:r>
        <w:rPr>
          <w:rFonts w:ascii="Book Antiqua" w:hAnsi="Book Antiqua"/>
          <w:noProof/>
          <w:sz w:val="24"/>
        </w:rPr>
        <w:drawing>
          <wp:inline distT="0" distB="0" distL="0" distR="0">
            <wp:extent cx="5534025" cy="1016635"/>
            <wp:effectExtent l="0" t="0" r="9525" b="0"/>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4025" cy="1016635"/>
                    </a:xfrm>
                    <a:prstGeom prst="rect">
                      <a:avLst/>
                    </a:prstGeom>
                    <a:noFill/>
                    <a:ln>
                      <a:noFill/>
                    </a:ln>
                  </pic:spPr>
                </pic:pic>
              </a:graphicData>
            </a:graphic>
          </wp:inline>
        </w:drawing>
      </w:r>
    </w:p>
    <w:p w:rsidR="00C87C35" w:rsidRPr="002B12EE" w:rsidRDefault="00C87C35" w:rsidP="00851192">
      <w:pPr>
        <w:spacing w:line="360" w:lineRule="auto"/>
        <w:ind w:leftChars="17" w:left="276" w:hangingChars="100" w:hanging="240"/>
        <w:rPr>
          <w:rFonts w:ascii="Book Antiqua" w:hAnsi="Book Antiqua"/>
          <w:color w:val="000000"/>
          <w:kern w:val="0"/>
          <w:sz w:val="24"/>
        </w:rPr>
      </w:pPr>
      <w:r>
        <w:rPr>
          <w:rFonts w:ascii="Book Antiqua" w:hAnsi="Book Antiqua"/>
          <w:color w:val="000000"/>
          <w:kern w:val="0"/>
          <w:sz w:val="24"/>
        </w:rPr>
        <w:t>D</w:t>
      </w:r>
    </w:p>
    <w:p w:rsidR="00C87C35" w:rsidRPr="002B12EE" w:rsidRDefault="00C87C35" w:rsidP="00851192">
      <w:pPr>
        <w:spacing w:line="360" w:lineRule="auto"/>
        <w:ind w:leftChars="17" w:left="276" w:hangingChars="100" w:hanging="240"/>
        <w:rPr>
          <w:rFonts w:ascii="Book Antiqua" w:hAnsi="Book Antiqua"/>
          <w:color w:val="000000"/>
          <w:kern w:val="0"/>
          <w:sz w:val="24"/>
        </w:rPr>
      </w:pPr>
    </w:p>
    <w:p w:rsidR="00C87C35" w:rsidRPr="002B12EE" w:rsidRDefault="00C87C35" w:rsidP="00851192">
      <w:pPr>
        <w:spacing w:line="360" w:lineRule="auto"/>
        <w:rPr>
          <w:rFonts w:ascii="Book Antiqua" w:hAnsi="Book Antiqua"/>
          <w:color w:val="000000"/>
          <w:kern w:val="0"/>
          <w:sz w:val="24"/>
        </w:rPr>
      </w:pPr>
    </w:p>
    <w:p w:rsidR="00C87C35" w:rsidRPr="002B12EE" w:rsidRDefault="00CF42B2" w:rsidP="00851192">
      <w:pPr>
        <w:spacing w:line="360" w:lineRule="auto"/>
        <w:ind w:leftChars="-600" w:left="-1260" w:firstLineChars="150" w:firstLine="361"/>
        <w:rPr>
          <w:rFonts w:ascii="Book Antiqua" w:hAnsi="Book Antiqua"/>
          <w:b/>
          <w:noProof/>
          <w:sz w:val="24"/>
        </w:rPr>
      </w:pPr>
      <w:r>
        <w:rPr>
          <w:rFonts w:ascii="Book Antiqua" w:hAnsi="Book Antiqua"/>
          <w:b/>
          <w:noProof/>
          <w:sz w:val="24"/>
        </w:rPr>
        <w:lastRenderedPageBreak/>
        <w:drawing>
          <wp:inline distT="0" distB="0" distL="0" distR="0">
            <wp:extent cx="5602605" cy="1466850"/>
            <wp:effectExtent l="0" t="0" r="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2605" cy="1466850"/>
                    </a:xfrm>
                    <a:prstGeom prst="rect">
                      <a:avLst/>
                    </a:prstGeom>
                    <a:noFill/>
                    <a:ln>
                      <a:noFill/>
                    </a:ln>
                  </pic:spPr>
                </pic:pic>
              </a:graphicData>
            </a:graphic>
          </wp:inline>
        </w:drawing>
      </w:r>
    </w:p>
    <w:p w:rsidR="00C87C35" w:rsidRPr="002B12EE" w:rsidRDefault="00C87C35" w:rsidP="00851192">
      <w:pPr>
        <w:spacing w:line="360" w:lineRule="auto"/>
        <w:ind w:leftChars="-600" w:left="-1260" w:firstLineChars="150" w:firstLine="361"/>
        <w:rPr>
          <w:rFonts w:ascii="Book Antiqua" w:hAnsi="Book Antiqua"/>
          <w:b/>
          <w:color w:val="000000"/>
          <w:kern w:val="0"/>
          <w:sz w:val="24"/>
        </w:rPr>
      </w:pPr>
      <w:r w:rsidRPr="002B12EE">
        <w:rPr>
          <w:rFonts w:ascii="Book Antiqua" w:hAnsi="Book Antiqua"/>
          <w:b/>
          <w:noProof/>
          <w:sz w:val="24"/>
        </w:rPr>
        <w:t xml:space="preserve">        </w:t>
      </w:r>
      <w:r>
        <w:rPr>
          <w:rFonts w:ascii="Book Antiqua" w:hAnsi="Book Antiqua"/>
          <w:b/>
          <w:noProof/>
          <w:sz w:val="24"/>
        </w:rPr>
        <w:t>E</w:t>
      </w:r>
    </w:p>
    <w:p w:rsidR="00C87C35" w:rsidRPr="002B12EE" w:rsidRDefault="00C87C35" w:rsidP="00851192">
      <w:pPr>
        <w:spacing w:line="360" w:lineRule="auto"/>
        <w:ind w:leftChars="-600" w:left="-1260" w:firstLineChars="150" w:firstLine="360"/>
        <w:rPr>
          <w:rFonts w:ascii="Book Antiqua" w:hAnsi="Book Antiqua"/>
          <w:color w:val="000000"/>
          <w:kern w:val="0"/>
          <w:sz w:val="24"/>
        </w:rPr>
      </w:pPr>
      <w:r w:rsidRPr="002B12EE">
        <w:rPr>
          <w:rFonts w:ascii="Book Antiqua" w:hAnsi="Book Antiqua"/>
          <w:color w:val="000000"/>
          <w:kern w:val="0"/>
          <w:sz w:val="24"/>
        </w:rPr>
        <w:t xml:space="preserve">      </w:t>
      </w:r>
      <w:r w:rsidR="00CF42B2">
        <w:rPr>
          <w:rFonts w:ascii="Book Antiqua" w:hAnsi="Book Antiqua"/>
          <w:noProof/>
          <w:sz w:val="24"/>
        </w:rPr>
        <w:drawing>
          <wp:inline distT="0" distB="0" distL="0" distR="0">
            <wp:extent cx="5438775" cy="1064260"/>
            <wp:effectExtent l="0" t="0" r="9525" b="254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775" cy="1064260"/>
                    </a:xfrm>
                    <a:prstGeom prst="rect">
                      <a:avLst/>
                    </a:prstGeom>
                    <a:noFill/>
                    <a:ln>
                      <a:noFill/>
                    </a:ln>
                  </pic:spPr>
                </pic:pic>
              </a:graphicData>
            </a:graphic>
          </wp:inline>
        </w:drawing>
      </w:r>
    </w:p>
    <w:p w:rsidR="00C87C35" w:rsidRPr="002B12EE" w:rsidRDefault="00C87C35" w:rsidP="00851192">
      <w:pPr>
        <w:spacing w:line="360" w:lineRule="auto"/>
        <w:rPr>
          <w:rFonts w:ascii="Book Antiqua" w:hAnsi="Book Antiqua"/>
          <w:b/>
          <w:color w:val="000000"/>
          <w:kern w:val="0"/>
          <w:sz w:val="24"/>
        </w:rPr>
      </w:pPr>
      <w:r w:rsidRPr="002B12EE">
        <w:rPr>
          <w:rFonts w:ascii="Book Antiqua" w:hAnsi="Book Antiqua"/>
          <w:b/>
          <w:color w:val="000000"/>
          <w:kern w:val="0"/>
          <w:sz w:val="24"/>
        </w:rPr>
        <w:t>F</w:t>
      </w:r>
    </w:p>
    <w:p w:rsidR="00C87C35" w:rsidRPr="002B12EE" w:rsidRDefault="00CF42B2" w:rsidP="00851192">
      <w:pPr>
        <w:spacing w:line="360" w:lineRule="auto"/>
        <w:ind w:leftChars="-150" w:left="46" w:hangingChars="150" w:hanging="361"/>
        <w:rPr>
          <w:rFonts w:ascii="Book Antiqua" w:hAnsi="Book Antiqua"/>
          <w:b/>
          <w:noProof/>
          <w:sz w:val="24"/>
        </w:rPr>
      </w:pPr>
      <w:r>
        <w:rPr>
          <w:rFonts w:ascii="Book Antiqua" w:hAnsi="Book Antiqua"/>
          <w:b/>
          <w:noProof/>
          <w:sz w:val="24"/>
        </w:rPr>
        <w:drawing>
          <wp:inline distT="0" distB="0" distL="0" distR="0">
            <wp:extent cx="5466080" cy="1112520"/>
            <wp:effectExtent l="0" t="0" r="127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6080" cy="1112520"/>
                    </a:xfrm>
                    <a:prstGeom prst="rect">
                      <a:avLst/>
                    </a:prstGeom>
                    <a:noFill/>
                    <a:ln>
                      <a:noFill/>
                    </a:ln>
                  </pic:spPr>
                </pic:pic>
              </a:graphicData>
            </a:graphic>
          </wp:inline>
        </w:drawing>
      </w:r>
    </w:p>
    <w:p w:rsidR="00C87C35" w:rsidRPr="002B12EE" w:rsidRDefault="00C87C35" w:rsidP="00851192">
      <w:pPr>
        <w:spacing w:line="360" w:lineRule="auto"/>
        <w:ind w:leftChars="-150" w:left="46" w:hangingChars="150" w:hanging="361"/>
        <w:rPr>
          <w:rFonts w:ascii="Book Antiqua" w:hAnsi="Book Antiqua"/>
          <w:b/>
          <w:noProof/>
          <w:sz w:val="24"/>
        </w:rPr>
      </w:pPr>
      <w:r>
        <w:rPr>
          <w:rFonts w:ascii="Book Antiqua" w:hAnsi="Book Antiqua"/>
          <w:b/>
          <w:noProof/>
          <w:sz w:val="24"/>
        </w:rPr>
        <w:t>G</w:t>
      </w:r>
    </w:p>
    <w:p w:rsidR="00C87C35" w:rsidRPr="002B12EE" w:rsidRDefault="00CF42B2" w:rsidP="00851192">
      <w:pPr>
        <w:spacing w:line="360" w:lineRule="auto"/>
        <w:ind w:leftChars="-350" w:left="-735" w:firstLineChars="450" w:firstLine="1084"/>
        <w:rPr>
          <w:rFonts w:ascii="Book Antiqua" w:hAnsi="Book Antiqua"/>
          <w:b/>
          <w:noProof/>
          <w:sz w:val="24"/>
        </w:rPr>
      </w:pPr>
      <w:r>
        <w:rPr>
          <w:rFonts w:ascii="Book Antiqua" w:hAnsi="Book Antiqua"/>
          <w:b/>
          <w:noProof/>
          <w:sz w:val="24"/>
        </w:rPr>
        <w:drawing>
          <wp:inline distT="0" distB="0" distL="0" distR="0">
            <wp:extent cx="5936615" cy="1610360"/>
            <wp:effectExtent l="0" t="0" r="6985" b="889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6615" cy="1610360"/>
                    </a:xfrm>
                    <a:prstGeom prst="rect">
                      <a:avLst/>
                    </a:prstGeom>
                    <a:noFill/>
                    <a:ln>
                      <a:noFill/>
                    </a:ln>
                  </pic:spPr>
                </pic:pic>
              </a:graphicData>
            </a:graphic>
          </wp:inline>
        </w:drawing>
      </w:r>
    </w:p>
    <w:p w:rsidR="00C87C35" w:rsidRPr="002B12EE" w:rsidRDefault="00C87C35" w:rsidP="00851192">
      <w:pPr>
        <w:spacing w:line="360" w:lineRule="auto"/>
        <w:rPr>
          <w:rFonts w:ascii="Book Antiqua" w:hAnsi="Book Antiqua"/>
          <w:b/>
          <w:color w:val="000000"/>
          <w:kern w:val="0"/>
          <w:sz w:val="24"/>
        </w:rPr>
      </w:pPr>
      <w:r>
        <w:rPr>
          <w:rFonts w:ascii="Book Antiqua" w:hAnsi="Book Antiqua"/>
          <w:b/>
          <w:color w:val="000000"/>
          <w:kern w:val="0"/>
          <w:sz w:val="24"/>
        </w:rPr>
        <w:t>H</w:t>
      </w:r>
    </w:p>
    <w:p w:rsidR="00C87C35" w:rsidRPr="002B12EE" w:rsidRDefault="00CF42B2" w:rsidP="00851192">
      <w:pPr>
        <w:spacing w:line="360" w:lineRule="auto"/>
        <w:ind w:leftChars="-316" w:left="-664" w:firstLineChars="50" w:firstLine="120"/>
        <w:rPr>
          <w:rFonts w:ascii="Book Antiqua" w:hAnsi="Book Antiqua"/>
          <w:b/>
          <w:color w:val="000000"/>
          <w:kern w:val="0"/>
          <w:sz w:val="24"/>
        </w:rPr>
      </w:pPr>
      <w:r>
        <w:rPr>
          <w:rFonts w:ascii="Book Antiqua" w:hAnsi="Book Antiqua"/>
          <w:b/>
          <w:noProof/>
          <w:sz w:val="24"/>
        </w:rPr>
        <w:drawing>
          <wp:inline distT="0" distB="0" distL="0" distR="0">
            <wp:extent cx="5466080" cy="1228090"/>
            <wp:effectExtent l="0" t="0" r="127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6080" cy="1228090"/>
                    </a:xfrm>
                    <a:prstGeom prst="rect">
                      <a:avLst/>
                    </a:prstGeom>
                    <a:noFill/>
                    <a:ln>
                      <a:noFill/>
                    </a:ln>
                  </pic:spPr>
                </pic:pic>
              </a:graphicData>
            </a:graphic>
          </wp:inline>
        </w:drawing>
      </w:r>
    </w:p>
    <w:p w:rsidR="00C87C35" w:rsidRPr="002B12EE" w:rsidRDefault="00C87C35" w:rsidP="00851192">
      <w:pPr>
        <w:spacing w:line="360" w:lineRule="auto"/>
        <w:rPr>
          <w:rFonts w:ascii="Book Antiqua" w:hAnsi="Book Antiqua"/>
          <w:color w:val="000000"/>
          <w:kern w:val="0"/>
          <w:sz w:val="24"/>
        </w:rPr>
      </w:pPr>
      <w:r>
        <w:rPr>
          <w:rFonts w:ascii="Book Antiqua" w:hAnsi="Book Antiqua"/>
          <w:color w:val="000000"/>
          <w:kern w:val="0"/>
          <w:sz w:val="24"/>
        </w:rPr>
        <w:t>I</w:t>
      </w:r>
    </w:p>
    <w:p w:rsidR="00C87C35" w:rsidRPr="002B12EE" w:rsidRDefault="00CF42B2" w:rsidP="00851192">
      <w:pPr>
        <w:spacing w:line="360" w:lineRule="auto"/>
        <w:ind w:leftChars="-316" w:left="-664" w:firstLineChars="50" w:firstLine="120"/>
        <w:rPr>
          <w:rFonts w:ascii="Book Antiqua" w:hAnsi="Book Antiqua"/>
          <w:b/>
          <w:color w:val="000000"/>
          <w:kern w:val="0"/>
          <w:sz w:val="24"/>
        </w:rPr>
      </w:pPr>
      <w:r>
        <w:rPr>
          <w:rFonts w:ascii="Book Antiqua" w:hAnsi="Book Antiqua"/>
          <w:b/>
          <w:noProof/>
          <w:sz w:val="24"/>
        </w:rPr>
        <w:lastRenderedPageBreak/>
        <w:drawing>
          <wp:inline distT="0" distB="0" distL="0" distR="0">
            <wp:extent cx="5438775" cy="1249045"/>
            <wp:effectExtent l="0" t="0" r="9525" b="825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8775" cy="1249045"/>
                    </a:xfrm>
                    <a:prstGeom prst="rect">
                      <a:avLst/>
                    </a:prstGeom>
                    <a:noFill/>
                    <a:ln>
                      <a:noFill/>
                    </a:ln>
                  </pic:spPr>
                </pic:pic>
              </a:graphicData>
            </a:graphic>
          </wp:inline>
        </w:drawing>
      </w:r>
    </w:p>
    <w:p w:rsidR="00C87C35" w:rsidRDefault="00C87C35" w:rsidP="00851192">
      <w:pPr>
        <w:spacing w:line="360" w:lineRule="auto"/>
        <w:rPr>
          <w:rFonts w:ascii="Book Antiqua" w:hAnsi="Book Antiqua"/>
          <w:b/>
          <w:color w:val="000000"/>
          <w:kern w:val="0"/>
          <w:sz w:val="24"/>
        </w:rPr>
      </w:pPr>
      <w:r>
        <w:rPr>
          <w:rFonts w:ascii="Book Antiqua" w:hAnsi="Book Antiqua"/>
          <w:b/>
          <w:color w:val="000000"/>
          <w:kern w:val="0"/>
          <w:sz w:val="24"/>
        </w:rPr>
        <w:t>J</w:t>
      </w:r>
    </w:p>
    <w:p w:rsidR="00C87C35" w:rsidRPr="00792A47" w:rsidRDefault="00C87C35" w:rsidP="00851192">
      <w:pPr>
        <w:spacing w:line="360" w:lineRule="auto"/>
        <w:rPr>
          <w:rFonts w:ascii="Book Antiqua" w:hAnsi="Book Antiqua"/>
          <w:color w:val="000000"/>
          <w:kern w:val="0"/>
          <w:sz w:val="24"/>
        </w:rPr>
      </w:pPr>
      <w:r w:rsidRPr="002B12EE">
        <w:rPr>
          <w:rFonts w:ascii="Book Antiqua" w:hAnsi="Book Antiqua"/>
          <w:b/>
          <w:color w:val="000000"/>
          <w:kern w:val="0"/>
          <w:sz w:val="24"/>
        </w:rPr>
        <w:t>Figure 1</w:t>
      </w:r>
      <w:r>
        <w:rPr>
          <w:rFonts w:ascii="Book Antiqua" w:hAnsi="Book Antiqua"/>
          <w:b/>
          <w:color w:val="000000"/>
          <w:kern w:val="0"/>
          <w:sz w:val="24"/>
        </w:rPr>
        <w:t xml:space="preserve"> </w:t>
      </w:r>
      <w:r w:rsidRPr="00EE3793">
        <w:rPr>
          <w:rFonts w:ascii="Book Antiqua" w:eastAsia="Arial Unicode MS" w:hAnsi="Book Antiqua" w:cs="Arial Unicode MS"/>
          <w:b/>
          <w:sz w:val="24"/>
        </w:rPr>
        <w:t>Meta-analysis</w:t>
      </w:r>
      <w:r>
        <w:rPr>
          <w:rFonts w:ascii="Book Antiqua" w:eastAsia="Arial Unicode MS" w:hAnsi="Book Antiqua" w:cs="Arial Unicode MS"/>
          <w:b/>
          <w:sz w:val="24"/>
        </w:rPr>
        <w:t xml:space="preserve">. </w:t>
      </w:r>
      <w:r w:rsidRPr="00792A47">
        <w:rPr>
          <w:rFonts w:ascii="Book Antiqua" w:eastAsia="Arial Unicode MS" w:hAnsi="Book Antiqua" w:cs="Arial Unicode MS"/>
          <w:sz w:val="24"/>
        </w:rPr>
        <w:t xml:space="preserve">A: </w:t>
      </w:r>
      <w:r w:rsidRPr="00792A47">
        <w:rPr>
          <w:rFonts w:ascii="Book Antiqua" w:hAnsi="Book Antiqua"/>
          <w:color w:val="000000"/>
          <w:kern w:val="0"/>
          <w:sz w:val="24"/>
        </w:rPr>
        <w:t xml:space="preserve">Symptom response in </w:t>
      </w:r>
      <w:r w:rsidRPr="002B12EE">
        <w:rPr>
          <w:rFonts w:ascii="Book Antiqua" w:hAnsi="Book Antiqua"/>
          <w:kern w:val="3"/>
          <w:sz w:val="24"/>
        </w:rPr>
        <w:t>5-hydroxytryptamine (5-HT)</w:t>
      </w:r>
      <w:r w:rsidRPr="00792A47">
        <w:rPr>
          <w:rFonts w:ascii="Book Antiqua" w:hAnsi="Book Antiqua"/>
          <w:color w:val="000000"/>
          <w:kern w:val="0"/>
          <w:sz w:val="24"/>
        </w:rPr>
        <w:t xml:space="preserve"> and GABA-B receptor therapies; B: Symptom response in the 5-HT receptor agonist group; C: Symptom response in the GABA-B receptor agonist group; D: Symptom score change (FSSG) in the two therapies; E: Endoscopic response in 5-HT and GABA-B receptor therapies; F: Wave amplitude in 5-HT and GABA-B receptor therapies; G: Wave duration in 5-HT and GABA-B receptor therapies; H: Adverse events proportion in 5-HT and GABA-B therapies; I: Adverse events in 5-HT agonist group; J: Adverse events in GABA-B receptor agonist group.</w:t>
      </w:r>
    </w:p>
    <w:p w:rsidR="00C87C35" w:rsidRPr="002B12EE" w:rsidRDefault="00C87C35" w:rsidP="00851192">
      <w:pPr>
        <w:spacing w:line="360" w:lineRule="auto"/>
        <w:rPr>
          <w:rFonts w:ascii="Book Antiqua" w:hAnsi="Book Antiqua"/>
          <w:kern w:val="21"/>
          <w:sz w:val="24"/>
        </w:rPr>
      </w:pPr>
    </w:p>
    <w:p w:rsidR="00C87C35" w:rsidRPr="00804D35" w:rsidRDefault="00C87C35" w:rsidP="00851192">
      <w:pPr>
        <w:spacing w:line="360" w:lineRule="auto"/>
        <w:rPr>
          <w:rFonts w:ascii="Book Antiqua" w:hAnsi="Book Antiqua"/>
          <w:b/>
          <w:color w:val="000000"/>
          <w:kern w:val="0"/>
          <w:sz w:val="24"/>
        </w:rPr>
      </w:pPr>
    </w:p>
    <w:p w:rsidR="00C87C35" w:rsidRDefault="00C87C35" w:rsidP="00851192">
      <w:pPr>
        <w:spacing w:line="360" w:lineRule="auto"/>
        <w:rPr>
          <w:rFonts w:ascii="Book Antiqua" w:hAnsi="Book Antiqua"/>
          <w:b/>
          <w:color w:val="000000"/>
          <w:kern w:val="0"/>
          <w:sz w:val="24"/>
        </w:rPr>
      </w:pPr>
      <w:r>
        <w:rPr>
          <w:rFonts w:ascii="Book Antiqua" w:hAnsi="Book Antiqua"/>
          <w:b/>
          <w:color w:val="000000"/>
          <w:kern w:val="0"/>
          <w:sz w:val="24"/>
        </w:rPr>
        <w:br w:type="page"/>
      </w:r>
    </w:p>
    <w:p w:rsidR="00C87C35" w:rsidRPr="002B12EE" w:rsidRDefault="00C87C35" w:rsidP="00851192">
      <w:pPr>
        <w:spacing w:line="360" w:lineRule="auto"/>
        <w:rPr>
          <w:rFonts w:ascii="Book Antiqua" w:hAnsi="Book Antiqua"/>
          <w:color w:val="000000"/>
          <w:kern w:val="0"/>
          <w:sz w:val="24"/>
        </w:rPr>
      </w:pPr>
      <w:r w:rsidRPr="002B12EE">
        <w:rPr>
          <w:rFonts w:ascii="Book Antiqua" w:hAnsi="Book Antiqua"/>
          <w:color w:val="000000"/>
          <w:kern w:val="0"/>
          <w:sz w:val="24"/>
        </w:rPr>
        <w:t>A                        B</w:t>
      </w:r>
    </w:p>
    <w:p w:rsidR="00C87C35" w:rsidRPr="002B12EE" w:rsidRDefault="00CF42B2" w:rsidP="00851192">
      <w:pPr>
        <w:spacing w:line="360" w:lineRule="auto"/>
        <w:ind w:leftChars="-316" w:left="-664" w:firstLineChars="50" w:firstLine="120"/>
        <w:rPr>
          <w:rFonts w:ascii="Book Antiqua" w:hAnsi="Book Antiqua"/>
          <w:color w:val="000000"/>
          <w:kern w:val="0"/>
          <w:sz w:val="24"/>
        </w:rPr>
      </w:pPr>
      <w:r>
        <w:rPr>
          <w:rFonts w:ascii="Book Antiqua" w:hAnsi="Book Antiqua"/>
          <w:noProof/>
          <w:color w:val="000000"/>
          <w:kern w:val="0"/>
          <w:sz w:val="24"/>
        </w:rPr>
        <w:drawing>
          <wp:inline distT="0" distB="0" distL="0" distR="0">
            <wp:extent cx="2306320" cy="1644650"/>
            <wp:effectExtent l="0" t="0" r="0" b="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6320" cy="1644650"/>
                    </a:xfrm>
                    <a:prstGeom prst="rect">
                      <a:avLst/>
                    </a:prstGeom>
                    <a:noFill/>
                    <a:ln>
                      <a:noFill/>
                    </a:ln>
                  </pic:spPr>
                </pic:pic>
              </a:graphicData>
            </a:graphic>
          </wp:inline>
        </w:drawing>
      </w:r>
      <w:r>
        <w:rPr>
          <w:rFonts w:ascii="Book Antiqua" w:hAnsi="Book Antiqua"/>
          <w:noProof/>
          <w:color w:val="000000"/>
          <w:kern w:val="0"/>
          <w:sz w:val="24"/>
        </w:rPr>
        <w:drawing>
          <wp:inline distT="0" distB="0" distL="0" distR="0">
            <wp:extent cx="2306320" cy="1644650"/>
            <wp:effectExtent l="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6320" cy="1644650"/>
                    </a:xfrm>
                    <a:prstGeom prst="rect">
                      <a:avLst/>
                    </a:prstGeom>
                    <a:noFill/>
                    <a:ln>
                      <a:noFill/>
                    </a:ln>
                  </pic:spPr>
                </pic:pic>
              </a:graphicData>
            </a:graphic>
          </wp:inline>
        </w:drawing>
      </w:r>
    </w:p>
    <w:p w:rsidR="00C87C35" w:rsidRPr="002B12EE" w:rsidRDefault="00C87C35" w:rsidP="00851192">
      <w:pPr>
        <w:spacing w:line="360" w:lineRule="auto"/>
        <w:ind w:leftChars="-316" w:left="-664" w:firstLineChars="50" w:firstLine="120"/>
        <w:rPr>
          <w:rFonts w:ascii="Book Antiqua" w:hAnsi="Book Antiqua"/>
          <w:color w:val="000000"/>
          <w:kern w:val="0"/>
          <w:sz w:val="24"/>
        </w:rPr>
      </w:pPr>
    </w:p>
    <w:p w:rsidR="00C87C35" w:rsidRPr="002B12EE" w:rsidRDefault="00C87C35" w:rsidP="00851192">
      <w:pPr>
        <w:spacing w:line="360" w:lineRule="auto"/>
        <w:rPr>
          <w:rFonts w:ascii="Book Antiqua" w:hAnsi="Book Antiqua"/>
          <w:color w:val="000000"/>
          <w:kern w:val="0"/>
          <w:sz w:val="24"/>
        </w:rPr>
      </w:pPr>
      <w:r w:rsidRPr="002B12EE">
        <w:rPr>
          <w:rFonts w:ascii="Book Antiqua" w:hAnsi="Book Antiqua"/>
          <w:b/>
          <w:color w:val="000000"/>
          <w:kern w:val="0"/>
          <w:sz w:val="24"/>
        </w:rPr>
        <w:t xml:space="preserve">Figure </w:t>
      </w:r>
      <w:r>
        <w:rPr>
          <w:rFonts w:ascii="Book Antiqua" w:hAnsi="Book Antiqua"/>
          <w:b/>
          <w:color w:val="000000"/>
          <w:kern w:val="0"/>
          <w:sz w:val="24"/>
        </w:rPr>
        <w:t>2</w:t>
      </w:r>
      <w:r w:rsidRPr="002B12EE">
        <w:rPr>
          <w:rFonts w:ascii="Book Antiqua" w:hAnsi="Book Antiqua"/>
          <w:b/>
          <w:color w:val="000000"/>
          <w:kern w:val="0"/>
          <w:sz w:val="24"/>
        </w:rPr>
        <w:t xml:space="preserve"> Funnel plots for publication bias in meta-analysis</w:t>
      </w:r>
      <w:r>
        <w:rPr>
          <w:rFonts w:ascii="Book Antiqua" w:hAnsi="Book Antiqua"/>
          <w:b/>
          <w:color w:val="000000"/>
          <w:kern w:val="0"/>
          <w:sz w:val="24"/>
        </w:rPr>
        <w:t>.</w:t>
      </w:r>
      <w:r w:rsidRPr="002B12EE">
        <w:rPr>
          <w:rFonts w:ascii="Book Antiqua" w:hAnsi="Book Antiqua"/>
          <w:color w:val="000000"/>
          <w:kern w:val="0"/>
          <w:sz w:val="24"/>
        </w:rPr>
        <w:t xml:space="preserve"> </w:t>
      </w:r>
    </w:p>
    <w:p w:rsidR="00C87C35" w:rsidRPr="002B12EE" w:rsidRDefault="00C87C35" w:rsidP="00851192">
      <w:pPr>
        <w:spacing w:line="360" w:lineRule="auto"/>
        <w:rPr>
          <w:rFonts w:ascii="Book Antiqua" w:hAnsi="Book Antiqua"/>
          <w:color w:val="000000"/>
          <w:kern w:val="0"/>
          <w:sz w:val="24"/>
        </w:rPr>
      </w:pPr>
      <w:r w:rsidRPr="002B12EE">
        <w:rPr>
          <w:rFonts w:ascii="Book Antiqua" w:hAnsi="Book Antiqua"/>
          <w:color w:val="000000"/>
          <w:kern w:val="0"/>
          <w:sz w:val="24"/>
        </w:rPr>
        <w:fldChar w:fldCharType="begin"/>
      </w:r>
      <w:r w:rsidRPr="002B12EE">
        <w:rPr>
          <w:rFonts w:ascii="Book Antiqua" w:hAnsi="Book Antiqua"/>
          <w:color w:val="000000"/>
          <w:kern w:val="0"/>
          <w:sz w:val="24"/>
        </w:rPr>
        <w:instrText xml:space="preserve"> ADDIN EN.REFLIST </w:instrText>
      </w:r>
      <w:r w:rsidRPr="002B12EE">
        <w:rPr>
          <w:rFonts w:ascii="Book Antiqua" w:hAnsi="Book Antiqua"/>
          <w:color w:val="000000"/>
          <w:kern w:val="0"/>
          <w:sz w:val="24"/>
        </w:rPr>
        <w:fldChar w:fldCharType="end"/>
      </w:r>
    </w:p>
    <w:p w:rsidR="00C87C35" w:rsidRDefault="00C87C35" w:rsidP="00851192">
      <w:pPr>
        <w:spacing w:line="360" w:lineRule="auto"/>
        <w:rPr>
          <w:rFonts w:ascii="Book Antiqua" w:hAnsi="Book Antiqua"/>
          <w:sz w:val="24"/>
        </w:rPr>
      </w:pPr>
      <w:r>
        <w:rPr>
          <w:rFonts w:ascii="Book Antiqua" w:hAnsi="Book Antiqua"/>
          <w:sz w:val="24"/>
        </w:rPr>
        <w:br w:type="page"/>
      </w:r>
    </w:p>
    <w:p w:rsidR="00C87C35" w:rsidRPr="002B12EE" w:rsidRDefault="00C87C35" w:rsidP="002B12EE">
      <w:pPr>
        <w:spacing w:line="360" w:lineRule="auto"/>
        <w:rPr>
          <w:rFonts w:ascii="Book Antiqua" w:hAnsi="Book Antiqua"/>
          <w:b/>
          <w:kern w:val="21"/>
          <w:sz w:val="24"/>
        </w:rPr>
      </w:pPr>
      <w:r w:rsidRPr="002B12EE">
        <w:rPr>
          <w:rFonts w:ascii="Book Antiqua" w:hAnsi="Book Antiqua"/>
          <w:b/>
          <w:kern w:val="21"/>
          <w:sz w:val="24"/>
        </w:rPr>
        <w:t xml:space="preserve">Table 1 Characteristics of the 12 </w:t>
      </w:r>
      <w:r w:rsidRPr="008D27A1">
        <w:rPr>
          <w:rFonts w:ascii="Book Antiqua" w:hAnsi="Book Antiqua"/>
          <w:b/>
          <w:kern w:val="21"/>
          <w:sz w:val="24"/>
        </w:rPr>
        <w:t>randomized controlled trials</w:t>
      </w:r>
      <w:r w:rsidRPr="002B12EE">
        <w:rPr>
          <w:rFonts w:ascii="Book Antiqua" w:hAnsi="Book Antiqua"/>
          <w:b/>
          <w:kern w:val="21"/>
          <w:sz w:val="24"/>
        </w:rPr>
        <w:t xml:space="preserve"> included in this meta-analysis of the effects of combined prokinetic and </w:t>
      </w:r>
      <w:r w:rsidRPr="008D27A1">
        <w:rPr>
          <w:rFonts w:ascii="Book Antiqua" w:hAnsi="Book Antiqua"/>
          <w:b/>
          <w:kern w:val="21"/>
          <w:sz w:val="24"/>
        </w:rPr>
        <w:t>proton pump inhibitor</w:t>
      </w:r>
      <w:r>
        <w:rPr>
          <w:rFonts w:ascii="Book Antiqua" w:hAnsi="Book Antiqua"/>
          <w:b/>
          <w:kern w:val="21"/>
          <w:sz w:val="24"/>
        </w:rPr>
        <w:t xml:space="preserve"> </w:t>
      </w:r>
      <w:r w:rsidRPr="002B12EE">
        <w:rPr>
          <w:rFonts w:ascii="Book Antiqua" w:hAnsi="Book Antiqua"/>
          <w:b/>
          <w:kern w:val="21"/>
          <w:sz w:val="24"/>
        </w:rPr>
        <w:t xml:space="preserve">therapy in </w:t>
      </w:r>
      <w:r w:rsidRPr="008D27A1">
        <w:rPr>
          <w:rFonts w:ascii="Book Antiqua" w:hAnsi="Book Antiqua"/>
          <w:b/>
          <w:kern w:val="21"/>
          <w:sz w:val="24"/>
        </w:rPr>
        <w:t>gastroesophageal reflux diseases</w:t>
      </w:r>
    </w:p>
    <w:p w:rsidR="00C87C35" w:rsidRPr="002B12EE" w:rsidRDefault="00C87C35" w:rsidP="002B12EE">
      <w:pPr>
        <w:spacing w:line="360" w:lineRule="auto"/>
        <w:rPr>
          <w:rFonts w:ascii="Book Antiqua" w:hAnsi="Book Antiqua"/>
          <w:kern w:val="21"/>
          <w:sz w:val="24"/>
        </w:rPr>
      </w:pPr>
    </w:p>
    <w:tbl>
      <w:tblPr>
        <w:tblW w:w="0" w:type="auto"/>
        <w:tblBorders>
          <w:top w:val="single" w:sz="8" w:space="0" w:color="000000"/>
          <w:bottom w:val="single" w:sz="8" w:space="0" w:color="000000"/>
        </w:tblBorders>
        <w:tblLook w:val="00A0" w:firstRow="1" w:lastRow="0" w:firstColumn="1" w:lastColumn="0" w:noHBand="0" w:noVBand="0"/>
      </w:tblPr>
      <w:tblGrid>
        <w:gridCol w:w="1659"/>
        <w:gridCol w:w="1251"/>
        <w:gridCol w:w="1510"/>
        <w:gridCol w:w="1207"/>
        <w:gridCol w:w="1055"/>
        <w:gridCol w:w="712"/>
        <w:gridCol w:w="1128"/>
      </w:tblGrid>
      <w:tr w:rsidR="00C87C35" w:rsidRPr="002B12EE" w:rsidTr="00632B55">
        <w:tc>
          <w:tcPr>
            <w:tcW w:w="1638" w:type="dxa"/>
            <w:tcBorders>
              <w:top w:val="single" w:sz="8" w:space="0" w:color="000000"/>
              <w:bottom w:val="single" w:sz="8" w:space="0" w:color="000000"/>
            </w:tcBorders>
          </w:tcPr>
          <w:p w:rsidR="00C87C35" w:rsidRPr="002B12EE" w:rsidRDefault="00C87C35" w:rsidP="002B12EE">
            <w:pPr>
              <w:spacing w:line="360" w:lineRule="auto"/>
              <w:rPr>
                <w:rFonts w:ascii="Book Antiqua" w:hAnsi="Book Antiqua"/>
                <w:b/>
                <w:bCs/>
                <w:color w:val="000000"/>
                <w:kern w:val="0"/>
                <w:sz w:val="24"/>
              </w:rPr>
            </w:pPr>
            <w:r w:rsidRPr="002B12EE">
              <w:rPr>
                <w:rFonts w:ascii="Book Antiqua" w:hAnsi="Book Antiqua"/>
                <w:b/>
                <w:bCs/>
                <w:color w:val="000000"/>
                <w:kern w:val="0"/>
                <w:sz w:val="24"/>
              </w:rPr>
              <w:t>Reference</w:t>
            </w:r>
          </w:p>
        </w:tc>
        <w:tc>
          <w:tcPr>
            <w:tcW w:w="932" w:type="dxa"/>
            <w:tcBorders>
              <w:top w:val="single" w:sz="8" w:space="0" w:color="000000"/>
              <w:bottom w:val="single" w:sz="8" w:space="0" w:color="000000"/>
            </w:tcBorders>
          </w:tcPr>
          <w:p w:rsidR="00C87C35" w:rsidRPr="002B12EE" w:rsidRDefault="00C87C35" w:rsidP="002B12EE">
            <w:pPr>
              <w:spacing w:line="360" w:lineRule="auto"/>
              <w:rPr>
                <w:rFonts w:ascii="Book Antiqua" w:hAnsi="Book Antiqua"/>
                <w:b/>
                <w:bCs/>
                <w:color w:val="000000"/>
                <w:kern w:val="0"/>
                <w:sz w:val="24"/>
              </w:rPr>
            </w:pPr>
            <w:r w:rsidRPr="002B12EE">
              <w:rPr>
                <w:rFonts w:ascii="Book Antiqua" w:hAnsi="Book Antiqua"/>
                <w:b/>
                <w:bCs/>
                <w:color w:val="000000"/>
                <w:kern w:val="0"/>
                <w:sz w:val="24"/>
              </w:rPr>
              <w:t>Country</w:t>
            </w:r>
          </w:p>
        </w:tc>
        <w:tc>
          <w:tcPr>
            <w:tcW w:w="1318" w:type="dxa"/>
            <w:tcBorders>
              <w:top w:val="single" w:sz="8" w:space="0" w:color="000000"/>
              <w:bottom w:val="single" w:sz="8" w:space="0" w:color="000000"/>
            </w:tcBorders>
          </w:tcPr>
          <w:p w:rsidR="00C87C35" w:rsidRPr="002B12EE" w:rsidRDefault="00C87C35" w:rsidP="002B12EE">
            <w:pPr>
              <w:spacing w:line="360" w:lineRule="auto"/>
              <w:rPr>
                <w:rFonts w:ascii="Book Antiqua" w:hAnsi="Book Antiqua"/>
                <w:b/>
                <w:bCs/>
                <w:color w:val="000000"/>
                <w:kern w:val="0"/>
                <w:sz w:val="24"/>
              </w:rPr>
            </w:pPr>
            <w:r w:rsidRPr="002B12EE">
              <w:rPr>
                <w:rFonts w:ascii="Book Antiqua" w:hAnsi="Book Antiqua"/>
                <w:b/>
                <w:bCs/>
                <w:color w:val="000000"/>
                <w:kern w:val="0"/>
                <w:sz w:val="24"/>
              </w:rPr>
              <w:t>Participants</w:t>
            </w:r>
          </w:p>
        </w:tc>
        <w:tc>
          <w:tcPr>
            <w:tcW w:w="1077" w:type="dxa"/>
            <w:tcBorders>
              <w:top w:val="single" w:sz="8" w:space="0" w:color="000000"/>
              <w:bottom w:val="single" w:sz="8" w:space="0" w:color="000000"/>
            </w:tcBorders>
          </w:tcPr>
          <w:p w:rsidR="00C87C35" w:rsidRPr="002B12EE" w:rsidRDefault="00C87C35" w:rsidP="002B12EE">
            <w:pPr>
              <w:spacing w:line="360" w:lineRule="auto"/>
              <w:rPr>
                <w:rFonts w:ascii="Book Antiqua" w:hAnsi="Book Antiqua"/>
                <w:b/>
                <w:bCs/>
                <w:color w:val="000000"/>
                <w:kern w:val="0"/>
                <w:sz w:val="24"/>
              </w:rPr>
            </w:pPr>
            <w:r w:rsidRPr="002B12EE">
              <w:rPr>
                <w:rFonts w:ascii="Book Antiqua" w:hAnsi="Book Antiqua"/>
                <w:b/>
                <w:bCs/>
                <w:color w:val="000000"/>
                <w:kern w:val="0"/>
                <w:sz w:val="24"/>
              </w:rPr>
              <w:t>Duration of study</w:t>
            </w:r>
          </w:p>
        </w:tc>
        <w:tc>
          <w:tcPr>
            <w:tcW w:w="1201" w:type="dxa"/>
            <w:tcBorders>
              <w:top w:val="single" w:sz="8" w:space="0" w:color="000000"/>
              <w:bottom w:val="single" w:sz="8" w:space="0" w:color="000000"/>
            </w:tcBorders>
          </w:tcPr>
          <w:p w:rsidR="00C87C35" w:rsidRPr="002B12EE" w:rsidRDefault="00C87C35" w:rsidP="002B12EE">
            <w:pPr>
              <w:spacing w:line="360" w:lineRule="auto"/>
              <w:rPr>
                <w:rFonts w:ascii="Book Antiqua" w:hAnsi="Book Antiqua"/>
                <w:b/>
                <w:bCs/>
                <w:color w:val="000000"/>
                <w:kern w:val="0"/>
                <w:sz w:val="24"/>
              </w:rPr>
            </w:pPr>
            <w:r w:rsidRPr="002B12EE">
              <w:rPr>
                <w:rFonts w:ascii="Book Antiqua" w:hAnsi="Book Antiqua"/>
                <w:b/>
                <w:bCs/>
                <w:color w:val="000000"/>
                <w:kern w:val="0"/>
                <w:sz w:val="24"/>
              </w:rPr>
              <w:t xml:space="preserve">Female, </w:t>
            </w:r>
            <w:r w:rsidRPr="002B12EE">
              <w:rPr>
                <w:rFonts w:ascii="Book Antiqua" w:hAnsi="Book Antiqua"/>
                <w:b/>
                <w:bCs/>
                <w:i/>
                <w:color w:val="000000"/>
                <w:kern w:val="0"/>
                <w:sz w:val="24"/>
              </w:rPr>
              <w:t xml:space="preserve">n </w:t>
            </w:r>
            <w:r w:rsidRPr="002B12EE">
              <w:rPr>
                <w:rFonts w:ascii="Book Antiqua" w:hAnsi="Book Antiqua"/>
                <w:b/>
                <w:bCs/>
                <w:color w:val="000000"/>
                <w:kern w:val="0"/>
                <w:sz w:val="24"/>
              </w:rPr>
              <w:t>(%)</w:t>
            </w:r>
          </w:p>
        </w:tc>
        <w:tc>
          <w:tcPr>
            <w:tcW w:w="1171" w:type="dxa"/>
            <w:tcBorders>
              <w:top w:val="single" w:sz="8" w:space="0" w:color="000000"/>
              <w:bottom w:val="single" w:sz="8" w:space="0" w:color="000000"/>
            </w:tcBorders>
          </w:tcPr>
          <w:p w:rsidR="00C87C35" w:rsidRPr="002B12EE" w:rsidRDefault="00C87C35" w:rsidP="00246359">
            <w:pPr>
              <w:spacing w:line="360" w:lineRule="auto"/>
              <w:rPr>
                <w:rFonts w:ascii="Book Antiqua" w:hAnsi="Book Antiqua"/>
                <w:b/>
                <w:bCs/>
                <w:color w:val="000000"/>
                <w:kern w:val="0"/>
                <w:sz w:val="24"/>
              </w:rPr>
            </w:pPr>
            <w:r w:rsidRPr="002B12EE">
              <w:rPr>
                <w:rFonts w:ascii="Book Antiqua" w:hAnsi="Book Antiqua"/>
                <w:b/>
                <w:bCs/>
                <w:color w:val="000000"/>
                <w:kern w:val="0"/>
                <w:sz w:val="24"/>
              </w:rPr>
              <w:t>Age</w:t>
            </w:r>
            <w:r>
              <w:rPr>
                <w:rFonts w:ascii="Book Antiqua" w:hAnsi="Book Antiqua"/>
                <w:b/>
                <w:bCs/>
                <w:color w:val="000000"/>
                <w:kern w:val="0"/>
                <w:sz w:val="24"/>
              </w:rPr>
              <w:t>, yr</w:t>
            </w:r>
          </w:p>
        </w:tc>
        <w:tc>
          <w:tcPr>
            <w:tcW w:w="1185" w:type="dxa"/>
            <w:tcBorders>
              <w:top w:val="single" w:sz="8" w:space="0" w:color="000000"/>
              <w:bottom w:val="single" w:sz="8" w:space="0" w:color="000000"/>
            </w:tcBorders>
          </w:tcPr>
          <w:p w:rsidR="00C87C35" w:rsidRPr="002B12EE" w:rsidRDefault="00C87C35" w:rsidP="002B12EE">
            <w:pPr>
              <w:spacing w:line="360" w:lineRule="auto"/>
              <w:rPr>
                <w:rFonts w:ascii="Book Antiqua" w:hAnsi="Book Antiqua"/>
                <w:b/>
                <w:bCs/>
                <w:color w:val="000000"/>
                <w:kern w:val="0"/>
                <w:sz w:val="24"/>
              </w:rPr>
            </w:pPr>
            <w:r w:rsidRPr="002B12EE">
              <w:rPr>
                <w:rFonts w:ascii="Book Antiqua" w:hAnsi="Book Antiqua"/>
                <w:b/>
                <w:bCs/>
                <w:color w:val="000000"/>
                <w:kern w:val="0"/>
                <w:sz w:val="24"/>
              </w:rPr>
              <w:t>BMI</w:t>
            </w:r>
          </w:p>
        </w:tc>
      </w:tr>
      <w:tr w:rsidR="00C87C35" w:rsidRPr="002B12EE" w:rsidTr="00632B55">
        <w:tc>
          <w:tcPr>
            <w:tcW w:w="1638" w:type="dxa"/>
            <w:tcBorders>
              <w:top w:val="single" w:sz="8" w:space="0" w:color="000000"/>
              <w:bottom w:val="nil"/>
            </w:tcBorders>
          </w:tcPr>
          <w:p w:rsidR="00C87C35" w:rsidRPr="002B12EE" w:rsidRDefault="00C87C35" w:rsidP="005E38D3">
            <w:pPr>
              <w:spacing w:line="360" w:lineRule="auto"/>
              <w:rPr>
                <w:rFonts w:ascii="Book Antiqua" w:hAnsi="Book Antiqua"/>
                <w:bCs/>
                <w:color w:val="000000"/>
                <w:kern w:val="0"/>
                <w:sz w:val="24"/>
              </w:rPr>
            </w:pPr>
            <w:r w:rsidRPr="002B12EE">
              <w:rPr>
                <w:rFonts w:ascii="Book Antiqua" w:hAnsi="Book Antiqua"/>
                <w:bCs/>
                <w:color w:val="000000"/>
                <w:kern w:val="0"/>
                <w:sz w:val="24"/>
              </w:rPr>
              <w:t xml:space="preserve">Vakil </w:t>
            </w:r>
            <w:r w:rsidRPr="004B095D">
              <w:rPr>
                <w:rFonts w:ascii="Book Antiqua" w:hAnsi="Book Antiqua"/>
                <w:bCs/>
                <w:i/>
                <w:color w:val="000000"/>
                <w:kern w:val="0"/>
                <w:sz w:val="24"/>
              </w:rPr>
              <w:t>et al</w:t>
            </w:r>
            <w:r w:rsidRPr="002B12EE">
              <w:rPr>
                <w:rFonts w:ascii="Book Antiqua" w:hAnsi="Book Antiqua"/>
                <w:bCs/>
                <w:color w:val="000000"/>
                <w:kern w:val="0"/>
                <w:sz w:val="24"/>
                <w:vertAlign w:val="superscript"/>
              </w:rPr>
              <w:t>[23]</w:t>
            </w:r>
            <w:r w:rsidRPr="002B12EE">
              <w:rPr>
                <w:rFonts w:ascii="Book Antiqua" w:hAnsi="Book Antiqua"/>
                <w:bCs/>
                <w:color w:val="000000"/>
                <w:kern w:val="0"/>
                <w:sz w:val="24"/>
              </w:rPr>
              <w:t>, 2013</w:t>
            </w:r>
          </w:p>
        </w:tc>
        <w:tc>
          <w:tcPr>
            <w:tcW w:w="932" w:type="dxa"/>
            <w:tcBorders>
              <w:top w:val="single" w:sz="8" w:space="0" w:color="000000"/>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506C76">
              <w:rPr>
                <w:rFonts w:ascii="Book Antiqua" w:hAnsi="Book Antiqua" w:cs="Garamond"/>
                <w:kern w:val="0"/>
                <w:sz w:val="24"/>
              </w:rPr>
              <w:t>United States</w:t>
            </w:r>
          </w:p>
        </w:tc>
        <w:tc>
          <w:tcPr>
            <w:tcW w:w="1318" w:type="dxa"/>
            <w:tcBorders>
              <w:top w:val="single" w:sz="8" w:space="0" w:color="000000"/>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460</w:t>
            </w:r>
          </w:p>
        </w:tc>
        <w:tc>
          <w:tcPr>
            <w:tcW w:w="1077" w:type="dxa"/>
            <w:tcBorders>
              <w:top w:val="single" w:sz="8" w:space="0" w:color="000000"/>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6 </w:t>
            </w:r>
            <w:r>
              <w:rPr>
                <w:rFonts w:ascii="Book Antiqua" w:hAnsi="Book Antiqua"/>
                <w:color w:val="000000"/>
                <w:kern w:val="0"/>
                <w:sz w:val="24"/>
              </w:rPr>
              <w:t>wk</w:t>
            </w:r>
          </w:p>
        </w:tc>
        <w:tc>
          <w:tcPr>
            <w:tcW w:w="1201" w:type="dxa"/>
            <w:tcBorders>
              <w:top w:val="single" w:sz="8" w:space="0" w:color="000000"/>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254 (55.2)</w:t>
            </w:r>
          </w:p>
        </w:tc>
        <w:tc>
          <w:tcPr>
            <w:tcW w:w="1171" w:type="dxa"/>
            <w:tcBorders>
              <w:top w:val="single" w:sz="8" w:space="0" w:color="000000"/>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44</w:t>
            </w:r>
          </w:p>
        </w:tc>
        <w:tc>
          <w:tcPr>
            <w:tcW w:w="1185" w:type="dxa"/>
            <w:tcBorders>
              <w:top w:val="single" w:sz="8" w:space="0" w:color="000000"/>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28</w:t>
            </w:r>
          </w:p>
        </w:tc>
      </w:tr>
      <w:tr w:rsidR="00C87C35" w:rsidRPr="002B12EE" w:rsidTr="00632B55">
        <w:tc>
          <w:tcPr>
            <w:tcW w:w="1638" w:type="dxa"/>
            <w:tcBorders>
              <w:top w:val="nil"/>
              <w:bottom w:val="nil"/>
            </w:tcBorders>
          </w:tcPr>
          <w:p w:rsidR="00C87C35" w:rsidRPr="002B12EE" w:rsidRDefault="00C87C35" w:rsidP="005E38D3">
            <w:pPr>
              <w:spacing w:line="360" w:lineRule="auto"/>
              <w:rPr>
                <w:rFonts w:ascii="Book Antiqua" w:hAnsi="Book Antiqua"/>
                <w:bCs/>
                <w:color w:val="000000"/>
                <w:kern w:val="0"/>
                <w:sz w:val="24"/>
              </w:rPr>
            </w:pPr>
            <w:r w:rsidRPr="002B12EE">
              <w:rPr>
                <w:rFonts w:ascii="Book Antiqua" w:hAnsi="Book Antiqua"/>
                <w:bCs/>
                <w:color w:val="000000"/>
                <w:kern w:val="0"/>
                <w:sz w:val="24"/>
              </w:rPr>
              <w:t xml:space="preserve">Cho </w:t>
            </w:r>
            <w:r w:rsidRPr="004B095D">
              <w:rPr>
                <w:rFonts w:ascii="Book Antiqua" w:hAnsi="Book Antiqua"/>
                <w:bCs/>
                <w:i/>
                <w:color w:val="000000"/>
                <w:kern w:val="0"/>
                <w:sz w:val="24"/>
              </w:rPr>
              <w:t>et al</w:t>
            </w:r>
            <w:r w:rsidRPr="002B12EE">
              <w:rPr>
                <w:rFonts w:ascii="Book Antiqua" w:hAnsi="Book Antiqua"/>
                <w:bCs/>
                <w:color w:val="000000"/>
                <w:kern w:val="0"/>
                <w:sz w:val="24"/>
                <w:vertAlign w:val="superscript"/>
              </w:rPr>
              <w:t>[24]</w:t>
            </w:r>
            <w:r w:rsidRPr="002B12EE">
              <w:rPr>
                <w:rFonts w:ascii="Book Antiqua" w:hAnsi="Book Antiqua"/>
                <w:bCs/>
                <w:color w:val="000000"/>
                <w:kern w:val="0"/>
                <w:sz w:val="24"/>
              </w:rPr>
              <w:t>, 2013</w:t>
            </w:r>
          </w:p>
        </w:tc>
        <w:tc>
          <w:tcPr>
            <w:tcW w:w="932"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Korea</w:t>
            </w:r>
          </w:p>
        </w:tc>
        <w:tc>
          <w:tcPr>
            <w:tcW w:w="1318"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50</w:t>
            </w:r>
          </w:p>
        </w:tc>
        <w:tc>
          <w:tcPr>
            <w:tcW w:w="1077"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4 </w:t>
            </w:r>
            <w:r>
              <w:rPr>
                <w:rFonts w:ascii="Book Antiqua" w:hAnsi="Book Antiqua"/>
                <w:color w:val="000000"/>
                <w:kern w:val="0"/>
                <w:sz w:val="24"/>
              </w:rPr>
              <w:t>wk</w:t>
            </w:r>
          </w:p>
        </w:tc>
        <w:tc>
          <w:tcPr>
            <w:tcW w:w="1201"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26 (52.0)</w:t>
            </w:r>
          </w:p>
        </w:tc>
        <w:tc>
          <w:tcPr>
            <w:tcW w:w="1171"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46</w:t>
            </w:r>
          </w:p>
        </w:tc>
        <w:tc>
          <w:tcPr>
            <w:tcW w:w="1185"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21</w:t>
            </w:r>
          </w:p>
        </w:tc>
      </w:tr>
      <w:tr w:rsidR="00C87C35" w:rsidRPr="002B12EE" w:rsidTr="00632B55">
        <w:tc>
          <w:tcPr>
            <w:tcW w:w="1638" w:type="dxa"/>
            <w:tcBorders>
              <w:top w:val="nil"/>
              <w:bottom w:val="nil"/>
            </w:tcBorders>
          </w:tcPr>
          <w:p w:rsidR="00C87C35" w:rsidRPr="002B12EE" w:rsidRDefault="00C87C35" w:rsidP="005E38D3">
            <w:pPr>
              <w:spacing w:line="360" w:lineRule="auto"/>
              <w:rPr>
                <w:rFonts w:ascii="Book Antiqua" w:hAnsi="Book Antiqua"/>
                <w:bCs/>
                <w:color w:val="000000"/>
                <w:kern w:val="0"/>
                <w:sz w:val="24"/>
              </w:rPr>
            </w:pPr>
            <w:r w:rsidRPr="002B12EE">
              <w:rPr>
                <w:rFonts w:ascii="Book Antiqua" w:hAnsi="Book Antiqua"/>
                <w:bCs/>
                <w:color w:val="000000"/>
                <w:kern w:val="0"/>
                <w:sz w:val="24"/>
              </w:rPr>
              <w:t xml:space="preserve">Shaheen </w:t>
            </w:r>
            <w:r w:rsidRPr="004B095D">
              <w:rPr>
                <w:rFonts w:ascii="Book Antiqua" w:hAnsi="Book Antiqua"/>
                <w:bCs/>
                <w:i/>
                <w:color w:val="000000"/>
                <w:kern w:val="0"/>
                <w:sz w:val="24"/>
              </w:rPr>
              <w:t>et al</w:t>
            </w:r>
            <w:r w:rsidRPr="002B12EE">
              <w:rPr>
                <w:rFonts w:ascii="Book Antiqua" w:hAnsi="Book Antiqua"/>
                <w:bCs/>
                <w:color w:val="000000"/>
                <w:kern w:val="0"/>
                <w:sz w:val="24"/>
                <w:vertAlign w:val="superscript"/>
              </w:rPr>
              <w:t>[28]</w:t>
            </w:r>
            <w:r w:rsidRPr="002B12EE">
              <w:rPr>
                <w:rFonts w:ascii="Book Antiqua" w:hAnsi="Book Antiqua"/>
                <w:bCs/>
                <w:color w:val="000000"/>
                <w:kern w:val="0"/>
                <w:sz w:val="24"/>
              </w:rPr>
              <w:t>, 2013</w:t>
            </w:r>
          </w:p>
        </w:tc>
        <w:tc>
          <w:tcPr>
            <w:tcW w:w="932" w:type="dxa"/>
            <w:tcBorders>
              <w:top w:val="nil"/>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506C76">
              <w:rPr>
                <w:rFonts w:ascii="Book Antiqua" w:hAnsi="Book Antiqua" w:cs="Garamond"/>
                <w:kern w:val="0"/>
                <w:sz w:val="24"/>
              </w:rPr>
              <w:t>United States</w:t>
            </w:r>
          </w:p>
        </w:tc>
        <w:tc>
          <w:tcPr>
            <w:tcW w:w="1318"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661</w:t>
            </w:r>
          </w:p>
        </w:tc>
        <w:tc>
          <w:tcPr>
            <w:tcW w:w="1077" w:type="dxa"/>
            <w:tcBorders>
              <w:top w:val="nil"/>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4 </w:t>
            </w:r>
            <w:r>
              <w:rPr>
                <w:rFonts w:ascii="Book Antiqua" w:hAnsi="Book Antiqua"/>
                <w:color w:val="000000"/>
                <w:kern w:val="0"/>
                <w:sz w:val="24"/>
              </w:rPr>
              <w:t>wk</w:t>
            </w:r>
          </w:p>
        </w:tc>
        <w:tc>
          <w:tcPr>
            <w:tcW w:w="1201"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376 (56.9)</w:t>
            </w:r>
          </w:p>
        </w:tc>
        <w:tc>
          <w:tcPr>
            <w:tcW w:w="1171" w:type="dxa"/>
            <w:tcBorders>
              <w:top w:val="nil"/>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48</w:t>
            </w:r>
          </w:p>
        </w:tc>
        <w:tc>
          <w:tcPr>
            <w:tcW w:w="1185"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28</w:t>
            </w:r>
          </w:p>
        </w:tc>
      </w:tr>
      <w:tr w:rsidR="00C87C35" w:rsidRPr="002B12EE" w:rsidTr="00632B55">
        <w:tc>
          <w:tcPr>
            <w:tcW w:w="1638" w:type="dxa"/>
            <w:tcBorders>
              <w:top w:val="nil"/>
              <w:bottom w:val="nil"/>
            </w:tcBorders>
          </w:tcPr>
          <w:p w:rsidR="00C87C35" w:rsidRPr="002B12EE" w:rsidRDefault="00C87C35" w:rsidP="00F57666">
            <w:pPr>
              <w:spacing w:line="360" w:lineRule="auto"/>
              <w:rPr>
                <w:rFonts w:ascii="Book Antiqua" w:hAnsi="Book Antiqua"/>
                <w:bCs/>
                <w:color w:val="000000"/>
                <w:kern w:val="0"/>
                <w:sz w:val="24"/>
              </w:rPr>
            </w:pPr>
            <w:r w:rsidRPr="002B12EE">
              <w:rPr>
                <w:rFonts w:ascii="Book Antiqua" w:hAnsi="Book Antiqua"/>
                <w:bCs/>
                <w:color w:val="000000"/>
                <w:kern w:val="0"/>
                <w:sz w:val="24"/>
              </w:rPr>
              <w:t xml:space="preserve">Ndraha </w:t>
            </w:r>
            <w:r w:rsidRPr="004B095D">
              <w:rPr>
                <w:rFonts w:ascii="Book Antiqua" w:hAnsi="Book Antiqua"/>
                <w:bCs/>
                <w:i/>
                <w:color w:val="000000"/>
                <w:kern w:val="0"/>
                <w:sz w:val="24"/>
              </w:rPr>
              <w:t>et al</w:t>
            </w:r>
            <w:r w:rsidRPr="002B12EE">
              <w:rPr>
                <w:rFonts w:ascii="Book Antiqua" w:hAnsi="Book Antiqua"/>
                <w:bCs/>
                <w:color w:val="000000"/>
                <w:kern w:val="0"/>
                <w:sz w:val="24"/>
                <w:vertAlign w:val="superscript"/>
              </w:rPr>
              <w:t>[29]</w:t>
            </w:r>
            <w:r w:rsidRPr="002B12EE">
              <w:rPr>
                <w:rFonts w:ascii="Book Antiqua" w:hAnsi="Book Antiqua"/>
                <w:bCs/>
                <w:color w:val="000000"/>
                <w:kern w:val="0"/>
                <w:sz w:val="24"/>
              </w:rPr>
              <w:t>, 2011</w:t>
            </w:r>
          </w:p>
        </w:tc>
        <w:tc>
          <w:tcPr>
            <w:tcW w:w="932"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Indonesia</w:t>
            </w:r>
          </w:p>
        </w:tc>
        <w:tc>
          <w:tcPr>
            <w:tcW w:w="1318"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60</w:t>
            </w:r>
          </w:p>
        </w:tc>
        <w:tc>
          <w:tcPr>
            <w:tcW w:w="1077"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2 </w:t>
            </w:r>
            <w:r>
              <w:rPr>
                <w:rFonts w:ascii="Book Antiqua" w:hAnsi="Book Antiqua"/>
                <w:color w:val="000000"/>
                <w:kern w:val="0"/>
                <w:sz w:val="24"/>
              </w:rPr>
              <w:t>wk</w:t>
            </w:r>
          </w:p>
        </w:tc>
        <w:tc>
          <w:tcPr>
            <w:tcW w:w="1201"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40 (66.7)</w:t>
            </w:r>
          </w:p>
        </w:tc>
        <w:tc>
          <w:tcPr>
            <w:tcW w:w="1171"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42</w:t>
            </w:r>
          </w:p>
        </w:tc>
        <w:tc>
          <w:tcPr>
            <w:tcW w:w="1185"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24</w:t>
            </w:r>
          </w:p>
        </w:tc>
      </w:tr>
      <w:tr w:rsidR="00C87C35" w:rsidRPr="002B12EE" w:rsidTr="00632B55">
        <w:tc>
          <w:tcPr>
            <w:tcW w:w="1638" w:type="dxa"/>
            <w:tcBorders>
              <w:top w:val="nil"/>
              <w:bottom w:val="nil"/>
            </w:tcBorders>
          </w:tcPr>
          <w:p w:rsidR="00C87C35" w:rsidRPr="002B12EE" w:rsidRDefault="00C87C35" w:rsidP="00F57666">
            <w:pPr>
              <w:spacing w:line="360" w:lineRule="auto"/>
              <w:rPr>
                <w:rFonts w:ascii="Book Antiqua" w:hAnsi="Book Antiqua"/>
                <w:bCs/>
                <w:color w:val="000000"/>
                <w:kern w:val="0"/>
                <w:sz w:val="24"/>
              </w:rPr>
            </w:pPr>
            <w:r w:rsidRPr="002B12EE">
              <w:rPr>
                <w:rFonts w:ascii="Book Antiqua" w:hAnsi="Book Antiqua"/>
                <w:bCs/>
                <w:color w:val="000000"/>
                <w:kern w:val="0"/>
                <w:sz w:val="24"/>
              </w:rPr>
              <w:t xml:space="preserve">Hsu </w:t>
            </w:r>
            <w:r w:rsidRPr="004B095D">
              <w:rPr>
                <w:rFonts w:ascii="Book Antiqua" w:hAnsi="Book Antiqua"/>
                <w:bCs/>
                <w:i/>
                <w:color w:val="000000"/>
                <w:kern w:val="0"/>
                <w:sz w:val="24"/>
              </w:rPr>
              <w:t>et al</w:t>
            </w:r>
            <w:r w:rsidRPr="002B12EE">
              <w:rPr>
                <w:rFonts w:ascii="Book Antiqua" w:hAnsi="Book Antiqua"/>
                <w:bCs/>
                <w:color w:val="000000"/>
                <w:kern w:val="0"/>
                <w:sz w:val="24"/>
                <w:vertAlign w:val="superscript"/>
              </w:rPr>
              <w:t>[2]</w:t>
            </w:r>
            <w:r w:rsidRPr="002B12EE">
              <w:rPr>
                <w:rFonts w:ascii="Book Antiqua" w:hAnsi="Book Antiqua"/>
                <w:bCs/>
                <w:color w:val="000000"/>
                <w:kern w:val="0"/>
                <w:sz w:val="24"/>
              </w:rPr>
              <w:t>, 2011</w:t>
            </w:r>
          </w:p>
        </w:tc>
        <w:tc>
          <w:tcPr>
            <w:tcW w:w="932"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Taiwan</w:t>
            </w:r>
          </w:p>
        </w:tc>
        <w:tc>
          <w:tcPr>
            <w:tcW w:w="1318"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96</w:t>
            </w:r>
          </w:p>
        </w:tc>
        <w:tc>
          <w:tcPr>
            <w:tcW w:w="1077"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8 </w:t>
            </w:r>
            <w:r>
              <w:rPr>
                <w:rFonts w:ascii="Book Antiqua" w:hAnsi="Book Antiqua"/>
                <w:color w:val="000000"/>
                <w:kern w:val="0"/>
                <w:sz w:val="24"/>
              </w:rPr>
              <w:t>wk</w:t>
            </w:r>
          </w:p>
        </w:tc>
        <w:tc>
          <w:tcPr>
            <w:tcW w:w="1201"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48 (50.0)</w:t>
            </w:r>
          </w:p>
        </w:tc>
        <w:tc>
          <w:tcPr>
            <w:tcW w:w="1171"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47</w:t>
            </w:r>
          </w:p>
        </w:tc>
        <w:tc>
          <w:tcPr>
            <w:tcW w:w="1185"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24</w:t>
            </w:r>
          </w:p>
        </w:tc>
      </w:tr>
      <w:tr w:rsidR="00C87C35" w:rsidRPr="002B12EE" w:rsidTr="00632B55">
        <w:tc>
          <w:tcPr>
            <w:tcW w:w="1638" w:type="dxa"/>
            <w:tcBorders>
              <w:top w:val="nil"/>
              <w:bottom w:val="nil"/>
            </w:tcBorders>
          </w:tcPr>
          <w:p w:rsidR="00C87C35" w:rsidRPr="002B12EE" w:rsidRDefault="00C87C35" w:rsidP="00F57666">
            <w:pPr>
              <w:spacing w:line="360" w:lineRule="auto"/>
              <w:rPr>
                <w:rFonts w:ascii="Book Antiqua" w:hAnsi="Book Antiqua"/>
                <w:bCs/>
                <w:color w:val="000000"/>
                <w:kern w:val="0"/>
                <w:sz w:val="24"/>
              </w:rPr>
            </w:pPr>
            <w:r w:rsidRPr="002B12EE">
              <w:rPr>
                <w:rFonts w:ascii="Book Antiqua" w:hAnsi="Book Antiqua"/>
                <w:bCs/>
                <w:color w:val="000000"/>
                <w:kern w:val="0"/>
                <w:sz w:val="24"/>
              </w:rPr>
              <w:t xml:space="preserve">Boeckxstaens </w:t>
            </w:r>
            <w:r w:rsidRPr="004B095D">
              <w:rPr>
                <w:rFonts w:ascii="Book Antiqua" w:hAnsi="Book Antiqua"/>
                <w:bCs/>
                <w:i/>
                <w:color w:val="000000"/>
                <w:kern w:val="0"/>
                <w:sz w:val="24"/>
              </w:rPr>
              <w:t>et al</w:t>
            </w:r>
            <w:r w:rsidRPr="002B12EE">
              <w:rPr>
                <w:rFonts w:ascii="Book Antiqua" w:hAnsi="Book Antiqua"/>
                <w:bCs/>
                <w:color w:val="000000"/>
                <w:kern w:val="0"/>
                <w:sz w:val="24"/>
                <w:vertAlign w:val="superscript"/>
              </w:rPr>
              <w:t>[22]</w:t>
            </w:r>
            <w:r w:rsidRPr="002B12EE">
              <w:rPr>
                <w:rFonts w:ascii="Book Antiqua" w:hAnsi="Book Antiqua"/>
                <w:bCs/>
                <w:color w:val="000000"/>
                <w:kern w:val="0"/>
                <w:sz w:val="24"/>
              </w:rPr>
              <w:t>, 2011</w:t>
            </w:r>
          </w:p>
        </w:tc>
        <w:tc>
          <w:tcPr>
            <w:tcW w:w="932" w:type="dxa"/>
            <w:tcBorders>
              <w:top w:val="nil"/>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506C76">
              <w:rPr>
                <w:rFonts w:ascii="Book Antiqua" w:hAnsi="Book Antiqua" w:cs="Garamond"/>
                <w:kern w:val="0"/>
                <w:sz w:val="24"/>
              </w:rPr>
              <w:t>United States</w:t>
            </w:r>
          </w:p>
        </w:tc>
        <w:tc>
          <w:tcPr>
            <w:tcW w:w="1318"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244</w:t>
            </w:r>
          </w:p>
        </w:tc>
        <w:tc>
          <w:tcPr>
            <w:tcW w:w="1077" w:type="dxa"/>
            <w:tcBorders>
              <w:top w:val="nil"/>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4 </w:t>
            </w:r>
            <w:r>
              <w:rPr>
                <w:rFonts w:ascii="Book Antiqua" w:hAnsi="Book Antiqua"/>
                <w:color w:val="000000"/>
                <w:kern w:val="0"/>
                <w:sz w:val="24"/>
              </w:rPr>
              <w:t>wk</w:t>
            </w:r>
          </w:p>
        </w:tc>
        <w:tc>
          <w:tcPr>
            <w:tcW w:w="1201"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82 (33.6)</w:t>
            </w:r>
          </w:p>
        </w:tc>
        <w:tc>
          <w:tcPr>
            <w:tcW w:w="1171" w:type="dxa"/>
            <w:tcBorders>
              <w:top w:val="nil"/>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50</w:t>
            </w:r>
          </w:p>
        </w:tc>
        <w:tc>
          <w:tcPr>
            <w:tcW w:w="1185"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27</w:t>
            </w:r>
          </w:p>
        </w:tc>
      </w:tr>
      <w:tr w:rsidR="00C87C35" w:rsidRPr="002B12EE" w:rsidTr="00632B55">
        <w:tc>
          <w:tcPr>
            <w:tcW w:w="1638" w:type="dxa"/>
            <w:tcBorders>
              <w:top w:val="nil"/>
            </w:tcBorders>
          </w:tcPr>
          <w:p w:rsidR="00C87C35" w:rsidRPr="002B12EE" w:rsidRDefault="00C87C35" w:rsidP="00F57666">
            <w:pPr>
              <w:spacing w:line="360" w:lineRule="auto"/>
              <w:rPr>
                <w:rFonts w:ascii="Book Antiqua" w:hAnsi="Book Antiqua"/>
                <w:bCs/>
                <w:color w:val="000000"/>
                <w:kern w:val="0"/>
                <w:sz w:val="24"/>
              </w:rPr>
            </w:pPr>
            <w:r w:rsidRPr="002B12EE">
              <w:rPr>
                <w:rFonts w:ascii="Book Antiqua" w:hAnsi="Book Antiqua"/>
                <w:bCs/>
                <w:color w:val="000000"/>
                <w:kern w:val="0"/>
                <w:sz w:val="24"/>
              </w:rPr>
              <w:t xml:space="preserve">Miwa </w:t>
            </w:r>
            <w:r w:rsidRPr="004B095D">
              <w:rPr>
                <w:rFonts w:ascii="Book Antiqua" w:hAnsi="Book Antiqua"/>
                <w:bCs/>
                <w:i/>
                <w:color w:val="000000"/>
                <w:kern w:val="0"/>
                <w:sz w:val="24"/>
              </w:rPr>
              <w:t>et al</w:t>
            </w:r>
            <w:r w:rsidRPr="002B12EE">
              <w:rPr>
                <w:rFonts w:ascii="Book Antiqua" w:hAnsi="Book Antiqua"/>
                <w:bCs/>
                <w:color w:val="000000"/>
                <w:kern w:val="0"/>
                <w:sz w:val="24"/>
                <w:vertAlign w:val="superscript"/>
              </w:rPr>
              <w:t>[12]</w:t>
            </w:r>
            <w:r w:rsidRPr="002B12EE">
              <w:rPr>
                <w:rFonts w:ascii="Book Antiqua" w:hAnsi="Book Antiqua"/>
                <w:bCs/>
                <w:color w:val="000000"/>
                <w:kern w:val="0"/>
                <w:sz w:val="24"/>
              </w:rPr>
              <w:t>, 2011</w:t>
            </w:r>
          </w:p>
        </w:tc>
        <w:tc>
          <w:tcPr>
            <w:tcW w:w="932" w:type="dxa"/>
            <w:tcBorders>
              <w:top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Japan</w:t>
            </w:r>
          </w:p>
        </w:tc>
        <w:tc>
          <w:tcPr>
            <w:tcW w:w="1318" w:type="dxa"/>
            <w:tcBorders>
              <w:top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200</w:t>
            </w:r>
          </w:p>
        </w:tc>
        <w:tc>
          <w:tcPr>
            <w:tcW w:w="1077" w:type="dxa"/>
            <w:tcBorders>
              <w:top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4 </w:t>
            </w:r>
            <w:r>
              <w:rPr>
                <w:rFonts w:ascii="Book Antiqua" w:hAnsi="Book Antiqua"/>
                <w:color w:val="000000"/>
                <w:kern w:val="0"/>
                <w:sz w:val="24"/>
              </w:rPr>
              <w:t>wk</w:t>
            </w:r>
          </w:p>
        </w:tc>
        <w:tc>
          <w:tcPr>
            <w:tcW w:w="1201" w:type="dxa"/>
            <w:tcBorders>
              <w:top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120 (60.0)</w:t>
            </w:r>
          </w:p>
        </w:tc>
        <w:tc>
          <w:tcPr>
            <w:tcW w:w="1171" w:type="dxa"/>
            <w:tcBorders>
              <w:top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52</w:t>
            </w:r>
          </w:p>
        </w:tc>
        <w:tc>
          <w:tcPr>
            <w:tcW w:w="1185" w:type="dxa"/>
            <w:tcBorders>
              <w:top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22</w:t>
            </w:r>
          </w:p>
        </w:tc>
      </w:tr>
      <w:tr w:rsidR="00C87C35" w:rsidRPr="002B12EE" w:rsidTr="00632B55">
        <w:tc>
          <w:tcPr>
            <w:tcW w:w="1638" w:type="dxa"/>
          </w:tcPr>
          <w:p w:rsidR="00C87C35" w:rsidRPr="002B12EE" w:rsidRDefault="00C87C35" w:rsidP="00F57666">
            <w:pPr>
              <w:spacing w:line="360" w:lineRule="auto"/>
              <w:rPr>
                <w:rFonts w:ascii="Book Antiqua" w:hAnsi="Book Antiqua"/>
                <w:bCs/>
                <w:color w:val="000000"/>
                <w:kern w:val="0"/>
                <w:sz w:val="24"/>
              </w:rPr>
            </w:pPr>
            <w:r w:rsidRPr="002B12EE">
              <w:rPr>
                <w:rFonts w:ascii="Book Antiqua" w:hAnsi="Book Antiqua"/>
                <w:bCs/>
                <w:color w:val="000000"/>
                <w:kern w:val="0"/>
                <w:sz w:val="24"/>
              </w:rPr>
              <w:t xml:space="preserve">Beaumont </w:t>
            </w:r>
            <w:r w:rsidRPr="004B095D">
              <w:rPr>
                <w:rFonts w:ascii="Book Antiqua" w:hAnsi="Book Antiqua"/>
                <w:bCs/>
                <w:i/>
                <w:color w:val="000000"/>
                <w:kern w:val="0"/>
                <w:sz w:val="24"/>
              </w:rPr>
              <w:t>et al</w:t>
            </w:r>
            <w:r w:rsidRPr="002B12EE">
              <w:rPr>
                <w:rFonts w:ascii="Book Antiqua" w:hAnsi="Book Antiqua"/>
                <w:bCs/>
                <w:color w:val="000000"/>
                <w:kern w:val="0"/>
                <w:sz w:val="24"/>
                <w:vertAlign w:val="superscript"/>
              </w:rPr>
              <w:t>[27]</w:t>
            </w:r>
            <w:r w:rsidRPr="002B12EE">
              <w:rPr>
                <w:rFonts w:ascii="Book Antiqua" w:hAnsi="Book Antiqua"/>
                <w:bCs/>
                <w:color w:val="000000"/>
                <w:kern w:val="0"/>
                <w:sz w:val="24"/>
              </w:rPr>
              <w:t>, 2009</w:t>
            </w:r>
          </w:p>
        </w:tc>
        <w:tc>
          <w:tcPr>
            <w:tcW w:w="932" w:type="dxa"/>
          </w:tcPr>
          <w:p w:rsidR="00C87C35" w:rsidRPr="002B12EE" w:rsidRDefault="00C87C35" w:rsidP="002B12EE">
            <w:pPr>
              <w:spacing w:line="360" w:lineRule="auto"/>
              <w:rPr>
                <w:rFonts w:ascii="Book Antiqua" w:hAnsi="Book Antiqua"/>
                <w:color w:val="000000"/>
                <w:kern w:val="0"/>
                <w:sz w:val="24"/>
              </w:rPr>
            </w:pPr>
            <w:r w:rsidRPr="00506C76">
              <w:rPr>
                <w:rFonts w:ascii="Book Antiqua" w:hAnsi="Book Antiqua" w:cs="Garamond"/>
                <w:kern w:val="0"/>
                <w:sz w:val="24"/>
              </w:rPr>
              <w:t>United States</w:t>
            </w:r>
          </w:p>
        </w:tc>
        <w:tc>
          <w:tcPr>
            <w:tcW w:w="1318" w:type="dxa"/>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16</w:t>
            </w:r>
          </w:p>
        </w:tc>
        <w:tc>
          <w:tcPr>
            <w:tcW w:w="1077" w:type="dxa"/>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2 </w:t>
            </w:r>
            <w:r>
              <w:rPr>
                <w:rFonts w:ascii="Book Antiqua" w:hAnsi="Book Antiqua"/>
                <w:color w:val="000000"/>
                <w:kern w:val="0"/>
                <w:sz w:val="24"/>
              </w:rPr>
              <w:t>wk</w:t>
            </w:r>
          </w:p>
        </w:tc>
        <w:tc>
          <w:tcPr>
            <w:tcW w:w="1201" w:type="dxa"/>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8 (50.0)</w:t>
            </w:r>
          </w:p>
        </w:tc>
        <w:tc>
          <w:tcPr>
            <w:tcW w:w="1171" w:type="dxa"/>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54</w:t>
            </w:r>
          </w:p>
        </w:tc>
        <w:tc>
          <w:tcPr>
            <w:tcW w:w="1185" w:type="dxa"/>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Not reported</w:t>
            </w:r>
          </w:p>
        </w:tc>
      </w:tr>
      <w:tr w:rsidR="00C87C35" w:rsidRPr="002B12EE" w:rsidTr="00632B55">
        <w:tc>
          <w:tcPr>
            <w:tcW w:w="1638" w:type="dxa"/>
          </w:tcPr>
          <w:p w:rsidR="00C87C35" w:rsidRPr="002B12EE" w:rsidRDefault="00C87C35" w:rsidP="00F57666">
            <w:pPr>
              <w:spacing w:line="360" w:lineRule="auto"/>
              <w:rPr>
                <w:rFonts w:ascii="Book Antiqua" w:hAnsi="Book Antiqua"/>
                <w:bCs/>
                <w:color w:val="000000"/>
                <w:kern w:val="0"/>
                <w:sz w:val="24"/>
              </w:rPr>
            </w:pPr>
            <w:r w:rsidRPr="002B12EE">
              <w:rPr>
                <w:rFonts w:ascii="Book Antiqua" w:hAnsi="Book Antiqua"/>
                <w:bCs/>
                <w:color w:val="000000"/>
                <w:kern w:val="0"/>
                <w:sz w:val="24"/>
              </w:rPr>
              <w:t xml:space="preserve">Madan </w:t>
            </w:r>
            <w:r w:rsidRPr="004B095D">
              <w:rPr>
                <w:rFonts w:ascii="Book Antiqua" w:hAnsi="Book Antiqua"/>
                <w:bCs/>
                <w:i/>
                <w:color w:val="000000"/>
                <w:kern w:val="0"/>
                <w:sz w:val="24"/>
              </w:rPr>
              <w:t>et al</w:t>
            </w:r>
            <w:r w:rsidRPr="002B12EE">
              <w:rPr>
                <w:rFonts w:ascii="Book Antiqua" w:hAnsi="Book Antiqua"/>
                <w:bCs/>
                <w:color w:val="000000"/>
                <w:kern w:val="0"/>
                <w:sz w:val="24"/>
                <w:vertAlign w:val="superscript"/>
              </w:rPr>
              <w:t>[19]</w:t>
            </w:r>
            <w:r w:rsidRPr="002B12EE">
              <w:rPr>
                <w:rFonts w:ascii="Book Antiqua" w:hAnsi="Book Antiqua"/>
                <w:bCs/>
                <w:color w:val="000000"/>
                <w:kern w:val="0"/>
                <w:sz w:val="24"/>
              </w:rPr>
              <w:t>, 2004</w:t>
            </w:r>
          </w:p>
        </w:tc>
        <w:tc>
          <w:tcPr>
            <w:tcW w:w="932" w:type="dxa"/>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India</w:t>
            </w:r>
          </w:p>
        </w:tc>
        <w:tc>
          <w:tcPr>
            <w:tcW w:w="1318" w:type="dxa"/>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68</w:t>
            </w:r>
          </w:p>
        </w:tc>
        <w:tc>
          <w:tcPr>
            <w:tcW w:w="1077" w:type="dxa"/>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8 </w:t>
            </w:r>
            <w:r>
              <w:rPr>
                <w:rFonts w:ascii="Book Antiqua" w:hAnsi="Book Antiqua"/>
                <w:color w:val="000000"/>
                <w:kern w:val="0"/>
                <w:sz w:val="24"/>
              </w:rPr>
              <w:t>wk</w:t>
            </w:r>
          </w:p>
        </w:tc>
        <w:tc>
          <w:tcPr>
            <w:tcW w:w="1201" w:type="dxa"/>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23 (33.8)</w:t>
            </w:r>
          </w:p>
        </w:tc>
        <w:tc>
          <w:tcPr>
            <w:tcW w:w="1171" w:type="dxa"/>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35</w:t>
            </w:r>
          </w:p>
        </w:tc>
        <w:tc>
          <w:tcPr>
            <w:tcW w:w="1185" w:type="dxa"/>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Not reported</w:t>
            </w:r>
          </w:p>
        </w:tc>
      </w:tr>
      <w:tr w:rsidR="00C87C35" w:rsidRPr="002B12EE" w:rsidTr="00632B55">
        <w:tc>
          <w:tcPr>
            <w:tcW w:w="1638" w:type="dxa"/>
          </w:tcPr>
          <w:p w:rsidR="00C87C35" w:rsidRPr="002B12EE" w:rsidRDefault="00C87C35" w:rsidP="00F57666">
            <w:pPr>
              <w:spacing w:line="360" w:lineRule="auto"/>
              <w:rPr>
                <w:rFonts w:ascii="Book Antiqua" w:hAnsi="Book Antiqua"/>
                <w:bCs/>
                <w:color w:val="000000"/>
                <w:kern w:val="0"/>
                <w:sz w:val="24"/>
              </w:rPr>
            </w:pPr>
            <w:r w:rsidRPr="002B12EE">
              <w:rPr>
                <w:rFonts w:ascii="Book Antiqua" w:hAnsi="Book Antiqua"/>
                <w:bCs/>
                <w:color w:val="000000"/>
                <w:kern w:val="0"/>
                <w:sz w:val="24"/>
              </w:rPr>
              <w:t xml:space="preserve">Smythe </w:t>
            </w:r>
            <w:r w:rsidRPr="004B095D">
              <w:rPr>
                <w:rFonts w:ascii="Book Antiqua" w:hAnsi="Book Antiqua"/>
                <w:bCs/>
                <w:i/>
                <w:color w:val="000000"/>
                <w:kern w:val="0"/>
                <w:sz w:val="24"/>
              </w:rPr>
              <w:t xml:space="preserve">et </w:t>
            </w:r>
            <w:r w:rsidRPr="004B095D">
              <w:rPr>
                <w:rFonts w:ascii="Book Antiqua" w:hAnsi="Book Antiqua"/>
                <w:bCs/>
                <w:i/>
                <w:color w:val="000000"/>
                <w:kern w:val="0"/>
                <w:sz w:val="24"/>
              </w:rPr>
              <w:lastRenderedPageBreak/>
              <w:t>al</w:t>
            </w:r>
            <w:r w:rsidRPr="002B12EE">
              <w:rPr>
                <w:rFonts w:ascii="Book Antiqua" w:hAnsi="Book Antiqua"/>
                <w:bCs/>
                <w:color w:val="000000"/>
                <w:kern w:val="0"/>
                <w:sz w:val="24"/>
                <w:vertAlign w:val="superscript"/>
              </w:rPr>
              <w:t>[30]</w:t>
            </w:r>
            <w:r w:rsidRPr="002B12EE">
              <w:rPr>
                <w:rFonts w:ascii="Book Antiqua" w:hAnsi="Book Antiqua"/>
                <w:bCs/>
                <w:color w:val="000000"/>
                <w:kern w:val="0"/>
                <w:sz w:val="24"/>
              </w:rPr>
              <w:t>, 2003</w:t>
            </w:r>
          </w:p>
        </w:tc>
        <w:tc>
          <w:tcPr>
            <w:tcW w:w="932" w:type="dxa"/>
          </w:tcPr>
          <w:p w:rsidR="00C87C35" w:rsidRPr="002B12EE" w:rsidRDefault="00C87C35" w:rsidP="002B12EE">
            <w:pPr>
              <w:spacing w:line="360" w:lineRule="auto"/>
              <w:rPr>
                <w:rFonts w:ascii="Book Antiqua" w:hAnsi="Book Antiqua"/>
                <w:color w:val="000000"/>
                <w:kern w:val="0"/>
                <w:sz w:val="24"/>
              </w:rPr>
            </w:pPr>
            <w:r w:rsidRPr="00586F44">
              <w:rPr>
                <w:rFonts w:ascii="Book Antiqua" w:hAnsi="Book Antiqua" w:cs="Garamond"/>
                <w:kern w:val="0"/>
                <w:sz w:val="24"/>
              </w:rPr>
              <w:lastRenderedPageBreak/>
              <w:t xml:space="preserve">United </w:t>
            </w:r>
            <w:r w:rsidRPr="00586F44">
              <w:rPr>
                <w:rFonts w:ascii="Book Antiqua" w:hAnsi="Book Antiqua" w:cs="Garamond"/>
                <w:kern w:val="0"/>
                <w:sz w:val="24"/>
              </w:rPr>
              <w:lastRenderedPageBreak/>
              <w:t>Kingdom</w:t>
            </w:r>
          </w:p>
        </w:tc>
        <w:tc>
          <w:tcPr>
            <w:tcW w:w="1318" w:type="dxa"/>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lastRenderedPageBreak/>
              <w:t>23</w:t>
            </w:r>
          </w:p>
        </w:tc>
        <w:tc>
          <w:tcPr>
            <w:tcW w:w="1077" w:type="dxa"/>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4 </w:t>
            </w:r>
            <w:r>
              <w:rPr>
                <w:rFonts w:ascii="Book Antiqua" w:hAnsi="Book Antiqua"/>
                <w:color w:val="000000"/>
                <w:kern w:val="0"/>
                <w:sz w:val="24"/>
              </w:rPr>
              <w:t>wk</w:t>
            </w:r>
          </w:p>
        </w:tc>
        <w:tc>
          <w:tcPr>
            <w:tcW w:w="1201" w:type="dxa"/>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3 (13.0)</w:t>
            </w:r>
          </w:p>
        </w:tc>
        <w:tc>
          <w:tcPr>
            <w:tcW w:w="1171" w:type="dxa"/>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62</w:t>
            </w:r>
          </w:p>
        </w:tc>
        <w:tc>
          <w:tcPr>
            <w:tcW w:w="1185" w:type="dxa"/>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Not </w:t>
            </w:r>
            <w:r w:rsidRPr="002B12EE">
              <w:rPr>
                <w:rFonts w:ascii="Book Antiqua" w:hAnsi="Book Antiqua"/>
                <w:color w:val="000000"/>
                <w:kern w:val="0"/>
                <w:sz w:val="24"/>
              </w:rPr>
              <w:lastRenderedPageBreak/>
              <w:t>reported</w:t>
            </w:r>
          </w:p>
        </w:tc>
      </w:tr>
      <w:tr w:rsidR="00C87C35" w:rsidRPr="002B12EE" w:rsidTr="00632B55">
        <w:tc>
          <w:tcPr>
            <w:tcW w:w="1638" w:type="dxa"/>
          </w:tcPr>
          <w:p w:rsidR="00C87C35" w:rsidRPr="002B12EE" w:rsidRDefault="00C87C35" w:rsidP="00F57666">
            <w:pPr>
              <w:spacing w:line="360" w:lineRule="auto"/>
              <w:rPr>
                <w:rFonts w:ascii="Book Antiqua" w:hAnsi="Book Antiqua"/>
                <w:bCs/>
                <w:color w:val="000000"/>
                <w:kern w:val="0"/>
                <w:sz w:val="24"/>
              </w:rPr>
            </w:pPr>
            <w:r w:rsidRPr="002B12EE">
              <w:rPr>
                <w:rFonts w:ascii="Book Antiqua" w:hAnsi="Book Antiqua"/>
                <w:bCs/>
                <w:color w:val="000000"/>
                <w:kern w:val="0"/>
                <w:sz w:val="24"/>
              </w:rPr>
              <w:lastRenderedPageBreak/>
              <w:t xml:space="preserve">VanRensburg </w:t>
            </w:r>
            <w:r w:rsidRPr="004B095D">
              <w:rPr>
                <w:rFonts w:ascii="Book Antiqua" w:hAnsi="Book Antiqua"/>
                <w:bCs/>
                <w:i/>
                <w:color w:val="000000"/>
                <w:kern w:val="0"/>
                <w:sz w:val="24"/>
              </w:rPr>
              <w:t>et al</w:t>
            </w:r>
            <w:r w:rsidRPr="002B12EE">
              <w:rPr>
                <w:rFonts w:ascii="Book Antiqua" w:hAnsi="Book Antiqua"/>
                <w:bCs/>
                <w:color w:val="000000"/>
                <w:kern w:val="0"/>
                <w:sz w:val="24"/>
                <w:vertAlign w:val="superscript"/>
              </w:rPr>
              <w:t>[25]</w:t>
            </w:r>
            <w:r w:rsidRPr="002B12EE">
              <w:rPr>
                <w:rFonts w:ascii="Book Antiqua" w:hAnsi="Book Antiqua"/>
                <w:bCs/>
                <w:color w:val="000000"/>
                <w:kern w:val="0"/>
                <w:sz w:val="24"/>
              </w:rPr>
              <w:t>, 2001</w:t>
            </w:r>
          </w:p>
        </w:tc>
        <w:tc>
          <w:tcPr>
            <w:tcW w:w="932" w:type="dxa"/>
          </w:tcPr>
          <w:p w:rsidR="00C87C35" w:rsidRPr="002B12EE" w:rsidRDefault="00C87C35" w:rsidP="002B12EE">
            <w:pPr>
              <w:spacing w:line="360" w:lineRule="auto"/>
              <w:rPr>
                <w:rFonts w:ascii="Book Antiqua" w:hAnsi="Book Antiqua"/>
                <w:color w:val="000000"/>
                <w:kern w:val="0"/>
                <w:sz w:val="24"/>
              </w:rPr>
            </w:pPr>
            <w:r w:rsidRPr="00586F44">
              <w:rPr>
                <w:rFonts w:ascii="Book Antiqua" w:hAnsi="Book Antiqua" w:cs="Garamond"/>
                <w:kern w:val="0"/>
                <w:sz w:val="24"/>
              </w:rPr>
              <w:t>United Kingdom</w:t>
            </w:r>
          </w:p>
        </w:tc>
        <w:tc>
          <w:tcPr>
            <w:tcW w:w="1318" w:type="dxa"/>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350</w:t>
            </w:r>
          </w:p>
        </w:tc>
        <w:tc>
          <w:tcPr>
            <w:tcW w:w="1077" w:type="dxa"/>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8 </w:t>
            </w:r>
            <w:r>
              <w:rPr>
                <w:rFonts w:ascii="Book Antiqua" w:hAnsi="Book Antiqua"/>
                <w:color w:val="000000"/>
                <w:kern w:val="0"/>
                <w:sz w:val="24"/>
              </w:rPr>
              <w:t>wk</w:t>
            </w:r>
          </w:p>
        </w:tc>
        <w:tc>
          <w:tcPr>
            <w:tcW w:w="1201" w:type="dxa"/>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213 (60.9)</w:t>
            </w:r>
          </w:p>
        </w:tc>
        <w:tc>
          <w:tcPr>
            <w:tcW w:w="1171" w:type="dxa"/>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47</w:t>
            </w:r>
          </w:p>
        </w:tc>
        <w:tc>
          <w:tcPr>
            <w:tcW w:w="1185" w:type="dxa"/>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28</w:t>
            </w:r>
          </w:p>
        </w:tc>
      </w:tr>
      <w:tr w:rsidR="00C87C35" w:rsidRPr="002B12EE" w:rsidTr="00632B55">
        <w:tc>
          <w:tcPr>
            <w:tcW w:w="1638" w:type="dxa"/>
            <w:tcBorders>
              <w:bottom w:val="single" w:sz="8" w:space="0" w:color="000000"/>
            </w:tcBorders>
          </w:tcPr>
          <w:p w:rsidR="00C87C35" w:rsidRPr="002B12EE" w:rsidRDefault="00C87C35" w:rsidP="00F57666">
            <w:pPr>
              <w:spacing w:line="360" w:lineRule="auto"/>
              <w:rPr>
                <w:rFonts w:ascii="Book Antiqua" w:hAnsi="Book Antiqua"/>
                <w:bCs/>
                <w:color w:val="000000"/>
                <w:kern w:val="0"/>
                <w:sz w:val="24"/>
              </w:rPr>
            </w:pPr>
            <w:r w:rsidRPr="002B12EE">
              <w:rPr>
                <w:rFonts w:ascii="Book Antiqua" w:hAnsi="Book Antiqua"/>
                <w:bCs/>
                <w:color w:val="000000"/>
                <w:kern w:val="0"/>
                <w:sz w:val="24"/>
              </w:rPr>
              <w:t xml:space="preserve">Vigneri </w:t>
            </w:r>
            <w:r w:rsidRPr="004B095D">
              <w:rPr>
                <w:rFonts w:ascii="Book Antiqua" w:hAnsi="Book Antiqua"/>
                <w:bCs/>
                <w:i/>
                <w:color w:val="000000"/>
                <w:kern w:val="0"/>
                <w:sz w:val="24"/>
              </w:rPr>
              <w:t>et al</w:t>
            </w:r>
            <w:r w:rsidRPr="002B12EE">
              <w:rPr>
                <w:rFonts w:ascii="Book Antiqua" w:hAnsi="Book Antiqua"/>
                <w:bCs/>
                <w:color w:val="000000"/>
                <w:kern w:val="0"/>
                <w:sz w:val="24"/>
                <w:vertAlign w:val="superscript"/>
              </w:rPr>
              <w:t>[26]</w:t>
            </w:r>
            <w:r w:rsidRPr="002B12EE">
              <w:rPr>
                <w:rFonts w:ascii="Book Antiqua" w:hAnsi="Book Antiqua"/>
                <w:bCs/>
                <w:color w:val="000000"/>
                <w:kern w:val="0"/>
                <w:sz w:val="24"/>
              </w:rPr>
              <w:t>, 1995</w:t>
            </w:r>
          </w:p>
        </w:tc>
        <w:tc>
          <w:tcPr>
            <w:tcW w:w="932" w:type="dxa"/>
            <w:tcBorders>
              <w:bottom w:val="single" w:sz="8" w:space="0" w:color="000000"/>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Italy</w:t>
            </w:r>
          </w:p>
        </w:tc>
        <w:tc>
          <w:tcPr>
            <w:tcW w:w="1318" w:type="dxa"/>
            <w:tcBorders>
              <w:bottom w:val="single" w:sz="8" w:space="0" w:color="000000"/>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175</w:t>
            </w:r>
          </w:p>
        </w:tc>
        <w:tc>
          <w:tcPr>
            <w:tcW w:w="1077" w:type="dxa"/>
            <w:tcBorders>
              <w:bottom w:val="single" w:sz="8" w:space="0" w:color="000000"/>
            </w:tcBorders>
          </w:tcPr>
          <w:p w:rsidR="00C87C35" w:rsidRPr="002B12EE" w:rsidRDefault="00C87C35" w:rsidP="00096865">
            <w:pPr>
              <w:spacing w:line="360" w:lineRule="auto"/>
              <w:rPr>
                <w:rFonts w:ascii="Book Antiqua" w:hAnsi="Book Antiqua"/>
                <w:color w:val="000000"/>
                <w:kern w:val="0"/>
                <w:sz w:val="24"/>
              </w:rPr>
            </w:pPr>
            <w:r w:rsidRPr="002B12EE">
              <w:rPr>
                <w:rFonts w:ascii="Book Antiqua" w:hAnsi="Book Antiqua"/>
                <w:color w:val="000000"/>
                <w:kern w:val="0"/>
                <w:sz w:val="24"/>
              </w:rPr>
              <w:t>12 mo</w:t>
            </w:r>
          </w:p>
        </w:tc>
        <w:tc>
          <w:tcPr>
            <w:tcW w:w="1201" w:type="dxa"/>
            <w:tcBorders>
              <w:bottom w:val="single" w:sz="8" w:space="0" w:color="000000"/>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58 (33.1)</w:t>
            </w:r>
          </w:p>
        </w:tc>
        <w:tc>
          <w:tcPr>
            <w:tcW w:w="1171" w:type="dxa"/>
            <w:tcBorders>
              <w:bottom w:val="single" w:sz="8" w:space="0" w:color="000000"/>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45</w:t>
            </w:r>
          </w:p>
        </w:tc>
        <w:tc>
          <w:tcPr>
            <w:tcW w:w="1185" w:type="dxa"/>
            <w:tcBorders>
              <w:bottom w:val="single" w:sz="8" w:space="0" w:color="000000"/>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Not reported</w:t>
            </w:r>
          </w:p>
        </w:tc>
      </w:tr>
    </w:tbl>
    <w:p w:rsidR="00C87C35" w:rsidRPr="002B12EE" w:rsidRDefault="00C87C35" w:rsidP="002B12EE">
      <w:pPr>
        <w:spacing w:line="360" w:lineRule="auto"/>
        <w:rPr>
          <w:rFonts w:ascii="Book Antiqua" w:hAnsi="Book Antiqua"/>
          <w:kern w:val="21"/>
          <w:sz w:val="24"/>
        </w:rPr>
      </w:pPr>
    </w:p>
    <w:p w:rsidR="00C87C35" w:rsidRPr="002B12EE" w:rsidRDefault="00C87C35" w:rsidP="002B12EE">
      <w:pPr>
        <w:spacing w:line="360" w:lineRule="auto"/>
        <w:rPr>
          <w:rFonts w:ascii="Book Antiqua" w:hAnsi="Book Antiqua"/>
          <w:kern w:val="21"/>
          <w:sz w:val="24"/>
        </w:rPr>
      </w:pPr>
    </w:p>
    <w:p w:rsidR="00C87C35" w:rsidRPr="002B12EE" w:rsidRDefault="00C87C35" w:rsidP="002B12EE">
      <w:pPr>
        <w:spacing w:line="360" w:lineRule="auto"/>
        <w:rPr>
          <w:rFonts w:ascii="Book Antiqua" w:hAnsi="Book Antiqua"/>
          <w:kern w:val="21"/>
          <w:sz w:val="24"/>
        </w:rPr>
      </w:pPr>
    </w:p>
    <w:p w:rsidR="00C87C35" w:rsidRPr="002B12EE" w:rsidRDefault="00C87C35" w:rsidP="002B12EE">
      <w:pPr>
        <w:spacing w:line="360" w:lineRule="auto"/>
        <w:rPr>
          <w:rFonts w:ascii="Book Antiqua" w:hAnsi="Book Antiqua"/>
          <w:kern w:val="21"/>
          <w:sz w:val="24"/>
        </w:rPr>
      </w:pPr>
    </w:p>
    <w:p w:rsidR="00C87C35" w:rsidRPr="002B12EE" w:rsidRDefault="00C87C35" w:rsidP="002B12EE">
      <w:pPr>
        <w:spacing w:line="360" w:lineRule="auto"/>
        <w:rPr>
          <w:rFonts w:ascii="Book Antiqua" w:hAnsi="Book Antiqua"/>
          <w:kern w:val="21"/>
          <w:sz w:val="24"/>
        </w:rPr>
      </w:pPr>
    </w:p>
    <w:p w:rsidR="00C87C35" w:rsidRPr="002B12EE" w:rsidRDefault="00C87C35" w:rsidP="002B12EE">
      <w:pPr>
        <w:spacing w:line="360" w:lineRule="auto"/>
        <w:rPr>
          <w:rFonts w:ascii="Book Antiqua" w:hAnsi="Book Antiqua"/>
          <w:kern w:val="21"/>
          <w:sz w:val="24"/>
        </w:rPr>
      </w:pPr>
    </w:p>
    <w:p w:rsidR="00C87C35" w:rsidRPr="002B12EE" w:rsidRDefault="00C87C35" w:rsidP="002B12EE">
      <w:pPr>
        <w:spacing w:line="360" w:lineRule="auto"/>
        <w:rPr>
          <w:rFonts w:ascii="Book Antiqua" w:hAnsi="Book Antiqua"/>
          <w:kern w:val="21"/>
          <w:sz w:val="24"/>
        </w:rPr>
      </w:pPr>
    </w:p>
    <w:p w:rsidR="00C87C35" w:rsidRPr="002B12EE" w:rsidRDefault="00C87C35" w:rsidP="002B12EE">
      <w:pPr>
        <w:spacing w:line="360" w:lineRule="auto"/>
        <w:rPr>
          <w:rFonts w:ascii="Book Antiqua" w:hAnsi="Book Antiqua"/>
          <w:kern w:val="21"/>
          <w:sz w:val="24"/>
        </w:rPr>
      </w:pPr>
    </w:p>
    <w:p w:rsidR="00C87C35" w:rsidRDefault="00C87C35" w:rsidP="002B12EE">
      <w:pPr>
        <w:spacing w:line="360" w:lineRule="auto"/>
        <w:rPr>
          <w:rFonts w:ascii="Book Antiqua" w:hAnsi="Book Antiqua"/>
          <w:kern w:val="21"/>
          <w:sz w:val="24"/>
        </w:rPr>
      </w:pPr>
      <w:r>
        <w:rPr>
          <w:rFonts w:ascii="Book Antiqua" w:hAnsi="Book Antiqua"/>
          <w:kern w:val="21"/>
          <w:sz w:val="24"/>
        </w:rPr>
        <w:br w:type="page"/>
      </w:r>
    </w:p>
    <w:p w:rsidR="00C87C35" w:rsidRPr="002B12EE" w:rsidRDefault="00C87C35" w:rsidP="002B12EE">
      <w:pPr>
        <w:spacing w:line="360" w:lineRule="auto"/>
        <w:rPr>
          <w:rFonts w:ascii="Book Antiqua" w:hAnsi="Book Antiqua"/>
          <w:b/>
          <w:kern w:val="21"/>
          <w:sz w:val="24"/>
        </w:rPr>
      </w:pPr>
      <w:r w:rsidRPr="002B12EE">
        <w:rPr>
          <w:rFonts w:ascii="Book Antiqua" w:hAnsi="Book Antiqua"/>
          <w:b/>
          <w:kern w:val="21"/>
          <w:sz w:val="24"/>
        </w:rPr>
        <w:t>Table 2 Symptom response in ten studies</w:t>
      </w:r>
    </w:p>
    <w:tbl>
      <w:tblPr>
        <w:tblW w:w="0" w:type="auto"/>
        <w:tblBorders>
          <w:top w:val="single" w:sz="8" w:space="0" w:color="000000"/>
          <w:bottom w:val="single" w:sz="8" w:space="0" w:color="000000"/>
        </w:tblBorders>
        <w:tblLook w:val="00A0" w:firstRow="1" w:lastRow="0" w:firstColumn="1" w:lastColumn="0" w:noHBand="0" w:noVBand="0"/>
      </w:tblPr>
      <w:tblGrid>
        <w:gridCol w:w="2130"/>
        <w:gridCol w:w="2130"/>
        <w:gridCol w:w="2131"/>
        <w:gridCol w:w="2131"/>
      </w:tblGrid>
      <w:tr w:rsidR="00C87C35" w:rsidRPr="002B12EE" w:rsidTr="00632B55">
        <w:tc>
          <w:tcPr>
            <w:tcW w:w="2130" w:type="dxa"/>
            <w:tcBorders>
              <w:top w:val="single" w:sz="8" w:space="0" w:color="000000"/>
              <w:left w:val="nil"/>
              <w:bottom w:val="single" w:sz="8" w:space="0" w:color="000000"/>
              <w:right w:val="nil"/>
            </w:tcBorders>
          </w:tcPr>
          <w:p w:rsidR="00C87C35" w:rsidRPr="002B12EE" w:rsidRDefault="00C87C35" w:rsidP="002B12EE">
            <w:pPr>
              <w:spacing w:line="360" w:lineRule="auto"/>
              <w:rPr>
                <w:rFonts w:ascii="Book Antiqua" w:hAnsi="Book Antiqua"/>
                <w:b/>
                <w:bCs/>
                <w:color w:val="000000"/>
                <w:kern w:val="0"/>
                <w:sz w:val="24"/>
              </w:rPr>
            </w:pPr>
            <w:r w:rsidRPr="002B12EE">
              <w:rPr>
                <w:rFonts w:ascii="Book Antiqua" w:hAnsi="Book Antiqua"/>
                <w:b/>
                <w:bCs/>
                <w:color w:val="000000"/>
                <w:kern w:val="0"/>
                <w:sz w:val="24"/>
              </w:rPr>
              <w:t>Reference</w:t>
            </w:r>
          </w:p>
        </w:tc>
        <w:tc>
          <w:tcPr>
            <w:tcW w:w="2130" w:type="dxa"/>
            <w:tcBorders>
              <w:top w:val="single" w:sz="8" w:space="0" w:color="000000"/>
              <w:left w:val="nil"/>
              <w:bottom w:val="single" w:sz="8" w:space="0" w:color="000000"/>
              <w:right w:val="nil"/>
            </w:tcBorders>
          </w:tcPr>
          <w:p w:rsidR="00C87C35" w:rsidRPr="002B12EE" w:rsidRDefault="00C87C35" w:rsidP="002B12EE">
            <w:pPr>
              <w:spacing w:line="360" w:lineRule="auto"/>
              <w:rPr>
                <w:rFonts w:ascii="Book Antiqua" w:hAnsi="Book Antiqua"/>
                <w:b/>
                <w:bCs/>
                <w:color w:val="000000"/>
                <w:kern w:val="0"/>
                <w:sz w:val="24"/>
              </w:rPr>
            </w:pPr>
            <w:r w:rsidRPr="002B12EE">
              <w:rPr>
                <w:rFonts w:ascii="Book Antiqua" w:hAnsi="Book Antiqua"/>
                <w:b/>
                <w:bCs/>
                <w:color w:val="000000"/>
                <w:kern w:val="0"/>
                <w:sz w:val="24"/>
              </w:rPr>
              <w:t>Intervention</w:t>
            </w:r>
          </w:p>
        </w:tc>
        <w:tc>
          <w:tcPr>
            <w:tcW w:w="2131" w:type="dxa"/>
            <w:tcBorders>
              <w:top w:val="single" w:sz="8" w:space="0" w:color="000000"/>
              <w:left w:val="nil"/>
              <w:bottom w:val="single" w:sz="8" w:space="0" w:color="000000"/>
              <w:right w:val="nil"/>
            </w:tcBorders>
          </w:tcPr>
          <w:p w:rsidR="00C87C35" w:rsidRPr="002B12EE" w:rsidRDefault="00C87C35" w:rsidP="002B12EE">
            <w:pPr>
              <w:spacing w:line="360" w:lineRule="auto"/>
              <w:rPr>
                <w:rFonts w:ascii="Book Antiqua" w:hAnsi="Book Antiqua"/>
                <w:b/>
                <w:bCs/>
                <w:color w:val="000000"/>
                <w:kern w:val="0"/>
                <w:sz w:val="24"/>
              </w:rPr>
            </w:pPr>
            <w:r w:rsidRPr="002B12EE">
              <w:rPr>
                <w:rFonts w:ascii="Book Antiqua" w:hAnsi="Book Antiqua"/>
                <w:b/>
                <w:bCs/>
                <w:color w:val="000000"/>
                <w:kern w:val="0"/>
                <w:sz w:val="24"/>
              </w:rPr>
              <w:t>Combined therapy,</w:t>
            </w:r>
          </w:p>
          <w:p w:rsidR="00C87C35" w:rsidRPr="002B12EE" w:rsidRDefault="00C87C35" w:rsidP="002B12EE">
            <w:pPr>
              <w:spacing w:line="360" w:lineRule="auto"/>
              <w:rPr>
                <w:rFonts w:ascii="Book Antiqua" w:hAnsi="Book Antiqua"/>
                <w:b/>
                <w:bCs/>
                <w:color w:val="000000"/>
                <w:kern w:val="0"/>
                <w:sz w:val="24"/>
              </w:rPr>
            </w:pPr>
            <w:r w:rsidRPr="002B12EE">
              <w:rPr>
                <w:rFonts w:ascii="Book Antiqua" w:hAnsi="Book Antiqua"/>
                <w:b/>
                <w:bCs/>
                <w:color w:val="000000"/>
                <w:kern w:val="0"/>
                <w:sz w:val="24"/>
              </w:rPr>
              <w:t>improved/treated</w:t>
            </w:r>
          </w:p>
        </w:tc>
        <w:tc>
          <w:tcPr>
            <w:tcW w:w="2131" w:type="dxa"/>
            <w:tcBorders>
              <w:top w:val="single" w:sz="8" w:space="0" w:color="000000"/>
              <w:left w:val="nil"/>
              <w:bottom w:val="single" w:sz="8" w:space="0" w:color="000000"/>
              <w:right w:val="nil"/>
            </w:tcBorders>
          </w:tcPr>
          <w:p w:rsidR="00C87C35" w:rsidRPr="002B12EE" w:rsidRDefault="00C87C35" w:rsidP="002B12EE">
            <w:pPr>
              <w:spacing w:line="360" w:lineRule="auto"/>
              <w:rPr>
                <w:rFonts w:ascii="Book Antiqua" w:hAnsi="Book Antiqua"/>
                <w:b/>
                <w:bCs/>
                <w:color w:val="000000"/>
                <w:kern w:val="0"/>
                <w:sz w:val="24"/>
              </w:rPr>
            </w:pPr>
            <w:r w:rsidRPr="002B12EE">
              <w:rPr>
                <w:rFonts w:ascii="Book Antiqua" w:hAnsi="Book Antiqua"/>
                <w:b/>
                <w:bCs/>
                <w:color w:val="000000"/>
                <w:kern w:val="0"/>
                <w:sz w:val="24"/>
              </w:rPr>
              <w:t>Single therapy,</w:t>
            </w:r>
          </w:p>
          <w:p w:rsidR="00C87C35" w:rsidRPr="002B12EE" w:rsidRDefault="00C87C35" w:rsidP="002B12EE">
            <w:pPr>
              <w:spacing w:line="360" w:lineRule="auto"/>
              <w:rPr>
                <w:rFonts w:ascii="Book Antiqua" w:hAnsi="Book Antiqua"/>
                <w:b/>
                <w:bCs/>
                <w:color w:val="000000"/>
                <w:kern w:val="0"/>
                <w:sz w:val="24"/>
              </w:rPr>
            </w:pPr>
            <w:r w:rsidRPr="002B12EE">
              <w:rPr>
                <w:rFonts w:ascii="Book Antiqua" w:hAnsi="Book Antiqua"/>
                <w:b/>
                <w:bCs/>
                <w:color w:val="000000"/>
                <w:kern w:val="0"/>
                <w:sz w:val="24"/>
              </w:rPr>
              <w:t>improved/treated</w:t>
            </w:r>
          </w:p>
        </w:tc>
      </w:tr>
      <w:tr w:rsidR="00C87C35" w:rsidRPr="002B12EE" w:rsidTr="00632B55">
        <w:tc>
          <w:tcPr>
            <w:tcW w:w="2130" w:type="dxa"/>
            <w:tcBorders>
              <w:top w:val="single" w:sz="8" w:space="0" w:color="000000"/>
              <w:left w:val="nil"/>
              <w:bottom w:val="nil"/>
              <w:right w:val="nil"/>
            </w:tcBorders>
          </w:tcPr>
          <w:p w:rsidR="00C87C35" w:rsidRPr="002B12EE" w:rsidRDefault="00C87C35" w:rsidP="00607F95">
            <w:pPr>
              <w:spacing w:line="360" w:lineRule="auto"/>
              <w:rPr>
                <w:rFonts w:ascii="Book Antiqua" w:hAnsi="Book Antiqua"/>
                <w:b/>
                <w:bCs/>
                <w:color w:val="000000"/>
                <w:kern w:val="0"/>
                <w:sz w:val="24"/>
              </w:rPr>
            </w:pPr>
            <w:r w:rsidRPr="002B12EE">
              <w:rPr>
                <w:rFonts w:ascii="Book Antiqua" w:hAnsi="Book Antiqua"/>
                <w:bCs/>
                <w:color w:val="000000"/>
                <w:kern w:val="0"/>
                <w:sz w:val="24"/>
              </w:rPr>
              <w:t xml:space="preserve">Cho </w:t>
            </w:r>
            <w:r w:rsidRPr="004B095D">
              <w:rPr>
                <w:rFonts w:ascii="Book Antiqua" w:hAnsi="Book Antiqua"/>
                <w:bCs/>
                <w:i/>
                <w:color w:val="000000"/>
                <w:kern w:val="0"/>
                <w:sz w:val="24"/>
              </w:rPr>
              <w:t>et al</w:t>
            </w:r>
            <w:r w:rsidRPr="002B12EE">
              <w:rPr>
                <w:rFonts w:ascii="Book Antiqua" w:hAnsi="Book Antiqua"/>
                <w:bCs/>
                <w:color w:val="000000"/>
                <w:kern w:val="0"/>
                <w:sz w:val="24"/>
                <w:vertAlign w:val="superscript"/>
              </w:rPr>
              <w:t>[24]</w:t>
            </w:r>
            <w:r w:rsidRPr="002B12EE">
              <w:rPr>
                <w:rFonts w:ascii="Book Antiqua" w:hAnsi="Book Antiqua"/>
                <w:bCs/>
                <w:color w:val="000000"/>
                <w:kern w:val="0"/>
                <w:sz w:val="24"/>
              </w:rPr>
              <w:t>, 2013</w:t>
            </w:r>
          </w:p>
        </w:tc>
        <w:tc>
          <w:tcPr>
            <w:tcW w:w="2130" w:type="dxa"/>
            <w:tcBorders>
              <w:top w:val="single" w:sz="8" w:space="0" w:color="000000"/>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esomeprazole 40 mg/d +</w:t>
            </w:r>
          </w:p>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mosapride 30mg </w:t>
            </w:r>
            <w:r w:rsidRPr="0008222B">
              <w:rPr>
                <w:rFonts w:ascii="Book Antiqua" w:hAnsi="Book Antiqua"/>
                <w:i/>
                <w:color w:val="000000"/>
                <w:kern w:val="0"/>
                <w:sz w:val="24"/>
              </w:rPr>
              <w:t>tid</w:t>
            </w:r>
          </w:p>
        </w:tc>
        <w:tc>
          <w:tcPr>
            <w:tcW w:w="2131" w:type="dxa"/>
            <w:tcBorders>
              <w:top w:val="single" w:sz="8" w:space="0" w:color="000000"/>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     19/24</w:t>
            </w:r>
          </w:p>
        </w:tc>
        <w:tc>
          <w:tcPr>
            <w:tcW w:w="2131" w:type="dxa"/>
            <w:tcBorders>
              <w:top w:val="single" w:sz="8" w:space="0" w:color="000000"/>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     13/19</w:t>
            </w:r>
          </w:p>
        </w:tc>
      </w:tr>
      <w:tr w:rsidR="00C87C35" w:rsidRPr="002B12EE" w:rsidTr="00632B55">
        <w:tc>
          <w:tcPr>
            <w:tcW w:w="2130" w:type="dxa"/>
            <w:tcBorders>
              <w:top w:val="nil"/>
              <w:bottom w:val="nil"/>
            </w:tcBorders>
          </w:tcPr>
          <w:p w:rsidR="00C87C35" w:rsidRPr="002B12EE" w:rsidRDefault="00C87C35" w:rsidP="00607F95">
            <w:pPr>
              <w:spacing w:line="360" w:lineRule="auto"/>
              <w:rPr>
                <w:rFonts w:ascii="Book Antiqua" w:hAnsi="Book Antiqua"/>
                <w:b/>
                <w:bCs/>
                <w:color w:val="000000"/>
                <w:kern w:val="0"/>
                <w:sz w:val="24"/>
              </w:rPr>
            </w:pPr>
            <w:r w:rsidRPr="002B12EE">
              <w:rPr>
                <w:rFonts w:ascii="Book Antiqua" w:hAnsi="Book Antiqua"/>
                <w:bCs/>
                <w:color w:val="000000"/>
                <w:kern w:val="0"/>
                <w:sz w:val="24"/>
              </w:rPr>
              <w:t xml:space="preserve">Hsu </w:t>
            </w:r>
            <w:r w:rsidRPr="004B095D">
              <w:rPr>
                <w:rFonts w:ascii="Book Antiqua" w:hAnsi="Book Antiqua"/>
                <w:bCs/>
                <w:i/>
                <w:color w:val="000000"/>
                <w:kern w:val="0"/>
                <w:sz w:val="24"/>
              </w:rPr>
              <w:t>et al</w:t>
            </w:r>
            <w:r w:rsidRPr="002B12EE">
              <w:rPr>
                <w:rFonts w:ascii="Book Antiqua" w:hAnsi="Book Antiqua"/>
                <w:bCs/>
                <w:color w:val="000000"/>
                <w:kern w:val="0"/>
                <w:sz w:val="24"/>
                <w:vertAlign w:val="superscript"/>
              </w:rPr>
              <w:t>[2]</w:t>
            </w:r>
            <w:r w:rsidRPr="002B12EE">
              <w:rPr>
                <w:rFonts w:ascii="Book Antiqua" w:hAnsi="Book Antiqua"/>
                <w:bCs/>
                <w:color w:val="000000"/>
                <w:kern w:val="0"/>
                <w:sz w:val="24"/>
              </w:rPr>
              <w:t>, 2011</w:t>
            </w:r>
          </w:p>
        </w:tc>
        <w:tc>
          <w:tcPr>
            <w:tcW w:w="2130"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lansoprazole 30 mg/d +</w:t>
            </w:r>
            <w:r w:rsidRPr="002B12EE">
              <w:rPr>
                <w:rFonts w:ascii="Book Antiqua" w:hAnsi="Book Antiqua"/>
                <w:sz w:val="24"/>
              </w:rPr>
              <w:t xml:space="preserve"> </w:t>
            </w:r>
            <w:r w:rsidRPr="002B12EE">
              <w:rPr>
                <w:rFonts w:ascii="Book Antiqua" w:hAnsi="Book Antiqua"/>
                <w:color w:val="000000"/>
                <w:kern w:val="0"/>
                <w:sz w:val="24"/>
              </w:rPr>
              <w:t xml:space="preserve">mosapride 5 mg </w:t>
            </w:r>
            <w:r w:rsidRPr="0008222B">
              <w:rPr>
                <w:rFonts w:ascii="Book Antiqua" w:hAnsi="Book Antiqua"/>
                <w:i/>
                <w:color w:val="000000"/>
                <w:kern w:val="0"/>
                <w:sz w:val="24"/>
              </w:rPr>
              <w:t>tid</w:t>
            </w:r>
          </w:p>
        </w:tc>
        <w:tc>
          <w:tcPr>
            <w:tcW w:w="2131"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     39/44</w:t>
            </w:r>
          </w:p>
        </w:tc>
        <w:tc>
          <w:tcPr>
            <w:tcW w:w="2131"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     41/50</w:t>
            </w:r>
          </w:p>
        </w:tc>
      </w:tr>
      <w:tr w:rsidR="00C87C35" w:rsidRPr="002B12EE" w:rsidTr="00632B55">
        <w:tc>
          <w:tcPr>
            <w:tcW w:w="2130" w:type="dxa"/>
            <w:tcBorders>
              <w:top w:val="nil"/>
              <w:left w:val="nil"/>
              <w:bottom w:val="nil"/>
              <w:right w:val="nil"/>
            </w:tcBorders>
          </w:tcPr>
          <w:p w:rsidR="00C87C35" w:rsidRPr="002B12EE" w:rsidRDefault="00C87C35" w:rsidP="00607F95">
            <w:pPr>
              <w:spacing w:line="360" w:lineRule="auto"/>
              <w:rPr>
                <w:rFonts w:ascii="Book Antiqua" w:hAnsi="Book Antiqua"/>
                <w:b/>
                <w:bCs/>
                <w:color w:val="000000"/>
                <w:kern w:val="0"/>
                <w:sz w:val="24"/>
              </w:rPr>
            </w:pPr>
            <w:r w:rsidRPr="002B12EE">
              <w:rPr>
                <w:rFonts w:ascii="Book Antiqua" w:hAnsi="Book Antiqua"/>
                <w:bCs/>
                <w:color w:val="000000"/>
                <w:kern w:val="0"/>
                <w:sz w:val="24"/>
              </w:rPr>
              <w:t xml:space="preserve">Madan </w:t>
            </w:r>
            <w:r w:rsidRPr="004B095D">
              <w:rPr>
                <w:rFonts w:ascii="Book Antiqua" w:hAnsi="Book Antiqua"/>
                <w:bCs/>
                <w:i/>
                <w:color w:val="000000"/>
                <w:kern w:val="0"/>
                <w:sz w:val="24"/>
              </w:rPr>
              <w:t>et al</w:t>
            </w:r>
            <w:r w:rsidRPr="002B12EE">
              <w:rPr>
                <w:rFonts w:ascii="Book Antiqua" w:hAnsi="Book Antiqua"/>
                <w:bCs/>
                <w:color w:val="000000"/>
                <w:kern w:val="0"/>
                <w:sz w:val="24"/>
                <w:vertAlign w:val="superscript"/>
              </w:rPr>
              <w:t>[19]</w:t>
            </w:r>
            <w:r w:rsidRPr="002B12EE">
              <w:rPr>
                <w:rFonts w:ascii="Book Antiqua" w:hAnsi="Book Antiqua"/>
                <w:bCs/>
                <w:color w:val="000000"/>
                <w:kern w:val="0"/>
                <w:sz w:val="24"/>
              </w:rPr>
              <w:t>, 2004</w:t>
            </w:r>
          </w:p>
        </w:tc>
        <w:tc>
          <w:tcPr>
            <w:tcW w:w="2130" w:type="dxa"/>
            <w:tcBorders>
              <w:top w:val="nil"/>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pantoprazole 40 mg </w:t>
            </w:r>
            <w:r w:rsidRPr="0008222B">
              <w:rPr>
                <w:rFonts w:ascii="Book Antiqua" w:hAnsi="Book Antiqua"/>
                <w:i/>
                <w:color w:val="000000"/>
                <w:kern w:val="0"/>
                <w:sz w:val="24"/>
              </w:rPr>
              <w:t>bid</w:t>
            </w:r>
            <w:r w:rsidRPr="002B12EE">
              <w:rPr>
                <w:rFonts w:ascii="Book Antiqua" w:hAnsi="Book Antiqua"/>
                <w:color w:val="000000"/>
                <w:kern w:val="0"/>
                <w:sz w:val="24"/>
              </w:rPr>
              <w:t xml:space="preserve"> +</w:t>
            </w:r>
            <w:r w:rsidRPr="002B12EE">
              <w:rPr>
                <w:rFonts w:ascii="Book Antiqua" w:hAnsi="Book Antiqua"/>
                <w:sz w:val="24"/>
              </w:rPr>
              <w:t xml:space="preserve"> </w:t>
            </w:r>
            <w:r w:rsidRPr="002B12EE">
              <w:rPr>
                <w:rFonts w:ascii="Book Antiqua" w:hAnsi="Book Antiqua"/>
                <w:color w:val="000000"/>
                <w:kern w:val="0"/>
                <w:sz w:val="24"/>
              </w:rPr>
              <w:t xml:space="preserve">mosapride 5 mg </w:t>
            </w:r>
            <w:r w:rsidRPr="0008222B">
              <w:rPr>
                <w:rFonts w:ascii="Book Antiqua" w:hAnsi="Book Antiqua"/>
                <w:i/>
                <w:color w:val="000000"/>
                <w:kern w:val="0"/>
                <w:sz w:val="24"/>
              </w:rPr>
              <w:t>tid</w:t>
            </w:r>
          </w:p>
        </w:tc>
        <w:tc>
          <w:tcPr>
            <w:tcW w:w="2131" w:type="dxa"/>
            <w:tcBorders>
              <w:top w:val="nil"/>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     25/28</w:t>
            </w:r>
          </w:p>
        </w:tc>
        <w:tc>
          <w:tcPr>
            <w:tcW w:w="2131" w:type="dxa"/>
            <w:tcBorders>
              <w:top w:val="nil"/>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     23/33</w:t>
            </w:r>
          </w:p>
        </w:tc>
      </w:tr>
      <w:tr w:rsidR="00C87C35" w:rsidRPr="002B12EE" w:rsidTr="00632B55">
        <w:tc>
          <w:tcPr>
            <w:tcW w:w="2130" w:type="dxa"/>
            <w:tcBorders>
              <w:top w:val="nil"/>
              <w:bottom w:val="nil"/>
            </w:tcBorders>
          </w:tcPr>
          <w:p w:rsidR="00C87C35" w:rsidRPr="002B12EE" w:rsidRDefault="00C87C35" w:rsidP="00607F95">
            <w:pPr>
              <w:spacing w:line="360" w:lineRule="auto"/>
              <w:rPr>
                <w:rFonts w:ascii="Book Antiqua" w:hAnsi="Book Antiqua"/>
                <w:b/>
                <w:bCs/>
                <w:color w:val="000000"/>
                <w:kern w:val="0"/>
                <w:sz w:val="24"/>
              </w:rPr>
            </w:pPr>
            <w:r w:rsidRPr="002B12EE">
              <w:rPr>
                <w:rFonts w:ascii="Book Antiqua" w:hAnsi="Book Antiqua"/>
                <w:bCs/>
                <w:color w:val="000000"/>
                <w:kern w:val="0"/>
                <w:sz w:val="24"/>
              </w:rPr>
              <w:t xml:space="preserve">Miwa </w:t>
            </w:r>
            <w:r w:rsidRPr="004B095D">
              <w:rPr>
                <w:rFonts w:ascii="Book Antiqua" w:hAnsi="Book Antiqua"/>
                <w:bCs/>
                <w:i/>
                <w:color w:val="000000"/>
                <w:kern w:val="0"/>
                <w:sz w:val="24"/>
              </w:rPr>
              <w:t>et al</w:t>
            </w:r>
            <w:r w:rsidRPr="002B12EE">
              <w:rPr>
                <w:rFonts w:ascii="Book Antiqua" w:hAnsi="Book Antiqua"/>
                <w:bCs/>
                <w:color w:val="000000"/>
                <w:kern w:val="0"/>
                <w:sz w:val="24"/>
                <w:vertAlign w:val="superscript"/>
              </w:rPr>
              <w:t>[12]</w:t>
            </w:r>
            <w:r w:rsidRPr="002B12EE">
              <w:rPr>
                <w:rFonts w:ascii="Book Antiqua" w:hAnsi="Book Antiqua"/>
                <w:bCs/>
                <w:color w:val="000000"/>
                <w:kern w:val="0"/>
                <w:sz w:val="24"/>
              </w:rPr>
              <w:t>, 2011</w:t>
            </w:r>
          </w:p>
        </w:tc>
        <w:tc>
          <w:tcPr>
            <w:tcW w:w="2130"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omeprazole 10 mg/d+ mosapride 5 mg </w:t>
            </w:r>
            <w:r w:rsidRPr="0008222B">
              <w:rPr>
                <w:rFonts w:ascii="Book Antiqua" w:hAnsi="Book Antiqua"/>
                <w:i/>
                <w:color w:val="000000"/>
                <w:kern w:val="0"/>
                <w:sz w:val="24"/>
              </w:rPr>
              <w:t>tid</w:t>
            </w:r>
          </w:p>
        </w:tc>
        <w:tc>
          <w:tcPr>
            <w:tcW w:w="2131"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     45/97</w:t>
            </w:r>
          </w:p>
        </w:tc>
        <w:tc>
          <w:tcPr>
            <w:tcW w:w="2131"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     42/95</w:t>
            </w:r>
          </w:p>
        </w:tc>
      </w:tr>
      <w:tr w:rsidR="00C87C35" w:rsidRPr="002B12EE" w:rsidTr="00632B55">
        <w:tc>
          <w:tcPr>
            <w:tcW w:w="2130" w:type="dxa"/>
            <w:tcBorders>
              <w:top w:val="nil"/>
              <w:left w:val="nil"/>
              <w:bottom w:val="nil"/>
              <w:right w:val="nil"/>
            </w:tcBorders>
          </w:tcPr>
          <w:p w:rsidR="00C87C35" w:rsidRPr="002B12EE" w:rsidRDefault="00C87C35" w:rsidP="00607F95">
            <w:pPr>
              <w:spacing w:line="360" w:lineRule="auto"/>
              <w:rPr>
                <w:rFonts w:ascii="Book Antiqua" w:hAnsi="Book Antiqua"/>
                <w:b/>
                <w:bCs/>
                <w:color w:val="000000"/>
                <w:kern w:val="0"/>
                <w:sz w:val="24"/>
              </w:rPr>
            </w:pPr>
            <w:r w:rsidRPr="002B12EE">
              <w:rPr>
                <w:rFonts w:ascii="Book Antiqua" w:hAnsi="Book Antiqua"/>
                <w:bCs/>
                <w:color w:val="000000"/>
                <w:kern w:val="0"/>
                <w:sz w:val="24"/>
              </w:rPr>
              <w:t xml:space="preserve">VanRensburg </w:t>
            </w:r>
            <w:r w:rsidRPr="004B095D">
              <w:rPr>
                <w:rFonts w:ascii="Book Antiqua" w:hAnsi="Book Antiqua"/>
                <w:bCs/>
                <w:i/>
                <w:color w:val="000000"/>
                <w:kern w:val="0"/>
                <w:sz w:val="24"/>
              </w:rPr>
              <w:t>et al</w:t>
            </w:r>
            <w:r w:rsidRPr="002B12EE">
              <w:rPr>
                <w:rFonts w:ascii="Book Antiqua" w:hAnsi="Book Antiqua"/>
                <w:bCs/>
                <w:color w:val="000000"/>
                <w:kern w:val="0"/>
                <w:sz w:val="24"/>
                <w:vertAlign w:val="superscript"/>
              </w:rPr>
              <w:t>[25]</w:t>
            </w:r>
            <w:r w:rsidRPr="002B12EE">
              <w:rPr>
                <w:rFonts w:ascii="Book Antiqua" w:hAnsi="Book Antiqua"/>
                <w:bCs/>
                <w:color w:val="000000"/>
                <w:kern w:val="0"/>
                <w:sz w:val="24"/>
              </w:rPr>
              <w:t>, 2001</w:t>
            </w:r>
          </w:p>
        </w:tc>
        <w:tc>
          <w:tcPr>
            <w:tcW w:w="2130" w:type="dxa"/>
            <w:tcBorders>
              <w:top w:val="nil"/>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pantoprazole 40 mg/d +</w:t>
            </w:r>
            <w:r w:rsidRPr="002B12EE">
              <w:rPr>
                <w:rFonts w:ascii="Book Antiqua" w:hAnsi="Book Antiqua"/>
                <w:sz w:val="24"/>
              </w:rPr>
              <w:t xml:space="preserve"> </w:t>
            </w:r>
            <w:r w:rsidRPr="002B12EE">
              <w:rPr>
                <w:rFonts w:ascii="Book Antiqua" w:hAnsi="Book Antiqua"/>
                <w:color w:val="000000"/>
                <w:kern w:val="0"/>
                <w:sz w:val="24"/>
              </w:rPr>
              <w:t xml:space="preserve">cisapride 20 mg </w:t>
            </w:r>
            <w:r w:rsidRPr="0008222B">
              <w:rPr>
                <w:rFonts w:ascii="Book Antiqua" w:hAnsi="Book Antiqua"/>
                <w:i/>
                <w:color w:val="000000"/>
                <w:kern w:val="0"/>
                <w:sz w:val="24"/>
              </w:rPr>
              <w:t>bid</w:t>
            </w:r>
          </w:p>
        </w:tc>
        <w:tc>
          <w:tcPr>
            <w:tcW w:w="2131" w:type="dxa"/>
            <w:tcBorders>
              <w:top w:val="nil"/>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     120/173</w:t>
            </w:r>
          </w:p>
        </w:tc>
        <w:tc>
          <w:tcPr>
            <w:tcW w:w="2131" w:type="dxa"/>
            <w:tcBorders>
              <w:top w:val="nil"/>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     129/177</w:t>
            </w:r>
          </w:p>
        </w:tc>
      </w:tr>
      <w:tr w:rsidR="00C87C35" w:rsidRPr="002B12EE" w:rsidTr="00632B55">
        <w:tc>
          <w:tcPr>
            <w:tcW w:w="2130" w:type="dxa"/>
            <w:tcBorders>
              <w:top w:val="nil"/>
              <w:bottom w:val="nil"/>
            </w:tcBorders>
          </w:tcPr>
          <w:p w:rsidR="00C87C35" w:rsidRPr="002B12EE" w:rsidRDefault="00C87C35" w:rsidP="00607F95">
            <w:pPr>
              <w:spacing w:line="360" w:lineRule="auto"/>
              <w:rPr>
                <w:rFonts w:ascii="Book Antiqua" w:hAnsi="Book Antiqua"/>
                <w:b/>
                <w:bCs/>
                <w:color w:val="000000"/>
                <w:kern w:val="0"/>
                <w:sz w:val="24"/>
              </w:rPr>
            </w:pPr>
            <w:r w:rsidRPr="002B12EE">
              <w:rPr>
                <w:rFonts w:ascii="Book Antiqua" w:hAnsi="Book Antiqua"/>
                <w:bCs/>
                <w:color w:val="000000"/>
                <w:kern w:val="0"/>
                <w:sz w:val="24"/>
              </w:rPr>
              <w:t xml:space="preserve">Vigneri </w:t>
            </w:r>
            <w:r w:rsidRPr="004B095D">
              <w:rPr>
                <w:rFonts w:ascii="Book Antiqua" w:hAnsi="Book Antiqua"/>
                <w:bCs/>
                <w:i/>
                <w:color w:val="000000"/>
                <w:kern w:val="0"/>
                <w:sz w:val="24"/>
              </w:rPr>
              <w:t>et al</w:t>
            </w:r>
            <w:r w:rsidRPr="002B12EE">
              <w:rPr>
                <w:rFonts w:ascii="Book Antiqua" w:hAnsi="Book Antiqua"/>
                <w:bCs/>
                <w:color w:val="000000"/>
                <w:kern w:val="0"/>
                <w:sz w:val="24"/>
                <w:vertAlign w:val="superscript"/>
              </w:rPr>
              <w:t>[26]</w:t>
            </w:r>
            <w:r w:rsidRPr="002B12EE">
              <w:rPr>
                <w:rFonts w:ascii="Book Antiqua" w:hAnsi="Book Antiqua"/>
                <w:bCs/>
                <w:color w:val="000000"/>
                <w:kern w:val="0"/>
                <w:sz w:val="24"/>
              </w:rPr>
              <w:t>, 1995</w:t>
            </w:r>
          </w:p>
        </w:tc>
        <w:tc>
          <w:tcPr>
            <w:tcW w:w="2130"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omeprazole 40 mg/d +</w:t>
            </w:r>
            <w:r w:rsidRPr="002B12EE">
              <w:rPr>
                <w:rFonts w:ascii="Book Antiqua" w:hAnsi="Book Antiqua"/>
                <w:sz w:val="24"/>
              </w:rPr>
              <w:t xml:space="preserve"> </w:t>
            </w:r>
            <w:r w:rsidRPr="002B12EE">
              <w:rPr>
                <w:rFonts w:ascii="Book Antiqua" w:hAnsi="Book Antiqua"/>
                <w:color w:val="000000"/>
                <w:kern w:val="0"/>
                <w:sz w:val="24"/>
              </w:rPr>
              <w:t xml:space="preserve">cisapride 10 mg </w:t>
            </w:r>
            <w:r w:rsidRPr="0008222B">
              <w:rPr>
                <w:rFonts w:ascii="Book Antiqua" w:hAnsi="Book Antiqua"/>
                <w:i/>
                <w:color w:val="000000"/>
                <w:kern w:val="0"/>
                <w:sz w:val="24"/>
              </w:rPr>
              <w:t>tid</w:t>
            </w:r>
          </w:p>
        </w:tc>
        <w:tc>
          <w:tcPr>
            <w:tcW w:w="2131"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     31/35</w:t>
            </w:r>
          </w:p>
        </w:tc>
        <w:tc>
          <w:tcPr>
            <w:tcW w:w="2131" w:type="dxa"/>
            <w:tcBorders>
              <w:top w:val="nil"/>
              <w:bottom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     28/35</w:t>
            </w:r>
          </w:p>
        </w:tc>
      </w:tr>
      <w:tr w:rsidR="00C87C35" w:rsidRPr="002B12EE" w:rsidTr="00632B55">
        <w:tc>
          <w:tcPr>
            <w:tcW w:w="2130" w:type="dxa"/>
            <w:tcBorders>
              <w:top w:val="nil"/>
              <w:left w:val="nil"/>
              <w:bottom w:val="nil"/>
              <w:right w:val="nil"/>
            </w:tcBorders>
          </w:tcPr>
          <w:p w:rsidR="00C87C35" w:rsidRPr="002B12EE" w:rsidRDefault="00C87C35" w:rsidP="00607F95">
            <w:pPr>
              <w:spacing w:line="360" w:lineRule="auto"/>
              <w:rPr>
                <w:rFonts w:ascii="Book Antiqua" w:hAnsi="Book Antiqua"/>
                <w:b/>
                <w:bCs/>
                <w:color w:val="000000"/>
                <w:kern w:val="0"/>
                <w:sz w:val="24"/>
              </w:rPr>
            </w:pPr>
            <w:r w:rsidRPr="002B12EE">
              <w:rPr>
                <w:rFonts w:ascii="Book Antiqua" w:hAnsi="Book Antiqua"/>
                <w:bCs/>
                <w:color w:val="000000"/>
                <w:kern w:val="0"/>
                <w:sz w:val="24"/>
              </w:rPr>
              <w:t xml:space="preserve">Beaumont </w:t>
            </w:r>
            <w:r w:rsidRPr="004B095D">
              <w:rPr>
                <w:rFonts w:ascii="Book Antiqua" w:hAnsi="Book Antiqua"/>
                <w:bCs/>
                <w:i/>
                <w:color w:val="000000"/>
                <w:kern w:val="0"/>
                <w:sz w:val="24"/>
              </w:rPr>
              <w:t>et al</w:t>
            </w:r>
            <w:r w:rsidRPr="002B12EE">
              <w:rPr>
                <w:rFonts w:ascii="Book Antiqua" w:hAnsi="Book Antiqua"/>
                <w:bCs/>
                <w:color w:val="000000"/>
                <w:kern w:val="0"/>
                <w:sz w:val="24"/>
                <w:vertAlign w:val="superscript"/>
              </w:rPr>
              <w:t>[27]</w:t>
            </w:r>
            <w:r w:rsidRPr="002B12EE">
              <w:rPr>
                <w:rFonts w:ascii="Book Antiqua" w:hAnsi="Book Antiqua"/>
                <w:bCs/>
                <w:color w:val="000000"/>
                <w:kern w:val="0"/>
                <w:sz w:val="24"/>
              </w:rPr>
              <w:t>, 2009</w:t>
            </w:r>
          </w:p>
        </w:tc>
        <w:tc>
          <w:tcPr>
            <w:tcW w:w="2130" w:type="dxa"/>
            <w:tcBorders>
              <w:top w:val="nil"/>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PPI + baclofen 20 mg </w:t>
            </w:r>
            <w:r w:rsidRPr="0008222B">
              <w:rPr>
                <w:rFonts w:ascii="Book Antiqua" w:hAnsi="Book Antiqua"/>
                <w:i/>
                <w:color w:val="000000"/>
                <w:kern w:val="0"/>
                <w:sz w:val="24"/>
              </w:rPr>
              <w:t>tid</w:t>
            </w:r>
          </w:p>
        </w:tc>
        <w:tc>
          <w:tcPr>
            <w:tcW w:w="2131" w:type="dxa"/>
            <w:tcBorders>
              <w:top w:val="nil"/>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     4/12</w:t>
            </w:r>
          </w:p>
        </w:tc>
        <w:tc>
          <w:tcPr>
            <w:tcW w:w="2131" w:type="dxa"/>
            <w:tcBorders>
              <w:top w:val="nil"/>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     6/12</w:t>
            </w:r>
          </w:p>
        </w:tc>
      </w:tr>
      <w:tr w:rsidR="00C87C35" w:rsidRPr="002B12EE" w:rsidTr="00632B55">
        <w:tc>
          <w:tcPr>
            <w:tcW w:w="2130" w:type="dxa"/>
            <w:tcBorders>
              <w:top w:val="nil"/>
              <w:left w:val="nil"/>
              <w:bottom w:val="nil"/>
              <w:right w:val="nil"/>
            </w:tcBorders>
          </w:tcPr>
          <w:p w:rsidR="00C87C35" w:rsidRPr="002B12EE" w:rsidRDefault="00C87C35" w:rsidP="00607F95">
            <w:pPr>
              <w:spacing w:line="360" w:lineRule="auto"/>
              <w:rPr>
                <w:rFonts w:ascii="Book Antiqua" w:hAnsi="Book Antiqua"/>
                <w:bCs/>
                <w:color w:val="000000"/>
                <w:kern w:val="0"/>
                <w:sz w:val="24"/>
              </w:rPr>
            </w:pPr>
            <w:r w:rsidRPr="002B12EE">
              <w:rPr>
                <w:rFonts w:ascii="Book Antiqua" w:hAnsi="Book Antiqua"/>
                <w:bCs/>
                <w:color w:val="000000"/>
                <w:kern w:val="0"/>
                <w:sz w:val="24"/>
              </w:rPr>
              <w:lastRenderedPageBreak/>
              <w:t xml:space="preserve">Boeckxstaens </w:t>
            </w:r>
            <w:r w:rsidRPr="004B095D">
              <w:rPr>
                <w:rFonts w:ascii="Book Antiqua" w:hAnsi="Book Antiqua"/>
                <w:bCs/>
                <w:i/>
                <w:color w:val="000000"/>
                <w:kern w:val="0"/>
                <w:sz w:val="24"/>
              </w:rPr>
              <w:t>et al</w:t>
            </w:r>
            <w:r w:rsidRPr="002B12EE">
              <w:rPr>
                <w:rFonts w:ascii="Book Antiqua" w:hAnsi="Book Antiqua"/>
                <w:bCs/>
                <w:color w:val="000000"/>
                <w:kern w:val="0"/>
                <w:sz w:val="24"/>
                <w:vertAlign w:val="superscript"/>
              </w:rPr>
              <w:t>[22]</w:t>
            </w:r>
            <w:r w:rsidRPr="002B12EE">
              <w:rPr>
                <w:rFonts w:ascii="Book Antiqua" w:hAnsi="Book Antiqua"/>
                <w:bCs/>
                <w:color w:val="000000"/>
                <w:kern w:val="0"/>
                <w:sz w:val="24"/>
              </w:rPr>
              <w:t>, 2011</w:t>
            </w:r>
          </w:p>
        </w:tc>
        <w:tc>
          <w:tcPr>
            <w:tcW w:w="2130" w:type="dxa"/>
            <w:tcBorders>
              <w:top w:val="nil"/>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PPI + lesogaberan 65 mg </w:t>
            </w:r>
            <w:r w:rsidRPr="0008222B">
              <w:rPr>
                <w:rFonts w:ascii="Book Antiqua" w:hAnsi="Book Antiqua"/>
                <w:i/>
                <w:color w:val="000000"/>
                <w:kern w:val="0"/>
                <w:sz w:val="24"/>
              </w:rPr>
              <w:t>bid</w:t>
            </w:r>
          </w:p>
        </w:tc>
        <w:tc>
          <w:tcPr>
            <w:tcW w:w="2131" w:type="dxa"/>
            <w:tcBorders>
              <w:top w:val="nil"/>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     21/104</w:t>
            </w:r>
          </w:p>
        </w:tc>
        <w:tc>
          <w:tcPr>
            <w:tcW w:w="2131" w:type="dxa"/>
            <w:tcBorders>
              <w:top w:val="nil"/>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     11/105</w:t>
            </w:r>
          </w:p>
        </w:tc>
      </w:tr>
      <w:tr w:rsidR="00C87C35" w:rsidRPr="002B12EE" w:rsidTr="00632B55">
        <w:tc>
          <w:tcPr>
            <w:tcW w:w="2130" w:type="dxa"/>
            <w:tcBorders>
              <w:top w:val="nil"/>
              <w:left w:val="nil"/>
              <w:bottom w:val="nil"/>
              <w:right w:val="nil"/>
            </w:tcBorders>
          </w:tcPr>
          <w:p w:rsidR="00C87C35" w:rsidRPr="002B12EE" w:rsidRDefault="00C87C35" w:rsidP="00607F95">
            <w:pPr>
              <w:spacing w:line="360" w:lineRule="auto"/>
              <w:rPr>
                <w:rFonts w:ascii="Book Antiqua" w:hAnsi="Book Antiqua"/>
                <w:bCs/>
                <w:color w:val="000000"/>
                <w:kern w:val="0"/>
                <w:sz w:val="24"/>
              </w:rPr>
            </w:pPr>
            <w:r w:rsidRPr="002B12EE">
              <w:rPr>
                <w:rFonts w:ascii="Book Antiqua" w:hAnsi="Book Antiqua"/>
                <w:bCs/>
                <w:color w:val="000000"/>
                <w:kern w:val="0"/>
                <w:sz w:val="24"/>
              </w:rPr>
              <w:t xml:space="preserve">Shaheen </w:t>
            </w:r>
            <w:r w:rsidRPr="004B095D">
              <w:rPr>
                <w:rFonts w:ascii="Book Antiqua" w:hAnsi="Book Antiqua"/>
                <w:bCs/>
                <w:i/>
                <w:color w:val="000000"/>
                <w:kern w:val="0"/>
                <w:sz w:val="24"/>
              </w:rPr>
              <w:t>et al</w:t>
            </w:r>
            <w:r w:rsidRPr="002B12EE">
              <w:rPr>
                <w:rFonts w:ascii="Book Antiqua" w:hAnsi="Book Antiqua"/>
                <w:bCs/>
                <w:color w:val="000000"/>
                <w:kern w:val="0"/>
                <w:sz w:val="24"/>
                <w:vertAlign w:val="superscript"/>
              </w:rPr>
              <w:t>[28]</w:t>
            </w:r>
            <w:r w:rsidRPr="002B12EE">
              <w:rPr>
                <w:rFonts w:ascii="Book Antiqua" w:hAnsi="Book Antiqua"/>
                <w:bCs/>
                <w:color w:val="000000"/>
                <w:kern w:val="0"/>
                <w:sz w:val="24"/>
              </w:rPr>
              <w:t>, 2013</w:t>
            </w:r>
          </w:p>
        </w:tc>
        <w:tc>
          <w:tcPr>
            <w:tcW w:w="2130" w:type="dxa"/>
            <w:tcBorders>
              <w:top w:val="nil"/>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PPI + lesogaberan 60/120/180/240 mg bd</w:t>
            </w:r>
          </w:p>
        </w:tc>
        <w:tc>
          <w:tcPr>
            <w:tcW w:w="2131" w:type="dxa"/>
            <w:tcBorders>
              <w:top w:val="nil"/>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     110/458</w:t>
            </w:r>
          </w:p>
        </w:tc>
        <w:tc>
          <w:tcPr>
            <w:tcW w:w="2131" w:type="dxa"/>
            <w:tcBorders>
              <w:top w:val="nil"/>
              <w:left w:val="nil"/>
              <w:bottom w:val="nil"/>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     22/122</w:t>
            </w:r>
          </w:p>
        </w:tc>
      </w:tr>
      <w:tr w:rsidR="00C87C35" w:rsidRPr="002B12EE" w:rsidTr="00632B55">
        <w:tc>
          <w:tcPr>
            <w:tcW w:w="2130" w:type="dxa"/>
            <w:tcBorders>
              <w:top w:val="nil"/>
              <w:left w:val="nil"/>
              <w:bottom w:val="single" w:sz="8" w:space="0" w:color="000000"/>
              <w:right w:val="nil"/>
            </w:tcBorders>
          </w:tcPr>
          <w:p w:rsidR="00C87C35" w:rsidRPr="002B12EE" w:rsidRDefault="00C87C35" w:rsidP="00607F95">
            <w:pPr>
              <w:spacing w:line="360" w:lineRule="auto"/>
              <w:rPr>
                <w:rFonts w:ascii="Book Antiqua" w:hAnsi="Book Antiqua"/>
                <w:bCs/>
                <w:color w:val="000000"/>
                <w:kern w:val="0"/>
                <w:sz w:val="24"/>
              </w:rPr>
            </w:pPr>
            <w:r w:rsidRPr="002B12EE">
              <w:rPr>
                <w:rFonts w:ascii="Book Antiqua" w:hAnsi="Book Antiqua"/>
                <w:bCs/>
                <w:color w:val="000000"/>
                <w:kern w:val="0"/>
                <w:sz w:val="24"/>
              </w:rPr>
              <w:t xml:space="preserve">Vakil </w:t>
            </w:r>
            <w:r w:rsidRPr="004B095D">
              <w:rPr>
                <w:rFonts w:ascii="Book Antiqua" w:hAnsi="Book Antiqua"/>
                <w:bCs/>
                <w:i/>
                <w:color w:val="000000"/>
                <w:kern w:val="0"/>
                <w:sz w:val="24"/>
              </w:rPr>
              <w:t>et al</w:t>
            </w:r>
            <w:r w:rsidRPr="002B12EE">
              <w:rPr>
                <w:rFonts w:ascii="Book Antiqua" w:hAnsi="Book Antiqua"/>
                <w:bCs/>
                <w:color w:val="000000"/>
                <w:kern w:val="0"/>
                <w:sz w:val="24"/>
                <w:vertAlign w:val="superscript"/>
              </w:rPr>
              <w:t>[23]</w:t>
            </w:r>
            <w:r w:rsidRPr="002B12EE">
              <w:rPr>
                <w:rFonts w:ascii="Book Antiqua" w:hAnsi="Book Antiqua"/>
                <w:bCs/>
                <w:color w:val="000000"/>
                <w:kern w:val="0"/>
                <w:sz w:val="24"/>
              </w:rPr>
              <w:t>, 2013</w:t>
            </w:r>
          </w:p>
        </w:tc>
        <w:tc>
          <w:tcPr>
            <w:tcW w:w="2130" w:type="dxa"/>
            <w:tcBorders>
              <w:top w:val="nil"/>
              <w:left w:val="nil"/>
              <w:bottom w:val="single" w:sz="8" w:space="0" w:color="000000"/>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PPI + baclofen 20/40/60 mg qd</w:t>
            </w:r>
          </w:p>
        </w:tc>
        <w:tc>
          <w:tcPr>
            <w:tcW w:w="2131" w:type="dxa"/>
            <w:tcBorders>
              <w:top w:val="nil"/>
              <w:left w:val="nil"/>
              <w:bottom w:val="single" w:sz="8" w:space="0" w:color="000000"/>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     110/240</w:t>
            </w:r>
          </w:p>
        </w:tc>
        <w:tc>
          <w:tcPr>
            <w:tcW w:w="2131" w:type="dxa"/>
            <w:tcBorders>
              <w:top w:val="nil"/>
              <w:left w:val="nil"/>
              <w:bottom w:val="single" w:sz="8" w:space="0" w:color="000000"/>
              <w:right w:val="nil"/>
            </w:tcBorders>
          </w:tcPr>
          <w:p w:rsidR="00C87C35" w:rsidRPr="002B12EE" w:rsidRDefault="00C87C35" w:rsidP="002B12EE">
            <w:pPr>
              <w:spacing w:line="360" w:lineRule="auto"/>
              <w:rPr>
                <w:rFonts w:ascii="Book Antiqua" w:hAnsi="Book Antiqua"/>
                <w:color w:val="000000"/>
                <w:kern w:val="0"/>
                <w:sz w:val="24"/>
              </w:rPr>
            </w:pPr>
            <w:r w:rsidRPr="002B12EE">
              <w:rPr>
                <w:rFonts w:ascii="Book Antiqua" w:hAnsi="Book Antiqua"/>
                <w:color w:val="000000"/>
                <w:kern w:val="0"/>
                <w:sz w:val="24"/>
              </w:rPr>
              <w:t xml:space="preserve">     21/54</w:t>
            </w:r>
          </w:p>
          <w:p w:rsidR="00C87C35" w:rsidRPr="002B12EE" w:rsidRDefault="00C87C35" w:rsidP="009B786E">
            <w:pPr>
              <w:spacing w:line="360" w:lineRule="auto"/>
              <w:rPr>
                <w:rFonts w:ascii="Book Antiqua" w:hAnsi="Book Antiqua"/>
                <w:color w:val="000000"/>
                <w:kern w:val="0"/>
                <w:sz w:val="24"/>
              </w:rPr>
            </w:pPr>
          </w:p>
        </w:tc>
      </w:tr>
    </w:tbl>
    <w:p w:rsidR="00C87C35" w:rsidRDefault="00C87C35" w:rsidP="002B12EE">
      <w:pPr>
        <w:spacing w:line="360" w:lineRule="auto"/>
        <w:rPr>
          <w:rFonts w:ascii="Book Antiqua" w:hAnsi="Book Antiqua"/>
          <w:b/>
          <w:color w:val="000000"/>
          <w:kern w:val="0"/>
          <w:sz w:val="24"/>
        </w:rPr>
      </w:pPr>
    </w:p>
    <w:p w:rsidR="00C87C35" w:rsidRPr="002B12EE" w:rsidRDefault="00C87C35" w:rsidP="009B786E">
      <w:pPr>
        <w:spacing w:line="360" w:lineRule="auto"/>
        <w:rPr>
          <w:rFonts w:ascii="Book Antiqua" w:hAnsi="Book Antiqua"/>
          <w:kern w:val="21"/>
          <w:sz w:val="24"/>
        </w:rPr>
      </w:pPr>
      <w:r w:rsidRPr="002B12EE">
        <w:rPr>
          <w:rFonts w:ascii="Book Antiqua" w:hAnsi="Book Antiqua"/>
          <w:kern w:val="3"/>
          <w:sz w:val="24"/>
        </w:rPr>
        <w:t>PPIs</w:t>
      </w:r>
      <w:r>
        <w:rPr>
          <w:rFonts w:ascii="Book Antiqua" w:hAnsi="Book Antiqua"/>
          <w:kern w:val="3"/>
          <w:sz w:val="24"/>
        </w:rPr>
        <w:t>: P</w:t>
      </w:r>
      <w:r w:rsidRPr="002B12EE">
        <w:rPr>
          <w:rFonts w:ascii="Book Antiqua" w:hAnsi="Book Antiqua"/>
          <w:kern w:val="3"/>
          <w:sz w:val="24"/>
        </w:rPr>
        <w:t>roton pump inhibitors</w:t>
      </w:r>
      <w:r>
        <w:rPr>
          <w:rFonts w:ascii="Book Antiqua" w:hAnsi="Book Antiqua"/>
          <w:kern w:val="3"/>
          <w:sz w:val="24"/>
        </w:rPr>
        <w:t>.</w:t>
      </w:r>
    </w:p>
    <w:p w:rsidR="00C87C35" w:rsidRDefault="00C87C35" w:rsidP="002B12EE">
      <w:pPr>
        <w:spacing w:line="360" w:lineRule="auto"/>
        <w:rPr>
          <w:rFonts w:ascii="Book Antiqua" w:hAnsi="Book Antiqua"/>
          <w:b/>
          <w:color w:val="000000"/>
          <w:kern w:val="0"/>
          <w:sz w:val="24"/>
        </w:rPr>
      </w:pPr>
    </w:p>
    <w:p w:rsidR="00C87C35" w:rsidRPr="002B12EE" w:rsidRDefault="00C87C35" w:rsidP="009B786E">
      <w:pPr>
        <w:spacing w:line="360" w:lineRule="auto"/>
        <w:rPr>
          <w:rFonts w:ascii="Book Antiqua" w:hAnsi="Book Antiqua"/>
          <w:kern w:val="21"/>
          <w:sz w:val="24"/>
        </w:rPr>
      </w:pPr>
    </w:p>
    <w:p w:rsidR="00C87C35" w:rsidRDefault="00C87C35" w:rsidP="002B12EE">
      <w:pPr>
        <w:spacing w:line="360" w:lineRule="auto"/>
        <w:rPr>
          <w:rFonts w:ascii="Book Antiqua" w:hAnsi="Book Antiqua"/>
          <w:b/>
          <w:color w:val="000000"/>
          <w:kern w:val="0"/>
          <w:sz w:val="24"/>
        </w:rPr>
      </w:pPr>
    </w:p>
    <w:p w:rsidR="00C87C35" w:rsidRDefault="00C87C35" w:rsidP="002B12EE">
      <w:pPr>
        <w:spacing w:line="360" w:lineRule="auto"/>
        <w:rPr>
          <w:rFonts w:ascii="Book Antiqua" w:hAnsi="Book Antiqua"/>
          <w:b/>
          <w:color w:val="000000"/>
          <w:kern w:val="0"/>
          <w:sz w:val="24"/>
        </w:rPr>
      </w:pPr>
    </w:p>
    <w:p w:rsidR="00C87C35" w:rsidRDefault="00C87C35" w:rsidP="002B12EE">
      <w:pPr>
        <w:spacing w:line="360" w:lineRule="auto"/>
        <w:rPr>
          <w:rFonts w:ascii="Book Antiqua" w:hAnsi="Book Antiqua"/>
          <w:b/>
          <w:color w:val="000000"/>
          <w:kern w:val="0"/>
          <w:sz w:val="24"/>
        </w:rPr>
      </w:pPr>
    </w:p>
    <w:sectPr w:rsidR="00C87C35" w:rsidSect="00666C1B">
      <w:headerReference w:type="default" r:id="rId21"/>
      <w:pgSz w:w="11906" w:h="16838"/>
      <w:pgMar w:top="1440" w:right="1800" w:bottom="1440" w:left="1800" w:header="850" w:footer="9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38" w:rsidRDefault="003C7638" w:rsidP="001C71D9">
      <w:r>
        <w:separator/>
      </w:r>
    </w:p>
  </w:endnote>
  <w:endnote w:type="continuationSeparator" w:id="0">
    <w:p w:rsidR="003C7638" w:rsidRDefault="003C7638" w:rsidP="001C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38" w:rsidRDefault="003C7638" w:rsidP="001C71D9">
      <w:r>
        <w:separator/>
      </w:r>
    </w:p>
  </w:footnote>
  <w:footnote w:type="continuationSeparator" w:id="0">
    <w:p w:rsidR="003C7638" w:rsidRDefault="003C7638" w:rsidP="001C7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35" w:rsidRDefault="00C87C35" w:rsidP="00666C1B">
    <w:pPr>
      <w:pStyle w:val="a3"/>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B0FA3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D97FF5"/>
    <w:multiLevelType w:val="hybridMultilevel"/>
    <w:tmpl w:val="6AAA59EC"/>
    <w:lvl w:ilvl="0" w:tplc="396A02EC">
      <w:start w:val="1"/>
      <w:numFmt w:val="decimal"/>
      <w:lvlText w:val="%1."/>
      <w:lvlJc w:val="left"/>
      <w:pPr>
        <w:ind w:left="360" w:hanging="360"/>
      </w:pPr>
      <w:rPr>
        <w:rFonts w:cs="Times New Roman" w:hint="default"/>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4A0441B2"/>
    <w:multiLevelType w:val="hybridMultilevel"/>
    <w:tmpl w:val="CC684148"/>
    <w:lvl w:ilvl="0" w:tplc="D5245F3E">
      <w:start w:val="1"/>
      <w:numFmt w:val="decimal"/>
      <w:lvlText w:val="%1."/>
      <w:lvlJc w:val="left"/>
      <w:pPr>
        <w:ind w:left="360" w:hanging="360"/>
      </w:pPr>
      <w:rPr>
        <w:rFonts w:cs="Times New Roman" w:hint="default"/>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EA"/>
    <w:rsid w:val="00003D8B"/>
    <w:rsid w:val="00027A33"/>
    <w:rsid w:val="0005125A"/>
    <w:rsid w:val="0008222B"/>
    <w:rsid w:val="00086AB5"/>
    <w:rsid w:val="00086AEA"/>
    <w:rsid w:val="00096865"/>
    <w:rsid w:val="000F59B4"/>
    <w:rsid w:val="00175369"/>
    <w:rsid w:val="00195CF3"/>
    <w:rsid w:val="001B6054"/>
    <w:rsid w:val="001C71D9"/>
    <w:rsid w:val="00235F1D"/>
    <w:rsid w:val="00246359"/>
    <w:rsid w:val="00271CF6"/>
    <w:rsid w:val="002838EC"/>
    <w:rsid w:val="002A1859"/>
    <w:rsid w:val="002B12EE"/>
    <w:rsid w:val="002C4157"/>
    <w:rsid w:val="00366C1B"/>
    <w:rsid w:val="00385A36"/>
    <w:rsid w:val="0038604C"/>
    <w:rsid w:val="003C7638"/>
    <w:rsid w:val="00421E83"/>
    <w:rsid w:val="0042603D"/>
    <w:rsid w:val="00435E93"/>
    <w:rsid w:val="00476A13"/>
    <w:rsid w:val="004B095D"/>
    <w:rsid w:val="004D40BC"/>
    <w:rsid w:val="004D52EA"/>
    <w:rsid w:val="004E3264"/>
    <w:rsid w:val="004F5274"/>
    <w:rsid w:val="00506854"/>
    <w:rsid w:val="00506C76"/>
    <w:rsid w:val="00534CA1"/>
    <w:rsid w:val="00586F44"/>
    <w:rsid w:val="0059770B"/>
    <w:rsid w:val="005C3332"/>
    <w:rsid w:val="005D2C00"/>
    <w:rsid w:val="005E38D3"/>
    <w:rsid w:val="005E479D"/>
    <w:rsid w:val="00603157"/>
    <w:rsid w:val="00607F95"/>
    <w:rsid w:val="006129B1"/>
    <w:rsid w:val="00632B55"/>
    <w:rsid w:val="00666C1B"/>
    <w:rsid w:val="00696908"/>
    <w:rsid w:val="006A24B5"/>
    <w:rsid w:val="006B4EA9"/>
    <w:rsid w:val="006C20BF"/>
    <w:rsid w:val="006C5C3C"/>
    <w:rsid w:val="006F48AF"/>
    <w:rsid w:val="00724D64"/>
    <w:rsid w:val="007279FE"/>
    <w:rsid w:val="00774578"/>
    <w:rsid w:val="00777370"/>
    <w:rsid w:val="00786429"/>
    <w:rsid w:val="00792A47"/>
    <w:rsid w:val="00793343"/>
    <w:rsid w:val="007941DC"/>
    <w:rsid w:val="007C23B2"/>
    <w:rsid w:val="007F0F65"/>
    <w:rsid w:val="00804D35"/>
    <w:rsid w:val="00851192"/>
    <w:rsid w:val="00853D15"/>
    <w:rsid w:val="00855245"/>
    <w:rsid w:val="0086499D"/>
    <w:rsid w:val="008D27A1"/>
    <w:rsid w:val="008F0186"/>
    <w:rsid w:val="0091709B"/>
    <w:rsid w:val="00961407"/>
    <w:rsid w:val="0098033C"/>
    <w:rsid w:val="00994AB3"/>
    <w:rsid w:val="009B786E"/>
    <w:rsid w:val="00A21AB8"/>
    <w:rsid w:val="00A618F8"/>
    <w:rsid w:val="00AA2A86"/>
    <w:rsid w:val="00B42482"/>
    <w:rsid w:val="00B56110"/>
    <w:rsid w:val="00BE1C61"/>
    <w:rsid w:val="00C215AA"/>
    <w:rsid w:val="00C2646B"/>
    <w:rsid w:val="00C605E9"/>
    <w:rsid w:val="00C63A95"/>
    <w:rsid w:val="00C667D9"/>
    <w:rsid w:val="00C87C35"/>
    <w:rsid w:val="00CE4867"/>
    <w:rsid w:val="00CF42B2"/>
    <w:rsid w:val="00D020DF"/>
    <w:rsid w:val="00D54B4A"/>
    <w:rsid w:val="00D562FD"/>
    <w:rsid w:val="00E049B8"/>
    <w:rsid w:val="00E07CBB"/>
    <w:rsid w:val="00E129A6"/>
    <w:rsid w:val="00E1708B"/>
    <w:rsid w:val="00E171F5"/>
    <w:rsid w:val="00E41CBA"/>
    <w:rsid w:val="00E83F76"/>
    <w:rsid w:val="00EA68CC"/>
    <w:rsid w:val="00EE3793"/>
    <w:rsid w:val="00EF2B7A"/>
    <w:rsid w:val="00F067DE"/>
    <w:rsid w:val="00F159AA"/>
    <w:rsid w:val="00F2700D"/>
    <w:rsid w:val="00F331E4"/>
    <w:rsid w:val="00F371BC"/>
    <w:rsid w:val="00F52E56"/>
    <w:rsid w:val="00F57666"/>
    <w:rsid w:val="00F65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1D9"/>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C71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C71D9"/>
    <w:rPr>
      <w:rFonts w:cs="Times New Roman"/>
      <w:sz w:val="18"/>
      <w:szCs w:val="18"/>
    </w:rPr>
  </w:style>
  <w:style w:type="paragraph" w:styleId="a4">
    <w:name w:val="footer"/>
    <w:basedOn w:val="a"/>
    <w:link w:val="Char0"/>
    <w:uiPriority w:val="99"/>
    <w:rsid w:val="001C71D9"/>
    <w:pPr>
      <w:tabs>
        <w:tab w:val="center" w:pos="4153"/>
        <w:tab w:val="right" w:pos="8306"/>
      </w:tabs>
      <w:snapToGrid w:val="0"/>
    </w:pPr>
    <w:rPr>
      <w:sz w:val="18"/>
      <w:szCs w:val="18"/>
    </w:rPr>
  </w:style>
  <w:style w:type="character" w:customStyle="1" w:styleId="Char0">
    <w:name w:val="页脚 Char"/>
    <w:basedOn w:val="a0"/>
    <w:link w:val="a4"/>
    <w:uiPriority w:val="99"/>
    <w:locked/>
    <w:rsid w:val="001C71D9"/>
    <w:rPr>
      <w:rFonts w:cs="Times New Roman"/>
      <w:sz w:val="18"/>
      <w:szCs w:val="18"/>
    </w:rPr>
  </w:style>
  <w:style w:type="character" w:styleId="a5">
    <w:name w:val="page number"/>
    <w:basedOn w:val="a0"/>
    <w:uiPriority w:val="99"/>
    <w:rsid w:val="001C71D9"/>
    <w:rPr>
      <w:rFonts w:cs="Times New Roman"/>
    </w:rPr>
  </w:style>
  <w:style w:type="character" w:styleId="a6">
    <w:name w:val="Hyperlink"/>
    <w:basedOn w:val="a0"/>
    <w:uiPriority w:val="99"/>
    <w:rsid w:val="001C71D9"/>
    <w:rPr>
      <w:rFonts w:cs="Times New Roman"/>
      <w:color w:val="000000"/>
      <w:u w:val="none"/>
    </w:rPr>
  </w:style>
  <w:style w:type="table" w:styleId="a7">
    <w:name w:val="Table Grid"/>
    <w:basedOn w:val="a1"/>
    <w:uiPriority w:val="99"/>
    <w:rsid w:val="001C71D9"/>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a"/>
    <w:uiPriority w:val="99"/>
    <w:rsid w:val="001C71D9"/>
    <w:pPr>
      <w:widowControl/>
      <w:tabs>
        <w:tab w:val="decimal" w:pos="360"/>
      </w:tabs>
      <w:spacing w:after="200" w:line="276" w:lineRule="auto"/>
      <w:jc w:val="left"/>
    </w:pPr>
    <w:rPr>
      <w:rFonts w:ascii="Calibri" w:hAnsi="Calibri"/>
      <w:kern w:val="0"/>
      <w:sz w:val="22"/>
      <w:szCs w:val="22"/>
    </w:rPr>
  </w:style>
  <w:style w:type="paragraph" w:styleId="a8">
    <w:name w:val="footnote text"/>
    <w:basedOn w:val="a"/>
    <w:link w:val="Char1"/>
    <w:uiPriority w:val="99"/>
    <w:rsid w:val="001C71D9"/>
    <w:pPr>
      <w:widowControl/>
      <w:jc w:val="left"/>
    </w:pPr>
    <w:rPr>
      <w:rFonts w:ascii="Calibri" w:hAnsi="Calibri"/>
      <w:kern w:val="0"/>
      <w:sz w:val="20"/>
      <w:szCs w:val="20"/>
    </w:rPr>
  </w:style>
  <w:style w:type="character" w:customStyle="1" w:styleId="Char1">
    <w:name w:val="脚注文本 Char"/>
    <w:basedOn w:val="a0"/>
    <w:link w:val="a8"/>
    <w:uiPriority w:val="99"/>
    <w:locked/>
    <w:rsid w:val="001C71D9"/>
    <w:rPr>
      <w:rFonts w:ascii="Calibri" w:eastAsia="宋体" w:hAnsi="Calibri" w:cs="Times New Roman"/>
      <w:kern w:val="0"/>
      <w:sz w:val="20"/>
      <w:szCs w:val="20"/>
    </w:rPr>
  </w:style>
  <w:style w:type="character" w:customStyle="1" w:styleId="1">
    <w:name w:val="不明显强调1"/>
    <w:uiPriority w:val="99"/>
    <w:rsid w:val="001C71D9"/>
    <w:rPr>
      <w:i/>
      <w:color w:val="000000"/>
    </w:rPr>
  </w:style>
  <w:style w:type="table" w:customStyle="1" w:styleId="-11">
    <w:name w:val="浅色底纹 - 强调文字颜色 11"/>
    <w:uiPriority w:val="99"/>
    <w:rsid w:val="001C71D9"/>
    <w:rPr>
      <w:color w:val="4F81BD"/>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10">
    <w:name w:val="浅色底纹1"/>
    <w:uiPriority w:val="99"/>
    <w:rsid w:val="001C71D9"/>
    <w:rPr>
      <w:rFonts w:ascii="Times New Roman" w:hAnsi="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5">
    <w:name w:val="Colorful Grid Accent 5"/>
    <w:basedOn w:val="a1"/>
    <w:uiPriority w:val="99"/>
    <w:rsid w:val="001C71D9"/>
    <w:rPr>
      <w:kern w:val="0"/>
      <w:sz w:val="22"/>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9">
    <w:name w:val="annotation reference"/>
    <w:basedOn w:val="a0"/>
    <w:uiPriority w:val="99"/>
    <w:rsid w:val="001C71D9"/>
    <w:rPr>
      <w:rFonts w:cs="Times New Roman"/>
      <w:sz w:val="21"/>
    </w:rPr>
  </w:style>
  <w:style w:type="paragraph" w:styleId="aa">
    <w:name w:val="annotation text"/>
    <w:basedOn w:val="a"/>
    <w:link w:val="Char2"/>
    <w:uiPriority w:val="99"/>
    <w:rsid w:val="001C71D9"/>
    <w:pPr>
      <w:widowControl/>
      <w:jc w:val="left"/>
    </w:pPr>
    <w:rPr>
      <w:kern w:val="0"/>
      <w:sz w:val="24"/>
      <w:lang w:eastAsia="en-US"/>
    </w:rPr>
  </w:style>
  <w:style w:type="character" w:customStyle="1" w:styleId="Char2">
    <w:name w:val="批注文字 Char"/>
    <w:basedOn w:val="a0"/>
    <w:link w:val="aa"/>
    <w:uiPriority w:val="99"/>
    <w:locked/>
    <w:rsid w:val="001C71D9"/>
    <w:rPr>
      <w:rFonts w:ascii="Times New Roman" w:eastAsia="宋体" w:hAnsi="Times New Roman" w:cs="Times New Roman"/>
      <w:kern w:val="0"/>
      <w:sz w:val="24"/>
      <w:szCs w:val="24"/>
      <w:lang w:eastAsia="en-US"/>
    </w:rPr>
  </w:style>
  <w:style w:type="paragraph" w:styleId="ab">
    <w:name w:val="Balloon Text"/>
    <w:basedOn w:val="a"/>
    <w:link w:val="Char3"/>
    <w:uiPriority w:val="99"/>
    <w:semiHidden/>
    <w:rsid w:val="001C71D9"/>
    <w:rPr>
      <w:sz w:val="18"/>
      <w:szCs w:val="18"/>
    </w:rPr>
  </w:style>
  <w:style w:type="character" w:customStyle="1" w:styleId="Char3">
    <w:name w:val="批注框文本 Char"/>
    <w:basedOn w:val="a0"/>
    <w:link w:val="ab"/>
    <w:uiPriority w:val="99"/>
    <w:semiHidden/>
    <w:locked/>
    <w:rsid w:val="001C71D9"/>
    <w:rPr>
      <w:rFonts w:ascii="Times New Roman" w:eastAsia="宋体" w:hAnsi="Times New Roman" w:cs="Times New Roman"/>
      <w:sz w:val="18"/>
      <w:szCs w:val="18"/>
    </w:rPr>
  </w:style>
  <w:style w:type="paragraph" w:styleId="ac">
    <w:name w:val="annotation subject"/>
    <w:basedOn w:val="aa"/>
    <w:next w:val="aa"/>
    <w:link w:val="Char4"/>
    <w:uiPriority w:val="99"/>
    <w:semiHidden/>
    <w:rsid w:val="001C71D9"/>
    <w:pPr>
      <w:widowControl w:val="0"/>
    </w:pPr>
    <w:rPr>
      <w:b/>
      <w:bCs/>
      <w:kern w:val="2"/>
      <w:sz w:val="21"/>
    </w:rPr>
  </w:style>
  <w:style w:type="character" w:customStyle="1" w:styleId="Char4">
    <w:name w:val="批注主题 Char"/>
    <w:basedOn w:val="Char2"/>
    <w:link w:val="ac"/>
    <w:uiPriority w:val="99"/>
    <w:semiHidden/>
    <w:locked/>
    <w:rsid w:val="001C71D9"/>
    <w:rPr>
      <w:rFonts w:ascii="Times New Roman" w:eastAsia="宋体" w:hAnsi="Times New Roman" w:cs="Times New Roman"/>
      <w:b/>
      <w:bCs/>
      <w:kern w:val="0"/>
      <w:sz w:val="24"/>
      <w:szCs w:val="24"/>
      <w:lang w:eastAsia="en-US"/>
    </w:rPr>
  </w:style>
  <w:style w:type="character" w:customStyle="1" w:styleId="apple-converted-space">
    <w:name w:val="apple-converted-space"/>
    <w:uiPriority w:val="99"/>
    <w:rsid w:val="001C71D9"/>
  </w:style>
  <w:style w:type="paragraph" w:customStyle="1" w:styleId="Default">
    <w:name w:val="Default"/>
    <w:uiPriority w:val="99"/>
    <w:rsid w:val="001C71D9"/>
    <w:pPr>
      <w:autoSpaceDE w:val="0"/>
      <w:autoSpaceDN w:val="0"/>
      <w:adjustRightInd w:val="0"/>
    </w:pPr>
    <w:rPr>
      <w:rFonts w:ascii="Book Antiqua" w:hAnsi="Book Antiqua" w:cs="Book Antiqua"/>
      <w:color w:val="000000"/>
      <w:kern w:val="0"/>
      <w:sz w:val="24"/>
      <w:szCs w:val="24"/>
      <w:lang w:eastAsia="en-US"/>
    </w:rPr>
  </w:style>
  <w:style w:type="paragraph" w:customStyle="1" w:styleId="ad">
    <w:name w:val=".."/>
    <w:basedOn w:val="Default"/>
    <w:next w:val="Default"/>
    <w:uiPriority w:val="99"/>
    <w:rsid w:val="001C71D9"/>
    <w:rPr>
      <w:rFonts w:cs="Times New Roman"/>
      <w:color w:val="auto"/>
    </w:rPr>
  </w:style>
  <w:style w:type="paragraph" w:customStyle="1" w:styleId="p0">
    <w:name w:val="p0"/>
    <w:basedOn w:val="Default"/>
    <w:next w:val="Default"/>
    <w:uiPriority w:val="99"/>
    <w:rsid w:val="001C71D9"/>
    <w:rPr>
      <w:rFonts w:cs="Times New Roman"/>
      <w:color w:val="auto"/>
    </w:rPr>
  </w:style>
  <w:style w:type="character" w:styleId="ae">
    <w:name w:val="Strong"/>
    <w:basedOn w:val="a0"/>
    <w:uiPriority w:val="99"/>
    <w:qFormat/>
    <w:rsid w:val="0098033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1D9"/>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C71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C71D9"/>
    <w:rPr>
      <w:rFonts w:cs="Times New Roman"/>
      <w:sz w:val="18"/>
      <w:szCs w:val="18"/>
    </w:rPr>
  </w:style>
  <w:style w:type="paragraph" w:styleId="a4">
    <w:name w:val="footer"/>
    <w:basedOn w:val="a"/>
    <w:link w:val="Char0"/>
    <w:uiPriority w:val="99"/>
    <w:rsid w:val="001C71D9"/>
    <w:pPr>
      <w:tabs>
        <w:tab w:val="center" w:pos="4153"/>
        <w:tab w:val="right" w:pos="8306"/>
      </w:tabs>
      <w:snapToGrid w:val="0"/>
    </w:pPr>
    <w:rPr>
      <w:sz w:val="18"/>
      <w:szCs w:val="18"/>
    </w:rPr>
  </w:style>
  <w:style w:type="character" w:customStyle="1" w:styleId="Char0">
    <w:name w:val="页脚 Char"/>
    <w:basedOn w:val="a0"/>
    <w:link w:val="a4"/>
    <w:uiPriority w:val="99"/>
    <w:locked/>
    <w:rsid w:val="001C71D9"/>
    <w:rPr>
      <w:rFonts w:cs="Times New Roman"/>
      <w:sz w:val="18"/>
      <w:szCs w:val="18"/>
    </w:rPr>
  </w:style>
  <w:style w:type="character" w:styleId="a5">
    <w:name w:val="page number"/>
    <w:basedOn w:val="a0"/>
    <w:uiPriority w:val="99"/>
    <w:rsid w:val="001C71D9"/>
    <w:rPr>
      <w:rFonts w:cs="Times New Roman"/>
    </w:rPr>
  </w:style>
  <w:style w:type="character" w:styleId="a6">
    <w:name w:val="Hyperlink"/>
    <w:basedOn w:val="a0"/>
    <w:uiPriority w:val="99"/>
    <w:rsid w:val="001C71D9"/>
    <w:rPr>
      <w:rFonts w:cs="Times New Roman"/>
      <w:color w:val="000000"/>
      <w:u w:val="none"/>
    </w:rPr>
  </w:style>
  <w:style w:type="table" w:styleId="a7">
    <w:name w:val="Table Grid"/>
    <w:basedOn w:val="a1"/>
    <w:uiPriority w:val="99"/>
    <w:rsid w:val="001C71D9"/>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a"/>
    <w:uiPriority w:val="99"/>
    <w:rsid w:val="001C71D9"/>
    <w:pPr>
      <w:widowControl/>
      <w:tabs>
        <w:tab w:val="decimal" w:pos="360"/>
      </w:tabs>
      <w:spacing w:after="200" w:line="276" w:lineRule="auto"/>
      <w:jc w:val="left"/>
    </w:pPr>
    <w:rPr>
      <w:rFonts w:ascii="Calibri" w:hAnsi="Calibri"/>
      <w:kern w:val="0"/>
      <w:sz w:val="22"/>
      <w:szCs w:val="22"/>
    </w:rPr>
  </w:style>
  <w:style w:type="paragraph" w:styleId="a8">
    <w:name w:val="footnote text"/>
    <w:basedOn w:val="a"/>
    <w:link w:val="Char1"/>
    <w:uiPriority w:val="99"/>
    <w:rsid w:val="001C71D9"/>
    <w:pPr>
      <w:widowControl/>
      <w:jc w:val="left"/>
    </w:pPr>
    <w:rPr>
      <w:rFonts w:ascii="Calibri" w:hAnsi="Calibri"/>
      <w:kern w:val="0"/>
      <w:sz w:val="20"/>
      <w:szCs w:val="20"/>
    </w:rPr>
  </w:style>
  <w:style w:type="character" w:customStyle="1" w:styleId="Char1">
    <w:name w:val="脚注文本 Char"/>
    <w:basedOn w:val="a0"/>
    <w:link w:val="a8"/>
    <w:uiPriority w:val="99"/>
    <w:locked/>
    <w:rsid w:val="001C71D9"/>
    <w:rPr>
      <w:rFonts w:ascii="Calibri" w:eastAsia="宋体" w:hAnsi="Calibri" w:cs="Times New Roman"/>
      <w:kern w:val="0"/>
      <w:sz w:val="20"/>
      <w:szCs w:val="20"/>
    </w:rPr>
  </w:style>
  <w:style w:type="character" w:customStyle="1" w:styleId="1">
    <w:name w:val="不明显强调1"/>
    <w:uiPriority w:val="99"/>
    <w:rsid w:val="001C71D9"/>
    <w:rPr>
      <w:i/>
      <w:color w:val="000000"/>
    </w:rPr>
  </w:style>
  <w:style w:type="table" w:customStyle="1" w:styleId="-11">
    <w:name w:val="浅色底纹 - 强调文字颜色 11"/>
    <w:uiPriority w:val="99"/>
    <w:rsid w:val="001C71D9"/>
    <w:rPr>
      <w:color w:val="4F81BD"/>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10">
    <w:name w:val="浅色底纹1"/>
    <w:uiPriority w:val="99"/>
    <w:rsid w:val="001C71D9"/>
    <w:rPr>
      <w:rFonts w:ascii="Times New Roman" w:hAnsi="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5">
    <w:name w:val="Colorful Grid Accent 5"/>
    <w:basedOn w:val="a1"/>
    <w:uiPriority w:val="99"/>
    <w:rsid w:val="001C71D9"/>
    <w:rPr>
      <w:kern w:val="0"/>
      <w:sz w:val="22"/>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9">
    <w:name w:val="annotation reference"/>
    <w:basedOn w:val="a0"/>
    <w:uiPriority w:val="99"/>
    <w:rsid w:val="001C71D9"/>
    <w:rPr>
      <w:rFonts w:cs="Times New Roman"/>
      <w:sz w:val="21"/>
    </w:rPr>
  </w:style>
  <w:style w:type="paragraph" w:styleId="aa">
    <w:name w:val="annotation text"/>
    <w:basedOn w:val="a"/>
    <w:link w:val="Char2"/>
    <w:uiPriority w:val="99"/>
    <w:rsid w:val="001C71D9"/>
    <w:pPr>
      <w:widowControl/>
      <w:jc w:val="left"/>
    </w:pPr>
    <w:rPr>
      <w:kern w:val="0"/>
      <w:sz w:val="24"/>
      <w:lang w:eastAsia="en-US"/>
    </w:rPr>
  </w:style>
  <w:style w:type="character" w:customStyle="1" w:styleId="Char2">
    <w:name w:val="批注文字 Char"/>
    <w:basedOn w:val="a0"/>
    <w:link w:val="aa"/>
    <w:uiPriority w:val="99"/>
    <w:locked/>
    <w:rsid w:val="001C71D9"/>
    <w:rPr>
      <w:rFonts w:ascii="Times New Roman" w:eastAsia="宋体" w:hAnsi="Times New Roman" w:cs="Times New Roman"/>
      <w:kern w:val="0"/>
      <w:sz w:val="24"/>
      <w:szCs w:val="24"/>
      <w:lang w:eastAsia="en-US"/>
    </w:rPr>
  </w:style>
  <w:style w:type="paragraph" w:styleId="ab">
    <w:name w:val="Balloon Text"/>
    <w:basedOn w:val="a"/>
    <w:link w:val="Char3"/>
    <w:uiPriority w:val="99"/>
    <w:semiHidden/>
    <w:rsid w:val="001C71D9"/>
    <w:rPr>
      <w:sz w:val="18"/>
      <w:szCs w:val="18"/>
    </w:rPr>
  </w:style>
  <w:style w:type="character" w:customStyle="1" w:styleId="Char3">
    <w:name w:val="批注框文本 Char"/>
    <w:basedOn w:val="a0"/>
    <w:link w:val="ab"/>
    <w:uiPriority w:val="99"/>
    <w:semiHidden/>
    <w:locked/>
    <w:rsid w:val="001C71D9"/>
    <w:rPr>
      <w:rFonts w:ascii="Times New Roman" w:eastAsia="宋体" w:hAnsi="Times New Roman" w:cs="Times New Roman"/>
      <w:sz w:val="18"/>
      <w:szCs w:val="18"/>
    </w:rPr>
  </w:style>
  <w:style w:type="paragraph" w:styleId="ac">
    <w:name w:val="annotation subject"/>
    <w:basedOn w:val="aa"/>
    <w:next w:val="aa"/>
    <w:link w:val="Char4"/>
    <w:uiPriority w:val="99"/>
    <w:semiHidden/>
    <w:rsid w:val="001C71D9"/>
    <w:pPr>
      <w:widowControl w:val="0"/>
    </w:pPr>
    <w:rPr>
      <w:b/>
      <w:bCs/>
      <w:kern w:val="2"/>
      <w:sz w:val="21"/>
    </w:rPr>
  </w:style>
  <w:style w:type="character" w:customStyle="1" w:styleId="Char4">
    <w:name w:val="批注主题 Char"/>
    <w:basedOn w:val="Char2"/>
    <w:link w:val="ac"/>
    <w:uiPriority w:val="99"/>
    <w:semiHidden/>
    <w:locked/>
    <w:rsid w:val="001C71D9"/>
    <w:rPr>
      <w:rFonts w:ascii="Times New Roman" w:eastAsia="宋体" w:hAnsi="Times New Roman" w:cs="Times New Roman"/>
      <w:b/>
      <w:bCs/>
      <w:kern w:val="0"/>
      <w:sz w:val="24"/>
      <w:szCs w:val="24"/>
      <w:lang w:eastAsia="en-US"/>
    </w:rPr>
  </w:style>
  <w:style w:type="character" w:customStyle="1" w:styleId="apple-converted-space">
    <w:name w:val="apple-converted-space"/>
    <w:uiPriority w:val="99"/>
    <w:rsid w:val="001C71D9"/>
  </w:style>
  <w:style w:type="paragraph" w:customStyle="1" w:styleId="Default">
    <w:name w:val="Default"/>
    <w:uiPriority w:val="99"/>
    <w:rsid w:val="001C71D9"/>
    <w:pPr>
      <w:autoSpaceDE w:val="0"/>
      <w:autoSpaceDN w:val="0"/>
      <w:adjustRightInd w:val="0"/>
    </w:pPr>
    <w:rPr>
      <w:rFonts w:ascii="Book Antiqua" w:hAnsi="Book Antiqua" w:cs="Book Antiqua"/>
      <w:color w:val="000000"/>
      <w:kern w:val="0"/>
      <w:sz w:val="24"/>
      <w:szCs w:val="24"/>
      <w:lang w:eastAsia="en-US"/>
    </w:rPr>
  </w:style>
  <w:style w:type="paragraph" w:customStyle="1" w:styleId="ad">
    <w:name w:val=".."/>
    <w:basedOn w:val="Default"/>
    <w:next w:val="Default"/>
    <w:uiPriority w:val="99"/>
    <w:rsid w:val="001C71D9"/>
    <w:rPr>
      <w:rFonts w:cs="Times New Roman"/>
      <w:color w:val="auto"/>
    </w:rPr>
  </w:style>
  <w:style w:type="paragraph" w:customStyle="1" w:styleId="p0">
    <w:name w:val="p0"/>
    <w:basedOn w:val="Default"/>
    <w:next w:val="Default"/>
    <w:uiPriority w:val="99"/>
    <w:rsid w:val="001C71D9"/>
    <w:rPr>
      <w:rFonts w:cs="Times New Roman"/>
      <w:color w:val="auto"/>
    </w:rPr>
  </w:style>
  <w:style w:type="character" w:styleId="ae">
    <w:name w:val="Strong"/>
    <w:basedOn w:val="a0"/>
    <w:uiPriority w:val="99"/>
    <w:qFormat/>
    <w:rsid w:val="0098033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ihuashi@126.com"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5037</Words>
  <Characters>28713</Characters>
  <Application>Microsoft Office Word</Application>
  <DocSecurity>0</DocSecurity>
  <Lines>239</Lines>
  <Paragraphs>67</Paragraphs>
  <ScaleCrop>false</ScaleCrop>
  <Company>Hewlett-Packard Company</Company>
  <LinksUpToDate>false</LinksUpToDate>
  <CharactersWithSpaces>33683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2014-01-02T00:18:00Z</dcterms:created>
  <dcterms:modified xsi:type="dcterms:W3CDTF">2014-01-02T00:18:00Z</dcterms:modified>
</cp:coreProperties>
</file>