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0C00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Name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of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Journal: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color w:val="000000"/>
        </w:rPr>
        <w:t>World</w:t>
      </w:r>
      <w:r w:rsidR="0048579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color w:val="000000"/>
        </w:rPr>
        <w:t>Journal</w:t>
      </w:r>
      <w:r w:rsidR="0048579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color w:val="000000"/>
        </w:rPr>
        <w:t>of</w:t>
      </w:r>
      <w:r w:rsidR="0048579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color w:val="000000"/>
        </w:rPr>
        <w:t>Hepatology</w:t>
      </w:r>
    </w:p>
    <w:p w14:paraId="3C0A2176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Manuscript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NO: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66973</w:t>
      </w:r>
    </w:p>
    <w:p w14:paraId="6BB26DF4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Manuscript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Type: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ORIGINAL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ARTICLE</w:t>
      </w:r>
    </w:p>
    <w:p w14:paraId="37310B6C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6F9009B8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3D1CFB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Impact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of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biliary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complications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on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quality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of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life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in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live-donor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liver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transplant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recipients</w:t>
      </w:r>
    </w:p>
    <w:p w14:paraId="231B046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E84206E" w14:textId="77777777" w:rsidR="00A77B3E" w:rsidRPr="00485796" w:rsidRDefault="002D705F" w:rsidP="0048579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RN </w:t>
      </w:r>
      <w:r w:rsidRPr="002D705F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EB5E32"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post-LDLT</w:t>
      </w:r>
    </w:p>
    <w:p w14:paraId="0DDD0D55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4552289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Reginia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Nabil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Ehab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Hasan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Nashaat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Azza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Emam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Yassin,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Wesam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Ahmed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Ibrahim,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Shereen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Saleh,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Bahaa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Mahmoud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Meteini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Fathy,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Mansour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Dabbous,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Fawzy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Montasser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Manar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Salah,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Ghada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Abdelrahman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</w:p>
    <w:p w14:paraId="011AC581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B179058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Reginia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Nabil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Guirguis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Ehab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Hasan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Nashaat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Azza</w:t>
      </w:r>
      <w:proofErr w:type="spellEnd"/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Emam</w:t>
      </w:r>
      <w:proofErr w:type="spellEnd"/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Yassin,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Wesam</w:t>
      </w:r>
      <w:proofErr w:type="spellEnd"/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Ibrahim,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Shereen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A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Saleh,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Ghada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Abdelrahman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Mohamed,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Department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Internal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Gastroenterology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Hepatology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11591,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</w:t>
      </w:r>
    </w:p>
    <w:p w14:paraId="52097FCC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17895D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Bahaa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Mahmoud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Meteini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Mohamed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Fathy,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Department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Surgery,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11591,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</w:t>
      </w:r>
    </w:p>
    <w:p w14:paraId="1A19460E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6A13E9B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Hany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Mansour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Dabbous,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Iman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Fawzy</w:t>
      </w:r>
      <w:proofErr w:type="spellEnd"/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Montasser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Manar</w:t>
      </w:r>
      <w:proofErr w:type="spellEnd"/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Salah,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Department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Tropical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11591,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</w:t>
      </w:r>
    </w:p>
    <w:p w14:paraId="02EBB101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26F22E09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Nashaat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Yassin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Ibrahim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Saleh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Bahaa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designed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Bahaa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Meteini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Fathy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performed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operation;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Dabbous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Montasser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IF,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Salah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performed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perioperative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participated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acquisition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Nashaat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Yassin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Ibrahim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Saleh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participated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interpretation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Saleh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Bahaa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article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critically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important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intellectual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content;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wrote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manuscript.</w:t>
      </w:r>
    </w:p>
    <w:p w14:paraId="33DCCB5E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38729331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Ghada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Abdelrahman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Mohamed,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Lecturer,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Department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Internal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Gastroenterology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Hepatology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Khalifa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Maamon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St.,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Abbassia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11591,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ghadaabdelrahman@med.asu.edu.eg</w:t>
      </w:r>
    </w:p>
    <w:p w14:paraId="1E858190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02C84516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April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2021</w:t>
      </w:r>
    </w:p>
    <w:p w14:paraId="580F1350" w14:textId="77777777" w:rsidR="00A77B3E" w:rsidRPr="00A01B29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01B29" w:rsidRPr="00A01B29">
        <w:rPr>
          <w:rFonts w:ascii="Book Antiqua" w:hAnsi="Book Antiqua" w:cs="Book Antiqua"/>
          <w:bCs/>
          <w:color w:val="000000"/>
          <w:lang w:eastAsia="zh-CN"/>
        </w:rPr>
        <w:t>June 23, 2021</w:t>
      </w:r>
    </w:p>
    <w:p w14:paraId="5564D85A" w14:textId="2BAB30A0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2DC5" w:rsidRPr="00ED2DC5">
        <w:rPr>
          <w:rFonts w:ascii="Book Antiqua" w:eastAsia="Book Antiqua" w:hAnsi="Book Antiqua" w:cs="Book Antiqua"/>
          <w:color w:val="000000"/>
        </w:rPr>
        <w:t>September 23, 2021</w:t>
      </w:r>
    </w:p>
    <w:p w14:paraId="18CCE1F2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704ADF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  <w:sectPr w:rsidR="00A77B3E" w:rsidRPr="0048579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91FD1F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0A870CB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BACKGROUND</w:t>
      </w:r>
    </w:p>
    <w:p w14:paraId="68FBF01D" w14:textId="11F9DFD6" w:rsidR="00A77B3E" w:rsidRPr="00114FED" w:rsidRDefault="00EB5E32" w:rsidP="00485796">
      <w:pPr>
        <w:spacing w:line="360" w:lineRule="auto"/>
        <w:jc w:val="both"/>
        <w:rPr>
          <w:rFonts w:ascii="Book Antiqua" w:hAnsi="Book Antiqua"/>
          <w:lang w:eastAsia="zh-CN"/>
        </w:rPr>
      </w:pPr>
      <w:r w:rsidRPr="00485796">
        <w:rPr>
          <w:rFonts w:ascii="Book Antiqua" w:eastAsia="Book Antiqua" w:hAnsi="Book Antiqua" w:cs="Book Antiqua"/>
          <w:color w:val="000000"/>
        </w:rPr>
        <w:t>Despite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advancements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(LT)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procedures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perioperative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(BCs)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source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morbidity,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mortality,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failure.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conflicting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(HRQoL)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Thus,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success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survival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recovery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2437769B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ECDEBA0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AIM</w:t>
      </w:r>
    </w:p>
    <w:p w14:paraId="3CD558BA" w14:textId="2D22E2FF" w:rsidR="00A77B3E" w:rsidRPr="00485796" w:rsidRDefault="00903776" w:rsidP="0048579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EB5E32" w:rsidRPr="00485796">
        <w:rPr>
          <w:rFonts w:ascii="Book Antiqua" w:eastAsia="Book Antiqua" w:hAnsi="Book Antiqua" w:cs="Book Antiqua"/>
          <w:color w:val="000000"/>
        </w:rPr>
        <w:t>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assess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(LDLT-Rs).</w:t>
      </w:r>
    </w:p>
    <w:p w14:paraId="5FB9BE4C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3C64492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METHODS</w:t>
      </w:r>
    </w:p>
    <w:p w14:paraId="1841828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January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December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institution.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12v2)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also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control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group.</w:t>
      </w:r>
    </w:p>
    <w:p w14:paraId="24389D9B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2B02F7C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RESULTS</w:t>
      </w:r>
    </w:p>
    <w:p w14:paraId="2BE7AD0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norm-based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0.003),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role-physical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bodily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0.003),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0.004),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0.005),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role-emotional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difference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groups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detected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1.000).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0.0002)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scores.</w:t>
      </w:r>
    </w:p>
    <w:p w14:paraId="71E51644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C942829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CONCLUSION</w:t>
      </w:r>
    </w:p>
    <w:p w14:paraId="5AD597AB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4F284ED1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8647DA5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</w:p>
    <w:p w14:paraId="2234F4FD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64A763C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85796">
        <w:rPr>
          <w:rFonts w:ascii="Book Antiqua" w:eastAsia="Book Antiqua" w:hAnsi="Book Antiqua" w:cs="Book Antiqua"/>
          <w:color w:val="000000"/>
        </w:rPr>
        <w:t>Guirguis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Nashaat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Yassin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Ibrahim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Saleh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Bahaa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Meteini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Fathy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Dabbous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Montasser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IF,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Salah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Mohamed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857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 w:rsidR="004857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2021;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press</w:t>
      </w:r>
    </w:p>
    <w:p w14:paraId="04ABA948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4889D66B" w14:textId="6012BE73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(LDLT-Rs)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(BCs)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described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(HRQoL)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90377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norm-based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except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0.0002)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conclude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</w:p>
    <w:p w14:paraId="6AF3A79A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3586C21" w14:textId="77777777" w:rsidR="00903776" w:rsidRDefault="00903776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2071ABE5" w14:textId="4A211CBD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3DC27DD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Health-related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(HRQoL)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multidimensional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model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reflecting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emotional,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different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tools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(LT)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research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golden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standard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instrument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existed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until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now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tools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classified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disease-specific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tools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[3,5]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tools,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validated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(SF-36)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frequently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evaluating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allow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assessments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across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various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conditions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states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6FF2218C" w14:textId="0318E8BB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(SF-12v2)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validated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concise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(SF-36v2)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questions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Similar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SF-36v2,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evaluates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same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eight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dimensions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covering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previous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</w:t>
      </w:r>
      <w:r w:rsidR="009037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377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903776">
        <w:rPr>
          <w:rFonts w:ascii="Book Antiqua" w:hAnsi="Book Antiqua" w:cs="Book Antiqua" w:hint="eastAsia"/>
          <w:color w:val="000000"/>
          <w:lang w:eastAsia="zh-CN"/>
        </w:rPr>
        <w:t>G</w:t>
      </w:r>
      <w:r w:rsidRPr="00485796">
        <w:rPr>
          <w:rFonts w:ascii="Book Antiqua" w:eastAsia="Book Antiqua" w:hAnsi="Book Antiqua" w:cs="Book Antiqua"/>
          <w:color w:val="000000"/>
        </w:rPr>
        <w:t>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bodily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pain,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emotional,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(PCS)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(MCS)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created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responses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100,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indicates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worst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indicates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health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36FDF703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conflicting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heterogeneity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studies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type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diversity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precludes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definitive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conclusions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4,12]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overlap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exists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process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diverse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events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peri-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management.</w:t>
      </w:r>
    </w:p>
    <w:p w14:paraId="5F7936D6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global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usually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confirms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pretransplant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status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85796">
        <w:rPr>
          <w:rFonts w:ascii="Book Antiqua" w:eastAsia="Book Antiqua" w:hAnsi="Book Antiqua" w:cs="Book Antiqua"/>
          <w:color w:val="000000"/>
        </w:rPr>
        <w:t>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however,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suboptimal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recurrence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adverse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immunosuppressants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[14-17]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leads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muscle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mass,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sarcopenia,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malnutrition,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impairment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manifest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frailty,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increasing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risk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pretransplant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mortality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[18-20]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delayed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[21-23]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48399AF7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Fatigue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50%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chronic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moreover,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demonstrates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association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HRQoL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also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60%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complex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influenced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states,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sleep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64FACCCC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candidates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often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impaired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prevalence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symptoms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Moreover,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post-traumatic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disorder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also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found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associated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further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[30-33]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048F8A80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light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above,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LT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Hence,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(BCs)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(LDLT-Rs).</w:t>
      </w:r>
    </w:p>
    <w:p w14:paraId="11C1028E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348BC1F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8579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8579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09C623D" w14:textId="77777777" w:rsidR="00A77B3E" w:rsidRPr="00903776" w:rsidRDefault="00EB5E32" w:rsidP="00485796">
      <w:pPr>
        <w:spacing w:line="360" w:lineRule="auto"/>
        <w:jc w:val="both"/>
        <w:rPr>
          <w:rFonts w:ascii="Book Antiqua" w:hAnsi="Book Antiqua"/>
          <w:i/>
        </w:rPr>
      </w:pP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design</w:t>
      </w:r>
    </w:p>
    <w:p w14:paraId="3A71ABA2" w14:textId="14407B0A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Centre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Organ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Specialised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Hospital,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January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December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period,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215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adult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underwent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right-lobe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centre.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following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situations: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cholestatic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(primary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sclerosing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cholangitis),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vascular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acute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chronic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rejection,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recurrent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hepatitis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virus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(HCV)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infection,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failure,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follow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least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refused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participate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research.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result,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final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analysis.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enrolled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control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group.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least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</w:t>
      </w:r>
      <w:r w:rsidR="00B03E86">
        <w:rPr>
          <w:rFonts w:ascii="Book Antiqua" w:eastAsia="Book Antiqua" w:hAnsi="Book Antiqua" w:cs="Book Antiqua"/>
          <w:color w:val="000000"/>
        </w:rPr>
        <w:t>nths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follow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5.5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(range: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F24B54">
        <w:rPr>
          <w:rFonts w:ascii="Book Antiqua" w:eastAsia="Book Antiqua" w:hAnsi="Book Antiqua" w:cs="Book Antiqua"/>
          <w:color w:val="000000"/>
        </w:rPr>
        <w:t>-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years).</w:t>
      </w:r>
    </w:p>
    <w:p w14:paraId="35D227DD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performed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ethical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principles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declaration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Helsinki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approved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ethical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committee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(No: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FMASU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187/2016),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waived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requirement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informed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nature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research</w:t>
      </w:r>
      <w:r w:rsidRPr="00485796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</w:p>
    <w:p w14:paraId="5A502419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4F85B29D" w14:textId="6DA50B39" w:rsidR="00A77B3E" w:rsidRPr="00903776" w:rsidRDefault="00EB5E32" w:rsidP="00485796">
      <w:pPr>
        <w:spacing w:line="360" w:lineRule="auto"/>
        <w:jc w:val="both"/>
        <w:rPr>
          <w:rFonts w:ascii="Book Antiqua" w:hAnsi="Book Antiqua"/>
          <w:i/>
        </w:rPr>
      </w:pP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Quality-of-life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57222194" w14:textId="77777777" w:rsidR="00A77B3E" w:rsidRDefault="00EB5E32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color w:val="000000"/>
        </w:rPr>
        <w:t>Eligible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invited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fulfil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SF-12v2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follow-up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visits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obtaining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verbal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consent.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anonymous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ensure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strict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confidentiality.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SF-12v2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questions: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perceptions,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concerning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because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problems,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bodily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pain,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health.</w:t>
      </w:r>
    </w:p>
    <w:p w14:paraId="6FAC79E0" w14:textId="77777777" w:rsidR="00903776" w:rsidRPr="00903776" w:rsidRDefault="00903776" w:rsidP="0048579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36EFDDC" w14:textId="36AEBAD7" w:rsidR="00A77B3E" w:rsidRPr="00903776" w:rsidRDefault="00EB5E32" w:rsidP="00485796">
      <w:pPr>
        <w:spacing w:line="360" w:lineRule="auto"/>
        <w:jc w:val="both"/>
        <w:rPr>
          <w:rFonts w:ascii="Book Antiqua" w:hAnsi="Book Antiqua"/>
          <w:i/>
        </w:rPr>
      </w:pP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903776" w:rsidRPr="00903776">
        <w:rPr>
          <w:rFonts w:ascii="Book Antiqua" w:hAnsi="Book Antiqua" w:cs="Book Antiqua"/>
          <w:b/>
          <w:bCs/>
          <w:i/>
          <w:color w:val="000000"/>
          <w:lang w:eastAsia="zh-CN"/>
        </w:rPr>
        <w:t>analysis</w:t>
      </w:r>
    </w:p>
    <w:p w14:paraId="640DCB9E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Statistics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(v.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23;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IBM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Corp.,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Armonk,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York).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Nonparametric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numerical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variables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interquartile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Nominal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variables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number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percentage.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Ordinal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chi-squared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trends.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Two-sided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485796">
        <w:rPr>
          <w:rFonts w:ascii="Book Antiqua" w:eastAsia="Book Antiqua" w:hAnsi="Book Antiqua" w:cs="Book Antiqua"/>
          <w:color w:val="000000"/>
        </w:rPr>
        <w:t>-values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statistically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significant.</w:t>
      </w:r>
    </w:p>
    <w:p w14:paraId="00495F6B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19DE3862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D25B707" w14:textId="77777777" w:rsidR="00A77B3E" w:rsidRDefault="00EB5E32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adult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right-lobe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experienced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time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±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7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(76%)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male.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HCV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common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indication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(84%;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Tables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02F97AB1" w14:textId="77777777" w:rsidR="00903776" w:rsidRPr="00903776" w:rsidRDefault="00903776" w:rsidP="0048579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AEB954A" w14:textId="77777777" w:rsidR="00A77B3E" w:rsidRPr="00903776" w:rsidRDefault="00EB5E32" w:rsidP="00485796">
      <w:pPr>
        <w:spacing w:line="360" w:lineRule="auto"/>
        <w:jc w:val="both"/>
        <w:rPr>
          <w:rFonts w:ascii="Book Antiqua" w:hAnsi="Book Antiqua"/>
          <w:i/>
        </w:rPr>
      </w:pP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Development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biliary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complications</w:t>
      </w:r>
    </w:p>
    <w:p w14:paraId="2ACB0CC7" w14:textId="50B9C3AA" w:rsidR="00A77B3E" w:rsidRDefault="00EB5E32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color w:val="000000"/>
        </w:rPr>
        <w:t>Among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minor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leakage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occurred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(83.3%)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stopped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spontaneously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further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three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(16.6%)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pigtail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insertion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further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interventional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needed.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Moreover,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infection,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mainly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occurring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early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(23;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92%)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episodes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(64%)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(Table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Further,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(80%)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stricture,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episodes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(13;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65%).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prolonged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hospital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(median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days;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F24B54">
        <w:rPr>
          <w:rFonts w:ascii="Book Antiqua" w:eastAsia="Book Antiqua" w:hAnsi="Book Antiqua" w:cs="Book Antiqua"/>
          <w:color w:val="000000"/>
        </w:rPr>
        <w:t>-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67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days),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nine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(36%)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≥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three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episodes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admission.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Concerning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endoscopic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cholangiopancreatography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(ERCP)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stenting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±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dilatation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(80%)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seven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(28%)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≥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three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ERCP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sessions.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Percutaneous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transhepatic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cholangiography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three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(12%)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requiring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session.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methods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reconstruction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stricture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(Table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1).</w:t>
      </w:r>
    </w:p>
    <w:p w14:paraId="37E48E53" w14:textId="77777777" w:rsidR="00903776" w:rsidRPr="00903776" w:rsidRDefault="00903776" w:rsidP="0048579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B6006A" w14:textId="77777777" w:rsidR="00A77B3E" w:rsidRPr="00903776" w:rsidRDefault="00EB5E32" w:rsidP="00485796">
      <w:pPr>
        <w:spacing w:line="360" w:lineRule="auto"/>
        <w:jc w:val="both"/>
        <w:rPr>
          <w:rFonts w:ascii="Book Antiqua" w:hAnsi="Book Antiqua"/>
          <w:i/>
        </w:rPr>
      </w:pP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Health-related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quality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485796" w:rsidRPr="00903776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i/>
          <w:color w:val="000000"/>
        </w:rPr>
        <w:t>life</w:t>
      </w:r>
    </w:p>
    <w:p w14:paraId="433ABF58" w14:textId="00BB1D43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norm-based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0.003),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role-physical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bodily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0.003),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0.004),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0.005),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role-emotional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contrast,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difference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found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groups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1.000;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Figure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1).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0.0002)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(Tables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</w:t>
      </w:r>
      <w:r w:rsidR="00903776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 w:rsidRPr="00485796">
        <w:rPr>
          <w:rFonts w:ascii="Book Antiqua" w:eastAsia="Book Antiqua" w:hAnsi="Book Antiqua" w:cs="Book Antiqua"/>
          <w:color w:val="000000"/>
        </w:rPr>
        <w:t>5</w:t>
      </w:r>
      <w:r w:rsidR="00903776">
        <w:rPr>
          <w:rFonts w:ascii="Book Antiqua" w:hAnsi="Book Antiqua" w:cs="Book Antiqua" w:hint="eastAsia"/>
          <w:color w:val="000000"/>
          <w:lang w:eastAsia="zh-CN"/>
        </w:rPr>
        <w:t>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Figures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</w:t>
      </w:r>
      <w:r w:rsidR="00903776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r w:rsidRPr="00485796">
        <w:rPr>
          <w:rFonts w:ascii="Book Antiqua" w:eastAsia="Book Antiqua" w:hAnsi="Book Antiqua" w:cs="Book Antiqua"/>
          <w:color w:val="000000"/>
        </w:rPr>
        <w:t>2).</w:t>
      </w:r>
    </w:p>
    <w:p w14:paraId="3FCB6ED5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A67AF60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6BFF972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Despite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advances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techniques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perioperative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source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morbidity,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mortality,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failure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knowledge,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previous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specifically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except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norm-based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however,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gained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result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attributed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prolonged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frequent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hospital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admission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expectation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reduction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anxiety,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stress,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agreement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current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results,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published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literature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positive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recipients’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HRQoL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12,37-40]</w:t>
      </w:r>
      <w:r w:rsidRPr="00485796">
        <w:rPr>
          <w:rFonts w:ascii="Book Antiqua" w:eastAsia="Book Antiqua" w:hAnsi="Book Antiqua" w:cs="Book Antiqua"/>
          <w:color w:val="000000"/>
        </w:rPr>
        <w:t>.</w:t>
      </w:r>
    </w:p>
    <w:p w14:paraId="3DD1891E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Similar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study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authors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recipients’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HRQoL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WHOQOL</w:t>
      </w:r>
      <w:r w:rsidRPr="00485796">
        <w:rPr>
          <w:rFonts w:ascii="Book Antiqua" w:eastAsia="Book Antiqua" w:hAnsi="Book Antiqua" w:cs="Book Antiqua"/>
          <w:color w:val="000000"/>
        </w:rPr>
        <w:noBreakHyphen/>
        <w:t>BREF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concluded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especially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received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level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dimensions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comparison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organ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2A8623BC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partial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agreement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current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studies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5402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found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overall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equivalent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However,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continues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inferior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despite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noticeable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Similarly,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article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publications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overall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deceased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(DDLT)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adult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first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reach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level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population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Additionally,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Sullivan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decades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DDLT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adult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survivors,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(54.6)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equivalent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however,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(39.3)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below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average.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explained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comorbidities,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severity,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morbidity,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type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[20,33]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Additionally,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Dunn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exercise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activities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correlated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independent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comorbidities,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Therefore,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activity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encouraged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485796">
        <w:rPr>
          <w:rFonts w:ascii="Book Antiqua" w:eastAsia="Book Antiqua" w:hAnsi="Book Antiqua" w:cs="Book Antiqua"/>
          <w:color w:val="000000"/>
        </w:rPr>
        <w:t>.</w:t>
      </w:r>
    </w:p>
    <w:p w14:paraId="7715A2FC" w14:textId="47ECEE3C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Casanovas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candidates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pre-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baseline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especially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early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</w:t>
      </w:r>
      <w:r w:rsidR="00F0070E">
        <w:rPr>
          <w:rFonts w:ascii="Book Antiqua" w:eastAsia="Book Antiqua" w:hAnsi="Book Antiqua" w:cs="Book Antiqua"/>
          <w:color w:val="000000"/>
        </w:rPr>
        <w:t>nths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till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1-year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detected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except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functioning,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revealing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Moreover,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sleeping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problems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baseline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persisted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sleep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frequently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known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fatigue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cognitive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functions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485796">
        <w:rPr>
          <w:rFonts w:ascii="Book Antiqua" w:eastAsia="Book Antiqua" w:hAnsi="Book Antiqua" w:cs="Book Antiqua"/>
          <w:color w:val="000000"/>
        </w:rPr>
        <w:t>.</w:t>
      </w:r>
    </w:p>
    <w:p w14:paraId="141A8686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contrast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results,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Domingos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93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DDLT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survived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similar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(emotional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pain,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status)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superior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aspects,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capacity,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general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population.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addition,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Dąbrowska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-Bender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SF-36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121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DDLT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whereas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impairment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18.18%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58A78896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Annema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beneficial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ameliorating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severity.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However,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persistent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experienced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negative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therapeutic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adherence.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also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observed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persistent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correlated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hospital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Similarly,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assessed,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finding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94%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McGill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Questionnaire,</w:t>
      </w:r>
      <w:r w:rsidR="00485796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adherence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medications.</w:t>
      </w:r>
      <w:r w:rsidR="00485796">
        <w:rPr>
          <w:rFonts w:ascii="Book Antiqua" w:eastAsia="Book Antiqua" w:hAnsi="Book Antiqua" w:cs="Book Antiqua"/>
          <w:color w:val="000000"/>
          <w:shd w:val="clear" w:color="auto" w:fill="FFFFFF"/>
          <w:rtl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Conversely,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reported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fatigue,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slowing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pace,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limitations,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suggesting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adapt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experienced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decreased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ability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tolerate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worry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recurrence,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potential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485796">
        <w:rPr>
          <w:rFonts w:ascii="Book Antiqua" w:eastAsia="Book Antiqua" w:hAnsi="Book Antiqua" w:cs="Book Antiqua"/>
          <w:color w:val="000000"/>
        </w:rPr>
        <w:t>.</w:t>
      </w:r>
    </w:p>
    <w:p w14:paraId="2E2FCE64" w14:textId="77777777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Candidates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overly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optimistic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anticipations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Unfulfillment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expectations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negatively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affect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highlighting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help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understand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candidate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education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positively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affects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Education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associated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better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adherence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485796">
        <w:rPr>
          <w:rFonts w:ascii="Book Antiqua" w:eastAsia="Book Antiqua" w:hAnsi="Book Antiqua" w:cs="Book Antiqua"/>
          <w:color w:val="000000"/>
        </w:rPr>
        <w:t>.</w:t>
      </w:r>
    </w:p>
    <w:p w14:paraId="7B0D9B61" w14:textId="391B3EFC" w:rsidR="00A77B3E" w:rsidRPr="00485796" w:rsidRDefault="00EB5E32" w:rsidP="0090377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limited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nature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small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sample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size.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research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required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define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predictors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plan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multidisciplinary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strategies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According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current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literature,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integrated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clinical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LT</w:t>
      </w:r>
      <w:r w:rsidRPr="0048579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85796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540EDC4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924D24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4A3C2C2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conclude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</w:p>
    <w:p w14:paraId="49738BEE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0CC0240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8579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579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D7F3474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40C32D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Despite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considerable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advances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(LT)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surgical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techniques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perioperative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care,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(BCs)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source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morbidity,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mortality,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graft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failure.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current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survival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rates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focus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shifted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</w:p>
    <w:p w14:paraId="13081145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378B348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6BA65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conflicting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regarding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(HRQoL)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</w:p>
    <w:p w14:paraId="26D93C6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6EE614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16CD4A" w14:textId="2A686D47" w:rsidR="00A77B3E" w:rsidRPr="00485796" w:rsidRDefault="00903776" w:rsidP="0048579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EB5E32" w:rsidRPr="00485796">
        <w:rPr>
          <w:rFonts w:ascii="Book Antiqua" w:eastAsia="Book Antiqua" w:hAnsi="Book Antiqua" w:cs="Book Antiqua"/>
          <w:color w:val="000000"/>
        </w:rPr>
        <w:t>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assess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impact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live-donor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recipients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EB5E32" w:rsidRPr="00485796">
        <w:rPr>
          <w:rFonts w:ascii="Book Antiqua" w:eastAsia="Book Antiqua" w:hAnsi="Book Antiqua" w:cs="Book Antiqua"/>
          <w:color w:val="000000"/>
        </w:rPr>
        <w:t>(LDLT-Rs).</w:t>
      </w:r>
    </w:p>
    <w:p w14:paraId="2FCE6A5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1CD1AED9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32D7341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We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described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through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version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(SF-12v2)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complications.</w:t>
      </w:r>
    </w:p>
    <w:p w14:paraId="71AB55D5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5508C8AF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07C89A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higher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norm-based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except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vitality.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without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domains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&lt;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0.001)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=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0.0002)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component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scores.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3EA78C6B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3CC2C1D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693D85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BCs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LDLT-Rs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causes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lower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range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HRQoL.</w:t>
      </w:r>
    </w:p>
    <w:p w14:paraId="40E0072E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6D804DAB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8579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E3090C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integrated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clinical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Identifying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determinants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HRQoL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could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management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plan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through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multidisciplinary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approach.</w:t>
      </w:r>
    </w:p>
    <w:p w14:paraId="582F25A4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23C3EE74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REFERENCES</w:t>
      </w:r>
    </w:p>
    <w:p w14:paraId="2E9FA4DE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5DC8">
        <w:rPr>
          <w:rFonts w:ascii="Book Antiqua" w:eastAsia="Book Antiqua" w:hAnsi="Book Antiqua" w:cs="Book Antiqua"/>
          <w:color w:val="000000"/>
          <w:highlight w:val="yellow"/>
        </w:rPr>
        <w:t>1 Health-Related Quality of Life and Well-Being | Healthy People 2020. [cited 20 February 2021]. Available online: https://www.healthypeople.gov/2020/about/foundation-health measures/Health-Related-Quality-of-Life-and-Well-Being</w:t>
      </w:r>
    </w:p>
    <w:p w14:paraId="3D84B27D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Haraldstad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Wahl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Andenæs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Beisland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Borge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Engebretsen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Eisemann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Halvorsrud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Hanssen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Haugstvedt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Haugland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Johansen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Larsen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Løvereide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Løyland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Kvarme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Norekvål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Ribu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Rohde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Urstad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Helseth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LIVSFORSK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network.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sciences.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Qual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Life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2641-2650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31187410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10.1007/s11136-019-02214-9]</w:t>
      </w:r>
    </w:p>
    <w:p w14:paraId="26C03715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Jay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CL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Butt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Ladner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Skaro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Abecassis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instruments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2009;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949-959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19775771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10.1016/j.jhep.2009.07.010]</w:t>
      </w:r>
    </w:p>
    <w:p w14:paraId="370DFA05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Yang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LS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Saxena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Morris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long-term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1298-1313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24703371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10.1111/liv.12553]</w:t>
      </w:r>
    </w:p>
    <w:p w14:paraId="2E3D600B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Saab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Landaverde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Comulada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Arevalo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Durazo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Younossi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Busuttil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disease-specific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measure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567-579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21506245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10.1002/lt.22267]</w:t>
      </w:r>
    </w:p>
    <w:p w14:paraId="039A51C1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5DC8">
        <w:rPr>
          <w:rFonts w:ascii="Book Antiqua" w:eastAsia="Book Antiqua" w:hAnsi="Book Antiqua" w:cs="Book Antiqua"/>
          <w:color w:val="000000"/>
          <w:highlight w:val="yellow"/>
        </w:rPr>
        <w:t>6</w:t>
      </w:r>
      <w:r w:rsidR="00685DC8" w:rsidRPr="00685DC8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685DC8">
        <w:rPr>
          <w:rFonts w:ascii="Book Antiqua" w:eastAsia="Book Antiqua" w:hAnsi="Book Antiqua" w:cs="Book Antiqua"/>
          <w:b/>
          <w:color w:val="000000"/>
          <w:highlight w:val="yellow"/>
        </w:rPr>
        <w:t>RAND Corporation</w:t>
      </w:r>
      <w:r w:rsidRPr="00685DC8">
        <w:rPr>
          <w:rFonts w:ascii="Book Antiqua" w:eastAsia="Book Antiqua" w:hAnsi="Book Antiqua" w:cs="Book Antiqua"/>
          <w:color w:val="000000"/>
          <w:highlight w:val="yellow"/>
        </w:rPr>
        <w:t xml:space="preserve">. 36-Item Short Form Survey (SF-36) Scoring Instructions. </w:t>
      </w:r>
      <w:r w:rsidR="00685DC8" w:rsidRPr="00685DC8">
        <w:rPr>
          <w:rFonts w:ascii="Book Antiqua" w:eastAsia="Book Antiqua" w:hAnsi="Book Antiqua" w:cs="Book Antiqua"/>
          <w:color w:val="000000"/>
          <w:highlight w:val="yellow"/>
        </w:rPr>
        <w:t xml:space="preserve">[cited 20 February 2021]. Available from: </w:t>
      </w:r>
      <w:r w:rsidRPr="00685DC8">
        <w:rPr>
          <w:rFonts w:ascii="Book Antiqua" w:eastAsia="Book Antiqua" w:hAnsi="Book Antiqua" w:cs="Book Antiqua"/>
          <w:color w:val="000000"/>
          <w:highlight w:val="yellow"/>
        </w:rPr>
        <w:t>https://www.rand.org/health-care/surveys_tools/mos/36-item-short-form/scoring.html</w:t>
      </w:r>
    </w:p>
    <w:p w14:paraId="523EFEB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Ware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Sherbourne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36-item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short-form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(SF-36).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Conceptual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framework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selection.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1992;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473-483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1593914]</w:t>
      </w:r>
    </w:p>
    <w:p w14:paraId="55BF0674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Ware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Kosinski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Keller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12-Item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Short-Form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Survey: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construction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scales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preliminary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reliability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validity.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1996;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220-233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8628042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10.1097/00005650-199603000-00003]</w:t>
      </w:r>
    </w:p>
    <w:p w14:paraId="1C6764AA" w14:textId="418FFC00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B0D9A">
        <w:rPr>
          <w:rFonts w:ascii="Book Antiqua" w:eastAsia="Book Antiqua" w:hAnsi="Book Antiqua" w:cs="Book Antiqua"/>
          <w:color w:val="000000"/>
          <w:highlight w:val="yellow"/>
        </w:rPr>
        <w:t>9</w:t>
      </w:r>
      <w:r w:rsidR="00FB0D9A" w:rsidRPr="00FB0D9A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FB0D9A">
        <w:rPr>
          <w:rFonts w:ascii="Book Antiqua" w:eastAsia="Book Antiqua" w:hAnsi="Book Antiqua" w:cs="Book Antiqua"/>
          <w:color w:val="000000"/>
          <w:highlight w:val="yellow"/>
        </w:rPr>
        <w:t>SF-12</w:t>
      </w:r>
      <w:r w:rsidR="00F24B54">
        <w:rPr>
          <w:rFonts w:ascii="Book Antiqua" w:eastAsia="Book Antiqua" w:hAnsi="Book Antiqua" w:cs="Book Antiqua"/>
          <w:color w:val="000000"/>
          <w:highlight w:val="yellow"/>
        </w:rPr>
        <w:t xml:space="preserve"> and </w:t>
      </w:r>
      <w:r w:rsidRPr="00FB0D9A">
        <w:rPr>
          <w:rFonts w:ascii="Book Antiqua" w:eastAsia="Book Antiqua" w:hAnsi="Book Antiqua" w:cs="Book Antiqua"/>
          <w:color w:val="000000"/>
          <w:highlight w:val="yellow"/>
        </w:rPr>
        <w:t>SF-12v2 Health Survey.</w:t>
      </w:r>
      <w:r w:rsidR="00FB0D9A" w:rsidRPr="00FB0D9A">
        <w:rPr>
          <w:rFonts w:ascii="Book Antiqua" w:eastAsia="Book Antiqua" w:hAnsi="Book Antiqua" w:cs="Book Antiqua"/>
          <w:color w:val="000000"/>
          <w:highlight w:val="yellow"/>
        </w:rPr>
        <w:t xml:space="preserve"> [cited 20 February 2021]. Available from: </w:t>
      </w:r>
      <w:r w:rsidRPr="00FB0D9A">
        <w:rPr>
          <w:rFonts w:ascii="Book Antiqua" w:eastAsia="Book Antiqua" w:hAnsi="Book Antiqua" w:cs="Book Antiqua"/>
          <w:color w:val="000000"/>
          <w:highlight w:val="yellow"/>
        </w:rPr>
        <w:t>https://www.qualitymetric.com/health-surveys/the-sf-12v2-health-survey/</w:t>
      </w:r>
    </w:p>
    <w:p w14:paraId="458D7D0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10 </w:t>
      </w:r>
      <w:r w:rsidRPr="0000484D">
        <w:rPr>
          <w:rFonts w:ascii="Book Antiqua" w:eastAsia="Book Antiqua" w:hAnsi="Book Antiqua" w:cs="Book Antiqua"/>
          <w:b/>
          <w:bCs/>
          <w:color w:val="000000"/>
          <w:highlight w:val="yellow"/>
        </w:rPr>
        <w:t>Ware JE,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Kosinski M, Turner-Bowker DM, </w:t>
      </w:r>
      <w:proofErr w:type="spellStart"/>
      <w:r w:rsidRPr="0000484D">
        <w:rPr>
          <w:rFonts w:ascii="Book Antiqua" w:eastAsia="Book Antiqua" w:hAnsi="Book Antiqua" w:cs="Book Antiqua"/>
          <w:color w:val="000000"/>
          <w:highlight w:val="yellow"/>
        </w:rPr>
        <w:t>Gandek</w:t>
      </w:r>
      <w:proofErr w:type="spellEnd"/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B. How to Score Version 2 of the SF-12 Health Survey (with a supplement Documenting Version 1)</w:t>
      </w:r>
      <w:r w:rsid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>.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Lincoln, RI: Quality Metric Incorporated</w:t>
      </w:r>
      <w:r w:rsidR="00B578FE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,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2002</w:t>
      </w:r>
      <w:r w:rsidR="00B578FE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B578FE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10.1023/a:1026179517081]</w:t>
      </w:r>
    </w:p>
    <w:p w14:paraId="6002B3B6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11 </w:t>
      </w:r>
      <w:proofErr w:type="spellStart"/>
      <w:r w:rsidRPr="0000484D">
        <w:rPr>
          <w:rFonts w:ascii="Book Antiqua" w:eastAsia="Book Antiqua" w:hAnsi="Book Antiqua" w:cs="Book Antiqua"/>
          <w:b/>
          <w:bCs/>
          <w:color w:val="000000"/>
          <w:highlight w:val="yellow"/>
        </w:rPr>
        <w:t>Maruish</w:t>
      </w:r>
      <w:proofErr w:type="spellEnd"/>
      <w:r w:rsidRPr="0000484D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ME</w:t>
      </w:r>
      <w:r w:rsidRPr="0000484D">
        <w:rPr>
          <w:rFonts w:ascii="Book Antiqua" w:eastAsia="Book Antiqua" w:hAnsi="Book Antiqua" w:cs="Book Antiqua"/>
          <w:bCs/>
          <w:color w:val="000000"/>
          <w:highlight w:val="yellow"/>
        </w:rPr>
        <w:t>. User’s Manual for the SF-12v2 Health Survey. 3</w:t>
      </w:r>
      <w:r w:rsidRPr="0000484D">
        <w:rPr>
          <w:rFonts w:ascii="Book Antiqua" w:eastAsia="Book Antiqua" w:hAnsi="Book Antiqua" w:cs="Book Antiqua"/>
          <w:bCs/>
          <w:color w:val="000000"/>
          <w:highlight w:val="yellow"/>
          <w:vertAlign w:val="superscript"/>
        </w:rPr>
        <w:t>rd</w:t>
      </w:r>
      <w:r w:rsidRPr="0000484D">
        <w:rPr>
          <w:rFonts w:ascii="Book Antiqua" w:eastAsia="Book Antiqua" w:hAnsi="Book Antiqua" w:cs="Book Antiqua"/>
          <w:bCs/>
          <w:color w:val="000000"/>
          <w:highlight w:val="yellow"/>
        </w:rPr>
        <w:t xml:space="preserve"> ed. Lincoln,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RI: Quality Metric Incorporated</w:t>
      </w:r>
      <w:r w:rsidR="0000484D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>,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2012</w:t>
      </w:r>
      <w:r w:rsidR="0000484D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00484D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10.1007/978-94-007-0753-5_103826]</w:t>
      </w:r>
    </w:p>
    <w:p w14:paraId="62B5271B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McLean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KA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Drake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Sgrò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Camilleri-Brennan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Knight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Ots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Adair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Wigmore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Harrison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patient-centred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propensity-score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matched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808-819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30793373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10.1111/tri.13416]</w:t>
      </w:r>
    </w:p>
    <w:p w14:paraId="5AAA166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Burra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Ferrarese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Feltrin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Minerva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Dietol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180-186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29160655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10.23736/S1121-421X.17.02459-X]</w:t>
      </w:r>
    </w:p>
    <w:p w14:paraId="4A2AD805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Burra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Ferrarese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forward.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792-793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30924559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10.1111/tri.13435]</w:t>
      </w:r>
    </w:p>
    <w:p w14:paraId="68AE06C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Dąbrowska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-Bender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Kozaczuk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Pączek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Milkiewicz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Słoniewski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Staniszewska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Emotional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Problems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Factors.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Transplant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2031-2038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30177104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10.1016/j.transproceed.2018.03.113]</w:t>
      </w:r>
    </w:p>
    <w:p w14:paraId="77475E74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Rodríguez-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Perálvarez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Guerrero-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Misas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Thorburn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Davidson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Tsochatzis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Gurusamy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immunosuppression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undergoing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network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meta-analysis.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Cochrane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Database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Syst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CD011639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28362060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10.1002/14651858.CD011639.pub2]</w:t>
      </w:r>
    </w:p>
    <w:p w14:paraId="07FF77A3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Amodio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Salari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Montagnese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Schiff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Neri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Bianco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Minazzato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2295-2299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22654420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10.3748/wjg.v18.i19.2295]</w:t>
      </w:r>
    </w:p>
    <w:p w14:paraId="6E9D667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Bhanji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RA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Takahashi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Moynagh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Narayanan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Angirekula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Dierkhising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evolution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post-liver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Aliment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807-813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30714184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10.1111/apt.15161]</w:t>
      </w:r>
    </w:p>
    <w:p w14:paraId="2771545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Ooi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Mazurak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Dajani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Bhargava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Gilmour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Mager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1422-1438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31242345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10.1002/lt.25591]</w:t>
      </w:r>
    </w:p>
    <w:p w14:paraId="41BDC841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Tandon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Montano-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Loza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AJ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Frailty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Basics,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Challenges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Future.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Cham,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Switzerland: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Springer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Nature</w:t>
      </w:r>
      <w:r w:rsidR="0000484D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Pr="00485796">
        <w:rPr>
          <w:rFonts w:ascii="Book Antiqua" w:eastAsia="Book Antiqua" w:hAnsi="Book Antiqua" w:cs="Book Antiqua"/>
          <w:color w:val="000000"/>
        </w:rPr>
        <w:t>2019: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1-279</w:t>
      </w:r>
    </w:p>
    <w:p w14:paraId="28B82B00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Lai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Segev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McCulloch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Covinsky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Dodge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frailty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1986-1994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29380529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10.1111/ajt.14675]</w:t>
      </w:r>
    </w:p>
    <w:p w14:paraId="3C565A1E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Dasarathy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Merli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Sarcopenia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1232-1244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27515775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10.1016/j.jhep.2016.07.040]</w:t>
      </w:r>
    </w:p>
    <w:p w14:paraId="57CC16CD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Davuluri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Krokowski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Kumar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Thapaliya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Singh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Hatzoglou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Dasarathy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adaptation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skeletal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muscle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hyperammonemia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drives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beneficial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l-leucine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929-937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27318325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10.1016/j.jhep.2016.06.004]</w:t>
      </w:r>
    </w:p>
    <w:p w14:paraId="4B939183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Barboza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Salinas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Sahebjam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Jesudian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Weisberg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Sigal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hepatitis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Brain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869-880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27032930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10.1007/s11011-016-9817-y]</w:t>
      </w:r>
    </w:p>
    <w:p w14:paraId="77421CA9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Jopson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Dyson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Jones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Understanding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Treating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Fatigue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Sclerosing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Cholangitis.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131-142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26593295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10.1016/j.cld.2015.08.007]</w:t>
      </w:r>
    </w:p>
    <w:p w14:paraId="3E5289F0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Elliott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Pairman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Jones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Newton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postliver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matched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community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dwelling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controls.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2011;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588-595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21382100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10.1111/j.1432-2277.2011.01240.x]</w:t>
      </w:r>
    </w:p>
    <w:p w14:paraId="7F82907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Kang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Hyun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Shehta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Fatigue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weakness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hinder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reintegration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402-408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30300990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10.3350/cmh.2018.0028]</w:t>
      </w:r>
    </w:p>
    <w:p w14:paraId="4EEDA5C9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Paglione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Oliveira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Mucci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Roza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Schirmer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religiosity,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candidates.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Esc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USP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e03459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30942299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10.1590/S1980-220X2018010203459]</w:t>
      </w:r>
    </w:p>
    <w:p w14:paraId="0DFDE777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Nusrat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Fazili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Madhoun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complications: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treatment.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5442-5460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24833875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10.3748/wjg.v20.i18.5442]</w:t>
      </w:r>
    </w:p>
    <w:p w14:paraId="60A572BB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Annema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Drent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Roodbol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Stewart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Metselaar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Porte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Ranchor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Trajectories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Anxiety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2-Year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Follow-Up: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174-183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29112588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10.1097/PSY.0000000000000539]</w:t>
      </w:r>
    </w:p>
    <w:p w14:paraId="462F5A1B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Saracino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Jutagir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Cunningham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Foran-Tuller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Driscoll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Sledge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Emre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Fehon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Psychiatric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Comorbidity,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Service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Utilization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Awaiting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Pain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Symptom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Manage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44-52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29526612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10.1016/j.jpainsymman.2018.03.001]</w:t>
      </w:r>
    </w:p>
    <w:p w14:paraId="21A0A669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Annema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Drent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Roodbol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Metselaar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Hoek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Porte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Schroevers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Ranchor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posttraumatic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disorder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before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Prevalence,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symptom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occurrence,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intrusive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memories.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88-93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28185646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10.1016/j.jpsychores.2017.01.012]</w:t>
      </w:r>
    </w:p>
    <w:p w14:paraId="2B1CD380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PX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5114-5121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23049223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10.3748/wjg.v18.i36.5114]</w:t>
      </w:r>
    </w:p>
    <w:p w14:paraId="0BEAA8AD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0484D">
        <w:rPr>
          <w:rFonts w:ascii="Book Antiqua" w:eastAsia="Book Antiqua" w:hAnsi="Book Antiqua" w:cs="Book Antiqua"/>
          <w:b/>
          <w:color w:val="000000"/>
        </w:rPr>
        <w:t>European Association for the Study of the Liver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EASL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Practice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Guidelines: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 w:rsidRPr="0000484D">
        <w:rPr>
          <w:rFonts w:ascii="Book Antiqua" w:eastAsia="Book Antiqua" w:hAnsi="Book Antiqua" w:cs="Book Antiqua"/>
          <w:i/>
          <w:color w:val="000000"/>
        </w:rPr>
        <w:t xml:space="preserve"> J 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0484D">
        <w:rPr>
          <w:rFonts w:ascii="Book Antiqua" w:eastAsia="Book Antiqua" w:hAnsi="Book Antiqua" w:cs="Book Antiqua"/>
          <w:b/>
          <w:color w:val="000000"/>
        </w:rPr>
        <w:t>64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433-485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[DOI:</w:t>
      </w:r>
      <w:r w:rsidR="000048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10.1016/j.jhep.2015.10.006]</w:t>
      </w:r>
    </w:p>
    <w:p w14:paraId="445599C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Onghena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Develtere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Poppe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Geerts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Troisi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Vanlander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Berrevoet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Rogiers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Vlierberghe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Verhelst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749-756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27366301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10.4254/wjh.v8.i18.749]</w:t>
      </w:r>
    </w:p>
    <w:p w14:paraId="22F9A2E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Chang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Choi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Current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benign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biliary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strictures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donor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1593-1606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26819525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10.3748/wjg.v22.i4.1593]</w:t>
      </w:r>
    </w:p>
    <w:p w14:paraId="5DEBBE40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Domingos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Coelho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JCU,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Nogueira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Parolin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Matias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JEF,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Freitas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Zeni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Ramos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EJB.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Gastrointestin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Dis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611-616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33118544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10.15403/jgld-2829]</w:t>
      </w:r>
    </w:p>
    <w:p w14:paraId="37EE95E3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Jover</w:t>
      </w:r>
      <w:proofErr w:type="spellEnd"/>
      <w:r w:rsidRPr="00485796">
        <w:rPr>
          <w:rFonts w:ascii="Book Antiqua" w:eastAsia="Book Antiqua" w:hAnsi="Book Antiqua" w:cs="Book Antiqua"/>
          <w:b/>
          <w:bCs/>
          <w:color w:val="000000"/>
        </w:rPr>
        <w:t>-Aguilar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Martínez-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Alarcón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Ramis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Gago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Ríos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Febrero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García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Hiciano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Guillermo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Ramírez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Self-Esteem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Orthotopic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lastRenderedPageBreak/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Ago.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Transplant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562-565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32057494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10.1016/j.transproceed.2019.12.017]</w:t>
      </w:r>
    </w:p>
    <w:p w14:paraId="56F8E9E0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Beekman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Berzigotti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Banz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Patient's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Physicians'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Experience.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Adv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1729-1734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30328060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10.1007/s12325-018-0797-7]</w:t>
      </w:r>
    </w:p>
    <w:p w14:paraId="263109FF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Legendre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Viebahn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Crespo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Dor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Gustafsson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Samuel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Karam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Binet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Aberg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Geest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Moes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DJAR,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Tonshoff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Oppenheimer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Asberg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Halleck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Loupy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Suesal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Beyond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Solid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Summary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Expert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Presentations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Sandoz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Standalone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Meeting,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2019;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S1-S13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31449167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10.1097/TP.0000000000002846]</w:t>
      </w:r>
    </w:p>
    <w:p w14:paraId="42594A63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Tarabeih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Bokek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-Cohen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Azuri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lung,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kidney,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heart,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Qual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Life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1631-1639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32016682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10.1007/s11136-020-02434-4]</w:t>
      </w:r>
    </w:p>
    <w:p w14:paraId="76878E21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42 </w:t>
      </w:r>
      <w:r w:rsidRPr="0000484D">
        <w:rPr>
          <w:rFonts w:ascii="Book Antiqua" w:eastAsia="Book Antiqua" w:hAnsi="Book Antiqua" w:cs="Book Antiqua"/>
          <w:b/>
          <w:bCs/>
          <w:color w:val="000000"/>
          <w:highlight w:val="yellow"/>
        </w:rPr>
        <w:t>WHO</w:t>
      </w:r>
      <w:r w:rsidRPr="0000484D">
        <w:rPr>
          <w:rFonts w:ascii="Book Antiqua" w:eastAsia="Book Antiqua" w:hAnsi="Book Antiqua" w:cs="Book Antiqua"/>
          <w:bCs/>
          <w:color w:val="000000"/>
          <w:highlight w:val="yellow"/>
        </w:rPr>
        <w:t>. WHOQOL-BREF: Introduction,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 xml:space="preserve"> administration, scoring and generic version of the assessment; Field trial version. Geneva: World Health Organization; 1996. </w:t>
      </w:r>
      <w:r w:rsidR="0000484D" w:rsidRPr="0000484D">
        <w:rPr>
          <w:rFonts w:ascii="Book Antiqua" w:eastAsia="Book Antiqua" w:hAnsi="Book Antiqua" w:cs="Book Antiqua"/>
          <w:color w:val="000000"/>
          <w:highlight w:val="yellow"/>
        </w:rPr>
        <w:t>[cited 20 February 2021]. Available from:</w:t>
      </w:r>
      <w:r w:rsidR="0000484D" w:rsidRPr="0000484D">
        <w:rPr>
          <w:rFonts w:ascii="Book Antiqua" w:hAnsi="Book Antiqua" w:cs="Book Antiqua" w:hint="eastAsia"/>
          <w:color w:val="000000"/>
          <w:highlight w:val="yellow"/>
          <w:lang w:eastAsia="zh-CN"/>
        </w:rPr>
        <w:t xml:space="preserve"> </w:t>
      </w:r>
      <w:r w:rsidRPr="0000484D">
        <w:rPr>
          <w:rFonts w:ascii="Book Antiqua" w:eastAsia="Book Antiqua" w:hAnsi="Book Antiqua" w:cs="Book Antiqua"/>
          <w:color w:val="000000"/>
          <w:highlight w:val="yellow"/>
        </w:rPr>
        <w:t>https://www.who.int/mental_health/media /en/76.pdf</w:t>
      </w:r>
    </w:p>
    <w:p w14:paraId="496483D8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Ziegelmann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Griva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Hankins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Harrison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Davenport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Thompson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Newman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TxEQ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):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multidimensional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example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(ESRD).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Br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Health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Psychol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393-408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12614493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10.1348/135910702320645381]</w:t>
      </w:r>
    </w:p>
    <w:p w14:paraId="3022D90D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Sullivan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Radosevich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decades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649-654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24678028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10.1002/lt.23855]</w:t>
      </w:r>
    </w:p>
    <w:p w14:paraId="43ED8A8F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Dunn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Rogal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Duarte-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Rojo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Activity,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702-708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32128971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10.1002/lt.25742]</w:t>
      </w:r>
    </w:p>
    <w:p w14:paraId="0AE96AB1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46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Neale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Smith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Bishop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Exercise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Solid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Organ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Phys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2017;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273-288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27552351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10.1097/PHM.0000000000000599]</w:t>
      </w:r>
    </w:p>
    <w:p w14:paraId="37AEBA81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Casanovas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Herdman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Chandía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Peña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Fabregat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Vilallonga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Identifying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Non-improved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Aspects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Health-related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Assessment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Transplant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Proc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2016;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132-137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26915858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10.1016/j.transproceed.2015.11.009]</w:t>
      </w:r>
    </w:p>
    <w:p w14:paraId="4535B52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Stewart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Auger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Enders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Felmlee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-Devine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Smith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sleep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cognitive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cirrhosis.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Sleep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21-26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24426816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10.5664/jcsm.3350]</w:t>
      </w:r>
    </w:p>
    <w:p w14:paraId="3873DEFB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49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Cohen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Mount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Strobel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McGill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measure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appropriate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people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advanced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preliminary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validity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acceptability.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Palliat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1995;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207-219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7582177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10.1177/026921639500900306]</w:t>
      </w:r>
    </w:p>
    <w:p w14:paraId="503E0B0A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Girgenti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Tropea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Buttafarro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Ragusa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Ammirata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Environ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Public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32471157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10.3390/ijerph17113809]</w:t>
      </w:r>
    </w:p>
    <w:p w14:paraId="773A5FE3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Burra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Germani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Long-term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2013;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19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Suppl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S40-S43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23960031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10.1002/lt.23725]</w:t>
      </w:r>
    </w:p>
    <w:p w14:paraId="157D7ED4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Pérez-San-Gregorio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MÁ</w:t>
      </w:r>
      <w:r w:rsidRPr="00485796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Martín-Rodríguez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Sánchez-Martín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Borda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-Mas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Avargues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-Navarro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Gómez-Bravo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MÁ,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Conrad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Spanish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Adaptation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Validation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TxEQ</w:t>
      </w:r>
      <w:proofErr w:type="spellEnd"/>
      <w:r w:rsidRPr="00485796">
        <w:rPr>
          <w:rFonts w:ascii="Book Antiqua" w:eastAsia="Book Antiqua" w:hAnsi="Book Antiqua" w:cs="Book Antiqua"/>
          <w:color w:val="000000"/>
        </w:rPr>
        <w:t>-Spanish)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Recipients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Relationship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Posttraumatic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Front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Psychiatry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2018;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29720952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10.3389/fpsyt.2018.00148]</w:t>
      </w:r>
    </w:p>
    <w:p w14:paraId="0A774C22" w14:textId="77777777" w:rsidR="00485796" w:rsidRPr="00485796" w:rsidRDefault="00485796" w:rsidP="0048579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5796">
        <w:rPr>
          <w:rFonts w:ascii="Book Antiqua" w:eastAsia="Book Antiqua" w:hAnsi="Book Antiqua" w:cs="Book Antiqua"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b/>
          <w:bCs/>
          <w:color w:val="000000"/>
        </w:rPr>
        <w:t>Åberg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85796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transplantation.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Best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Res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46-47</w:t>
      </w:r>
      <w:r w:rsidRPr="00485796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101684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33158471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10.1016/j.bpg.2020.101684]</w:t>
      </w:r>
    </w:p>
    <w:p w14:paraId="1DB061E9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12A8EBE8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  <w:sectPr w:rsidR="00A77B3E" w:rsidRPr="004857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EE8F6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AEC22B9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approved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institutional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board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Faculty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Medicine,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Shams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University,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Cairo,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</w:p>
    <w:p w14:paraId="0FFCE8B4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477FE8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waived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due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retrospective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nature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of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study</w:t>
      </w:r>
    </w:p>
    <w:p w14:paraId="3A6C89A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0E91125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All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authors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nothing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disclose.</w:t>
      </w:r>
    </w:p>
    <w:p w14:paraId="3843BDF7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19DB7A95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statistical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dataset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available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from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corresponding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author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485796">
          <w:rPr>
            <w:rFonts w:ascii="Book Antiqua" w:eastAsia="Book Antiqua" w:hAnsi="Book Antiqua" w:cs="Book Antiqua"/>
            <w:color w:val="000000"/>
            <w:u w:val="single" w:color="0000EE"/>
          </w:rPr>
          <w:t>ghadaabdelrahman@med.asu.edu.eg</w:t>
        </w:r>
      </w:hyperlink>
      <w:r w:rsidRPr="00485796">
        <w:rPr>
          <w:rFonts w:ascii="Book Antiqua" w:eastAsia="Book Antiqua" w:hAnsi="Book Antiqua" w:cs="Book Antiqua"/>
          <w:color w:val="000000"/>
          <w:u w:val="single"/>
        </w:rPr>
        <w:t>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participants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informed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consent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data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sharing.</w:t>
      </w:r>
    </w:p>
    <w:p w14:paraId="13FA7568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0A76D101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85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article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open-access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article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that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was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selected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in-house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editor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fully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peer-reviewed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external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reviewers.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distributed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accordance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with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Creative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Commons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Attribution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(CC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BY-NC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4.0)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license,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which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permits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others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to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distribute,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remix,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adapt,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build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upon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work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non-commercially,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license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their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derivative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works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on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different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terms,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provided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original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work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properly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cited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the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use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is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non-commercial.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See: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B3CCC0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366B4EDB" w14:textId="22891671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Manuscript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source: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Invited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903776">
        <w:rPr>
          <w:rFonts w:ascii="Book Antiqua" w:hAnsi="Book Antiqua" w:cs="Book Antiqua" w:hint="eastAsia"/>
          <w:color w:val="000000"/>
          <w:lang w:eastAsia="zh-CN"/>
        </w:rPr>
        <w:t>m</w:t>
      </w:r>
      <w:r w:rsidRPr="00485796">
        <w:rPr>
          <w:rFonts w:ascii="Book Antiqua" w:eastAsia="Book Antiqua" w:hAnsi="Book Antiqua" w:cs="Book Antiqua"/>
          <w:color w:val="000000"/>
        </w:rPr>
        <w:t>anuscript</w:t>
      </w:r>
    </w:p>
    <w:p w14:paraId="4DBCF12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647BB3CA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Peer-review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started: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April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11,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2021</w:t>
      </w:r>
    </w:p>
    <w:p w14:paraId="78AD31AF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First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decision: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June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15,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2021</w:t>
      </w:r>
    </w:p>
    <w:p w14:paraId="2757F698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Article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in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press: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9BEDF9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1D05519C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Specialty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type: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Gastroenterology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and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="002D705F">
        <w:rPr>
          <w:rFonts w:ascii="Book Antiqua" w:hAnsi="Book Antiqua" w:cs="Book Antiqua" w:hint="eastAsia"/>
          <w:color w:val="000000"/>
          <w:lang w:eastAsia="zh-CN"/>
        </w:rPr>
        <w:t>h</w:t>
      </w:r>
      <w:r w:rsidRPr="00485796">
        <w:rPr>
          <w:rFonts w:ascii="Book Antiqua" w:eastAsia="Book Antiqua" w:hAnsi="Book Antiqua" w:cs="Book Antiqua"/>
          <w:color w:val="000000"/>
        </w:rPr>
        <w:t>epatology</w:t>
      </w:r>
    </w:p>
    <w:p w14:paraId="701893BA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Country/Territory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of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origin: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Egypt</w:t>
      </w:r>
    </w:p>
    <w:p w14:paraId="79E84067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t>Peer-review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report’s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scientific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quality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DFB96BE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A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(Excellent):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</w:p>
    <w:p w14:paraId="17D2E37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B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(Very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good):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</w:p>
    <w:p w14:paraId="106C5FE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(Good):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C</w:t>
      </w:r>
    </w:p>
    <w:p w14:paraId="28A74848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D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(Fair):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</w:p>
    <w:p w14:paraId="348CAA34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</w:pPr>
      <w:r w:rsidRPr="00485796">
        <w:rPr>
          <w:rFonts w:ascii="Book Antiqua" w:eastAsia="Book Antiqua" w:hAnsi="Book Antiqua" w:cs="Book Antiqua"/>
          <w:color w:val="000000"/>
        </w:rPr>
        <w:t>Grade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E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(Poor):</w:t>
      </w:r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0</w:t>
      </w:r>
    </w:p>
    <w:p w14:paraId="136A61A3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</w:rPr>
      </w:pPr>
    </w:p>
    <w:p w14:paraId="73306E66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/>
        </w:rPr>
        <w:sectPr w:rsidR="00A77B3E" w:rsidRPr="004857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5796">
        <w:rPr>
          <w:rFonts w:ascii="Book Antiqua" w:eastAsia="Book Antiqua" w:hAnsi="Book Antiqua" w:cs="Book Antiqua"/>
          <w:b/>
          <w:color w:val="000000"/>
        </w:rPr>
        <w:t>P-Reviewer: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85796">
        <w:rPr>
          <w:rFonts w:ascii="Book Antiqua" w:eastAsia="Book Antiqua" w:hAnsi="Book Antiqua" w:cs="Book Antiqua"/>
          <w:color w:val="000000"/>
        </w:rPr>
        <w:t>Dambrauskas</w:t>
      </w:r>
      <w:proofErr w:type="spellEnd"/>
      <w:r w:rsidR="00485796">
        <w:rPr>
          <w:rFonts w:ascii="Book Antiqua" w:eastAsia="Book Antiqua" w:hAnsi="Book Antiqua" w:cs="Book Antiqua"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color w:val="000000"/>
        </w:rPr>
        <w:t>Z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S-Editor: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05F">
        <w:rPr>
          <w:rFonts w:ascii="Book Antiqua" w:hAnsi="Book Antiqua" w:cs="Book Antiqua" w:hint="eastAsia"/>
          <w:color w:val="000000"/>
          <w:lang w:eastAsia="zh-CN"/>
        </w:rPr>
        <w:t>Wang LL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L-Editor: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485796">
        <w:rPr>
          <w:rFonts w:ascii="Book Antiqua" w:eastAsia="Book Antiqua" w:hAnsi="Book Antiqua" w:cs="Book Antiqua"/>
          <w:b/>
          <w:color w:val="000000"/>
        </w:rPr>
        <w:t>P-Editor: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4082423" w14:textId="77777777" w:rsidR="00A77B3E" w:rsidRPr="00485796" w:rsidRDefault="00EB5E32" w:rsidP="0048579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857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5796">
        <w:rPr>
          <w:rFonts w:ascii="Book Antiqua" w:eastAsia="Book Antiqua" w:hAnsi="Book Antiqua" w:cs="Book Antiqua"/>
          <w:b/>
          <w:color w:val="000000"/>
        </w:rPr>
        <w:t>Legends</w:t>
      </w:r>
    </w:p>
    <w:p w14:paraId="675F078A" w14:textId="77777777" w:rsidR="00EB5E32" w:rsidRPr="00485796" w:rsidRDefault="00EB5E32" w:rsidP="00485796">
      <w:pPr>
        <w:spacing w:line="360" w:lineRule="auto"/>
        <w:jc w:val="both"/>
        <w:rPr>
          <w:rFonts w:ascii="Book Antiqua" w:hAnsi="Book Antiqua"/>
          <w:lang w:eastAsia="zh-CN"/>
        </w:rPr>
      </w:pPr>
      <w:r w:rsidRPr="00485796">
        <w:rPr>
          <w:rFonts w:ascii="Book Antiqua" w:hAnsi="Book Antiqua"/>
          <w:noProof/>
          <w:lang w:val="en-US" w:eastAsia="zh-CN"/>
        </w:rPr>
        <w:drawing>
          <wp:inline distT="0" distB="0" distL="0" distR="0" wp14:anchorId="502494F6" wp14:editId="26738DB7">
            <wp:extent cx="4915326" cy="324640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917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326" cy="324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5BF34" w14:textId="06DFD0E7" w:rsidR="00A969AF" w:rsidRPr="00A969AF" w:rsidRDefault="00EB5E32" w:rsidP="00A969AF">
      <w:pPr>
        <w:spacing w:line="360" w:lineRule="auto"/>
        <w:jc w:val="both"/>
        <w:rPr>
          <w:rFonts w:ascii="Book Antiqua" w:hAnsi="Book Antiqua"/>
          <w:lang w:eastAsia="zh-CN"/>
        </w:rPr>
      </w:pPr>
      <w:r w:rsidRPr="0090377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85796" w:rsidRPr="009037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color w:val="000000"/>
        </w:rPr>
        <w:t>1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Short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Form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12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(v.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2)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domains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in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patients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and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controls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compared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to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the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norm-based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score</w:t>
      </w:r>
      <w:r w:rsidRPr="00903776">
        <w:rPr>
          <w:rFonts w:ascii="Book Antiqua" w:hAnsi="Book Antiqua" w:cs="Book Antiqua"/>
          <w:b/>
          <w:color w:val="000000"/>
          <w:lang w:eastAsia="zh-CN"/>
        </w:rPr>
        <w:t>.</w:t>
      </w:r>
      <w:r w:rsidR="00903776" w:rsidRPr="0090377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A969AF" w:rsidRPr="00A969AF">
        <w:rPr>
          <w:rFonts w:ascii="Book Antiqua" w:hAnsi="Book Antiqua"/>
          <w:lang w:val="en-US" w:eastAsia="zh-CN"/>
        </w:rPr>
        <w:t>BP: Bodily pain; GH: General health; MH: Mental health; NBS: Norm based score; PF: Physical functioning; RE: Role emotion; RP: Role physical; SF: Social functioning; V: Vitality</w:t>
      </w:r>
      <w:r w:rsidR="00903776">
        <w:rPr>
          <w:rFonts w:ascii="Book Antiqua" w:hAnsi="Book Antiqua" w:hint="eastAsia"/>
          <w:lang w:val="en-US" w:eastAsia="zh-CN"/>
        </w:rPr>
        <w:t>.</w:t>
      </w:r>
    </w:p>
    <w:p w14:paraId="01346848" w14:textId="77777777" w:rsidR="00A969AF" w:rsidRPr="00485796" w:rsidRDefault="00A969AF" w:rsidP="0048579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850860" w14:textId="77777777" w:rsidR="00EB5E32" w:rsidRPr="00485796" w:rsidRDefault="00EB5E32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99F4635" w14:textId="77777777" w:rsidR="00EB5E32" w:rsidRPr="00485796" w:rsidRDefault="00EB5E32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85796">
        <w:rPr>
          <w:rFonts w:ascii="Book Antiqua" w:eastAsia="Book Antiqua" w:hAnsi="Book Antiqua" w:cs="Book Antiqua"/>
          <w:b/>
          <w:bCs/>
          <w:noProof/>
          <w:color w:val="000000"/>
          <w:lang w:val="en-US" w:eastAsia="zh-CN"/>
        </w:rPr>
        <w:lastRenderedPageBreak/>
        <w:drawing>
          <wp:inline distT="0" distB="0" distL="0" distR="0" wp14:anchorId="3A1071FC" wp14:editId="23F1957C">
            <wp:extent cx="4084674" cy="3292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E7F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674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9448A" w14:textId="4D7D1F8A" w:rsidR="00F9476C" w:rsidRPr="00F9476C" w:rsidRDefault="00EB5E32" w:rsidP="00F9476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0377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85796" w:rsidRPr="009037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bCs/>
          <w:color w:val="000000"/>
        </w:rPr>
        <w:t>2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Physical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and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mental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component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summary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scores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of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patients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and</w:t>
      </w:r>
      <w:r w:rsidR="00485796" w:rsidRPr="0090377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3776">
        <w:rPr>
          <w:rFonts w:ascii="Book Antiqua" w:eastAsia="Book Antiqua" w:hAnsi="Book Antiqua" w:cs="Book Antiqua"/>
          <w:b/>
          <w:color w:val="000000"/>
        </w:rPr>
        <w:t>controls</w:t>
      </w:r>
      <w:r w:rsidR="00485796" w:rsidRPr="00903776">
        <w:rPr>
          <w:rFonts w:ascii="Book Antiqua" w:hAnsi="Book Antiqua" w:cs="Book Antiqua"/>
          <w:b/>
          <w:color w:val="000000"/>
          <w:lang w:eastAsia="zh-CN"/>
        </w:rPr>
        <w:t>.</w:t>
      </w:r>
      <w:r w:rsidR="00903776" w:rsidRPr="00903776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9476C" w:rsidRPr="00F9476C">
        <w:rPr>
          <w:rFonts w:ascii="Book Antiqua" w:hAnsi="Book Antiqua" w:cs="Book Antiqua"/>
          <w:color w:val="000000"/>
          <w:lang w:val="en-US" w:eastAsia="zh-CN"/>
        </w:rPr>
        <w:t>Patients: Live donor liver transplant recipients with biliary complications; Controls: Live donor liver transplant recipients without biliary complications; MCS: Mental component summary score; PCS: Physical component summary score</w:t>
      </w:r>
      <w:r w:rsidR="00903776">
        <w:rPr>
          <w:rFonts w:ascii="Book Antiqua" w:hAnsi="Book Antiqua" w:cs="Book Antiqua" w:hint="eastAsia"/>
          <w:color w:val="000000"/>
          <w:lang w:val="en-US" w:eastAsia="zh-CN"/>
        </w:rPr>
        <w:t>.</w:t>
      </w:r>
    </w:p>
    <w:p w14:paraId="767666B6" w14:textId="77777777" w:rsidR="00F9476C" w:rsidRPr="00485796" w:rsidRDefault="00F9476C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65206E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85796">
        <w:rPr>
          <w:rFonts w:ascii="Book Antiqua" w:hAnsi="Book Antiqua" w:cs="Book Antiqua"/>
          <w:color w:val="000000"/>
          <w:lang w:eastAsia="zh-CN"/>
        </w:rPr>
        <w:br w:type="page"/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>Table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1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Descriptive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categorical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data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for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live-donor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liver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transplant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recipients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biliary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complications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50"/>
        <w:gridCol w:w="3452"/>
        <w:gridCol w:w="2158"/>
      </w:tblGrid>
      <w:tr w:rsidR="00485796" w:rsidRPr="00576484" w14:paraId="7B4D58F8" w14:textId="77777777" w:rsidTr="00576484">
        <w:tc>
          <w:tcPr>
            <w:tcW w:w="20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9C998" w14:textId="77777777" w:rsidR="00485796" w:rsidRPr="0057648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576484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</w:tcPr>
          <w:p w14:paraId="66D79772" w14:textId="77777777" w:rsidR="00485796" w:rsidRPr="0057648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i/>
                <w:color w:val="000000"/>
                <w:lang w:eastAsia="zh-CN"/>
              </w:rPr>
            </w:pP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D856" w14:textId="34B8F66F" w:rsidR="00485796" w:rsidRPr="00576484" w:rsidRDefault="00576484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i/>
                <w:color w:val="000000"/>
                <w:lang w:eastAsia="zh-CN"/>
              </w:rPr>
            </w:pPr>
            <w:r w:rsidRPr="00576484">
              <w:rPr>
                <w:rFonts w:ascii="Book Antiqua" w:hAnsi="Book Antiqua" w:cs="Book Antiqua" w:hint="eastAsia"/>
                <w:b/>
                <w:bCs/>
                <w:i/>
                <w:color w:val="000000"/>
                <w:lang w:eastAsia="zh-CN"/>
              </w:rPr>
              <w:t>n</w:t>
            </w:r>
            <w:r w:rsidR="00485796" w:rsidRPr="00576484">
              <w:rPr>
                <w:rFonts w:ascii="Book Antiqua" w:hAnsi="Book Antiqua" w:cs="Book Antiqua"/>
                <w:b/>
                <w:bCs/>
                <w:i/>
                <w:color w:val="000000"/>
                <w:lang w:eastAsia="zh-CN"/>
              </w:rPr>
              <w:t xml:space="preserve"> (%)</w:t>
            </w:r>
          </w:p>
        </w:tc>
      </w:tr>
      <w:tr w:rsidR="00485796" w:rsidRPr="00485796" w14:paraId="5BAA1C09" w14:textId="77777777" w:rsidTr="00576484">
        <w:tc>
          <w:tcPr>
            <w:tcW w:w="2003" w:type="pct"/>
            <w:vMerge w:val="restart"/>
            <w:tcBorders>
              <w:top w:val="single" w:sz="4" w:space="0" w:color="auto"/>
            </w:tcBorders>
            <w:vAlign w:val="center"/>
          </w:tcPr>
          <w:p w14:paraId="615B1A80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Indication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liver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transplantation</w:t>
            </w:r>
          </w:p>
        </w:tc>
        <w:tc>
          <w:tcPr>
            <w:tcW w:w="1844" w:type="pct"/>
            <w:tcBorders>
              <w:top w:val="single" w:sz="4" w:space="0" w:color="auto"/>
            </w:tcBorders>
          </w:tcPr>
          <w:p w14:paraId="7F149CC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HCV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14:paraId="54D071C9" w14:textId="4BC3567A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(84)</w:t>
            </w:r>
          </w:p>
        </w:tc>
      </w:tr>
      <w:tr w:rsidR="00485796" w:rsidRPr="00485796" w14:paraId="51F7A088" w14:textId="77777777" w:rsidTr="00576484">
        <w:tc>
          <w:tcPr>
            <w:tcW w:w="2003" w:type="pct"/>
            <w:vMerge/>
            <w:vAlign w:val="center"/>
          </w:tcPr>
          <w:p w14:paraId="2802745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01350240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HBV</w:t>
            </w:r>
          </w:p>
        </w:tc>
        <w:tc>
          <w:tcPr>
            <w:tcW w:w="1153" w:type="pct"/>
            <w:vAlign w:val="center"/>
          </w:tcPr>
          <w:p w14:paraId="69A3F4EA" w14:textId="1FD9754B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(4)</w:t>
            </w:r>
          </w:p>
        </w:tc>
      </w:tr>
      <w:tr w:rsidR="00485796" w:rsidRPr="00485796" w14:paraId="5A6BB70A" w14:textId="77777777" w:rsidTr="00576484">
        <w:tc>
          <w:tcPr>
            <w:tcW w:w="2003" w:type="pct"/>
            <w:vMerge/>
            <w:vAlign w:val="center"/>
          </w:tcPr>
          <w:p w14:paraId="23D65973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713254A9" w14:textId="78AD7418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Combined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HCV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and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HBV</w:t>
            </w:r>
          </w:p>
        </w:tc>
        <w:tc>
          <w:tcPr>
            <w:tcW w:w="1153" w:type="pct"/>
            <w:vAlign w:val="center"/>
          </w:tcPr>
          <w:p w14:paraId="32E6C6F7" w14:textId="74757218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(4)</w:t>
            </w:r>
          </w:p>
        </w:tc>
      </w:tr>
      <w:tr w:rsidR="00485796" w:rsidRPr="00485796" w14:paraId="24599BA9" w14:textId="77777777" w:rsidTr="00576484">
        <w:tc>
          <w:tcPr>
            <w:tcW w:w="2003" w:type="pct"/>
            <w:vMerge/>
            <w:vAlign w:val="center"/>
          </w:tcPr>
          <w:p w14:paraId="7159D52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1E52D67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Hepatocellular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carcinoma</w:t>
            </w:r>
          </w:p>
        </w:tc>
        <w:tc>
          <w:tcPr>
            <w:tcW w:w="1153" w:type="pct"/>
            <w:vAlign w:val="center"/>
          </w:tcPr>
          <w:p w14:paraId="6AFA6DF7" w14:textId="58A6F73B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(8)</w:t>
            </w:r>
          </w:p>
        </w:tc>
      </w:tr>
      <w:tr w:rsidR="00485796" w:rsidRPr="00485796" w14:paraId="6EEBEA06" w14:textId="77777777" w:rsidTr="00576484">
        <w:tc>
          <w:tcPr>
            <w:tcW w:w="2003" w:type="pct"/>
            <w:vMerge w:val="restart"/>
            <w:vAlign w:val="center"/>
          </w:tcPr>
          <w:p w14:paraId="1CB570D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Donors’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gender</w:t>
            </w:r>
          </w:p>
        </w:tc>
        <w:tc>
          <w:tcPr>
            <w:tcW w:w="1844" w:type="pct"/>
          </w:tcPr>
          <w:p w14:paraId="77B6EF20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Male</w:t>
            </w:r>
          </w:p>
        </w:tc>
        <w:tc>
          <w:tcPr>
            <w:tcW w:w="1153" w:type="pct"/>
            <w:vAlign w:val="center"/>
          </w:tcPr>
          <w:p w14:paraId="4000849A" w14:textId="18677DA9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(68)</w:t>
            </w:r>
          </w:p>
        </w:tc>
      </w:tr>
      <w:tr w:rsidR="00485796" w:rsidRPr="00485796" w14:paraId="657EED41" w14:textId="77777777" w:rsidTr="00576484">
        <w:tc>
          <w:tcPr>
            <w:tcW w:w="2003" w:type="pct"/>
            <w:vMerge/>
            <w:vAlign w:val="center"/>
          </w:tcPr>
          <w:p w14:paraId="6B7DDF7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56F2B8A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Female</w:t>
            </w:r>
          </w:p>
        </w:tc>
        <w:tc>
          <w:tcPr>
            <w:tcW w:w="1153" w:type="pct"/>
            <w:vAlign w:val="center"/>
          </w:tcPr>
          <w:p w14:paraId="38A322E8" w14:textId="554C6D19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8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(32)</w:t>
            </w:r>
          </w:p>
        </w:tc>
      </w:tr>
      <w:tr w:rsidR="00485796" w:rsidRPr="00485796" w14:paraId="4D175C80" w14:textId="77777777" w:rsidTr="00576484">
        <w:tc>
          <w:tcPr>
            <w:tcW w:w="2003" w:type="pct"/>
            <w:vMerge w:val="restart"/>
            <w:vAlign w:val="center"/>
          </w:tcPr>
          <w:p w14:paraId="5160C1A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Recipients’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gender</w:t>
            </w:r>
          </w:p>
        </w:tc>
        <w:tc>
          <w:tcPr>
            <w:tcW w:w="1844" w:type="pct"/>
          </w:tcPr>
          <w:p w14:paraId="07F34612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Male</w:t>
            </w:r>
          </w:p>
        </w:tc>
        <w:tc>
          <w:tcPr>
            <w:tcW w:w="1153" w:type="pct"/>
            <w:vAlign w:val="center"/>
          </w:tcPr>
          <w:p w14:paraId="1AD3DECF" w14:textId="700234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19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(76)</w:t>
            </w:r>
          </w:p>
        </w:tc>
      </w:tr>
      <w:tr w:rsidR="00485796" w:rsidRPr="00485796" w14:paraId="1B67CF3D" w14:textId="77777777" w:rsidTr="00576484">
        <w:tc>
          <w:tcPr>
            <w:tcW w:w="2003" w:type="pct"/>
            <w:vMerge/>
            <w:vAlign w:val="center"/>
          </w:tcPr>
          <w:p w14:paraId="1444884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242C9CE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Female</w:t>
            </w:r>
          </w:p>
        </w:tc>
        <w:tc>
          <w:tcPr>
            <w:tcW w:w="1153" w:type="pct"/>
            <w:vAlign w:val="center"/>
          </w:tcPr>
          <w:p w14:paraId="5E8B2719" w14:textId="1FA3B803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6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(24)</w:t>
            </w:r>
          </w:p>
        </w:tc>
      </w:tr>
      <w:tr w:rsidR="00485796" w:rsidRPr="00485796" w14:paraId="3C3E3F17" w14:textId="77777777" w:rsidTr="00576484">
        <w:tc>
          <w:tcPr>
            <w:tcW w:w="2003" w:type="pct"/>
            <w:vMerge w:val="restart"/>
            <w:vAlign w:val="center"/>
          </w:tcPr>
          <w:p w14:paraId="788612E0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Immunosuppressant</w:t>
            </w:r>
          </w:p>
        </w:tc>
        <w:tc>
          <w:tcPr>
            <w:tcW w:w="1844" w:type="pct"/>
          </w:tcPr>
          <w:p w14:paraId="4A8F12A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Tacrolimus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14:paraId="6DCBBDD3" w14:textId="66D70B74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(88)</w:t>
            </w:r>
          </w:p>
        </w:tc>
      </w:tr>
      <w:tr w:rsidR="00485796" w:rsidRPr="00485796" w14:paraId="4E0C47B9" w14:textId="77777777" w:rsidTr="00576484">
        <w:tc>
          <w:tcPr>
            <w:tcW w:w="2003" w:type="pct"/>
            <w:vMerge/>
            <w:vAlign w:val="center"/>
          </w:tcPr>
          <w:p w14:paraId="3B071D83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1B04015C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Cyclosporine</w:t>
            </w:r>
          </w:p>
        </w:tc>
        <w:tc>
          <w:tcPr>
            <w:tcW w:w="1153" w:type="pct"/>
            <w:vAlign w:val="center"/>
          </w:tcPr>
          <w:p w14:paraId="03B4E6F0" w14:textId="62DF3C1A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(12)</w:t>
            </w:r>
          </w:p>
        </w:tc>
      </w:tr>
      <w:tr w:rsidR="00485796" w:rsidRPr="00485796" w14:paraId="51A410A7" w14:textId="77777777" w:rsidTr="00576484">
        <w:tc>
          <w:tcPr>
            <w:tcW w:w="2003" w:type="pct"/>
            <w:vMerge w:val="restart"/>
            <w:vAlign w:val="center"/>
          </w:tcPr>
          <w:p w14:paraId="4828696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leakage</w:t>
            </w:r>
          </w:p>
        </w:tc>
        <w:tc>
          <w:tcPr>
            <w:tcW w:w="1844" w:type="pct"/>
          </w:tcPr>
          <w:p w14:paraId="5161B05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2BB81FAE" w14:textId="29119EEB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(28)</w:t>
            </w:r>
          </w:p>
        </w:tc>
      </w:tr>
      <w:tr w:rsidR="00485796" w:rsidRPr="00485796" w14:paraId="3D9444B4" w14:textId="77777777" w:rsidTr="00576484">
        <w:tc>
          <w:tcPr>
            <w:tcW w:w="2003" w:type="pct"/>
            <w:vMerge/>
            <w:vAlign w:val="center"/>
          </w:tcPr>
          <w:p w14:paraId="1E1FCA9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44AB8FE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04BC0EE6" w14:textId="240A5F4F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18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(72)</w:t>
            </w:r>
          </w:p>
        </w:tc>
      </w:tr>
      <w:tr w:rsidR="00485796" w:rsidRPr="00485796" w14:paraId="36569721" w14:textId="77777777" w:rsidTr="00576484">
        <w:tc>
          <w:tcPr>
            <w:tcW w:w="2003" w:type="pct"/>
            <w:vMerge w:val="restart"/>
            <w:vAlign w:val="center"/>
          </w:tcPr>
          <w:p w14:paraId="7C1C7B3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Need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pigtail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catheter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for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biloma</w:t>
            </w:r>
            <w:proofErr w:type="spellEnd"/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=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18)</w:t>
            </w:r>
          </w:p>
        </w:tc>
        <w:tc>
          <w:tcPr>
            <w:tcW w:w="1844" w:type="pct"/>
          </w:tcPr>
          <w:p w14:paraId="6BB0C8CC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78141AD7" w14:textId="3CF72D8B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(83.3)</w:t>
            </w:r>
          </w:p>
        </w:tc>
      </w:tr>
      <w:tr w:rsidR="00485796" w:rsidRPr="00485796" w14:paraId="177013F0" w14:textId="77777777" w:rsidTr="00576484">
        <w:tc>
          <w:tcPr>
            <w:tcW w:w="2003" w:type="pct"/>
            <w:vMerge/>
            <w:vAlign w:val="center"/>
          </w:tcPr>
          <w:p w14:paraId="32F08B8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512693C3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4FFF7D20" w14:textId="719B1126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(16.6)</w:t>
            </w:r>
          </w:p>
        </w:tc>
      </w:tr>
      <w:tr w:rsidR="00485796" w:rsidRPr="00485796" w14:paraId="6EDF68C9" w14:textId="77777777" w:rsidTr="00576484">
        <w:tc>
          <w:tcPr>
            <w:tcW w:w="2003" w:type="pct"/>
            <w:vMerge w:val="restart"/>
            <w:vAlign w:val="center"/>
          </w:tcPr>
          <w:p w14:paraId="41B9937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infection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844" w:type="pct"/>
          </w:tcPr>
          <w:p w14:paraId="075AF55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47825ABA" w14:textId="64EDCEF8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(0)</w:t>
            </w:r>
          </w:p>
        </w:tc>
      </w:tr>
      <w:tr w:rsidR="00485796" w:rsidRPr="00485796" w14:paraId="08DB368D" w14:textId="77777777" w:rsidTr="00576484">
        <w:tc>
          <w:tcPr>
            <w:tcW w:w="2003" w:type="pct"/>
            <w:vMerge/>
            <w:vAlign w:val="center"/>
          </w:tcPr>
          <w:p w14:paraId="0BC3D15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7242ED3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0C93456E" w14:textId="1229FD2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(100)</w:t>
            </w:r>
          </w:p>
        </w:tc>
      </w:tr>
      <w:tr w:rsidR="00485796" w:rsidRPr="00485796" w14:paraId="6D51ED6D" w14:textId="77777777" w:rsidTr="00576484">
        <w:trPr>
          <w:trHeight w:val="251"/>
        </w:trPr>
        <w:tc>
          <w:tcPr>
            <w:tcW w:w="2003" w:type="pct"/>
            <w:vMerge w:val="restart"/>
            <w:vAlign w:val="center"/>
          </w:tcPr>
          <w:p w14:paraId="5CC86B6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Frequency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infection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=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25)</w:t>
            </w:r>
          </w:p>
        </w:tc>
        <w:tc>
          <w:tcPr>
            <w:tcW w:w="1844" w:type="pct"/>
          </w:tcPr>
          <w:p w14:paraId="0FCE3B3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1-2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Episodes</w:t>
            </w:r>
          </w:p>
        </w:tc>
        <w:tc>
          <w:tcPr>
            <w:tcW w:w="1153" w:type="pct"/>
            <w:vAlign w:val="center"/>
          </w:tcPr>
          <w:p w14:paraId="75C3A305" w14:textId="6FE17AB6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16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(64)</w:t>
            </w:r>
          </w:p>
        </w:tc>
      </w:tr>
      <w:tr w:rsidR="00485796" w:rsidRPr="00485796" w14:paraId="56EBE796" w14:textId="77777777" w:rsidTr="00576484">
        <w:tc>
          <w:tcPr>
            <w:tcW w:w="2003" w:type="pct"/>
            <w:vMerge/>
            <w:vAlign w:val="center"/>
          </w:tcPr>
          <w:p w14:paraId="7B0E5D1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71171EB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≥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Episodes</w:t>
            </w:r>
          </w:p>
        </w:tc>
        <w:tc>
          <w:tcPr>
            <w:tcW w:w="1153" w:type="pct"/>
            <w:vAlign w:val="center"/>
          </w:tcPr>
          <w:p w14:paraId="1F032695" w14:textId="382D8523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9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(36)</w:t>
            </w:r>
          </w:p>
        </w:tc>
      </w:tr>
      <w:tr w:rsidR="00485796" w:rsidRPr="00485796" w14:paraId="3978F7CD" w14:textId="77777777" w:rsidTr="00576484">
        <w:tc>
          <w:tcPr>
            <w:tcW w:w="2003" w:type="pct"/>
            <w:vMerge w:val="restart"/>
            <w:vAlign w:val="center"/>
          </w:tcPr>
          <w:p w14:paraId="33204DF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stricture</w:t>
            </w:r>
          </w:p>
        </w:tc>
        <w:tc>
          <w:tcPr>
            <w:tcW w:w="1844" w:type="pct"/>
          </w:tcPr>
          <w:p w14:paraId="795AF85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31F5B04B" w14:textId="455974A5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(20)</w:t>
            </w:r>
          </w:p>
        </w:tc>
      </w:tr>
      <w:tr w:rsidR="00485796" w:rsidRPr="00485796" w14:paraId="73943240" w14:textId="77777777" w:rsidTr="00576484">
        <w:tc>
          <w:tcPr>
            <w:tcW w:w="2003" w:type="pct"/>
            <w:vMerge/>
            <w:vAlign w:val="center"/>
          </w:tcPr>
          <w:p w14:paraId="70C7430B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2763F97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4165A5BE" w14:textId="13DCAB1F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(80)</w:t>
            </w:r>
          </w:p>
        </w:tc>
      </w:tr>
      <w:tr w:rsidR="00485796" w:rsidRPr="00485796" w14:paraId="1E6E574D" w14:textId="77777777" w:rsidTr="00576484">
        <w:trPr>
          <w:trHeight w:val="215"/>
        </w:trPr>
        <w:tc>
          <w:tcPr>
            <w:tcW w:w="2003" w:type="pct"/>
            <w:vMerge w:val="restart"/>
            <w:vAlign w:val="center"/>
          </w:tcPr>
          <w:p w14:paraId="1758C55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Frequency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stricture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=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20)</w:t>
            </w:r>
          </w:p>
        </w:tc>
        <w:tc>
          <w:tcPr>
            <w:tcW w:w="1844" w:type="pct"/>
          </w:tcPr>
          <w:p w14:paraId="4397CA2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1-2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Episodes</w:t>
            </w:r>
          </w:p>
        </w:tc>
        <w:tc>
          <w:tcPr>
            <w:tcW w:w="1153" w:type="pct"/>
            <w:vAlign w:val="center"/>
          </w:tcPr>
          <w:p w14:paraId="31337723" w14:textId="139D7B30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(65)</w:t>
            </w:r>
          </w:p>
        </w:tc>
      </w:tr>
      <w:tr w:rsidR="00485796" w:rsidRPr="00485796" w14:paraId="302EB814" w14:textId="77777777" w:rsidTr="00576484">
        <w:tc>
          <w:tcPr>
            <w:tcW w:w="2003" w:type="pct"/>
            <w:vMerge/>
            <w:vAlign w:val="center"/>
          </w:tcPr>
          <w:p w14:paraId="0A17F9CC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54D6ABE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≥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Episodes</w:t>
            </w:r>
          </w:p>
        </w:tc>
        <w:tc>
          <w:tcPr>
            <w:tcW w:w="1153" w:type="pct"/>
            <w:vAlign w:val="center"/>
          </w:tcPr>
          <w:p w14:paraId="4A8D7783" w14:textId="1B8B9963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(28)</w:t>
            </w:r>
          </w:p>
        </w:tc>
      </w:tr>
      <w:tr w:rsidR="00485796" w:rsidRPr="00485796" w14:paraId="2870029F" w14:textId="77777777" w:rsidTr="00576484">
        <w:tc>
          <w:tcPr>
            <w:tcW w:w="2003" w:type="pct"/>
            <w:vMerge w:val="restart"/>
            <w:vAlign w:val="center"/>
          </w:tcPr>
          <w:p w14:paraId="0B58A8CB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Need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for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ERCP</w:t>
            </w:r>
          </w:p>
        </w:tc>
        <w:tc>
          <w:tcPr>
            <w:tcW w:w="1844" w:type="pct"/>
          </w:tcPr>
          <w:p w14:paraId="635018D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</w:p>
        </w:tc>
        <w:tc>
          <w:tcPr>
            <w:tcW w:w="1153" w:type="pct"/>
            <w:vAlign w:val="center"/>
          </w:tcPr>
          <w:p w14:paraId="12D5A036" w14:textId="5588203D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(20)</w:t>
            </w:r>
          </w:p>
        </w:tc>
      </w:tr>
      <w:tr w:rsidR="00485796" w:rsidRPr="00485796" w14:paraId="7B94EF06" w14:textId="77777777" w:rsidTr="00576484">
        <w:tc>
          <w:tcPr>
            <w:tcW w:w="2003" w:type="pct"/>
            <w:vMerge/>
            <w:vAlign w:val="center"/>
          </w:tcPr>
          <w:p w14:paraId="6C2160C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578ABC62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0069F2D1" w14:textId="6249A39E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(80)</w:t>
            </w:r>
          </w:p>
        </w:tc>
      </w:tr>
      <w:tr w:rsidR="00485796" w:rsidRPr="00485796" w14:paraId="3B8FD2D7" w14:textId="77777777" w:rsidTr="00576484">
        <w:trPr>
          <w:trHeight w:val="215"/>
        </w:trPr>
        <w:tc>
          <w:tcPr>
            <w:tcW w:w="2003" w:type="pct"/>
            <w:vMerge w:val="restart"/>
            <w:vAlign w:val="center"/>
          </w:tcPr>
          <w:p w14:paraId="1BA2B4B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Frequency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ERCP</w:t>
            </w:r>
          </w:p>
        </w:tc>
        <w:tc>
          <w:tcPr>
            <w:tcW w:w="1844" w:type="pct"/>
          </w:tcPr>
          <w:p w14:paraId="4BFC8CC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1-2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ERCP</w:t>
            </w:r>
          </w:p>
        </w:tc>
        <w:tc>
          <w:tcPr>
            <w:tcW w:w="1153" w:type="pct"/>
            <w:vAlign w:val="center"/>
          </w:tcPr>
          <w:p w14:paraId="32B096A4" w14:textId="3E16CDF9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(65)</w:t>
            </w:r>
          </w:p>
        </w:tc>
      </w:tr>
      <w:tr w:rsidR="00485796" w:rsidRPr="00485796" w14:paraId="55579D06" w14:textId="77777777" w:rsidTr="00576484">
        <w:tc>
          <w:tcPr>
            <w:tcW w:w="2003" w:type="pct"/>
            <w:vMerge/>
            <w:vAlign w:val="center"/>
          </w:tcPr>
          <w:p w14:paraId="179863F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4C3FB6B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≥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ERCP</w:t>
            </w:r>
          </w:p>
        </w:tc>
        <w:tc>
          <w:tcPr>
            <w:tcW w:w="1153" w:type="pct"/>
            <w:vAlign w:val="center"/>
          </w:tcPr>
          <w:p w14:paraId="4352AA2F" w14:textId="0BE8A0AD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(28)</w:t>
            </w:r>
          </w:p>
        </w:tc>
      </w:tr>
      <w:tr w:rsidR="00485796" w:rsidRPr="00485796" w14:paraId="685CAD07" w14:textId="77777777" w:rsidTr="00576484">
        <w:tc>
          <w:tcPr>
            <w:tcW w:w="2003" w:type="pct"/>
            <w:vMerge w:val="restart"/>
            <w:vAlign w:val="center"/>
          </w:tcPr>
          <w:p w14:paraId="1D2FC1C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lastRenderedPageBreak/>
              <w:t>Need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for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PTC</w:t>
            </w:r>
          </w:p>
        </w:tc>
        <w:tc>
          <w:tcPr>
            <w:tcW w:w="1844" w:type="pct"/>
          </w:tcPr>
          <w:p w14:paraId="4C28C30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52CEF368" w14:textId="7668D0CE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(88)</w:t>
            </w:r>
          </w:p>
        </w:tc>
      </w:tr>
      <w:tr w:rsidR="00485796" w:rsidRPr="00485796" w14:paraId="5C73B046" w14:textId="77777777" w:rsidTr="00576484">
        <w:tc>
          <w:tcPr>
            <w:tcW w:w="2003" w:type="pct"/>
            <w:vMerge/>
            <w:vAlign w:val="center"/>
          </w:tcPr>
          <w:p w14:paraId="4666D3F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71DF60B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218DEAC1" w14:textId="2E1F6560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(12)</w:t>
            </w:r>
          </w:p>
        </w:tc>
      </w:tr>
      <w:tr w:rsidR="00485796" w:rsidRPr="00485796" w14:paraId="5A43E04C" w14:textId="77777777" w:rsidTr="00576484">
        <w:trPr>
          <w:trHeight w:val="224"/>
        </w:trPr>
        <w:tc>
          <w:tcPr>
            <w:tcW w:w="2003" w:type="pct"/>
            <w:vMerge w:val="restart"/>
            <w:vAlign w:val="center"/>
          </w:tcPr>
          <w:p w14:paraId="5D3E562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Frequency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of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PTC</w:t>
            </w:r>
          </w:p>
        </w:tc>
        <w:tc>
          <w:tcPr>
            <w:tcW w:w="1844" w:type="pct"/>
          </w:tcPr>
          <w:p w14:paraId="3B7CFA0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PTC</w:t>
            </w:r>
          </w:p>
        </w:tc>
        <w:tc>
          <w:tcPr>
            <w:tcW w:w="1153" w:type="pct"/>
            <w:vAlign w:val="center"/>
          </w:tcPr>
          <w:p w14:paraId="448FC34B" w14:textId="0580D4FE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(66.6)</w:t>
            </w:r>
          </w:p>
        </w:tc>
      </w:tr>
      <w:tr w:rsidR="00485796" w:rsidRPr="00485796" w14:paraId="40BC9CA2" w14:textId="77777777" w:rsidTr="00576484">
        <w:trPr>
          <w:trHeight w:val="99"/>
        </w:trPr>
        <w:tc>
          <w:tcPr>
            <w:tcW w:w="2003" w:type="pct"/>
            <w:vMerge/>
            <w:vAlign w:val="center"/>
          </w:tcPr>
          <w:p w14:paraId="7900AB7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29BE9E4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PTC</w:t>
            </w:r>
          </w:p>
        </w:tc>
        <w:tc>
          <w:tcPr>
            <w:tcW w:w="1153" w:type="pct"/>
            <w:vAlign w:val="center"/>
          </w:tcPr>
          <w:p w14:paraId="10CA6CCD" w14:textId="3A77C1D5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(33.3)</w:t>
            </w:r>
          </w:p>
        </w:tc>
      </w:tr>
      <w:tr w:rsidR="00485796" w:rsidRPr="00485796" w14:paraId="38ED2871" w14:textId="77777777" w:rsidTr="00576484">
        <w:tc>
          <w:tcPr>
            <w:tcW w:w="2003" w:type="pct"/>
            <w:vMerge w:val="restart"/>
            <w:vAlign w:val="center"/>
          </w:tcPr>
          <w:p w14:paraId="1ED1DA7B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Surgical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intervention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for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stricture</w:t>
            </w:r>
          </w:p>
        </w:tc>
        <w:tc>
          <w:tcPr>
            <w:tcW w:w="1844" w:type="pct"/>
          </w:tcPr>
          <w:p w14:paraId="73B75C2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5C580CBA" w14:textId="1F53CCA4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19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(95)</w:t>
            </w:r>
          </w:p>
        </w:tc>
      </w:tr>
      <w:tr w:rsidR="00485796" w:rsidRPr="00485796" w14:paraId="4AB89804" w14:textId="77777777" w:rsidTr="00576484">
        <w:tc>
          <w:tcPr>
            <w:tcW w:w="2003" w:type="pct"/>
            <w:vMerge/>
            <w:vAlign w:val="center"/>
          </w:tcPr>
          <w:p w14:paraId="7D354DF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00FCF18C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02CB423C" w14:textId="6CDE7542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(5)</w:t>
            </w:r>
          </w:p>
        </w:tc>
      </w:tr>
      <w:tr w:rsidR="00485796" w:rsidRPr="00485796" w14:paraId="153D66A7" w14:textId="77777777" w:rsidTr="00576484">
        <w:tc>
          <w:tcPr>
            <w:tcW w:w="2003" w:type="pct"/>
            <w:vMerge w:val="restart"/>
            <w:vAlign w:val="center"/>
          </w:tcPr>
          <w:p w14:paraId="26ACBAD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Admission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related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to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complications</w:t>
            </w:r>
          </w:p>
        </w:tc>
        <w:tc>
          <w:tcPr>
            <w:tcW w:w="1844" w:type="pct"/>
          </w:tcPr>
          <w:p w14:paraId="4B888C1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507435B6" w14:textId="2D456255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(0)</w:t>
            </w:r>
          </w:p>
        </w:tc>
      </w:tr>
      <w:tr w:rsidR="00485796" w:rsidRPr="00485796" w14:paraId="3255D9A2" w14:textId="77777777" w:rsidTr="00576484">
        <w:tc>
          <w:tcPr>
            <w:tcW w:w="2003" w:type="pct"/>
            <w:vMerge/>
            <w:vAlign w:val="center"/>
          </w:tcPr>
          <w:p w14:paraId="6F97DED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304CFDEE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14B657E0" w14:textId="59DA2C5F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(100)</w:t>
            </w:r>
          </w:p>
        </w:tc>
      </w:tr>
      <w:tr w:rsidR="00485796" w:rsidRPr="00485796" w14:paraId="779AF20B" w14:textId="77777777" w:rsidTr="00576484">
        <w:tc>
          <w:tcPr>
            <w:tcW w:w="2003" w:type="pct"/>
            <w:vMerge w:val="restart"/>
            <w:vAlign w:val="center"/>
          </w:tcPr>
          <w:p w14:paraId="228AEA9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Early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infection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=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25)</w:t>
            </w:r>
          </w:p>
        </w:tc>
        <w:tc>
          <w:tcPr>
            <w:tcW w:w="1844" w:type="pct"/>
          </w:tcPr>
          <w:p w14:paraId="4656EC1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0FACEA08" w14:textId="21E51C05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(8)</w:t>
            </w:r>
          </w:p>
        </w:tc>
      </w:tr>
      <w:tr w:rsidR="00485796" w:rsidRPr="00485796" w14:paraId="4BDE6559" w14:textId="77777777" w:rsidTr="00576484">
        <w:tc>
          <w:tcPr>
            <w:tcW w:w="2003" w:type="pct"/>
            <w:vMerge/>
            <w:vAlign w:val="center"/>
          </w:tcPr>
          <w:p w14:paraId="0E44989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</w:tcPr>
          <w:p w14:paraId="789EB7C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vAlign w:val="center"/>
          </w:tcPr>
          <w:p w14:paraId="7BFD9F8A" w14:textId="6D70A7AF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(92)</w:t>
            </w:r>
          </w:p>
        </w:tc>
      </w:tr>
      <w:tr w:rsidR="00485796" w:rsidRPr="00485796" w14:paraId="550E2525" w14:textId="77777777" w:rsidTr="00576484">
        <w:tc>
          <w:tcPr>
            <w:tcW w:w="2003" w:type="pct"/>
            <w:vMerge w:val="restart"/>
            <w:vAlign w:val="center"/>
          </w:tcPr>
          <w:p w14:paraId="2DE2D6AF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Early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stricture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=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20)</w:t>
            </w:r>
          </w:p>
        </w:tc>
        <w:tc>
          <w:tcPr>
            <w:tcW w:w="1844" w:type="pct"/>
          </w:tcPr>
          <w:p w14:paraId="7252B8C2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</w:p>
        </w:tc>
        <w:tc>
          <w:tcPr>
            <w:tcW w:w="1153" w:type="pct"/>
            <w:vAlign w:val="center"/>
          </w:tcPr>
          <w:p w14:paraId="6A86EBBA" w14:textId="15DDC370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(68)</w:t>
            </w:r>
          </w:p>
        </w:tc>
      </w:tr>
      <w:tr w:rsidR="00485796" w:rsidRPr="00485796" w14:paraId="3D178026" w14:textId="77777777" w:rsidTr="00576484">
        <w:tc>
          <w:tcPr>
            <w:tcW w:w="2003" w:type="pct"/>
            <w:vMerge/>
            <w:tcBorders>
              <w:bottom w:val="single" w:sz="4" w:space="0" w:color="auto"/>
            </w:tcBorders>
          </w:tcPr>
          <w:p w14:paraId="1AB3EFD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1844" w:type="pct"/>
            <w:tcBorders>
              <w:bottom w:val="single" w:sz="4" w:space="0" w:color="auto"/>
            </w:tcBorders>
          </w:tcPr>
          <w:p w14:paraId="04048DBB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+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center"/>
          </w:tcPr>
          <w:p w14:paraId="3DBE001F" w14:textId="779F5183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8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(32)</w:t>
            </w:r>
          </w:p>
        </w:tc>
      </w:tr>
    </w:tbl>
    <w:p w14:paraId="499C184E" w14:textId="3053198B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85796">
        <w:rPr>
          <w:rFonts w:ascii="Book Antiqua" w:hAnsi="Book Antiqua" w:cs="Book Antiqua"/>
          <w:bCs/>
          <w:color w:val="000000"/>
          <w:lang w:eastAsia="zh-CN"/>
        </w:rPr>
        <w:t>Data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presented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in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number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(</w:t>
      </w:r>
      <w:r w:rsidRPr="00F24B54">
        <w:rPr>
          <w:rFonts w:ascii="Book Antiqua" w:hAnsi="Book Antiqua" w:cs="Book Antiqua"/>
          <w:bCs/>
          <w:i/>
          <w:color w:val="000000"/>
          <w:lang w:eastAsia="zh-CN"/>
        </w:rPr>
        <w:t>n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)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percentage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(%)</w:t>
      </w:r>
      <w:r w:rsidR="00F24B54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ERCP: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Endoscopic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retrograde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cholangiopancreatography;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HBV: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Hepatitis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B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virus;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HCV: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Hepatitis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C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virus;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PTC: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Percutaneous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transhepatic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cholangiography</w:t>
      </w:r>
      <w:r w:rsidR="00F24B54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45D54C3" w14:textId="77777777" w:rsidR="00485796" w:rsidRPr="00F24B54" w:rsidRDefault="00485796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85796">
        <w:rPr>
          <w:rFonts w:ascii="Book Antiqua" w:hAnsi="Book Antiqua" w:cs="Book Antiqua"/>
          <w:bCs/>
          <w:color w:val="000000"/>
          <w:lang w:eastAsia="zh-CN"/>
        </w:rPr>
        <w:br w:type="page"/>
      </w:r>
      <w:bookmarkStart w:id="0" w:name="_Toc521675583"/>
      <w:r w:rsidRPr="00F24B54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 xml:space="preserve">Table 2 Descriptive numerical data for </w:t>
      </w:r>
      <w:bookmarkEnd w:id="0"/>
      <w:r w:rsidRPr="00F24B54">
        <w:rPr>
          <w:rFonts w:ascii="Book Antiqua" w:hAnsi="Book Antiqua" w:cs="Book Antiqua"/>
          <w:b/>
          <w:bCs/>
          <w:color w:val="000000"/>
          <w:lang w:eastAsia="zh-CN"/>
        </w:rPr>
        <w:t>live-donor liver transplant recipients with biliary complications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721"/>
        <w:gridCol w:w="3639"/>
      </w:tblGrid>
      <w:tr w:rsidR="00485796" w:rsidRPr="00485796" w14:paraId="20B760C4" w14:textId="77777777" w:rsidTr="00F24B54">
        <w:tc>
          <w:tcPr>
            <w:tcW w:w="3056" w:type="pct"/>
            <w:tcBorders>
              <w:top w:val="single" w:sz="4" w:space="0" w:color="auto"/>
              <w:bottom w:val="single" w:sz="4" w:space="0" w:color="auto"/>
            </w:tcBorders>
          </w:tcPr>
          <w:p w14:paraId="0B8969F3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/>
                <w:color w:val="000000"/>
                <w:lang w:eastAsia="zh-CN"/>
              </w:rPr>
              <w:t>Variable</w:t>
            </w:r>
            <w:r>
              <w:rPr>
                <w:rFonts w:ascii="Book Antiqua" w:hAnsi="Book Antiqua" w:cs="Book Antiqua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2501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/>
                <w:color w:val="000000"/>
                <w:lang w:eastAsia="zh-CN"/>
              </w:rPr>
              <w:t>Data</w:t>
            </w:r>
          </w:p>
        </w:tc>
      </w:tr>
      <w:tr w:rsidR="00485796" w:rsidRPr="00485796" w14:paraId="582E34F2" w14:textId="77777777" w:rsidTr="00F24B54">
        <w:tc>
          <w:tcPr>
            <w:tcW w:w="3056" w:type="pct"/>
            <w:tcBorders>
              <w:top w:val="single" w:sz="4" w:space="0" w:color="auto"/>
            </w:tcBorders>
          </w:tcPr>
          <w:p w14:paraId="360813F3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bookmarkStart w:id="1" w:name="_Hlk60488633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MELD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score</w:t>
            </w:r>
          </w:p>
        </w:tc>
        <w:tc>
          <w:tcPr>
            <w:tcW w:w="1944" w:type="pct"/>
            <w:tcBorders>
              <w:top w:val="single" w:sz="4" w:space="0" w:color="auto"/>
            </w:tcBorders>
            <w:vAlign w:val="center"/>
          </w:tcPr>
          <w:p w14:paraId="6EF2157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</w:t>
            </w:r>
          </w:p>
        </w:tc>
      </w:tr>
      <w:tr w:rsidR="00485796" w:rsidRPr="00485796" w14:paraId="58D5DC71" w14:textId="77777777" w:rsidTr="00F24B54">
        <w:tc>
          <w:tcPr>
            <w:tcW w:w="3056" w:type="pct"/>
          </w:tcPr>
          <w:p w14:paraId="7FB2031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Child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score</w:t>
            </w:r>
          </w:p>
        </w:tc>
        <w:tc>
          <w:tcPr>
            <w:tcW w:w="1944" w:type="pct"/>
            <w:vAlign w:val="center"/>
          </w:tcPr>
          <w:p w14:paraId="6B2DD87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9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</w:t>
            </w:r>
          </w:p>
        </w:tc>
      </w:tr>
      <w:tr w:rsidR="00485796" w:rsidRPr="00485796" w14:paraId="06166EE4" w14:textId="77777777" w:rsidTr="00F24B54">
        <w:tc>
          <w:tcPr>
            <w:tcW w:w="3056" w:type="pct"/>
          </w:tcPr>
          <w:p w14:paraId="1F76B01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Donors’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age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</w:t>
            </w:r>
            <w:proofErr w:type="spellStart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yr</w:t>
            </w:r>
            <w:proofErr w:type="spellEnd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)</w:t>
            </w:r>
          </w:p>
        </w:tc>
        <w:tc>
          <w:tcPr>
            <w:tcW w:w="1944" w:type="pct"/>
            <w:vAlign w:val="center"/>
          </w:tcPr>
          <w:p w14:paraId="274E68C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4</w:t>
            </w:r>
          </w:p>
        </w:tc>
      </w:tr>
      <w:tr w:rsidR="00485796" w:rsidRPr="00485796" w14:paraId="68802212" w14:textId="77777777" w:rsidTr="00F24B54">
        <w:tc>
          <w:tcPr>
            <w:tcW w:w="3056" w:type="pct"/>
          </w:tcPr>
          <w:p w14:paraId="25A8D71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Donors’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BMI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(kg/m</w:t>
            </w:r>
            <w:r w:rsidRPr="0048579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)</w:t>
            </w:r>
          </w:p>
        </w:tc>
        <w:tc>
          <w:tcPr>
            <w:tcW w:w="1944" w:type="pct"/>
            <w:vAlign w:val="center"/>
          </w:tcPr>
          <w:p w14:paraId="594FE139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4</w:t>
            </w:r>
          </w:p>
        </w:tc>
      </w:tr>
      <w:tr w:rsidR="00485796" w:rsidRPr="00485796" w14:paraId="485D74C1" w14:textId="77777777" w:rsidTr="00F24B54">
        <w:tc>
          <w:tcPr>
            <w:tcW w:w="3056" w:type="pct"/>
          </w:tcPr>
          <w:p w14:paraId="16A7E8A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Recipient's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age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</w:t>
            </w:r>
            <w:proofErr w:type="spellStart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yr</w:t>
            </w:r>
            <w:proofErr w:type="spellEnd"/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)</w:t>
            </w:r>
          </w:p>
        </w:tc>
        <w:tc>
          <w:tcPr>
            <w:tcW w:w="1944" w:type="pct"/>
            <w:vAlign w:val="center"/>
          </w:tcPr>
          <w:p w14:paraId="42942508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52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7</w:t>
            </w:r>
          </w:p>
        </w:tc>
      </w:tr>
      <w:tr w:rsidR="00485796" w:rsidRPr="00485796" w14:paraId="56E54FFF" w14:textId="77777777" w:rsidTr="00F24B54">
        <w:tc>
          <w:tcPr>
            <w:tcW w:w="3056" w:type="pct"/>
          </w:tcPr>
          <w:p w14:paraId="4454E99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Recipient's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BMI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(kg/m</w:t>
            </w:r>
            <w:r w:rsidRPr="0048579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2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)</w:t>
            </w:r>
          </w:p>
        </w:tc>
        <w:tc>
          <w:tcPr>
            <w:tcW w:w="1944" w:type="pct"/>
            <w:vAlign w:val="center"/>
          </w:tcPr>
          <w:p w14:paraId="0891A7F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6</w:t>
            </w:r>
          </w:p>
        </w:tc>
      </w:tr>
      <w:tr w:rsidR="00485796" w:rsidRPr="00485796" w14:paraId="09A06D5E" w14:textId="77777777" w:rsidTr="00F24B54">
        <w:tc>
          <w:tcPr>
            <w:tcW w:w="3056" w:type="pct"/>
          </w:tcPr>
          <w:p w14:paraId="363ADC5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Total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bilirubin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(mg/dL)</w:t>
            </w:r>
          </w:p>
        </w:tc>
        <w:tc>
          <w:tcPr>
            <w:tcW w:w="1944" w:type="pct"/>
            <w:vAlign w:val="center"/>
          </w:tcPr>
          <w:p w14:paraId="0B24460F" w14:textId="3B5421A4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2.9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(2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3.9)</w:t>
            </w:r>
          </w:p>
        </w:tc>
      </w:tr>
      <w:tr w:rsidR="00485796" w:rsidRPr="00485796" w14:paraId="74DB49E3" w14:textId="77777777" w:rsidTr="00F24B54">
        <w:tc>
          <w:tcPr>
            <w:tcW w:w="3056" w:type="pct"/>
          </w:tcPr>
          <w:p w14:paraId="6A90604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Direct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bilirubin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(mg/dL)</w:t>
            </w:r>
          </w:p>
        </w:tc>
        <w:tc>
          <w:tcPr>
            <w:tcW w:w="1944" w:type="pct"/>
            <w:vAlign w:val="center"/>
          </w:tcPr>
          <w:p w14:paraId="3FCB49CE" w14:textId="52AC766B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1.6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(0.9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2.3)</w:t>
            </w:r>
          </w:p>
        </w:tc>
      </w:tr>
      <w:tr w:rsidR="00485796" w:rsidRPr="00485796" w14:paraId="71D588E6" w14:textId="77777777" w:rsidTr="00F24B54">
        <w:tc>
          <w:tcPr>
            <w:tcW w:w="3056" w:type="pct"/>
          </w:tcPr>
          <w:p w14:paraId="1BAE7271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Alkaline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phosphatase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(IU/L)</w:t>
            </w:r>
          </w:p>
        </w:tc>
        <w:tc>
          <w:tcPr>
            <w:tcW w:w="1944" w:type="pct"/>
            <w:vAlign w:val="center"/>
          </w:tcPr>
          <w:p w14:paraId="0E691EF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190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49</w:t>
            </w:r>
          </w:p>
        </w:tc>
      </w:tr>
      <w:tr w:rsidR="00485796" w:rsidRPr="00485796" w14:paraId="0313AE8F" w14:textId="77777777" w:rsidTr="00F24B54">
        <w:tc>
          <w:tcPr>
            <w:tcW w:w="3056" w:type="pct"/>
          </w:tcPr>
          <w:p w14:paraId="27F1CEF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Gamma-glutamyl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transferase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(IU/L)</w:t>
            </w:r>
          </w:p>
        </w:tc>
        <w:tc>
          <w:tcPr>
            <w:tcW w:w="1944" w:type="pct"/>
            <w:vAlign w:val="center"/>
          </w:tcPr>
          <w:p w14:paraId="029E0432" w14:textId="26EB14A4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100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(50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130)</w:t>
            </w:r>
          </w:p>
        </w:tc>
      </w:tr>
      <w:tr w:rsidR="00485796" w:rsidRPr="00485796" w14:paraId="010F2A3A" w14:textId="77777777" w:rsidTr="00F24B54">
        <w:tc>
          <w:tcPr>
            <w:tcW w:w="3056" w:type="pct"/>
          </w:tcPr>
          <w:p w14:paraId="251C66DD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Platelets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(10</w:t>
            </w:r>
            <w:r w:rsidRPr="00485796">
              <w:rPr>
                <w:rFonts w:ascii="Book Antiqua" w:hAnsi="Book Antiqua" w:cs="Book Antiqua"/>
                <w:bCs/>
                <w:color w:val="000000"/>
                <w:vertAlign w:val="superscript"/>
                <w:lang w:eastAsia="zh-CN"/>
              </w:rPr>
              <w:t>9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/L)</w:t>
            </w:r>
          </w:p>
        </w:tc>
        <w:tc>
          <w:tcPr>
            <w:tcW w:w="1944" w:type="pct"/>
            <w:vAlign w:val="center"/>
          </w:tcPr>
          <w:p w14:paraId="4DA2FEA0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75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31</w:t>
            </w:r>
          </w:p>
        </w:tc>
      </w:tr>
      <w:tr w:rsidR="00485796" w:rsidRPr="00485796" w14:paraId="6E06BCE3" w14:textId="77777777" w:rsidTr="00F24B54">
        <w:tc>
          <w:tcPr>
            <w:tcW w:w="3056" w:type="pct"/>
          </w:tcPr>
          <w:p w14:paraId="3DD3AE57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Cold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ischemia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time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(min)</w:t>
            </w:r>
          </w:p>
        </w:tc>
        <w:tc>
          <w:tcPr>
            <w:tcW w:w="1944" w:type="pct"/>
            <w:vAlign w:val="center"/>
          </w:tcPr>
          <w:p w14:paraId="7CD40D14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48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25</w:t>
            </w:r>
          </w:p>
        </w:tc>
      </w:tr>
      <w:tr w:rsidR="00485796" w:rsidRPr="00485796" w14:paraId="067AC590" w14:textId="77777777" w:rsidTr="00F24B54">
        <w:tc>
          <w:tcPr>
            <w:tcW w:w="3056" w:type="pct"/>
          </w:tcPr>
          <w:p w14:paraId="13893DCA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Warm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ischemia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time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(min)</w:t>
            </w:r>
          </w:p>
        </w:tc>
        <w:tc>
          <w:tcPr>
            <w:tcW w:w="1944" w:type="pct"/>
            <w:vAlign w:val="center"/>
          </w:tcPr>
          <w:p w14:paraId="13142276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47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23</w:t>
            </w:r>
          </w:p>
        </w:tc>
      </w:tr>
      <w:tr w:rsidR="00485796" w:rsidRPr="00485796" w14:paraId="4BEA3242" w14:textId="77777777" w:rsidTr="00F24B54">
        <w:tc>
          <w:tcPr>
            <w:tcW w:w="3056" w:type="pct"/>
          </w:tcPr>
          <w:p w14:paraId="2EF9DDBC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Graft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arterialization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time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(min)</w:t>
            </w:r>
          </w:p>
        </w:tc>
        <w:tc>
          <w:tcPr>
            <w:tcW w:w="1944" w:type="pct"/>
            <w:vAlign w:val="center"/>
          </w:tcPr>
          <w:p w14:paraId="42BC4685" w14:textId="77777777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145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±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53</w:t>
            </w:r>
          </w:p>
        </w:tc>
      </w:tr>
      <w:tr w:rsidR="00485796" w:rsidRPr="00485796" w14:paraId="23873FEA" w14:textId="77777777" w:rsidTr="00F24B54">
        <w:tc>
          <w:tcPr>
            <w:tcW w:w="3056" w:type="pct"/>
          </w:tcPr>
          <w:p w14:paraId="7296F4ED" w14:textId="3C4A97DF" w:rsidR="00485796" w:rsidRPr="00485796" w:rsidRDefault="00485796" w:rsidP="00F24B54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Time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to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infection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(d)</w:t>
            </w:r>
          </w:p>
        </w:tc>
        <w:tc>
          <w:tcPr>
            <w:tcW w:w="1944" w:type="pct"/>
            <w:vAlign w:val="center"/>
          </w:tcPr>
          <w:p w14:paraId="243F17F8" w14:textId="08C52666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13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(11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36)</w:t>
            </w:r>
          </w:p>
        </w:tc>
      </w:tr>
      <w:tr w:rsidR="00485796" w:rsidRPr="00485796" w14:paraId="67901A52" w14:textId="77777777" w:rsidTr="00F24B54">
        <w:tc>
          <w:tcPr>
            <w:tcW w:w="3056" w:type="pct"/>
          </w:tcPr>
          <w:p w14:paraId="16ABBE0A" w14:textId="14B10AF3" w:rsidR="00485796" w:rsidRPr="00485796" w:rsidRDefault="00485796" w:rsidP="00F24B54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Time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to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biliary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stricture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(d)</w:t>
            </w:r>
          </w:p>
        </w:tc>
        <w:tc>
          <w:tcPr>
            <w:tcW w:w="1944" w:type="pct"/>
            <w:vAlign w:val="center"/>
          </w:tcPr>
          <w:p w14:paraId="55A64ACA" w14:textId="66AC0825" w:rsidR="00485796" w:rsidRPr="00485796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130</w:t>
            </w: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 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(120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485796">
              <w:rPr>
                <w:rFonts w:ascii="Book Antiqua" w:hAnsi="Book Antiqua" w:cs="Book Antiqua"/>
                <w:bCs/>
                <w:color w:val="000000"/>
                <w:lang w:eastAsia="zh-CN"/>
              </w:rPr>
              <w:t>190)</w:t>
            </w:r>
          </w:p>
        </w:tc>
      </w:tr>
    </w:tbl>
    <w:bookmarkEnd w:id="1"/>
    <w:p w14:paraId="1E4EAE0F" w14:textId="7F07C248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85796">
        <w:rPr>
          <w:rFonts w:ascii="Book Antiqua" w:hAnsi="Book Antiqua" w:cs="Book Antiqua"/>
          <w:bCs/>
          <w:color w:val="000000"/>
          <w:lang w:eastAsia="zh-CN"/>
        </w:rPr>
        <w:t>Data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are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presented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as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mean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±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SD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or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median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range.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BMI: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Body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mass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index;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MELD: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Model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for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end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stage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liver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disease</w:t>
      </w:r>
      <w:r w:rsidR="00F24B54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</w:p>
    <w:p w14:paraId="4B782900" w14:textId="67B54DB9" w:rsidR="00F24B54" w:rsidRDefault="00F24B54">
      <w:pPr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657D11D8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2" w:name="_Toc521675594"/>
      <w:r w:rsidRPr="00485796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>Table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3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Comparison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the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quality-of-life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scores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for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bookmarkStart w:id="3" w:name="_Hlk68831370"/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live-donor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liver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transplant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recipients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biliary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complications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bookmarkEnd w:id="3"/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their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corresponding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norm-based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scores</w:t>
      </w:r>
      <w:bookmarkEnd w:id="2"/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64"/>
        <w:gridCol w:w="2383"/>
        <w:gridCol w:w="2830"/>
        <w:gridCol w:w="1683"/>
      </w:tblGrid>
      <w:tr w:rsidR="00485796" w:rsidRPr="00F24B54" w14:paraId="55FC58C5" w14:textId="77777777" w:rsidTr="00F24B54">
        <w:trPr>
          <w:trHeight w:val="874"/>
        </w:trPr>
        <w:tc>
          <w:tcPr>
            <w:tcW w:w="1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2806F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HRQoL score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5EA8E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/>
                <w:color w:val="000000"/>
                <w:lang w:eastAsia="zh-CN"/>
              </w:rPr>
              <w:t>LDLT-R with BC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2752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NBS score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5578B" w14:textId="00FF488B" w:rsidR="00485796" w:rsidRPr="00F24B54" w:rsidRDefault="00485796" w:rsidP="00F24B54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="00F24B54">
              <w:rPr>
                <w:rFonts w:ascii="Book Antiqua" w:hAnsi="Book Antiqua" w:cs="Book Antiqua" w:hint="eastAsia"/>
                <w:b/>
                <w:bCs/>
                <w:color w:val="000000"/>
                <w:lang w:eastAsia="zh-CN"/>
              </w:rPr>
              <w:t xml:space="preserve"> </w:t>
            </w:r>
            <w:r w:rsidRPr="00F24B54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value</w:t>
            </w:r>
            <w:r w:rsidR="00F24B54" w:rsidRPr="00F24B54">
              <w:rPr>
                <w:rFonts w:ascii="Book Antiqua" w:hAnsi="Book Antiqua" w:cs="Book Antiqua" w:hint="eastAsia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485796" w:rsidRPr="00F24B54" w14:paraId="2E84D85A" w14:textId="77777777" w:rsidTr="00F24B54">
        <w:trPr>
          <w:trHeight w:val="432"/>
        </w:trPr>
        <w:tc>
          <w:tcPr>
            <w:tcW w:w="1316" w:type="pct"/>
            <w:tcBorders>
              <w:top w:val="single" w:sz="4" w:space="0" w:color="auto"/>
            </w:tcBorders>
            <w:vAlign w:val="center"/>
          </w:tcPr>
          <w:p w14:paraId="4CE65F46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bookmarkStart w:id="4" w:name="_Hlk53234250"/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Physical functioning</w:t>
            </w:r>
          </w:p>
        </w:tc>
        <w:tc>
          <w:tcPr>
            <w:tcW w:w="1273" w:type="pct"/>
            <w:tcBorders>
              <w:top w:val="single" w:sz="4" w:space="0" w:color="auto"/>
            </w:tcBorders>
            <w:noWrap/>
            <w:vAlign w:val="center"/>
          </w:tcPr>
          <w:p w14:paraId="3CE1D4E0" w14:textId="03BEC30B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noWrap/>
            <w:vAlign w:val="center"/>
          </w:tcPr>
          <w:p w14:paraId="3EB0640D" w14:textId="5634ED83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41.3 (41.3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49.2)</w:t>
            </w:r>
          </w:p>
        </w:tc>
        <w:tc>
          <w:tcPr>
            <w:tcW w:w="899" w:type="pct"/>
            <w:tcBorders>
              <w:top w:val="single" w:sz="4" w:space="0" w:color="auto"/>
            </w:tcBorders>
            <w:noWrap/>
            <w:vAlign w:val="center"/>
          </w:tcPr>
          <w:p w14:paraId="0FFB15ED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0.003</w:t>
            </w:r>
          </w:p>
        </w:tc>
      </w:tr>
      <w:tr w:rsidR="00485796" w:rsidRPr="00F24B54" w14:paraId="2B1BA060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396CB176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Role physical</w:t>
            </w:r>
          </w:p>
        </w:tc>
        <w:tc>
          <w:tcPr>
            <w:tcW w:w="1273" w:type="pct"/>
            <w:noWrap/>
            <w:vAlign w:val="center"/>
          </w:tcPr>
          <w:p w14:paraId="19E0E19F" w14:textId="614248A3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(31.3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12" w:type="pct"/>
            <w:noWrap/>
            <w:vAlign w:val="center"/>
          </w:tcPr>
          <w:p w14:paraId="633C5DDC" w14:textId="03F76208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40.5 (34.2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49)</w:t>
            </w:r>
          </w:p>
        </w:tc>
        <w:tc>
          <w:tcPr>
            <w:tcW w:w="899" w:type="pct"/>
            <w:noWrap/>
            <w:vAlign w:val="center"/>
          </w:tcPr>
          <w:p w14:paraId="1DE9BD9B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F24B54" w14:paraId="41619D1C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5DE45E23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Bodily pain</w:t>
            </w:r>
          </w:p>
        </w:tc>
        <w:tc>
          <w:tcPr>
            <w:tcW w:w="1273" w:type="pct"/>
            <w:noWrap/>
            <w:vAlign w:val="center"/>
          </w:tcPr>
          <w:p w14:paraId="1CFC47B3" w14:textId="5B33002E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12" w:type="pct"/>
            <w:noWrap/>
            <w:vAlign w:val="center"/>
          </w:tcPr>
          <w:p w14:paraId="15574F7C" w14:textId="255B6D0E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39.7 (39.7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48.7)</w:t>
            </w:r>
          </w:p>
        </w:tc>
        <w:tc>
          <w:tcPr>
            <w:tcW w:w="899" w:type="pct"/>
            <w:noWrap/>
            <w:vAlign w:val="center"/>
          </w:tcPr>
          <w:p w14:paraId="5190F707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0.003</w:t>
            </w:r>
          </w:p>
        </w:tc>
      </w:tr>
      <w:tr w:rsidR="00485796" w:rsidRPr="00F24B54" w14:paraId="0B196F11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58D525A5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General health</w:t>
            </w:r>
          </w:p>
        </w:tc>
        <w:tc>
          <w:tcPr>
            <w:tcW w:w="1273" w:type="pct"/>
            <w:noWrap/>
            <w:vAlign w:val="center"/>
          </w:tcPr>
          <w:p w14:paraId="0412090E" w14:textId="4C56511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60 (60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85)</w:t>
            </w:r>
          </w:p>
        </w:tc>
        <w:tc>
          <w:tcPr>
            <w:tcW w:w="1512" w:type="pct"/>
            <w:noWrap/>
            <w:vAlign w:val="center"/>
          </w:tcPr>
          <w:p w14:paraId="42F216F5" w14:textId="76CE82D2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47.8 (47.8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57.7)</w:t>
            </w:r>
          </w:p>
        </w:tc>
        <w:tc>
          <w:tcPr>
            <w:tcW w:w="899" w:type="pct"/>
            <w:noWrap/>
            <w:vAlign w:val="center"/>
          </w:tcPr>
          <w:p w14:paraId="5C6789AC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0.004</w:t>
            </w:r>
          </w:p>
        </w:tc>
      </w:tr>
      <w:tr w:rsidR="00485796" w:rsidRPr="00F24B54" w14:paraId="7F9FB0C1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69C6A202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Vitality</w:t>
            </w:r>
          </w:p>
        </w:tc>
        <w:tc>
          <w:tcPr>
            <w:tcW w:w="1273" w:type="pct"/>
            <w:noWrap/>
            <w:vAlign w:val="center"/>
          </w:tcPr>
          <w:p w14:paraId="044227D5" w14:textId="4EB14EE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(25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50)</w:t>
            </w:r>
          </w:p>
        </w:tc>
        <w:tc>
          <w:tcPr>
            <w:tcW w:w="1512" w:type="pct"/>
            <w:noWrap/>
            <w:vAlign w:val="center"/>
          </w:tcPr>
          <w:p w14:paraId="78FEC894" w14:textId="6BB2BC8E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49.1 (39.2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49.1)</w:t>
            </w:r>
          </w:p>
        </w:tc>
        <w:tc>
          <w:tcPr>
            <w:tcW w:w="899" w:type="pct"/>
            <w:noWrap/>
            <w:vAlign w:val="center"/>
          </w:tcPr>
          <w:p w14:paraId="6161CA6D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1.000</w:t>
            </w:r>
          </w:p>
        </w:tc>
      </w:tr>
      <w:tr w:rsidR="00485796" w:rsidRPr="00F24B54" w14:paraId="33FD18A9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2C4CD14D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Social functioning</w:t>
            </w:r>
          </w:p>
        </w:tc>
        <w:tc>
          <w:tcPr>
            <w:tcW w:w="1273" w:type="pct"/>
            <w:noWrap/>
            <w:vAlign w:val="center"/>
          </w:tcPr>
          <w:p w14:paraId="1A06541C" w14:textId="54D1DA7D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50)</w:t>
            </w:r>
          </w:p>
        </w:tc>
        <w:tc>
          <w:tcPr>
            <w:tcW w:w="1512" w:type="pct"/>
            <w:noWrap/>
            <w:vAlign w:val="center"/>
          </w:tcPr>
          <w:p w14:paraId="7FD5878A" w14:textId="53E7C276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39.1 (39.1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39.1)</w:t>
            </w:r>
          </w:p>
        </w:tc>
        <w:tc>
          <w:tcPr>
            <w:tcW w:w="899" w:type="pct"/>
            <w:noWrap/>
            <w:vAlign w:val="center"/>
          </w:tcPr>
          <w:p w14:paraId="3DBDC360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0.005</w:t>
            </w:r>
          </w:p>
        </w:tc>
      </w:tr>
      <w:tr w:rsidR="00485796" w:rsidRPr="00F24B54" w14:paraId="60E0D93F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0FA7DC9F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Role emotion</w:t>
            </w:r>
          </w:p>
        </w:tc>
        <w:tc>
          <w:tcPr>
            <w:tcW w:w="1273" w:type="pct"/>
            <w:noWrap/>
            <w:vAlign w:val="center"/>
          </w:tcPr>
          <w:p w14:paraId="35C76F58" w14:textId="396C6B39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(37.5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12" w:type="pct"/>
            <w:noWrap/>
            <w:vAlign w:val="center"/>
          </w:tcPr>
          <w:p w14:paraId="3F07438F" w14:textId="1642937F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35.5 (30.3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45.9)</w:t>
            </w:r>
          </w:p>
        </w:tc>
        <w:tc>
          <w:tcPr>
            <w:tcW w:w="899" w:type="pct"/>
            <w:noWrap/>
            <w:vAlign w:val="center"/>
          </w:tcPr>
          <w:p w14:paraId="14B78E75" w14:textId="3BA4D971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&lt;</w:t>
            </w:r>
            <w:r w:rsidR="00F24B54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F24B54" w14:paraId="0A0C084E" w14:textId="77777777" w:rsidTr="00F24B54">
        <w:trPr>
          <w:trHeight w:val="432"/>
        </w:trPr>
        <w:tc>
          <w:tcPr>
            <w:tcW w:w="1316" w:type="pct"/>
            <w:vAlign w:val="center"/>
          </w:tcPr>
          <w:p w14:paraId="2CFB2F50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Mental health</w:t>
            </w:r>
          </w:p>
        </w:tc>
        <w:tc>
          <w:tcPr>
            <w:tcW w:w="1273" w:type="pct"/>
            <w:noWrap/>
            <w:vAlign w:val="center"/>
          </w:tcPr>
          <w:p w14:paraId="3B52D958" w14:textId="7D10C679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62.5)</w:t>
            </w:r>
          </w:p>
        </w:tc>
        <w:tc>
          <w:tcPr>
            <w:tcW w:w="1512" w:type="pct"/>
            <w:noWrap/>
            <w:vAlign w:val="center"/>
          </w:tcPr>
          <w:p w14:paraId="7468D12B" w14:textId="6437B616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41.3 (41.3</w:t>
            </w:r>
            <w:r w:rsid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47)</w:t>
            </w:r>
          </w:p>
        </w:tc>
        <w:tc>
          <w:tcPr>
            <w:tcW w:w="899" w:type="pct"/>
            <w:noWrap/>
            <w:vAlign w:val="center"/>
          </w:tcPr>
          <w:p w14:paraId="742D5468" w14:textId="77777777" w:rsidR="00485796" w:rsidRPr="00F24B54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F24B54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</w:tbl>
    <w:bookmarkEnd w:id="4"/>
    <w:p w14:paraId="0AA748D1" w14:textId="2737B0E6" w:rsidR="00485796" w:rsidRPr="00485796" w:rsidRDefault="00F24B54" w:rsidP="00485796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F24B54">
        <w:rPr>
          <w:rFonts w:ascii="Book Antiqua" w:hAnsi="Book Antiqua" w:cs="Book Antiqua" w:hint="eastAsia"/>
          <w:bCs/>
          <w:color w:val="000000"/>
          <w:vertAlign w:val="superscript"/>
          <w:lang w:eastAsia="zh-CN"/>
        </w:rPr>
        <w:t>1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Wilcoxon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signed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ranks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test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Data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are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shown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as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median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and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interquartile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range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.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BC: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Biliary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complications;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HRQoL: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Health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related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quality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of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life;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LDLT-R: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donor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transplant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recipients;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NBS: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Norm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based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score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B974954" w14:textId="1E8A2D77" w:rsidR="00F24B54" w:rsidRDefault="00F24B54">
      <w:pPr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hAnsi="Book Antiqua" w:cs="Book Antiqua"/>
          <w:bCs/>
          <w:color w:val="000000"/>
          <w:lang w:eastAsia="zh-CN"/>
        </w:rPr>
        <w:br w:type="page"/>
      </w:r>
    </w:p>
    <w:p w14:paraId="45E4DA4E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5" w:name="_Hlk72675260"/>
      <w:r w:rsidRPr="00485796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>Table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4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Comparison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health-related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quality-of-life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scores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between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patients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controls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2776"/>
        <w:gridCol w:w="2817"/>
        <w:gridCol w:w="1685"/>
      </w:tblGrid>
      <w:tr w:rsidR="00485796" w:rsidRPr="00064835" w14:paraId="7D279506" w14:textId="77777777" w:rsidTr="00064835">
        <w:trPr>
          <w:trHeight w:val="596"/>
        </w:trPr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5"/>
          <w:p w14:paraId="7797C46A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HRQoL domain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70DCC" w14:textId="691EB306" w:rsidR="00485796" w:rsidRPr="00064835" w:rsidRDefault="00485796" w:rsidP="00064835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Patients (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i/>
                <w:color w:val="000000"/>
                <w:lang w:eastAsia="zh-CN"/>
              </w:rPr>
              <w:t>n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= 25)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9052D" w14:textId="201ABD0F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Controls (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i/>
                <w:color w:val="000000"/>
                <w:lang w:eastAsia="zh-CN"/>
              </w:rPr>
              <w:t>n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= 25)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86C8" w14:textId="364A75D1" w:rsidR="00485796" w:rsidRPr="00064835" w:rsidRDefault="00485796" w:rsidP="00064835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="00F24B54" w:rsidRPr="00064835">
              <w:rPr>
                <w:rFonts w:ascii="Book Antiqua" w:hAnsi="Book Antiqua" w:cs="Book Antiqua" w:hint="eastAsia"/>
                <w:b/>
                <w:bCs/>
                <w:color w:val="000000"/>
                <w:lang w:eastAsia="zh-CN"/>
              </w:rPr>
              <w:t xml:space="preserve"> 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value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485796" w:rsidRPr="00064835" w14:paraId="3E5734D6" w14:textId="77777777" w:rsidTr="00064835">
        <w:trPr>
          <w:trHeight w:val="596"/>
        </w:trPr>
        <w:tc>
          <w:tcPr>
            <w:tcW w:w="1112" w:type="pct"/>
            <w:tcBorders>
              <w:top w:val="single" w:sz="4" w:space="0" w:color="auto"/>
            </w:tcBorders>
            <w:vAlign w:val="center"/>
          </w:tcPr>
          <w:p w14:paraId="728CF65F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Physical functioning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noWrap/>
            <w:vAlign w:val="center"/>
          </w:tcPr>
          <w:p w14:paraId="24D489A2" w14:textId="730E183E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05" w:type="pct"/>
            <w:tcBorders>
              <w:top w:val="single" w:sz="4" w:space="0" w:color="auto"/>
            </w:tcBorders>
            <w:noWrap/>
            <w:vAlign w:val="center"/>
          </w:tcPr>
          <w:p w14:paraId="08B0CDB8" w14:textId="6668525A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 (100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100)</w:t>
            </w:r>
          </w:p>
        </w:tc>
        <w:tc>
          <w:tcPr>
            <w:tcW w:w="900" w:type="pct"/>
            <w:tcBorders>
              <w:top w:val="single" w:sz="4" w:space="0" w:color="auto"/>
            </w:tcBorders>
            <w:noWrap/>
            <w:vAlign w:val="center"/>
          </w:tcPr>
          <w:p w14:paraId="01D0B25C" w14:textId="218C912C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79C0AAC7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3292BF2D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Role physical</w:t>
            </w:r>
          </w:p>
        </w:tc>
        <w:tc>
          <w:tcPr>
            <w:tcW w:w="1483" w:type="pct"/>
            <w:noWrap/>
            <w:vAlign w:val="center"/>
          </w:tcPr>
          <w:p w14:paraId="42BCEC20" w14:textId="7C133DF3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(31.3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05" w:type="pct"/>
            <w:noWrap/>
            <w:vAlign w:val="center"/>
          </w:tcPr>
          <w:p w14:paraId="64BB6C1A" w14:textId="7180039F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 (87.5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100)</w:t>
            </w:r>
          </w:p>
        </w:tc>
        <w:tc>
          <w:tcPr>
            <w:tcW w:w="900" w:type="pct"/>
            <w:noWrap/>
            <w:vAlign w:val="center"/>
          </w:tcPr>
          <w:p w14:paraId="052F118B" w14:textId="1C687023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5273E602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6F6497B7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Bodily pain</w:t>
            </w:r>
          </w:p>
        </w:tc>
        <w:tc>
          <w:tcPr>
            <w:tcW w:w="1483" w:type="pct"/>
            <w:noWrap/>
            <w:vAlign w:val="center"/>
          </w:tcPr>
          <w:p w14:paraId="011D3867" w14:textId="493F52B1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05" w:type="pct"/>
            <w:noWrap/>
            <w:vAlign w:val="center"/>
          </w:tcPr>
          <w:p w14:paraId="590970B4" w14:textId="3EE4AFA4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 (100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100)</w:t>
            </w:r>
          </w:p>
        </w:tc>
        <w:tc>
          <w:tcPr>
            <w:tcW w:w="900" w:type="pct"/>
            <w:noWrap/>
            <w:vAlign w:val="center"/>
          </w:tcPr>
          <w:p w14:paraId="5A358674" w14:textId="133DA316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18EE0C7D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434BBAB6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General health</w:t>
            </w:r>
          </w:p>
        </w:tc>
        <w:tc>
          <w:tcPr>
            <w:tcW w:w="1483" w:type="pct"/>
            <w:noWrap/>
            <w:vAlign w:val="center"/>
          </w:tcPr>
          <w:p w14:paraId="4B46A5BE" w14:textId="4DA6BA6A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60 (60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85)</w:t>
            </w:r>
          </w:p>
        </w:tc>
        <w:tc>
          <w:tcPr>
            <w:tcW w:w="1505" w:type="pct"/>
            <w:noWrap/>
            <w:vAlign w:val="center"/>
          </w:tcPr>
          <w:p w14:paraId="70514AC1" w14:textId="0CFD25E5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85 (85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85)</w:t>
            </w:r>
          </w:p>
        </w:tc>
        <w:tc>
          <w:tcPr>
            <w:tcW w:w="900" w:type="pct"/>
            <w:noWrap/>
            <w:vAlign w:val="center"/>
          </w:tcPr>
          <w:p w14:paraId="79ADBB0E" w14:textId="0D5B7F0A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65A8476C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7F61C962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Vitality</w:t>
            </w:r>
          </w:p>
        </w:tc>
        <w:tc>
          <w:tcPr>
            <w:tcW w:w="1483" w:type="pct"/>
            <w:noWrap/>
            <w:vAlign w:val="center"/>
          </w:tcPr>
          <w:p w14:paraId="6577BAB9" w14:textId="2B022EF9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(25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50)</w:t>
            </w:r>
          </w:p>
        </w:tc>
        <w:tc>
          <w:tcPr>
            <w:tcW w:w="1505" w:type="pct"/>
            <w:noWrap/>
            <w:vAlign w:val="center"/>
          </w:tcPr>
          <w:p w14:paraId="3D432A71" w14:textId="1CCFE81C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 (75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87.5)</w:t>
            </w:r>
          </w:p>
        </w:tc>
        <w:tc>
          <w:tcPr>
            <w:tcW w:w="900" w:type="pct"/>
            <w:noWrap/>
            <w:vAlign w:val="center"/>
          </w:tcPr>
          <w:p w14:paraId="54C005B8" w14:textId="56D5314A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27498DEE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03C8E370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Social functioning</w:t>
            </w:r>
          </w:p>
        </w:tc>
        <w:tc>
          <w:tcPr>
            <w:tcW w:w="1483" w:type="pct"/>
            <w:noWrap/>
            <w:vAlign w:val="center"/>
          </w:tcPr>
          <w:p w14:paraId="4CC9F410" w14:textId="28F9DD66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50)</w:t>
            </w:r>
          </w:p>
        </w:tc>
        <w:tc>
          <w:tcPr>
            <w:tcW w:w="1505" w:type="pct"/>
            <w:noWrap/>
            <w:vAlign w:val="center"/>
          </w:tcPr>
          <w:p w14:paraId="7AA4E260" w14:textId="27219501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 (75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100)</w:t>
            </w:r>
          </w:p>
        </w:tc>
        <w:tc>
          <w:tcPr>
            <w:tcW w:w="900" w:type="pct"/>
            <w:noWrap/>
            <w:vAlign w:val="center"/>
          </w:tcPr>
          <w:p w14:paraId="228D718A" w14:textId="2369E41A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2A932A52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4BD6B249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Role emotion</w:t>
            </w:r>
          </w:p>
        </w:tc>
        <w:tc>
          <w:tcPr>
            <w:tcW w:w="1483" w:type="pct"/>
            <w:noWrap/>
            <w:vAlign w:val="center"/>
          </w:tcPr>
          <w:p w14:paraId="068277A9" w14:textId="0B85E111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50.0 (37.5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75)</w:t>
            </w:r>
          </w:p>
        </w:tc>
        <w:tc>
          <w:tcPr>
            <w:tcW w:w="1505" w:type="pct"/>
            <w:noWrap/>
            <w:vAlign w:val="center"/>
          </w:tcPr>
          <w:p w14:paraId="56353967" w14:textId="768655DA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87.5 (75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100)</w:t>
            </w:r>
          </w:p>
        </w:tc>
        <w:tc>
          <w:tcPr>
            <w:tcW w:w="900" w:type="pct"/>
            <w:noWrap/>
            <w:vAlign w:val="center"/>
          </w:tcPr>
          <w:p w14:paraId="52E8084C" w14:textId="0352B0F4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3CC3E52C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6ACB560A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Mental health</w:t>
            </w:r>
          </w:p>
        </w:tc>
        <w:tc>
          <w:tcPr>
            <w:tcW w:w="1483" w:type="pct"/>
            <w:noWrap/>
            <w:vAlign w:val="center"/>
          </w:tcPr>
          <w:p w14:paraId="15B0BE10" w14:textId="690FB9A5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50 (50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62.5)</w:t>
            </w:r>
          </w:p>
        </w:tc>
        <w:tc>
          <w:tcPr>
            <w:tcW w:w="1505" w:type="pct"/>
            <w:noWrap/>
            <w:vAlign w:val="center"/>
          </w:tcPr>
          <w:p w14:paraId="38782C2D" w14:textId="2EA12F06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87.5 (75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87.5)</w:t>
            </w:r>
          </w:p>
        </w:tc>
        <w:tc>
          <w:tcPr>
            <w:tcW w:w="900" w:type="pct"/>
            <w:noWrap/>
            <w:vAlign w:val="center"/>
          </w:tcPr>
          <w:p w14:paraId="7543954F" w14:textId="466957DD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019BA629" w14:textId="77777777" w:rsidTr="00064835">
        <w:trPr>
          <w:trHeight w:val="596"/>
        </w:trPr>
        <w:tc>
          <w:tcPr>
            <w:tcW w:w="1112" w:type="pct"/>
            <w:vAlign w:val="center"/>
          </w:tcPr>
          <w:p w14:paraId="423B8AFF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PCS</w:t>
            </w:r>
          </w:p>
        </w:tc>
        <w:tc>
          <w:tcPr>
            <w:tcW w:w="1483" w:type="pct"/>
            <w:noWrap/>
            <w:vAlign w:val="center"/>
          </w:tcPr>
          <w:p w14:paraId="01503374" w14:textId="24DBEEDD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44.8 (41.7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52.9)</w:t>
            </w:r>
          </w:p>
        </w:tc>
        <w:tc>
          <w:tcPr>
            <w:tcW w:w="1505" w:type="pct"/>
            <w:noWrap/>
            <w:vAlign w:val="center"/>
          </w:tcPr>
          <w:p w14:paraId="7CD2A24F" w14:textId="2C85EF7E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57.8 (55.2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59)</w:t>
            </w:r>
          </w:p>
        </w:tc>
        <w:tc>
          <w:tcPr>
            <w:tcW w:w="900" w:type="pct"/>
            <w:noWrap/>
            <w:vAlign w:val="center"/>
          </w:tcPr>
          <w:p w14:paraId="37A9A13E" w14:textId="4306B57F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  <w:tr w:rsidR="00485796" w:rsidRPr="00064835" w14:paraId="70CCA762" w14:textId="77777777" w:rsidTr="00064835">
        <w:trPr>
          <w:trHeight w:val="597"/>
        </w:trPr>
        <w:tc>
          <w:tcPr>
            <w:tcW w:w="1112" w:type="pct"/>
            <w:vAlign w:val="center"/>
          </w:tcPr>
          <w:p w14:paraId="4B42362E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MCS</w:t>
            </w:r>
          </w:p>
        </w:tc>
        <w:tc>
          <w:tcPr>
            <w:tcW w:w="1483" w:type="pct"/>
            <w:noWrap/>
            <w:vAlign w:val="center"/>
          </w:tcPr>
          <w:p w14:paraId="462560E6" w14:textId="4F9F1605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42 (35.6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45.2)</w:t>
            </w:r>
          </w:p>
        </w:tc>
        <w:tc>
          <w:tcPr>
            <w:tcW w:w="1505" w:type="pct"/>
            <w:noWrap/>
            <w:vAlign w:val="center"/>
          </w:tcPr>
          <w:p w14:paraId="230322DC" w14:textId="58A76F06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52.9 (50.2</w:t>
            </w:r>
            <w:r w:rsidR="00F24B54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-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57.9)</w:t>
            </w:r>
          </w:p>
        </w:tc>
        <w:tc>
          <w:tcPr>
            <w:tcW w:w="900" w:type="pct"/>
            <w:noWrap/>
            <w:vAlign w:val="center"/>
          </w:tcPr>
          <w:p w14:paraId="4A5D1A74" w14:textId="51A77042" w:rsidR="00485796" w:rsidRPr="00064835" w:rsidRDefault="00064835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>
              <w:rPr>
                <w:rFonts w:ascii="Book Antiqua" w:hAnsi="Book Antiqua" w:cs="Book Antiqua"/>
                <w:bCs/>
                <w:color w:val="000000"/>
                <w:lang w:eastAsia="zh-CN"/>
              </w:rPr>
              <w:t xml:space="preserve">&lt; </w:t>
            </w:r>
            <w:r w:rsidR="00485796"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0.001</w:t>
            </w:r>
          </w:p>
        </w:tc>
      </w:tr>
    </w:tbl>
    <w:p w14:paraId="763E533C" w14:textId="05F723E8" w:rsidR="00485796" w:rsidRPr="00485796" w:rsidRDefault="00064835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64835">
        <w:rPr>
          <w:rFonts w:ascii="Book Antiqua" w:hAnsi="Book Antiqua" w:cs="Book Antiqua" w:hint="eastAsia"/>
          <w:bCs/>
          <w:color w:val="000000"/>
          <w:vertAlign w:val="superscript"/>
          <w:lang w:eastAsia="zh-CN"/>
        </w:rPr>
        <w:t>1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Wilcoxon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signed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ranks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test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Data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are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shown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as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median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and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interquartile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range;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Patients: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donor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transplant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recipients</w:t>
      </w:r>
      <w:r w:rsidR="0048579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with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biliary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complications;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Controls: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donor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transplant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recipients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without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biliary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complications;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HRQoL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Health-related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quality-of-life;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MCS: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Mental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component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summary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score;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PCS: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Physical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component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summary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score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00C0FB8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9C3E779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485796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bookmarkStart w:id="6" w:name="_Hlk72675294"/>
      <w:r w:rsidRPr="00485796">
        <w:rPr>
          <w:rFonts w:ascii="Book Antiqua" w:hAnsi="Book Antiqua" w:cs="Book Antiqua"/>
          <w:b/>
          <w:bCs/>
          <w:color w:val="000000"/>
          <w:lang w:eastAsia="zh-CN"/>
        </w:rPr>
        <w:lastRenderedPageBreak/>
        <w:t>Table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5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Physical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mental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component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summary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scores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in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patients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and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controls</w:t>
      </w:r>
      <w:bookmarkEnd w:id="6"/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compared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with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norm-based</w:t>
      </w:r>
      <w:r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/>
          <w:bCs/>
          <w:color w:val="000000"/>
          <w:lang w:eastAsia="zh-CN"/>
        </w:rPr>
        <w:t>scores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52"/>
        <w:gridCol w:w="1685"/>
        <w:gridCol w:w="2003"/>
        <w:gridCol w:w="2003"/>
        <w:gridCol w:w="1617"/>
      </w:tblGrid>
      <w:tr w:rsidR="00485796" w:rsidRPr="00064835" w14:paraId="70991F56" w14:textId="77777777" w:rsidTr="00064835">
        <w:trPr>
          <w:trHeight w:val="792"/>
        </w:trPr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400CB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F650F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NBS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A6ED" w14:textId="2AC00422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Patients (</w:t>
            </w:r>
            <w:r w:rsidRPr="00064835">
              <w:rPr>
                <w:rFonts w:ascii="Book Antiqua" w:hAnsi="Book Antiqua" w:cs="Book Antiqua"/>
                <w:b/>
                <w:bCs/>
                <w:i/>
                <w:color w:val="000000"/>
                <w:lang w:eastAsia="zh-CN"/>
              </w:rPr>
              <w:t>n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= 25)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color w:val="000000"/>
                <w:lang w:eastAsia="zh-CN"/>
              </w:rPr>
              <w:t>, %</w:t>
            </w: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48799" w14:textId="2EFC7E7C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Control (</w:t>
            </w:r>
            <w:r w:rsidR="00064835" w:rsidRPr="00064835">
              <w:rPr>
                <w:rFonts w:ascii="Book Antiqua" w:hAnsi="Book Antiqua" w:cs="Book Antiqua"/>
                <w:b/>
                <w:bCs/>
                <w:i/>
                <w:color w:val="000000"/>
                <w:lang w:eastAsia="zh-CN"/>
              </w:rPr>
              <w:t>n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 xml:space="preserve"> = 25)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color w:val="000000"/>
                <w:lang w:eastAsia="zh-CN"/>
              </w:rPr>
              <w:t xml:space="preserve"> , %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C695" w14:textId="2D64239E" w:rsidR="00485796" w:rsidRPr="00064835" w:rsidRDefault="00485796" w:rsidP="00064835">
            <w:pPr>
              <w:spacing w:line="360" w:lineRule="auto"/>
              <w:jc w:val="both"/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/>
                <w:bCs/>
                <w:i/>
                <w:iCs/>
                <w:color w:val="000000"/>
                <w:lang w:eastAsia="zh-CN"/>
              </w:rPr>
              <w:t>P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color w:val="000000"/>
                <w:lang w:eastAsia="zh-CN"/>
              </w:rPr>
              <w:t xml:space="preserve"> </w:t>
            </w:r>
            <w:r w:rsidRPr="00064835">
              <w:rPr>
                <w:rFonts w:ascii="Book Antiqua" w:hAnsi="Book Antiqua" w:cs="Book Antiqua"/>
                <w:b/>
                <w:bCs/>
                <w:color w:val="000000"/>
                <w:lang w:eastAsia="zh-CN"/>
              </w:rPr>
              <w:t>value</w:t>
            </w:r>
            <w:r w:rsidR="00064835" w:rsidRPr="00064835">
              <w:rPr>
                <w:rFonts w:ascii="Book Antiqua" w:hAnsi="Book Antiqua" w:cs="Book Antiqua" w:hint="eastAsia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</w:tr>
      <w:tr w:rsidR="00485796" w:rsidRPr="00064835" w14:paraId="629EE1C8" w14:textId="77777777" w:rsidTr="00064835">
        <w:trPr>
          <w:trHeight w:val="792"/>
        </w:trPr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14:paraId="3D5424F2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Physical component summary score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14:paraId="601A37BF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At or above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68D98070" w14:textId="18C99C7C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11 (44)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14:paraId="7B2131A9" w14:textId="0985023D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25 (100)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</w:tcBorders>
            <w:vAlign w:val="center"/>
          </w:tcPr>
          <w:p w14:paraId="437B0C97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0.0002</w:t>
            </w:r>
          </w:p>
        </w:tc>
      </w:tr>
      <w:tr w:rsidR="00485796" w:rsidRPr="00064835" w14:paraId="663FB67C" w14:textId="77777777" w:rsidTr="00064835">
        <w:trPr>
          <w:trHeight w:val="792"/>
        </w:trPr>
        <w:tc>
          <w:tcPr>
            <w:tcW w:w="1096" w:type="pct"/>
            <w:vMerge/>
            <w:vAlign w:val="center"/>
          </w:tcPr>
          <w:p w14:paraId="0448A933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900" w:type="pct"/>
            <w:vAlign w:val="center"/>
          </w:tcPr>
          <w:p w14:paraId="728FC072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Below</w:t>
            </w:r>
          </w:p>
        </w:tc>
        <w:tc>
          <w:tcPr>
            <w:tcW w:w="1070" w:type="pct"/>
            <w:vAlign w:val="center"/>
          </w:tcPr>
          <w:p w14:paraId="0FD6DB17" w14:textId="4EB392AF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8 (32)</w:t>
            </w:r>
          </w:p>
        </w:tc>
        <w:tc>
          <w:tcPr>
            <w:tcW w:w="1070" w:type="pct"/>
            <w:vAlign w:val="center"/>
          </w:tcPr>
          <w:p w14:paraId="409FB6A1" w14:textId="5A0F2A13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 (0)</w:t>
            </w:r>
          </w:p>
        </w:tc>
        <w:tc>
          <w:tcPr>
            <w:tcW w:w="864" w:type="pct"/>
            <w:vMerge/>
            <w:vAlign w:val="center"/>
          </w:tcPr>
          <w:p w14:paraId="4A2E1DF2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</w:tr>
      <w:tr w:rsidR="00485796" w:rsidRPr="00064835" w14:paraId="44D1C187" w14:textId="77777777" w:rsidTr="00064835">
        <w:trPr>
          <w:trHeight w:val="792"/>
        </w:trPr>
        <w:tc>
          <w:tcPr>
            <w:tcW w:w="1096" w:type="pct"/>
            <w:vMerge/>
            <w:vAlign w:val="center"/>
          </w:tcPr>
          <w:p w14:paraId="3548B0A1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900" w:type="pct"/>
            <w:vAlign w:val="center"/>
          </w:tcPr>
          <w:p w14:paraId="40ACD473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Far below</w:t>
            </w:r>
          </w:p>
        </w:tc>
        <w:tc>
          <w:tcPr>
            <w:tcW w:w="1070" w:type="pct"/>
            <w:vAlign w:val="center"/>
          </w:tcPr>
          <w:p w14:paraId="415F0FF3" w14:textId="12CE0754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6 (24)</w:t>
            </w:r>
          </w:p>
        </w:tc>
        <w:tc>
          <w:tcPr>
            <w:tcW w:w="1070" w:type="pct"/>
            <w:vAlign w:val="center"/>
          </w:tcPr>
          <w:p w14:paraId="76F3C4C0" w14:textId="04FBCEA0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 (0)</w:t>
            </w:r>
          </w:p>
        </w:tc>
        <w:tc>
          <w:tcPr>
            <w:tcW w:w="864" w:type="pct"/>
            <w:vMerge/>
            <w:vAlign w:val="center"/>
          </w:tcPr>
          <w:p w14:paraId="00CFF40A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</w:tr>
      <w:tr w:rsidR="00485796" w:rsidRPr="00064835" w14:paraId="736C54F3" w14:textId="77777777" w:rsidTr="00064835">
        <w:trPr>
          <w:trHeight w:val="792"/>
        </w:trPr>
        <w:tc>
          <w:tcPr>
            <w:tcW w:w="1096" w:type="pct"/>
            <w:vMerge w:val="restart"/>
            <w:vAlign w:val="center"/>
          </w:tcPr>
          <w:p w14:paraId="3DFA4417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Mental component summary score</w:t>
            </w:r>
          </w:p>
        </w:tc>
        <w:tc>
          <w:tcPr>
            <w:tcW w:w="900" w:type="pct"/>
            <w:vAlign w:val="center"/>
          </w:tcPr>
          <w:p w14:paraId="451308D0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At or above</w:t>
            </w:r>
          </w:p>
        </w:tc>
        <w:tc>
          <w:tcPr>
            <w:tcW w:w="1070" w:type="pct"/>
            <w:vAlign w:val="center"/>
          </w:tcPr>
          <w:p w14:paraId="0645E0F8" w14:textId="4B3290F0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 (28)</w:t>
            </w:r>
          </w:p>
        </w:tc>
        <w:tc>
          <w:tcPr>
            <w:tcW w:w="1070" w:type="pct"/>
            <w:vAlign w:val="center"/>
          </w:tcPr>
          <w:p w14:paraId="41D42F8F" w14:textId="6DEF2598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24 (96)</w:t>
            </w:r>
          </w:p>
        </w:tc>
        <w:tc>
          <w:tcPr>
            <w:tcW w:w="864" w:type="pct"/>
            <w:vMerge w:val="restart"/>
            <w:vAlign w:val="center"/>
          </w:tcPr>
          <w:p w14:paraId="043153E6" w14:textId="3D6AEDFB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&lt;</w:t>
            </w:r>
            <w:r w:rsidR="00064835">
              <w:rPr>
                <w:rFonts w:ascii="Book Antiqua" w:hAnsi="Book Antiqua" w:cs="Book Antiqua" w:hint="eastAsia"/>
                <w:bCs/>
                <w:color w:val="000000"/>
                <w:lang w:eastAsia="zh-CN"/>
              </w:rPr>
              <w:t xml:space="preserve"> </w:t>
            </w: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0.0001</w:t>
            </w:r>
          </w:p>
        </w:tc>
      </w:tr>
      <w:tr w:rsidR="00485796" w:rsidRPr="00064835" w14:paraId="38FFA86C" w14:textId="77777777" w:rsidTr="00064835">
        <w:trPr>
          <w:trHeight w:val="792"/>
        </w:trPr>
        <w:tc>
          <w:tcPr>
            <w:tcW w:w="1096" w:type="pct"/>
            <w:vMerge/>
            <w:vAlign w:val="center"/>
          </w:tcPr>
          <w:p w14:paraId="1E03E989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900" w:type="pct"/>
            <w:vAlign w:val="center"/>
          </w:tcPr>
          <w:p w14:paraId="1722FEF8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Below</w:t>
            </w:r>
          </w:p>
        </w:tc>
        <w:tc>
          <w:tcPr>
            <w:tcW w:w="1070" w:type="pct"/>
            <w:vAlign w:val="center"/>
          </w:tcPr>
          <w:p w14:paraId="349C2D89" w14:textId="0A823354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7 (28)</w:t>
            </w:r>
          </w:p>
        </w:tc>
        <w:tc>
          <w:tcPr>
            <w:tcW w:w="1070" w:type="pct"/>
            <w:vAlign w:val="center"/>
          </w:tcPr>
          <w:p w14:paraId="668BB882" w14:textId="3FF7E1C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 (4)</w:t>
            </w:r>
          </w:p>
        </w:tc>
        <w:tc>
          <w:tcPr>
            <w:tcW w:w="864" w:type="pct"/>
            <w:vMerge/>
            <w:vAlign w:val="center"/>
          </w:tcPr>
          <w:p w14:paraId="193247F8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</w:tr>
      <w:tr w:rsidR="00485796" w:rsidRPr="00064835" w14:paraId="6B747E10" w14:textId="77777777" w:rsidTr="00064835">
        <w:trPr>
          <w:trHeight w:val="792"/>
        </w:trPr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14:paraId="42ECFAF8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864DDBA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Far below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709AF60B" w14:textId="239D54FA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11 (44)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14:paraId="03DDFD29" w14:textId="65D1D1CF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  <w:r w:rsidRPr="00064835">
              <w:rPr>
                <w:rFonts w:ascii="Book Antiqua" w:hAnsi="Book Antiqua" w:cs="Book Antiqua"/>
                <w:bCs/>
                <w:color w:val="000000"/>
                <w:lang w:eastAsia="zh-CN"/>
              </w:rPr>
              <w:t>0 (0)</w:t>
            </w:r>
          </w:p>
        </w:tc>
        <w:tc>
          <w:tcPr>
            <w:tcW w:w="864" w:type="pct"/>
            <w:vMerge/>
            <w:tcBorders>
              <w:bottom w:val="single" w:sz="4" w:space="0" w:color="auto"/>
            </w:tcBorders>
            <w:vAlign w:val="center"/>
          </w:tcPr>
          <w:p w14:paraId="7645B66E" w14:textId="77777777" w:rsidR="00485796" w:rsidRPr="00064835" w:rsidRDefault="00485796" w:rsidP="00485796">
            <w:pPr>
              <w:spacing w:line="360" w:lineRule="auto"/>
              <w:jc w:val="both"/>
              <w:rPr>
                <w:rFonts w:ascii="Book Antiqua" w:hAnsi="Book Antiqua" w:cs="Book Antiqua"/>
                <w:bCs/>
                <w:color w:val="000000"/>
                <w:lang w:eastAsia="zh-CN"/>
              </w:rPr>
            </w:pPr>
          </w:p>
        </w:tc>
      </w:tr>
    </w:tbl>
    <w:p w14:paraId="477ADF60" w14:textId="23A8AB8A" w:rsidR="00485796" w:rsidRPr="00485796" w:rsidRDefault="00064835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064835">
        <w:rPr>
          <w:rFonts w:ascii="Book Antiqua" w:hAnsi="Book Antiqua" w:cs="Book Antiqua" w:hint="eastAsia"/>
          <w:bCs/>
          <w:color w:val="000000"/>
          <w:vertAlign w:val="superscript"/>
          <w:lang w:eastAsia="zh-CN"/>
        </w:rPr>
        <w:t>1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Chi-squared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test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for</w:t>
      </w:r>
      <w:r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>trend</w:t>
      </w:r>
      <w:r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P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Data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are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shown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as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number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and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percentage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.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Patients: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donor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transplant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recipients</w:t>
      </w:r>
      <w:r w:rsidR="00485796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with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biliary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complications;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bCs/>
          <w:color w:val="000000"/>
          <w:lang w:eastAsia="zh-CN"/>
        </w:rPr>
        <w:t>Controls:</w:t>
      </w:r>
      <w:r w:rsidR="00485796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donor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liver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transplant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recipients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without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biliary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complications;</w:t>
      </w:r>
      <w:bookmarkStart w:id="7" w:name="_Hlk73314864"/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NBS: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Norm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based</w:t>
      </w:r>
      <w:r w:rsidR="00485796">
        <w:rPr>
          <w:rFonts w:ascii="Book Antiqua" w:hAnsi="Book Antiqua" w:cs="Book Antiqua"/>
          <w:color w:val="000000"/>
          <w:lang w:eastAsia="zh-CN"/>
        </w:rPr>
        <w:t xml:space="preserve"> </w:t>
      </w:r>
      <w:r w:rsidR="00485796" w:rsidRPr="00485796">
        <w:rPr>
          <w:rFonts w:ascii="Book Antiqua" w:hAnsi="Book Antiqua" w:cs="Book Antiqua"/>
          <w:color w:val="000000"/>
          <w:lang w:eastAsia="zh-CN"/>
        </w:rPr>
        <w:t>score</w:t>
      </w:r>
      <w:bookmarkEnd w:id="7"/>
      <w:r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FD83E11" w14:textId="77777777" w:rsidR="00485796" w:rsidRPr="00485796" w:rsidRDefault="00485796" w:rsidP="0048579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5D1E400" w14:textId="77777777" w:rsidR="00A77B3E" w:rsidRPr="00485796" w:rsidRDefault="00A77B3E" w:rsidP="0048579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485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373F" w14:textId="77777777" w:rsidR="00F52B8F" w:rsidRDefault="00F52B8F" w:rsidP="00485796">
      <w:r>
        <w:separator/>
      </w:r>
    </w:p>
  </w:endnote>
  <w:endnote w:type="continuationSeparator" w:id="0">
    <w:p w14:paraId="0C4840B2" w14:textId="77777777" w:rsidR="00F52B8F" w:rsidRDefault="00F52B8F" w:rsidP="004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7660" w14:textId="77777777" w:rsidR="00F24B54" w:rsidRPr="00485796" w:rsidRDefault="00F24B54" w:rsidP="00485796">
    <w:pPr>
      <w:pStyle w:val="a8"/>
      <w:jc w:val="right"/>
      <w:rPr>
        <w:rFonts w:ascii="Book Antiqua" w:hAnsi="Book Antiqua"/>
        <w:sz w:val="24"/>
        <w:szCs w:val="24"/>
      </w:rPr>
    </w:pPr>
    <w:r w:rsidRPr="00485796">
      <w:rPr>
        <w:rFonts w:ascii="Book Antiqua" w:hAnsi="Book Antiqua"/>
        <w:sz w:val="24"/>
        <w:szCs w:val="24"/>
      </w:rPr>
      <w:fldChar w:fldCharType="begin"/>
    </w:r>
    <w:r w:rsidRPr="00485796">
      <w:rPr>
        <w:rFonts w:ascii="Book Antiqua" w:hAnsi="Book Antiqua"/>
        <w:sz w:val="24"/>
        <w:szCs w:val="24"/>
      </w:rPr>
      <w:instrText xml:space="preserve"> PAGE  \* Arabic  \* MERGEFORMAT </w:instrText>
    </w:r>
    <w:r w:rsidRPr="00485796">
      <w:rPr>
        <w:rFonts w:ascii="Book Antiqua" w:hAnsi="Book Antiqua"/>
        <w:sz w:val="24"/>
        <w:szCs w:val="24"/>
      </w:rPr>
      <w:fldChar w:fldCharType="separate"/>
    </w:r>
    <w:r w:rsidR="00114FED">
      <w:rPr>
        <w:rFonts w:ascii="Book Antiqua" w:hAnsi="Book Antiqua"/>
        <w:noProof/>
        <w:sz w:val="24"/>
        <w:szCs w:val="24"/>
      </w:rPr>
      <w:t>20</w:t>
    </w:r>
    <w:r w:rsidRPr="00485796">
      <w:rPr>
        <w:rFonts w:ascii="Book Antiqua" w:hAnsi="Book Antiqua"/>
        <w:sz w:val="24"/>
        <w:szCs w:val="24"/>
      </w:rPr>
      <w:fldChar w:fldCharType="end"/>
    </w:r>
    <w:r w:rsidRPr="00485796">
      <w:rPr>
        <w:rFonts w:ascii="Book Antiqua" w:hAnsi="Book Antiqua"/>
        <w:sz w:val="24"/>
        <w:szCs w:val="24"/>
      </w:rPr>
      <w:t>/</w:t>
    </w:r>
    <w:r w:rsidRPr="00485796">
      <w:rPr>
        <w:rFonts w:ascii="Book Antiqua" w:hAnsi="Book Antiqua"/>
        <w:sz w:val="24"/>
        <w:szCs w:val="24"/>
      </w:rPr>
      <w:fldChar w:fldCharType="begin"/>
    </w:r>
    <w:r w:rsidRPr="00485796">
      <w:rPr>
        <w:rFonts w:ascii="Book Antiqua" w:hAnsi="Book Antiqua"/>
        <w:sz w:val="24"/>
        <w:szCs w:val="24"/>
      </w:rPr>
      <w:instrText xml:space="preserve"> NUMPAGES   \* MERGEFORMAT </w:instrText>
    </w:r>
    <w:r w:rsidRPr="00485796">
      <w:rPr>
        <w:rFonts w:ascii="Book Antiqua" w:hAnsi="Book Antiqua"/>
        <w:sz w:val="24"/>
        <w:szCs w:val="24"/>
      </w:rPr>
      <w:fldChar w:fldCharType="separate"/>
    </w:r>
    <w:r w:rsidR="00114FED">
      <w:rPr>
        <w:rFonts w:ascii="Book Antiqua" w:hAnsi="Book Antiqua"/>
        <w:noProof/>
        <w:sz w:val="24"/>
        <w:szCs w:val="24"/>
      </w:rPr>
      <w:t>28</w:t>
    </w:r>
    <w:r w:rsidRPr="0048579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EE3A" w14:textId="77777777" w:rsidR="00F52B8F" w:rsidRDefault="00F52B8F" w:rsidP="00485796">
      <w:r>
        <w:separator/>
      </w:r>
    </w:p>
  </w:footnote>
  <w:footnote w:type="continuationSeparator" w:id="0">
    <w:p w14:paraId="4CBB6434" w14:textId="77777777" w:rsidR="00F52B8F" w:rsidRDefault="00F52B8F" w:rsidP="00485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84D"/>
    <w:rsid w:val="00064835"/>
    <w:rsid w:val="00086378"/>
    <w:rsid w:val="00114FED"/>
    <w:rsid w:val="00210B1C"/>
    <w:rsid w:val="002D705F"/>
    <w:rsid w:val="00412947"/>
    <w:rsid w:val="00442787"/>
    <w:rsid w:val="00477D37"/>
    <w:rsid w:val="00485796"/>
    <w:rsid w:val="00576484"/>
    <w:rsid w:val="005D114D"/>
    <w:rsid w:val="00612A0C"/>
    <w:rsid w:val="006270FE"/>
    <w:rsid w:val="00685DC8"/>
    <w:rsid w:val="006A3D79"/>
    <w:rsid w:val="006C22B8"/>
    <w:rsid w:val="00763081"/>
    <w:rsid w:val="008424F4"/>
    <w:rsid w:val="00903776"/>
    <w:rsid w:val="009C6437"/>
    <w:rsid w:val="00A01B29"/>
    <w:rsid w:val="00A66C09"/>
    <w:rsid w:val="00A77B3E"/>
    <w:rsid w:val="00A969AF"/>
    <w:rsid w:val="00B03E86"/>
    <w:rsid w:val="00B578FE"/>
    <w:rsid w:val="00C52387"/>
    <w:rsid w:val="00CA2A55"/>
    <w:rsid w:val="00D855D1"/>
    <w:rsid w:val="00DB110B"/>
    <w:rsid w:val="00EB5E32"/>
    <w:rsid w:val="00EC1A27"/>
    <w:rsid w:val="00ED2DC5"/>
    <w:rsid w:val="00F0070E"/>
    <w:rsid w:val="00F24B54"/>
    <w:rsid w:val="00F363BA"/>
    <w:rsid w:val="00F52B8F"/>
    <w:rsid w:val="00F9476C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3C6FA"/>
  <w15:docId w15:val="{0242F50E-F7E4-481D-A9F8-D42804C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5E32"/>
    <w:rPr>
      <w:sz w:val="18"/>
      <w:szCs w:val="18"/>
    </w:rPr>
  </w:style>
  <w:style w:type="character" w:customStyle="1" w:styleId="a4">
    <w:name w:val="批注框文本 字符"/>
    <w:basedOn w:val="a0"/>
    <w:link w:val="a3"/>
    <w:rsid w:val="00EB5E32"/>
    <w:rPr>
      <w:sz w:val="18"/>
      <w:szCs w:val="18"/>
    </w:rPr>
  </w:style>
  <w:style w:type="table" w:styleId="a5">
    <w:name w:val="Table Grid"/>
    <w:basedOn w:val="a1"/>
    <w:rsid w:val="00485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85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85796"/>
    <w:rPr>
      <w:sz w:val="18"/>
      <w:szCs w:val="18"/>
    </w:rPr>
  </w:style>
  <w:style w:type="paragraph" w:styleId="a8">
    <w:name w:val="footer"/>
    <w:basedOn w:val="a"/>
    <w:link w:val="a9"/>
    <w:rsid w:val="004857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85796"/>
    <w:rPr>
      <w:sz w:val="18"/>
      <w:szCs w:val="18"/>
    </w:rPr>
  </w:style>
  <w:style w:type="paragraph" w:styleId="aa">
    <w:name w:val="Revision"/>
    <w:hidden/>
    <w:uiPriority w:val="99"/>
    <w:semiHidden/>
    <w:rsid w:val="0090377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aabdelrahman@med.asu.edu.e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773F-A7EC-46A1-8BA9-7A44C20C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5845</Words>
  <Characters>33321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abdelrahman</dc:creator>
  <cp:lastModifiedBy>Liansheng Ma</cp:lastModifiedBy>
  <cp:revision>2</cp:revision>
  <dcterms:created xsi:type="dcterms:W3CDTF">2021-09-22T19:33:00Z</dcterms:created>
  <dcterms:modified xsi:type="dcterms:W3CDTF">2021-09-22T19:33:00Z</dcterms:modified>
</cp:coreProperties>
</file>