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43A11"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color w:val="000000"/>
        </w:rPr>
        <w:t xml:space="preserve">Name of Journal: </w:t>
      </w:r>
      <w:r w:rsidRPr="0068137E">
        <w:rPr>
          <w:rFonts w:ascii="Book Antiqua" w:eastAsia="Book Antiqua" w:hAnsi="Book Antiqua" w:cs="Book Antiqua"/>
          <w:i/>
          <w:color w:val="000000"/>
        </w:rPr>
        <w:t>World Journal of Clinical Cases</w:t>
      </w:r>
    </w:p>
    <w:p w14:paraId="2FA46E93"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color w:val="000000"/>
        </w:rPr>
        <w:t xml:space="preserve">Manuscript NO: </w:t>
      </w:r>
      <w:r w:rsidRPr="0068137E">
        <w:rPr>
          <w:rFonts w:ascii="Book Antiqua" w:eastAsia="Book Antiqua" w:hAnsi="Book Antiqua" w:cs="Book Antiqua"/>
          <w:color w:val="000000"/>
        </w:rPr>
        <w:t>67047</w:t>
      </w:r>
    </w:p>
    <w:p w14:paraId="5232D36B"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color w:val="000000"/>
        </w:rPr>
        <w:t xml:space="preserve">Manuscript Type: </w:t>
      </w:r>
      <w:r w:rsidRPr="0068137E">
        <w:rPr>
          <w:rFonts w:ascii="Book Antiqua" w:eastAsia="Book Antiqua" w:hAnsi="Book Antiqua" w:cs="Book Antiqua"/>
          <w:color w:val="000000"/>
        </w:rPr>
        <w:t>ORIGINAL ARTICLE</w:t>
      </w:r>
    </w:p>
    <w:p w14:paraId="02E59DCC" w14:textId="77777777" w:rsidR="00A77B3E" w:rsidRPr="0068137E" w:rsidRDefault="00A77B3E" w:rsidP="0068137E">
      <w:pPr>
        <w:adjustRightInd w:val="0"/>
        <w:snapToGrid w:val="0"/>
        <w:spacing w:line="360" w:lineRule="auto"/>
        <w:jc w:val="both"/>
        <w:rPr>
          <w:rFonts w:ascii="Book Antiqua" w:hAnsi="Book Antiqua"/>
        </w:rPr>
      </w:pPr>
    </w:p>
    <w:p w14:paraId="3DE33A21"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i/>
          <w:color w:val="000000"/>
        </w:rPr>
        <w:t>Retrospective Study</w:t>
      </w:r>
    </w:p>
    <w:p w14:paraId="5139E579" w14:textId="1D2DC949"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bCs/>
          <w:color w:val="000000"/>
        </w:rPr>
        <w:t>Radial nerve recovery following closed nailing of humeral shaft fractures without radial nerve exploration: A retrospective study</w:t>
      </w:r>
    </w:p>
    <w:p w14:paraId="35252980" w14:textId="77777777" w:rsidR="00A77B3E" w:rsidRPr="0068137E" w:rsidRDefault="00A77B3E" w:rsidP="0068137E">
      <w:pPr>
        <w:adjustRightInd w:val="0"/>
        <w:snapToGrid w:val="0"/>
        <w:spacing w:line="360" w:lineRule="auto"/>
        <w:jc w:val="both"/>
        <w:rPr>
          <w:rFonts w:ascii="Book Antiqua" w:hAnsi="Book Antiqua"/>
        </w:rPr>
      </w:pPr>
    </w:p>
    <w:p w14:paraId="6DB5E578"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 xml:space="preserve">Yeh KL </w:t>
      </w:r>
      <w:r w:rsidRPr="0068137E">
        <w:rPr>
          <w:rFonts w:ascii="Book Antiqua" w:eastAsia="Book Antiqua" w:hAnsi="Book Antiqua" w:cs="Book Antiqua"/>
          <w:i/>
          <w:iCs/>
          <w:color w:val="000000"/>
        </w:rPr>
        <w:t>et al</w:t>
      </w:r>
      <w:r w:rsidRPr="0068137E">
        <w:rPr>
          <w:rFonts w:ascii="Book Antiqua" w:eastAsia="Book Antiqua" w:hAnsi="Book Antiqua" w:cs="Book Antiqua"/>
          <w:color w:val="000000"/>
        </w:rPr>
        <w:t>. Nerve recovery from humeral fracture</w:t>
      </w:r>
    </w:p>
    <w:p w14:paraId="763121DB" w14:textId="77777777" w:rsidR="00A77B3E" w:rsidRPr="0068137E" w:rsidRDefault="00A77B3E" w:rsidP="0068137E">
      <w:pPr>
        <w:adjustRightInd w:val="0"/>
        <w:snapToGrid w:val="0"/>
        <w:spacing w:line="360" w:lineRule="auto"/>
        <w:jc w:val="both"/>
        <w:rPr>
          <w:rFonts w:ascii="Book Antiqua" w:hAnsi="Book Antiqua"/>
        </w:rPr>
      </w:pPr>
    </w:p>
    <w:p w14:paraId="55ECB2BD" w14:textId="77777777" w:rsidR="00A77B3E" w:rsidRPr="0068137E" w:rsidRDefault="0068137E" w:rsidP="0068137E">
      <w:pPr>
        <w:adjustRightInd w:val="0"/>
        <w:snapToGrid w:val="0"/>
        <w:spacing w:line="360" w:lineRule="auto"/>
        <w:jc w:val="both"/>
        <w:rPr>
          <w:rFonts w:ascii="Book Antiqua" w:hAnsi="Book Antiqua"/>
        </w:rPr>
      </w:pPr>
      <w:proofErr w:type="spellStart"/>
      <w:r w:rsidRPr="0068137E">
        <w:rPr>
          <w:rFonts w:ascii="Book Antiqua" w:eastAsia="Book Antiqua" w:hAnsi="Book Antiqua" w:cs="Book Antiqua"/>
          <w:color w:val="000000"/>
        </w:rPr>
        <w:t>Kuei</w:t>
      </w:r>
      <w:proofErr w:type="spellEnd"/>
      <w:r w:rsidRPr="0068137E">
        <w:rPr>
          <w:rFonts w:ascii="Book Antiqua" w:eastAsia="Book Antiqua" w:hAnsi="Book Antiqua" w:cs="Book Antiqua"/>
          <w:color w:val="000000"/>
        </w:rPr>
        <w:t>-Lin Yeh, Chen-</w:t>
      </w:r>
      <w:proofErr w:type="spellStart"/>
      <w:r w:rsidRPr="0068137E">
        <w:rPr>
          <w:rFonts w:ascii="Book Antiqua" w:eastAsia="Book Antiqua" w:hAnsi="Book Antiqua" w:cs="Book Antiqua"/>
          <w:color w:val="000000"/>
        </w:rPr>
        <w:t>Kun</w:t>
      </w:r>
      <w:proofErr w:type="spellEnd"/>
      <w:r w:rsidRPr="0068137E">
        <w:rPr>
          <w:rFonts w:ascii="Book Antiqua" w:eastAsia="Book Antiqua" w:hAnsi="Book Antiqua" w:cs="Book Antiqua"/>
          <w:color w:val="000000"/>
        </w:rPr>
        <w:t xml:space="preserve"> </w:t>
      </w:r>
      <w:proofErr w:type="spellStart"/>
      <w:r w:rsidRPr="0068137E">
        <w:rPr>
          <w:rFonts w:ascii="Book Antiqua" w:eastAsia="Book Antiqua" w:hAnsi="Book Antiqua" w:cs="Book Antiqua"/>
          <w:color w:val="000000"/>
        </w:rPr>
        <w:t>Liaw</w:t>
      </w:r>
      <w:proofErr w:type="spellEnd"/>
      <w:r w:rsidRPr="0068137E">
        <w:rPr>
          <w:rFonts w:ascii="Book Antiqua" w:eastAsia="Book Antiqua" w:hAnsi="Book Antiqua" w:cs="Book Antiqua"/>
          <w:color w:val="000000"/>
        </w:rPr>
        <w:t>, Tai-Yin Wu, Chung-Pei Chen</w:t>
      </w:r>
    </w:p>
    <w:p w14:paraId="7491D0F4" w14:textId="77777777" w:rsidR="00A77B3E" w:rsidRPr="0068137E" w:rsidRDefault="00A77B3E" w:rsidP="0068137E">
      <w:pPr>
        <w:adjustRightInd w:val="0"/>
        <w:snapToGrid w:val="0"/>
        <w:spacing w:line="360" w:lineRule="auto"/>
        <w:jc w:val="both"/>
        <w:rPr>
          <w:rFonts w:ascii="Book Antiqua" w:hAnsi="Book Antiqua"/>
        </w:rPr>
      </w:pPr>
    </w:p>
    <w:p w14:paraId="190A07BF" w14:textId="77777777" w:rsidR="00A77B3E" w:rsidRPr="0068137E" w:rsidRDefault="0068137E" w:rsidP="0068137E">
      <w:pPr>
        <w:adjustRightInd w:val="0"/>
        <w:snapToGrid w:val="0"/>
        <w:spacing w:line="360" w:lineRule="auto"/>
        <w:jc w:val="both"/>
        <w:rPr>
          <w:rFonts w:ascii="Book Antiqua" w:hAnsi="Book Antiqua"/>
        </w:rPr>
      </w:pPr>
      <w:proofErr w:type="spellStart"/>
      <w:r w:rsidRPr="0068137E">
        <w:rPr>
          <w:rFonts w:ascii="Book Antiqua" w:eastAsia="Book Antiqua" w:hAnsi="Book Antiqua" w:cs="Book Antiqua"/>
          <w:b/>
          <w:bCs/>
          <w:color w:val="000000"/>
        </w:rPr>
        <w:t>Kuei</w:t>
      </w:r>
      <w:proofErr w:type="spellEnd"/>
      <w:r w:rsidRPr="0068137E">
        <w:rPr>
          <w:rFonts w:ascii="Book Antiqua" w:eastAsia="Book Antiqua" w:hAnsi="Book Antiqua" w:cs="Book Antiqua"/>
          <w:b/>
          <w:bCs/>
          <w:color w:val="000000"/>
        </w:rPr>
        <w:t xml:space="preserve">-Lin Yeh, </w:t>
      </w:r>
      <w:r w:rsidRPr="0068137E">
        <w:rPr>
          <w:rFonts w:ascii="Book Antiqua" w:eastAsia="Book Antiqua" w:hAnsi="Book Antiqua" w:cs="Book Antiqua"/>
          <w:color w:val="000000"/>
        </w:rPr>
        <w:t xml:space="preserve">Department of Orthopedics, Shin Kong Wu-Ho </w:t>
      </w:r>
      <w:proofErr w:type="spellStart"/>
      <w:r w:rsidRPr="0068137E">
        <w:rPr>
          <w:rFonts w:ascii="Book Antiqua" w:eastAsia="Book Antiqua" w:hAnsi="Book Antiqua" w:cs="Book Antiqua"/>
          <w:color w:val="000000"/>
        </w:rPr>
        <w:t>Su</w:t>
      </w:r>
      <w:proofErr w:type="spellEnd"/>
      <w:r w:rsidRPr="0068137E">
        <w:rPr>
          <w:rFonts w:ascii="Book Antiqua" w:eastAsia="Book Antiqua" w:hAnsi="Book Antiqua" w:cs="Book Antiqua"/>
          <w:color w:val="000000"/>
        </w:rPr>
        <w:t xml:space="preserve"> Memorial Hospital, Taipei City 111, Taiwan</w:t>
      </w:r>
    </w:p>
    <w:p w14:paraId="30D7DB77" w14:textId="77777777" w:rsidR="00A77B3E" w:rsidRPr="0068137E" w:rsidRDefault="00A77B3E" w:rsidP="0068137E">
      <w:pPr>
        <w:adjustRightInd w:val="0"/>
        <w:snapToGrid w:val="0"/>
        <w:spacing w:line="360" w:lineRule="auto"/>
        <w:jc w:val="both"/>
        <w:rPr>
          <w:rFonts w:ascii="Book Antiqua" w:hAnsi="Book Antiqua"/>
        </w:rPr>
      </w:pPr>
    </w:p>
    <w:p w14:paraId="640B3D18"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bCs/>
          <w:color w:val="000000"/>
        </w:rPr>
        <w:t>Chen-</w:t>
      </w:r>
      <w:proofErr w:type="spellStart"/>
      <w:r w:rsidRPr="0068137E">
        <w:rPr>
          <w:rFonts w:ascii="Book Antiqua" w:eastAsia="Book Antiqua" w:hAnsi="Book Antiqua" w:cs="Book Antiqua"/>
          <w:b/>
          <w:bCs/>
          <w:color w:val="000000"/>
        </w:rPr>
        <w:t>Kun</w:t>
      </w:r>
      <w:proofErr w:type="spellEnd"/>
      <w:r w:rsidRPr="0068137E">
        <w:rPr>
          <w:rFonts w:ascii="Book Antiqua" w:eastAsia="Book Antiqua" w:hAnsi="Book Antiqua" w:cs="Book Antiqua"/>
          <w:b/>
          <w:bCs/>
          <w:color w:val="000000"/>
        </w:rPr>
        <w:t xml:space="preserve"> </w:t>
      </w:r>
      <w:proofErr w:type="spellStart"/>
      <w:r w:rsidRPr="0068137E">
        <w:rPr>
          <w:rFonts w:ascii="Book Antiqua" w:eastAsia="Book Antiqua" w:hAnsi="Book Antiqua" w:cs="Book Antiqua"/>
          <w:b/>
          <w:bCs/>
          <w:color w:val="000000"/>
        </w:rPr>
        <w:t>Liaw</w:t>
      </w:r>
      <w:proofErr w:type="spellEnd"/>
      <w:r w:rsidRPr="0068137E">
        <w:rPr>
          <w:rFonts w:ascii="Book Antiqua" w:eastAsia="Book Antiqua" w:hAnsi="Book Antiqua" w:cs="Book Antiqua"/>
          <w:b/>
          <w:bCs/>
          <w:color w:val="000000"/>
        </w:rPr>
        <w:t xml:space="preserve">, </w:t>
      </w:r>
      <w:r w:rsidRPr="0068137E">
        <w:rPr>
          <w:rFonts w:ascii="Book Antiqua" w:eastAsia="Book Antiqua" w:hAnsi="Book Antiqua" w:cs="Book Antiqua"/>
          <w:color w:val="000000"/>
        </w:rPr>
        <w:t>Department of Orthopedics, School of Medicine, College of Medicine, Taipei Medical University, Taipei City 11031, Taiwan</w:t>
      </w:r>
    </w:p>
    <w:p w14:paraId="1E33ABE5" w14:textId="77777777" w:rsidR="00A77B3E" w:rsidRPr="0068137E" w:rsidRDefault="00A77B3E" w:rsidP="0068137E">
      <w:pPr>
        <w:adjustRightInd w:val="0"/>
        <w:snapToGrid w:val="0"/>
        <w:spacing w:line="360" w:lineRule="auto"/>
        <w:jc w:val="both"/>
        <w:rPr>
          <w:rFonts w:ascii="Book Antiqua" w:hAnsi="Book Antiqua"/>
        </w:rPr>
      </w:pPr>
    </w:p>
    <w:p w14:paraId="3F56326E"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bCs/>
          <w:color w:val="000000"/>
        </w:rPr>
        <w:t>Chen-</w:t>
      </w:r>
      <w:proofErr w:type="spellStart"/>
      <w:r w:rsidRPr="0068137E">
        <w:rPr>
          <w:rFonts w:ascii="Book Antiqua" w:eastAsia="Book Antiqua" w:hAnsi="Book Antiqua" w:cs="Book Antiqua"/>
          <w:b/>
          <w:bCs/>
          <w:color w:val="000000"/>
        </w:rPr>
        <w:t>Kun</w:t>
      </w:r>
      <w:proofErr w:type="spellEnd"/>
      <w:r w:rsidRPr="0068137E">
        <w:rPr>
          <w:rFonts w:ascii="Book Antiqua" w:eastAsia="Book Antiqua" w:hAnsi="Book Antiqua" w:cs="Book Antiqua"/>
          <w:b/>
          <w:bCs/>
          <w:color w:val="000000"/>
        </w:rPr>
        <w:t xml:space="preserve"> </w:t>
      </w:r>
      <w:proofErr w:type="spellStart"/>
      <w:r w:rsidRPr="0068137E">
        <w:rPr>
          <w:rFonts w:ascii="Book Antiqua" w:eastAsia="Book Antiqua" w:hAnsi="Book Antiqua" w:cs="Book Antiqua"/>
          <w:b/>
          <w:bCs/>
          <w:color w:val="000000"/>
        </w:rPr>
        <w:t>Liaw</w:t>
      </w:r>
      <w:proofErr w:type="spellEnd"/>
      <w:r w:rsidRPr="0068137E">
        <w:rPr>
          <w:rFonts w:ascii="Book Antiqua" w:eastAsia="Book Antiqua" w:hAnsi="Book Antiqua" w:cs="Book Antiqua"/>
          <w:b/>
          <w:bCs/>
          <w:color w:val="000000"/>
        </w:rPr>
        <w:t xml:space="preserve">, </w:t>
      </w:r>
      <w:r w:rsidRPr="0068137E">
        <w:rPr>
          <w:rFonts w:ascii="Book Antiqua" w:eastAsia="Book Antiqua" w:hAnsi="Book Antiqua" w:cs="Book Antiqua"/>
          <w:color w:val="000000"/>
        </w:rPr>
        <w:t>Department of Orthopedics, Shuang Ho Hospital, Taipei Medical University, New Taipei City 23561, Taiwan</w:t>
      </w:r>
    </w:p>
    <w:p w14:paraId="68D96F50" w14:textId="77777777" w:rsidR="00A77B3E" w:rsidRPr="0068137E" w:rsidRDefault="00A77B3E" w:rsidP="0068137E">
      <w:pPr>
        <w:adjustRightInd w:val="0"/>
        <w:snapToGrid w:val="0"/>
        <w:spacing w:line="360" w:lineRule="auto"/>
        <w:jc w:val="both"/>
        <w:rPr>
          <w:rFonts w:ascii="Book Antiqua" w:hAnsi="Book Antiqua"/>
        </w:rPr>
      </w:pPr>
    </w:p>
    <w:p w14:paraId="78904998"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bCs/>
          <w:color w:val="000000"/>
        </w:rPr>
        <w:t>Chen-</w:t>
      </w:r>
      <w:proofErr w:type="spellStart"/>
      <w:r w:rsidRPr="0068137E">
        <w:rPr>
          <w:rFonts w:ascii="Book Antiqua" w:eastAsia="Book Antiqua" w:hAnsi="Book Antiqua" w:cs="Book Antiqua"/>
          <w:b/>
          <w:bCs/>
          <w:color w:val="000000"/>
        </w:rPr>
        <w:t>Kun</w:t>
      </w:r>
      <w:proofErr w:type="spellEnd"/>
      <w:r w:rsidRPr="0068137E">
        <w:rPr>
          <w:rFonts w:ascii="Book Antiqua" w:eastAsia="Book Antiqua" w:hAnsi="Book Antiqua" w:cs="Book Antiqua"/>
          <w:b/>
          <w:bCs/>
          <w:color w:val="000000"/>
        </w:rPr>
        <w:t xml:space="preserve"> </w:t>
      </w:r>
      <w:proofErr w:type="spellStart"/>
      <w:r w:rsidRPr="0068137E">
        <w:rPr>
          <w:rFonts w:ascii="Book Antiqua" w:eastAsia="Book Antiqua" w:hAnsi="Book Antiqua" w:cs="Book Antiqua"/>
          <w:b/>
          <w:bCs/>
          <w:color w:val="000000"/>
        </w:rPr>
        <w:t>Liaw</w:t>
      </w:r>
      <w:proofErr w:type="spellEnd"/>
      <w:r w:rsidRPr="0068137E">
        <w:rPr>
          <w:rFonts w:ascii="Book Antiqua" w:eastAsia="Book Antiqua" w:hAnsi="Book Antiqua" w:cs="Book Antiqua"/>
          <w:b/>
          <w:bCs/>
          <w:color w:val="000000"/>
        </w:rPr>
        <w:t xml:space="preserve">, </w:t>
      </w:r>
      <w:r w:rsidRPr="0068137E">
        <w:rPr>
          <w:rFonts w:ascii="Book Antiqua" w:eastAsia="Book Antiqua" w:hAnsi="Book Antiqua" w:cs="Book Antiqua"/>
          <w:color w:val="000000"/>
        </w:rPr>
        <w:t xml:space="preserve">Graduate Institute of Biomedical </w:t>
      </w:r>
      <w:proofErr w:type="spellStart"/>
      <w:r w:rsidRPr="0068137E">
        <w:rPr>
          <w:rFonts w:ascii="Book Antiqua" w:eastAsia="Book Antiqua" w:hAnsi="Book Antiqua" w:cs="Book Antiqua"/>
          <w:color w:val="000000"/>
        </w:rPr>
        <w:t>Optomechatronics</w:t>
      </w:r>
      <w:proofErr w:type="spellEnd"/>
      <w:r w:rsidRPr="0068137E">
        <w:rPr>
          <w:rFonts w:ascii="Book Antiqua" w:eastAsia="Book Antiqua" w:hAnsi="Book Antiqua" w:cs="Book Antiqua"/>
          <w:color w:val="000000"/>
        </w:rPr>
        <w:t>, College of Biomedical Engineering; Research Center of Biomedical Device, Taipei Medical University, Taipei City 11301, Taiwan</w:t>
      </w:r>
    </w:p>
    <w:p w14:paraId="52643DE2" w14:textId="77777777" w:rsidR="00A77B3E" w:rsidRPr="0068137E" w:rsidRDefault="00A77B3E" w:rsidP="0068137E">
      <w:pPr>
        <w:adjustRightInd w:val="0"/>
        <w:snapToGrid w:val="0"/>
        <w:spacing w:line="360" w:lineRule="auto"/>
        <w:jc w:val="both"/>
        <w:rPr>
          <w:rFonts w:ascii="Book Antiqua" w:hAnsi="Book Antiqua"/>
        </w:rPr>
      </w:pPr>
    </w:p>
    <w:p w14:paraId="6AA6F611"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bCs/>
          <w:color w:val="000000"/>
        </w:rPr>
        <w:t xml:space="preserve">Tai-Yin Wu, </w:t>
      </w:r>
      <w:r w:rsidRPr="0068137E">
        <w:rPr>
          <w:rFonts w:ascii="Book Antiqua" w:eastAsia="Book Antiqua" w:hAnsi="Book Antiqua" w:cs="Book Antiqua"/>
          <w:color w:val="000000"/>
        </w:rPr>
        <w:t xml:space="preserve">Department of Family Medicine, </w:t>
      </w:r>
      <w:proofErr w:type="spellStart"/>
      <w:r w:rsidRPr="0068137E">
        <w:rPr>
          <w:rFonts w:ascii="Book Antiqua" w:eastAsia="Book Antiqua" w:hAnsi="Book Antiqua" w:cs="Book Antiqua"/>
          <w:color w:val="000000"/>
        </w:rPr>
        <w:t>Zhongxing</w:t>
      </w:r>
      <w:proofErr w:type="spellEnd"/>
      <w:r w:rsidRPr="0068137E">
        <w:rPr>
          <w:rFonts w:ascii="Book Antiqua" w:eastAsia="Book Antiqua" w:hAnsi="Book Antiqua" w:cs="Book Antiqua"/>
          <w:color w:val="000000"/>
        </w:rPr>
        <w:t xml:space="preserve"> Branch, Taipei City Hospital, Taipei City 10341, Taiwan</w:t>
      </w:r>
    </w:p>
    <w:p w14:paraId="223AEAC1" w14:textId="77777777" w:rsidR="00A77B3E" w:rsidRPr="0068137E" w:rsidRDefault="00A77B3E" w:rsidP="0068137E">
      <w:pPr>
        <w:adjustRightInd w:val="0"/>
        <w:snapToGrid w:val="0"/>
        <w:spacing w:line="360" w:lineRule="auto"/>
        <w:jc w:val="both"/>
        <w:rPr>
          <w:rFonts w:ascii="Book Antiqua" w:hAnsi="Book Antiqua"/>
        </w:rPr>
      </w:pPr>
    </w:p>
    <w:p w14:paraId="494CBC43"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bCs/>
          <w:color w:val="000000"/>
        </w:rPr>
        <w:lastRenderedPageBreak/>
        <w:t xml:space="preserve">Tai-Yin Wu, </w:t>
      </w:r>
      <w:r w:rsidRPr="0068137E">
        <w:rPr>
          <w:rFonts w:ascii="Book Antiqua" w:eastAsia="Book Antiqua" w:hAnsi="Book Antiqua" w:cs="Book Antiqua"/>
          <w:color w:val="000000"/>
        </w:rPr>
        <w:t>Institute of Epidemiology and Preventive Medicine, National Taiwan University, Taipei City 10055, Taiwan</w:t>
      </w:r>
    </w:p>
    <w:p w14:paraId="1FDF417D" w14:textId="77777777" w:rsidR="00A77B3E" w:rsidRPr="0068137E" w:rsidRDefault="00A77B3E" w:rsidP="0068137E">
      <w:pPr>
        <w:adjustRightInd w:val="0"/>
        <w:snapToGrid w:val="0"/>
        <w:spacing w:line="360" w:lineRule="auto"/>
        <w:jc w:val="both"/>
        <w:rPr>
          <w:rFonts w:ascii="Book Antiqua" w:hAnsi="Book Antiqua"/>
        </w:rPr>
      </w:pPr>
    </w:p>
    <w:p w14:paraId="52E02882" w14:textId="23B78046"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bCs/>
          <w:color w:val="000000"/>
        </w:rPr>
        <w:t xml:space="preserve">Tai-Yin Wu, </w:t>
      </w:r>
      <w:r w:rsidRPr="0068137E">
        <w:rPr>
          <w:rFonts w:ascii="Book Antiqua" w:eastAsia="Book Antiqua" w:hAnsi="Book Antiqua" w:cs="Book Antiqua"/>
          <w:color w:val="000000"/>
        </w:rPr>
        <w:t>National Taipei University of Nursing and Health Science, Taipei City 11219, Taiwan</w:t>
      </w:r>
    </w:p>
    <w:p w14:paraId="7C7EE3BB" w14:textId="77777777" w:rsidR="00A77B3E" w:rsidRPr="0068137E" w:rsidRDefault="00A77B3E" w:rsidP="0068137E">
      <w:pPr>
        <w:adjustRightInd w:val="0"/>
        <w:snapToGrid w:val="0"/>
        <w:spacing w:line="360" w:lineRule="auto"/>
        <w:jc w:val="both"/>
        <w:rPr>
          <w:rFonts w:ascii="Book Antiqua" w:hAnsi="Book Antiqua"/>
        </w:rPr>
      </w:pPr>
    </w:p>
    <w:p w14:paraId="2AF37B57"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bCs/>
          <w:color w:val="000000"/>
        </w:rPr>
        <w:t xml:space="preserve">Chung-Pei Chen, </w:t>
      </w:r>
      <w:r w:rsidRPr="0068137E">
        <w:rPr>
          <w:rFonts w:ascii="Book Antiqua" w:eastAsia="Book Antiqua" w:hAnsi="Book Antiqua" w:cs="Book Antiqua"/>
          <w:color w:val="000000"/>
        </w:rPr>
        <w:t>Department of Orthopedics, Cathay General Hospital, New Taipei City 221, Taiwan</w:t>
      </w:r>
    </w:p>
    <w:p w14:paraId="59CF7C90" w14:textId="77777777" w:rsidR="00A77B3E" w:rsidRPr="0068137E" w:rsidRDefault="00A77B3E" w:rsidP="0068137E">
      <w:pPr>
        <w:adjustRightInd w:val="0"/>
        <w:snapToGrid w:val="0"/>
        <w:spacing w:line="360" w:lineRule="auto"/>
        <w:jc w:val="both"/>
        <w:rPr>
          <w:rFonts w:ascii="Book Antiqua" w:hAnsi="Book Antiqua"/>
        </w:rPr>
      </w:pPr>
    </w:p>
    <w:p w14:paraId="07EA96DA"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bCs/>
          <w:color w:val="000000"/>
        </w:rPr>
        <w:t xml:space="preserve">Author contributions: </w:t>
      </w:r>
      <w:r w:rsidRPr="0068137E">
        <w:rPr>
          <w:rFonts w:ascii="Book Antiqua" w:eastAsia="Book Antiqua" w:hAnsi="Book Antiqua" w:cs="Book Antiqua"/>
          <w:color w:val="000000"/>
        </w:rPr>
        <w:t xml:space="preserve">Yeh KL and Chen CP designed and performed the experiments, provided essential mouse strains, analyzed the data, supervised the research, and cowrote the manuscript; </w:t>
      </w:r>
      <w:proofErr w:type="spellStart"/>
      <w:r w:rsidRPr="0068137E">
        <w:rPr>
          <w:rFonts w:ascii="Book Antiqua" w:eastAsia="Book Antiqua" w:hAnsi="Book Antiqua" w:cs="Book Antiqua"/>
          <w:color w:val="000000"/>
        </w:rPr>
        <w:t>Liaw</w:t>
      </w:r>
      <w:proofErr w:type="spellEnd"/>
      <w:r w:rsidRPr="0068137E">
        <w:rPr>
          <w:rFonts w:ascii="Book Antiqua" w:eastAsia="Book Antiqua" w:hAnsi="Book Antiqua" w:cs="Book Antiqua"/>
          <w:color w:val="000000"/>
        </w:rPr>
        <w:t xml:space="preserve"> CK, Wu TY, and Yeh KL performed the experiments; Chen CP, Wu TY, and </w:t>
      </w:r>
      <w:proofErr w:type="spellStart"/>
      <w:r w:rsidRPr="0068137E">
        <w:rPr>
          <w:rFonts w:ascii="Book Antiqua" w:eastAsia="Book Antiqua" w:hAnsi="Book Antiqua" w:cs="Book Antiqua"/>
          <w:color w:val="000000"/>
        </w:rPr>
        <w:t>Liaw</w:t>
      </w:r>
      <w:proofErr w:type="spellEnd"/>
      <w:r w:rsidRPr="0068137E">
        <w:rPr>
          <w:rFonts w:ascii="Book Antiqua" w:eastAsia="Book Antiqua" w:hAnsi="Book Antiqua" w:cs="Book Antiqua"/>
          <w:color w:val="000000"/>
        </w:rPr>
        <w:t xml:space="preserve"> CK conducted the transporter experiments; Yeh KL, Chen CP, and Wu TY performed the metabolomic analyses; </w:t>
      </w:r>
      <w:proofErr w:type="spellStart"/>
      <w:r w:rsidRPr="0068137E">
        <w:rPr>
          <w:rFonts w:ascii="Book Antiqua" w:eastAsia="Book Antiqua" w:hAnsi="Book Antiqua" w:cs="Book Antiqua"/>
          <w:color w:val="000000"/>
        </w:rPr>
        <w:t>Liaw</w:t>
      </w:r>
      <w:proofErr w:type="spellEnd"/>
      <w:r w:rsidRPr="0068137E">
        <w:rPr>
          <w:rFonts w:ascii="Book Antiqua" w:eastAsia="Book Antiqua" w:hAnsi="Book Antiqua" w:cs="Book Antiqua"/>
          <w:color w:val="000000"/>
        </w:rPr>
        <w:t xml:space="preserve"> CK, Yeh KL, and Wu TY designed the experiments and cowrote the manuscript.</w:t>
      </w:r>
    </w:p>
    <w:p w14:paraId="4DA9EA4F" w14:textId="77777777" w:rsidR="00A77B3E" w:rsidRPr="0068137E" w:rsidRDefault="00A77B3E" w:rsidP="0068137E">
      <w:pPr>
        <w:adjustRightInd w:val="0"/>
        <w:snapToGrid w:val="0"/>
        <w:spacing w:line="360" w:lineRule="auto"/>
        <w:jc w:val="both"/>
        <w:rPr>
          <w:rFonts w:ascii="Book Antiqua" w:hAnsi="Book Antiqua"/>
        </w:rPr>
      </w:pPr>
    </w:p>
    <w:p w14:paraId="0A8EAC9F"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bCs/>
          <w:color w:val="000000"/>
        </w:rPr>
        <w:t xml:space="preserve">Corresponding author: Chung-Pei Chen, MD, Doctor, </w:t>
      </w:r>
      <w:r w:rsidRPr="0068137E">
        <w:rPr>
          <w:rFonts w:ascii="Book Antiqua" w:eastAsia="Book Antiqua" w:hAnsi="Book Antiqua" w:cs="Book Antiqua"/>
          <w:color w:val="000000"/>
        </w:rPr>
        <w:t xml:space="preserve">Department of Orthopedics, Cathay General Hospital, No. 2 Lane. 59, </w:t>
      </w:r>
      <w:proofErr w:type="spellStart"/>
      <w:r w:rsidRPr="0068137E">
        <w:rPr>
          <w:rFonts w:ascii="Book Antiqua" w:eastAsia="Book Antiqua" w:hAnsi="Book Antiqua" w:cs="Book Antiqua"/>
          <w:color w:val="000000"/>
        </w:rPr>
        <w:t>Jiancheng</w:t>
      </w:r>
      <w:proofErr w:type="spellEnd"/>
      <w:r w:rsidRPr="0068137E">
        <w:rPr>
          <w:rFonts w:ascii="Book Antiqua" w:eastAsia="Book Antiqua" w:hAnsi="Book Antiqua" w:cs="Book Antiqua"/>
          <w:color w:val="000000"/>
        </w:rPr>
        <w:t xml:space="preserve"> Road, Xizhi District, New Taipei City 221, Taiwan. nowfornever@gmail.com</w:t>
      </w:r>
    </w:p>
    <w:p w14:paraId="1E811406" w14:textId="77777777" w:rsidR="00A77B3E" w:rsidRPr="0068137E" w:rsidRDefault="00A77B3E" w:rsidP="0068137E">
      <w:pPr>
        <w:adjustRightInd w:val="0"/>
        <w:snapToGrid w:val="0"/>
        <w:spacing w:line="360" w:lineRule="auto"/>
        <w:jc w:val="both"/>
        <w:rPr>
          <w:rFonts w:ascii="Book Antiqua" w:hAnsi="Book Antiqua"/>
        </w:rPr>
      </w:pPr>
    </w:p>
    <w:p w14:paraId="58E9EFDD"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bCs/>
          <w:color w:val="000000"/>
        </w:rPr>
        <w:t xml:space="preserve">Received: </w:t>
      </w:r>
      <w:r w:rsidRPr="0068137E">
        <w:rPr>
          <w:rFonts w:ascii="Book Antiqua" w:eastAsia="Book Antiqua" w:hAnsi="Book Antiqua" w:cs="Book Antiqua"/>
          <w:color w:val="000000"/>
        </w:rPr>
        <w:t>April 15, 2021</w:t>
      </w:r>
    </w:p>
    <w:p w14:paraId="21A3C847"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bCs/>
          <w:color w:val="000000"/>
        </w:rPr>
        <w:t xml:space="preserve">Revised: </w:t>
      </w:r>
      <w:r w:rsidRPr="0068137E">
        <w:rPr>
          <w:rFonts w:ascii="Book Antiqua" w:eastAsia="Book Antiqua" w:hAnsi="Book Antiqua" w:cs="Book Antiqua"/>
          <w:color w:val="000000"/>
        </w:rPr>
        <w:t>May 8, 2021</w:t>
      </w:r>
    </w:p>
    <w:p w14:paraId="23472137" w14:textId="39074A2C"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bCs/>
          <w:color w:val="000000"/>
        </w:rPr>
        <w:t xml:space="preserve">Accepted: </w:t>
      </w:r>
      <w:bookmarkStart w:id="0" w:name="OLE_LINK15"/>
      <w:bookmarkStart w:id="1" w:name="OLE_LINK33"/>
      <w:bookmarkStart w:id="2" w:name="OLE_LINK48"/>
      <w:r w:rsidR="00B82E53">
        <w:rPr>
          <w:rFonts w:ascii="Book Antiqua" w:eastAsia="宋体" w:hAnsi="Book Antiqua" w:hint="eastAsia"/>
          <w:color w:val="000000" w:themeColor="text1"/>
        </w:rPr>
        <w:t>Au</w:t>
      </w:r>
      <w:r w:rsidR="00B82E53">
        <w:rPr>
          <w:rFonts w:ascii="Book Antiqua" w:eastAsia="宋体" w:hAnsi="Book Antiqua"/>
          <w:color w:val="000000" w:themeColor="text1"/>
        </w:rPr>
        <w:t>gust</w:t>
      </w:r>
      <w:r w:rsidR="00B82E53" w:rsidRPr="00F06907">
        <w:rPr>
          <w:rFonts w:ascii="Book Antiqua" w:eastAsia="宋体" w:hAnsi="Book Antiqua"/>
          <w:color w:val="000000" w:themeColor="text1"/>
        </w:rPr>
        <w:t xml:space="preserve"> </w:t>
      </w:r>
      <w:r w:rsidR="00B82E53">
        <w:rPr>
          <w:rFonts w:ascii="Book Antiqua" w:eastAsia="宋体" w:hAnsi="Book Antiqua"/>
          <w:color w:val="000000" w:themeColor="text1"/>
        </w:rPr>
        <w:t>20</w:t>
      </w:r>
      <w:r w:rsidR="00B82E53" w:rsidRPr="00F06907">
        <w:rPr>
          <w:rFonts w:ascii="Book Antiqua" w:eastAsia="宋体" w:hAnsi="Book Antiqua"/>
          <w:color w:val="000000" w:themeColor="text1"/>
        </w:rPr>
        <w:t>, 2021</w:t>
      </w:r>
      <w:bookmarkEnd w:id="0"/>
      <w:bookmarkEnd w:id="1"/>
      <w:bookmarkEnd w:id="2"/>
    </w:p>
    <w:p w14:paraId="7AD1F126"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bCs/>
          <w:color w:val="000000"/>
        </w:rPr>
        <w:t xml:space="preserve">Published online: </w:t>
      </w:r>
    </w:p>
    <w:p w14:paraId="631D4B85" w14:textId="77777777" w:rsidR="00A77B3E" w:rsidRPr="0068137E" w:rsidRDefault="00A77B3E" w:rsidP="0068137E">
      <w:pPr>
        <w:adjustRightInd w:val="0"/>
        <w:snapToGrid w:val="0"/>
        <w:spacing w:line="360" w:lineRule="auto"/>
        <w:jc w:val="both"/>
        <w:rPr>
          <w:rFonts w:ascii="Book Antiqua" w:hAnsi="Book Antiqua"/>
        </w:rPr>
        <w:sectPr w:rsidR="00A77B3E" w:rsidRPr="0068137E">
          <w:footerReference w:type="default" r:id="rId6"/>
          <w:pgSz w:w="12240" w:h="15840"/>
          <w:pgMar w:top="1440" w:right="1440" w:bottom="1440" w:left="1440" w:header="720" w:footer="720" w:gutter="0"/>
          <w:cols w:space="720"/>
          <w:docGrid w:linePitch="360"/>
        </w:sectPr>
      </w:pPr>
    </w:p>
    <w:p w14:paraId="75E70BF3"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color w:val="000000"/>
        </w:rPr>
        <w:lastRenderedPageBreak/>
        <w:t>Abstract</w:t>
      </w:r>
    </w:p>
    <w:p w14:paraId="3BC252ED"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BACKGROUND</w:t>
      </w:r>
    </w:p>
    <w:p w14:paraId="28F42C6F"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Radial nerve palsy due to humeral shaft fracture is the most common peripheral nerve injury associated with long bone fractures. An antegrade nailing surgical technique is becoming popular for the fixation of these fractures with minimal invasiveness. We analyzed nerve recovery in patients with humeral shaft fracture and radial nerve palsy treated with humeral nail fixation without nerve exploration.</w:t>
      </w:r>
    </w:p>
    <w:p w14:paraId="3A596C1A" w14:textId="77777777" w:rsidR="00A77B3E" w:rsidRPr="0068137E" w:rsidRDefault="00A77B3E" w:rsidP="0068137E">
      <w:pPr>
        <w:adjustRightInd w:val="0"/>
        <w:snapToGrid w:val="0"/>
        <w:spacing w:line="360" w:lineRule="auto"/>
        <w:jc w:val="both"/>
        <w:rPr>
          <w:rFonts w:ascii="Book Antiqua" w:hAnsi="Book Antiqua"/>
        </w:rPr>
      </w:pPr>
    </w:p>
    <w:p w14:paraId="1394E9C1"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AIM</w:t>
      </w:r>
    </w:p>
    <w:p w14:paraId="52D84F74"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To assess the radial nerve recovery rate and time from humeral shaft fracture with surgical treatment using close nailing.</w:t>
      </w:r>
    </w:p>
    <w:p w14:paraId="4F6CF3C6" w14:textId="77777777" w:rsidR="00A77B3E" w:rsidRPr="0068137E" w:rsidRDefault="00A77B3E" w:rsidP="0068137E">
      <w:pPr>
        <w:adjustRightInd w:val="0"/>
        <w:snapToGrid w:val="0"/>
        <w:spacing w:line="360" w:lineRule="auto"/>
        <w:jc w:val="both"/>
        <w:rPr>
          <w:rFonts w:ascii="Book Antiqua" w:hAnsi="Book Antiqua"/>
        </w:rPr>
      </w:pPr>
    </w:p>
    <w:p w14:paraId="21D0DC95"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METHODS</w:t>
      </w:r>
    </w:p>
    <w:p w14:paraId="64AAF7F3"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We retrospectively collected data of patients who underwent undergone surgical nail fixation for humeral shaft fractures between October 1, 2016, and March 31, 2020. Subsequently, we analyzed the primary or secondary radial nerve palsy recovery rate and radial nerve motor function recovery time.</w:t>
      </w:r>
    </w:p>
    <w:p w14:paraId="0DF70B7C" w14:textId="77777777" w:rsidR="00A77B3E" w:rsidRPr="0068137E" w:rsidRDefault="00A77B3E" w:rsidP="0068137E">
      <w:pPr>
        <w:adjustRightInd w:val="0"/>
        <w:snapToGrid w:val="0"/>
        <w:spacing w:line="360" w:lineRule="auto"/>
        <w:jc w:val="both"/>
        <w:rPr>
          <w:rFonts w:ascii="Book Antiqua" w:hAnsi="Book Antiqua"/>
        </w:rPr>
      </w:pPr>
    </w:p>
    <w:p w14:paraId="59803E3B"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RESULTS</w:t>
      </w:r>
    </w:p>
    <w:p w14:paraId="27E04164"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The study included 70 patients who underwent surgical treatment for closed- or Gustilo type I open humeral shaft fractures using a nail fixation technique without radial nerve exploration. The patients suffered from primary (</w:t>
      </w:r>
      <w:r w:rsidRPr="0068137E">
        <w:rPr>
          <w:rFonts w:ascii="Book Antiqua" w:eastAsia="Book Antiqua" w:hAnsi="Book Antiqua" w:cs="Book Antiqua"/>
          <w:i/>
          <w:iCs/>
          <w:color w:val="000000"/>
        </w:rPr>
        <w:t>n</w:t>
      </w:r>
      <w:r w:rsidRPr="0068137E">
        <w:rPr>
          <w:rFonts w:ascii="Book Antiqua" w:eastAsia="Book Antiqua" w:hAnsi="Book Antiqua" w:cs="Book Antiqua"/>
          <w:color w:val="000000"/>
        </w:rPr>
        <w:t xml:space="preserve"> = 5) and secondary (</w:t>
      </w:r>
      <w:r w:rsidRPr="0068137E">
        <w:rPr>
          <w:rFonts w:ascii="Book Antiqua" w:eastAsia="Book Antiqua" w:hAnsi="Book Antiqua" w:cs="Book Antiqua"/>
          <w:i/>
          <w:iCs/>
          <w:color w:val="000000"/>
        </w:rPr>
        <w:t>n</w:t>
      </w:r>
      <w:r w:rsidRPr="0068137E">
        <w:rPr>
          <w:rFonts w:ascii="Book Antiqua" w:eastAsia="Book Antiqua" w:hAnsi="Book Antiqua" w:cs="Book Antiqua"/>
          <w:color w:val="000000"/>
        </w:rPr>
        <w:t xml:space="preserve"> = 5) radial nerve palsy. A 100% radial nerve recovery rate was achieved. The mean recovery time was 4.3 mo.</w:t>
      </w:r>
    </w:p>
    <w:p w14:paraId="613958A4" w14:textId="77777777" w:rsidR="00A77B3E" w:rsidRPr="0068137E" w:rsidRDefault="00A77B3E" w:rsidP="0068137E">
      <w:pPr>
        <w:adjustRightInd w:val="0"/>
        <w:snapToGrid w:val="0"/>
        <w:spacing w:line="360" w:lineRule="auto"/>
        <w:jc w:val="both"/>
        <w:rPr>
          <w:rFonts w:ascii="Book Antiqua" w:hAnsi="Book Antiqua"/>
        </w:rPr>
      </w:pPr>
    </w:p>
    <w:p w14:paraId="700A7812"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CONCLUSION</w:t>
      </w:r>
    </w:p>
    <w:p w14:paraId="5CAD4B57"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The study results indicate full recovery of radial nerve palsies from humeral shaft fracture using close nailing treatment. Surgeons need not be concerned about the occurrence of permanent nerve palsies.</w:t>
      </w:r>
    </w:p>
    <w:p w14:paraId="7F302BBB" w14:textId="77777777" w:rsidR="00A77B3E" w:rsidRPr="0068137E" w:rsidRDefault="00A77B3E" w:rsidP="0068137E">
      <w:pPr>
        <w:adjustRightInd w:val="0"/>
        <w:snapToGrid w:val="0"/>
        <w:spacing w:line="360" w:lineRule="auto"/>
        <w:jc w:val="both"/>
        <w:rPr>
          <w:rFonts w:ascii="Book Antiqua" w:hAnsi="Book Antiqua"/>
        </w:rPr>
      </w:pPr>
    </w:p>
    <w:p w14:paraId="760AB10C"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bCs/>
          <w:color w:val="000000"/>
        </w:rPr>
        <w:t xml:space="preserve">Key Words: </w:t>
      </w:r>
      <w:r w:rsidRPr="0068137E">
        <w:rPr>
          <w:rFonts w:ascii="Book Antiqua" w:eastAsia="Book Antiqua" w:hAnsi="Book Antiqua" w:cs="Book Antiqua"/>
          <w:color w:val="000000"/>
        </w:rPr>
        <w:t>Humeral shaft fracture; Radial nerve palsy; Close nailing fixation; Nerve exploration</w:t>
      </w:r>
    </w:p>
    <w:p w14:paraId="13370CFA" w14:textId="77777777" w:rsidR="00A77B3E" w:rsidRPr="0068137E" w:rsidRDefault="00A77B3E" w:rsidP="0068137E">
      <w:pPr>
        <w:adjustRightInd w:val="0"/>
        <w:snapToGrid w:val="0"/>
        <w:spacing w:line="360" w:lineRule="auto"/>
        <w:jc w:val="both"/>
        <w:rPr>
          <w:rFonts w:ascii="Book Antiqua" w:hAnsi="Book Antiqua"/>
        </w:rPr>
      </w:pPr>
    </w:p>
    <w:p w14:paraId="41F990C9" w14:textId="008FB24A"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 xml:space="preserve">Yeh KL, </w:t>
      </w:r>
      <w:proofErr w:type="spellStart"/>
      <w:r w:rsidRPr="0068137E">
        <w:rPr>
          <w:rFonts w:ascii="Book Antiqua" w:eastAsia="Book Antiqua" w:hAnsi="Book Antiqua" w:cs="Book Antiqua"/>
          <w:color w:val="000000"/>
        </w:rPr>
        <w:t>Liaw</w:t>
      </w:r>
      <w:proofErr w:type="spellEnd"/>
      <w:r w:rsidRPr="0068137E">
        <w:rPr>
          <w:rFonts w:ascii="Book Antiqua" w:eastAsia="Book Antiqua" w:hAnsi="Book Antiqua" w:cs="Book Antiqua"/>
          <w:color w:val="000000"/>
        </w:rPr>
        <w:t xml:space="preserve"> CK, Wu TY, Chen CP. Radial nerve recovery following closed nailing of humeral shaft fractures without radial nerve exploration: A retrospective study. </w:t>
      </w:r>
      <w:r w:rsidRPr="0068137E">
        <w:rPr>
          <w:rFonts w:ascii="Book Antiqua" w:eastAsia="Book Antiqua" w:hAnsi="Book Antiqua" w:cs="Book Antiqua"/>
          <w:i/>
          <w:iCs/>
          <w:color w:val="000000"/>
        </w:rPr>
        <w:t>World J Clin Cases</w:t>
      </w:r>
      <w:r w:rsidRPr="0068137E">
        <w:rPr>
          <w:rFonts w:ascii="Book Antiqua" w:eastAsia="Book Antiqua" w:hAnsi="Book Antiqua" w:cs="Book Antiqua"/>
          <w:color w:val="000000"/>
        </w:rPr>
        <w:t xml:space="preserve"> 2021; In press</w:t>
      </w:r>
    </w:p>
    <w:p w14:paraId="1E34512E" w14:textId="77777777" w:rsidR="00A77B3E" w:rsidRPr="0068137E" w:rsidRDefault="00A77B3E" w:rsidP="0068137E">
      <w:pPr>
        <w:adjustRightInd w:val="0"/>
        <w:snapToGrid w:val="0"/>
        <w:spacing w:line="360" w:lineRule="auto"/>
        <w:jc w:val="both"/>
        <w:rPr>
          <w:rFonts w:ascii="Book Antiqua" w:hAnsi="Book Antiqua"/>
        </w:rPr>
      </w:pPr>
    </w:p>
    <w:p w14:paraId="014F4C9D" w14:textId="77777777" w:rsidR="001B4847" w:rsidRPr="0068137E" w:rsidRDefault="0068137E" w:rsidP="001B4847">
      <w:pPr>
        <w:adjustRightInd w:val="0"/>
        <w:snapToGrid w:val="0"/>
        <w:spacing w:line="360" w:lineRule="auto"/>
        <w:jc w:val="both"/>
        <w:rPr>
          <w:rFonts w:ascii="Book Antiqua" w:hAnsi="Book Antiqua"/>
        </w:rPr>
      </w:pPr>
      <w:r w:rsidRPr="0068137E">
        <w:rPr>
          <w:rFonts w:ascii="Book Antiqua" w:eastAsia="Book Antiqua" w:hAnsi="Book Antiqua" w:cs="Book Antiqua"/>
          <w:b/>
          <w:bCs/>
          <w:color w:val="000000"/>
        </w:rPr>
        <w:t xml:space="preserve">Core Tip: </w:t>
      </w:r>
      <w:bookmarkStart w:id="3" w:name="OLE_LINK3"/>
      <w:r w:rsidR="001B4847" w:rsidRPr="0068137E">
        <w:rPr>
          <w:rFonts w:ascii="Book Antiqua" w:eastAsia="Book Antiqua" w:hAnsi="Book Antiqua" w:cs="Book Antiqua"/>
          <w:color w:val="000000"/>
        </w:rPr>
        <w:t>The study results indicate full recovery of radial nerve palsies from humeral shaft fracture using close nailing treatment. Surgeons need not be concerned about the occurrence of permanent nerve palsies.</w:t>
      </w:r>
      <w:bookmarkEnd w:id="3"/>
    </w:p>
    <w:p w14:paraId="1F581779" w14:textId="5A3AD696" w:rsidR="00A77B3E" w:rsidRPr="0068137E" w:rsidRDefault="00A77B3E" w:rsidP="001B4847">
      <w:pPr>
        <w:adjustRightInd w:val="0"/>
        <w:snapToGrid w:val="0"/>
        <w:spacing w:line="360" w:lineRule="auto"/>
        <w:jc w:val="both"/>
        <w:rPr>
          <w:rFonts w:ascii="Book Antiqua" w:hAnsi="Book Antiqua"/>
        </w:rPr>
      </w:pPr>
    </w:p>
    <w:p w14:paraId="11894E68"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caps/>
          <w:color w:val="000000"/>
          <w:u w:val="single"/>
        </w:rPr>
        <w:t>INTRODUCTION</w:t>
      </w:r>
    </w:p>
    <w:p w14:paraId="5B91B044"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 xml:space="preserve">Humeral shaft fractures account for about 3% of all adult fractures, and management includes conservative and surgical treatments. Conservative treatment involves wearing functional braces and is generally applied in a large proportion of patients, achieving a high union rate (94.5%) and a short union time (mean: 10.7 </w:t>
      </w:r>
      <w:proofErr w:type="spellStart"/>
      <w:proofErr w:type="gramStart"/>
      <w:r w:rsidRPr="0068137E">
        <w:rPr>
          <w:rFonts w:ascii="Book Antiqua" w:eastAsia="Book Antiqua" w:hAnsi="Book Antiqua" w:cs="Book Antiqua"/>
          <w:color w:val="000000"/>
        </w:rPr>
        <w:t>wk</w:t>
      </w:r>
      <w:proofErr w:type="spellEnd"/>
      <w:r w:rsidRPr="0068137E">
        <w:rPr>
          <w:rFonts w:ascii="Book Antiqua" w:eastAsia="Book Antiqua" w:hAnsi="Book Antiqua" w:cs="Book Antiqua"/>
          <w:color w:val="000000"/>
        </w:rPr>
        <w:t>)</w:t>
      </w:r>
      <w:r w:rsidRPr="0068137E">
        <w:rPr>
          <w:rFonts w:ascii="Book Antiqua" w:eastAsia="Book Antiqua" w:hAnsi="Book Antiqua" w:cs="Book Antiqua"/>
          <w:color w:val="000000"/>
          <w:vertAlign w:val="superscript"/>
        </w:rPr>
        <w:t>[</w:t>
      </w:r>
      <w:proofErr w:type="gramEnd"/>
      <w:r w:rsidRPr="0068137E">
        <w:rPr>
          <w:rFonts w:ascii="Book Antiqua" w:eastAsia="Book Antiqua" w:hAnsi="Book Antiqua" w:cs="Book Antiqua"/>
          <w:color w:val="000000"/>
          <w:vertAlign w:val="superscript"/>
        </w:rPr>
        <w:t>1,2]</w:t>
      </w:r>
      <w:r w:rsidRPr="0068137E">
        <w:rPr>
          <w:rFonts w:ascii="Book Antiqua" w:eastAsia="Book Antiqua" w:hAnsi="Book Antiqua" w:cs="Book Antiqua"/>
          <w:color w:val="000000"/>
        </w:rPr>
        <w:t xml:space="preserve">. However, the rapid development of locking nail and plate designs over the past few decades has resulted in an increasing number of surgical interventions for treating humeral shaft fractures. In the surgical treatment of humeral fractures using rigid fixation, early range of motion (ROM) training is recommended for patients to prevent prolonged immobilization associated with joint </w:t>
      </w:r>
      <w:proofErr w:type="gramStart"/>
      <w:r w:rsidRPr="0068137E">
        <w:rPr>
          <w:rFonts w:ascii="Book Antiqua" w:eastAsia="Book Antiqua" w:hAnsi="Book Antiqua" w:cs="Book Antiqua"/>
          <w:color w:val="000000"/>
        </w:rPr>
        <w:t>stiffness</w:t>
      </w:r>
      <w:r w:rsidRPr="0068137E">
        <w:rPr>
          <w:rFonts w:ascii="Book Antiqua" w:eastAsia="Book Antiqua" w:hAnsi="Book Antiqua" w:cs="Book Antiqua"/>
          <w:color w:val="000000"/>
          <w:vertAlign w:val="superscript"/>
        </w:rPr>
        <w:t>[</w:t>
      </w:r>
      <w:proofErr w:type="gramEnd"/>
      <w:r w:rsidRPr="0068137E">
        <w:rPr>
          <w:rFonts w:ascii="Book Antiqua" w:eastAsia="Book Antiqua" w:hAnsi="Book Antiqua" w:cs="Book Antiqua"/>
          <w:color w:val="000000"/>
          <w:vertAlign w:val="superscript"/>
        </w:rPr>
        <w:t>3]</w:t>
      </w:r>
      <w:r w:rsidRPr="0068137E">
        <w:rPr>
          <w:rFonts w:ascii="Book Antiqua" w:eastAsia="Book Antiqua" w:hAnsi="Book Antiqua" w:cs="Book Antiqua"/>
          <w:color w:val="000000"/>
        </w:rPr>
        <w:t>.</w:t>
      </w:r>
    </w:p>
    <w:p w14:paraId="7F23FB4A" w14:textId="77777777" w:rsidR="00A77B3E" w:rsidRPr="0068137E" w:rsidRDefault="0068137E" w:rsidP="0068137E">
      <w:pPr>
        <w:adjustRightInd w:val="0"/>
        <w:snapToGrid w:val="0"/>
        <w:spacing w:line="360" w:lineRule="auto"/>
        <w:ind w:firstLine="720"/>
        <w:jc w:val="both"/>
        <w:rPr>
          <w:rFonts w:ascii="Book Antiqua" w:hAnsi="Book Antiqua"/>
        </w:rPr>
      </w:pPr>
      <w:r w:rsidRPr="0068137E">
        <w:rPr>
          <w:rFonts w:ascii="Book Antiqua" w:eastAsia="Book Antiqua" w:hAnsi="Book Antiqua" w:cs="Book Antiqua"/>
          <w:color w:val="000000"/>
        </w:rPr>
        <w:t xml:space="preserve">Humeral shaft fractures are often complicated by radial nerve palsy, which has a reported incidence of 11.8% to 25.4%, representing the most common peripheral nerve injury associated with bone </w:t>
      </w:r>
      <w:proofErr w:type="gramStart"/>
      <w:r w:rsidRPr="0068137E">
        <w:rPr>
          <w:rFonts w:ascii="Book Antiqua" w:eastAsia="Book Antiqua" w:hAnsi="Book Antiqua" w:cs="Book Antiqua"/>
          <w:color w:val="000000"/>
        </w:rPr>
        <w:t>fractures</w:t>
      </w:r>
      <w:r w:rsidRPr="0068137E">
        <w:rPr>
          <w:rFonts w:ascii="Book Antiqua" w:eastAsia="Book Antiqua" w:hAnsi="Book Antiqua" w:cs="Book Antiqua"/>
          <w:color w:val="000000"/>
          <w:vertAlign w:val="superscript"/>
        </w:rPr>
        <w:t>[</w:t>
      </w:r>
      <w:proofErr w:type="gramEnd"/>
      <w:r w:rsidRPr="0068137E">
        <w:rPr>
          <w:rFonts w:ascii="Book Antiqua" w:eastAsia="Book Antiqua" w:hAnsi="Book Antiqua" w:cs="Book Antiqua"/>
          <w:color w:val="000000"/>
          <w:vertAlign w:val="superscript"/>
        </w:rPr>
        <w:t>1,4]</w:t>
      </w:r>
      <w:r w:rsidRPr="0068137E">
        <w:rPr>
          <w:rFonts w:ascii="Book Antiqua" w:eastAsia="Book Antiqua" w:hAnsi="Book Antiqua" w:cs="Book Antiqua"/>
          <w:color w:val="000000"/>
        </w:rPr>
        <w:t>. Humeral shaft fractures are mainly treated by plating or nail fixation techniques.</w:t>
      </w:r>
    </w:p>
    <w:p w14:paraId="226C36E0" w14:textId="77777777" w:rsidR="00A77B3E" w:rsidRPr="0068137E" w:rsidRDefault="0068137E" w:rsidP="0068137E">
      <w:pPr>
        <w:adjustRightInd w:val="0"/>
        <w:snapToGrid w:val="0"/>
        <w:spacing w:line="360" w:lineRule="auto"/>
        <w:ind w:firstLine="720"/>
        <w:jc w:val="both"/>
        <w:rPr>
          <w:rFonts w:ascii="Book Antiqua" w:hAnsi="Book Antiqua"/>
        </w:rPr>
      </w:pPr>
      <w:r w:rsidRPr="0068137E">
        <w:rPr>
          <w:rFonts w:ascii="Book Antiqua" w:eastAsia="Book Antiqua" w:hAnsi="Book Antiqua" w:cs="Book Antiqua"/>
          <w:color w:val="000000"/>
        </w:rPr>
        <w:t xml:space="preserve">There is no clear consensus on whether and when the nerve should be intraoperatively explored during plating for fixation of humeral mid-shaft </w:t>
      </w:r>
      <w:proofErr w:type="gramStart"/>
      <w:r w:rsidRPr="0068137E">
        <w:rPr>
          <w:rFonts w:ascii="Book Antiqua" w:eastAsia="Book Antiqua" w:hAnsi="Book Antiqua" w:cs="Book Antiqua"/>
          <w:color w:val="000000"/>
        </w:rPr>
        <w:t>fractures</w:t>
      </w:r>
      <w:r w:rsidRPr="0068137E">
        <w:rPr>
          <w:rFonts w:ascii="Book Antiqua" w:eastAsia="Book Antiqua" w:hAnsi="Book Antiqua" w:cs="Book Antiqua"/>
          <w:color w:val="000000"/>
          <w:vertAlign w:val="superscript"/>
        </w:rPr>
        <w:t>[</w:t>
      </w:r>
      <w:proofErr w:type="gramEnd"/>
      <w:r w:rsidRPr="0068137E">
        <w:rPr>
          <w:rFonts w:ascii="Book Antiqua" w:eastAsia="Book Antiqua" w:hAnsi="Book Antiqua" w:cs="Book Antiqua"/>
          <w:color w:val="000000"/>
          <w:vertAlign w:val="superscript"/>
        </w:rPr>
        <w:t>5]</w:t>
      </w:r>
      <w:r w:rsidRPr="0068137E">
        <w:rPr>
          <w:rFonts w:ascii="Book Antiqua" w:eastAsia="Book Antiqua" w:hAnsi="Book Antiqua" w:cs="Book Antiqua"/>
          <w:color w:val="000000"/>
        </w:rPr>
        <w:t xml:space="preserve">. In a previous retrospective study involving 151 humeral shaft fractures, secondary </w:t>
      </w:r>
      <w:r w:rsidRPr="0068137E">
        <w:rPr>
          <w:rFonts w:ascii="Book Antiqua" w:eastAsia="Book Antiqua" w:hAnsi="Book Antiqua" w:cs="Book Antiqua"/>
          <w:color w:val="000000"/>
        </w:rPr>
        <w:lastRenderedPageBreak/>
        <w:t>radial nerve palsy was reported in patients postoperatively (</w:t>
      </w:r>
      <w:r w:rsidRPr="0068137E">
        <w:rPr>
          <w:rFonts w:ascii="Book Antiqua" w:eastAsia="Book Antiqua" w:hAnsi="Book Antiqua" w:cs="Book Antiqua"/>
          <w:i/>
          <w:iCs/>
          <w:color w:val="000000"/>
        </w:rPr>
        <w:t>n</w:t>
      </w:r>
      <w:r w:rsidRPr="0068137E">
        <w:rPr>
          <w:rFonts w:ascii="Book Antiqua" w:eastAsia="Book Antiqua" w:hAnsi="Book Antiqua" w:cs="Book Antiqua"/>
          <w:color w:val="000000"/>
        </w:rPr>
        <w:t xml:space="preserve"> = 9, 6%). In five of the nine patients investigated, the radial nerve was not exposed during the initial surgery, consequently requiring revision </w:t>
      </w:r>
      <w:proofErr w:type="gramStart"/>
      <w:r w:rsidRPr="0068137E">
        <w:rPr>
          <w:rFonts w:ascii="Book Antiqua" w:eastAsia="Book Antiqua" w:hAnsi="Book Antiqua" w:cs="Book Antiqua"/>
          <w:color w:val="000000"/>
        </w:rPr>
        <w:t>surgery</w:t>
      </w:r>
      <w:r w:rsidRPr="0068137E">
        <w:rPr>
          <w:rFonts w:ascii="Book Antiqua" w:eastAsia="Book Antiqua" w:hAnsi="Book Antiqua" w:cs="Book Antiqua"/>
          <w:color w:val="000000"/>
          <w:vertAlign w:val="superscript"/>
        </w:rPr>
        <w:t>[</w:t>
      </w:r>
      <w:proofErr w:type="gramEnd"/>
      <w:r w:rsidRPr="0068137E">
        <w:rPr>
          <w:rFonts w:ascii="Book Antiqua" w:eastAsia="Book Antiqua" w:hAnsi="Book Antiqua" w:cs="Book Antiqua"/>
          <w:color w:val="000000"/>
          <w:vertAlign w:val="superscript"/>
        </w:rPr>
        <w:t>5]</w:t>
      </w:r>
      <w:r w:rsidRPr="0068137E">
        <w:rPr>
          <w:rFonts w:ascii="Book Antiqua" w:eastAsia="Book Antiqua" w:hAnsi="Book Antiqua" w:cs="Book Antiqua"/>
          <w:color w:val="000000"/>
        </w:rPr>
        <w:t xml:space="preserve">. Some surgeons propose that the radial nerve may be compressed by the plate during surgical fixation using a </w:t>
      </w:r>
      <w:proofErr w:type="gramStart"/>
      <w:r w:rsidRPr="0068137E">
        <w:rPr>
          <w:rFonts w:ascii="Book Antiqua" w:eastAsia="Book Antiqua" w:hAnsi="Book Antiqua" w:cs="Book Antiqua"/>
          <w:color w:val="000000"/>
        </w:rPr>
        <w:t>plate</w:t>
      </w:r>
      <w:r w:rsidRPr="0068137E">
        <w:rPr>
          <w:rFonts w:ascii="Book Antiqua" w:eastAsia="Book Antiqua" w:hAnsi="Book Antiqua" w:cs="Book Antiqua"/>
          <w:color w:val="000000"/>
          <w:vertAlign w:val="superscript"/>
        </w:rPr>
        <w:t>[</w:t>
      </w:r>
      <w:proofErr w:type="gramEnd"/>
      <w:r w:rsidRPr="0068137E">
        <w:rPr>
          <w:rFonts w:ascii="Book Antiqua" w:eastAsia="Book Antiqua" w:hAnsi="Book Antiqua" w:cs="Book Antiqua"/>
          <w:color w:val="000000"/>
          <w:vertAlign w:val="superscript"/>
        </w:rPr>
        <w:t>6]</w:t>
      </w:r>
      <w:r w:rsidRPr="0068137E">
        <w:rPr>
          <w:rFonts w:ascii="Book Antiqua" w:eastAsia="Book Antiqua" w:hAnsi="Book Antiqua" w:cs="Book Antiqua"/>
          <w:color w:val="000000"/>
        </w:rPr>
        <w:t>, whereby intraoperative nerve exploration can decrease the possibility of secondary radial nerve palsy.</w:t>
      </w:r>
    </w:p>
    <w:p w14:paraId="2C8205EB" w14:textId="77777777" w:rsidR="00A77B3E" w:rsidRPr="0068137E" w:rsidRDefault="0068137E" w:rsidP="004E483E">
      <w:pPr>
        <w:adjustRightInd w:val="0"/>
        <w:snapToGrid w:val="0"/>
        <w:spacing w:line="360" w:lineRule="auto"/>
        <w:ind w:firstLineChars="200" w:firstLine="480"/>
        <w:jc w:val="both"/>
        <w:rPr>
          <w:rFonts w:ascii="Book Antiqua" w:hAnsi="Book Antiqua"/>
        </w:rPr>
      </w:pPr>
      <w:r w:rsidRPr="0068137E">
        <w:rPr>
          <w:rFonts w:ascii="Book Antiqua" w:eastAsia="Book Antiqua" w:hAnsi="Book Antiqua" w:cs="Book Antiqua"/>
          <w:color w:val="000000"/>
        </w:rPr>
        <w:t xml:space="preserve">Minimal invasiveness is a major advantage of nail </w:t>
      </w:r>
      <w:proofErr w:type="gramStart"/>
      <w:r w:rsidRPr="0068137E">
        <w:rPr>
          <w:rFonts w:ascii="Book Antiqua" w:eastAsia="Book Antiqua" w:hAnsi="Book Antiqua" w:cs="Book Antiqua"/>
          <w:color w:val="000000"/>
        </w:rPr>
        <w:t>fixation</w:t>
      </w:r>
      <w:r w:rsidRPr="0068137E">
        <w:rPr>
          <w:rFonts w:ascii="Book Antiqua" w:eastAsia="Book Antiqua" w:hAnsi="Book Antiqua" w:cs="Book Antiqua"/>
          <w:color w:val="000000"/>
          <w:vertAlign w:val="superscript"/>
        </w:rPr>
        <w:t>[</w:t>
      </w:r>
      <w:proofErr w:type="gramEnd"/>
      <w:r w:rsidRPr="0068137E">
        <w:rPr>
          <w:rFonts w:ascii="Book Antiqua" w:eastAsia="Book Antiqua" w:hAnsi="Book Antiqua" w:cs="Book Antiqua"/>
          <w:color w:val="000000"/>
          <w:vertAlign w:val="superscript"/>
        </w:rPr>
        <w:t>7]</w:t>
      </w:r>
      <w:r w:rsidRPr="0068137E">
        <w:rPr>
          <w:rFonts w:ascii="Book Antiqua" w:eastAsia="Book Antiqua" w:hAnsi="Book Antiqua" w:cs="Book Antiqua"/>
          <w:color w:val="000000"/>
        </w:rPr>
        <w:t xml:space="preserve">. Closed nailing without nerve exploration causes less iatrogenic damage to the periosteum and thereby enables faster callus formation than using open </w:t>
      </w:r>
      <w:proofErr w:type="gramStart"/>
      <w:r w:rsidRPr="0068137E">
        <w:rPr>
          <w:rFonts w:ascii="Book Antiqua" w:eastAsia="Book Antiqua" w:hAnsi="Book Antiqua" w:cs="Book Antiqua"/>
          <w:color w:val="000000"/>
        </w:rPr>
        <w:t>nailing</w:t>
      </w:r>
      <w:r w:rsidRPr="0068137E">
        <w:rPr>
          <w:rFonts w:ascii="Book Antiqua" w:eastAsia="Book Antiqua" w:hAnsi="Book Antiqua" w:cs="Book Antiqua"/>
          <w:color w:val="000000"/>
          <w:vertAlign w:val="superscript"/>
        </w:rPr>
        <w:t>[</w:t>
      </w:r>
      <w:proofErr w:type="gramEnd"/>
      <w:r w:rsidRPr="0068137E">
        <w:rPr>
          <w:rFonts w:ascii="Book Antiqua" w:eastAsia="Book Antiqua" w:hAnsi="Book Antiqua" w:cs="Book Antiqua"/>
          <w:color w:val="000000"/>
          <w:vertAlign w:val="superscript"/>
        </w:rPr>
        <w:t>8]</w:t>
      </w:r>
      <w:r w:rsidRPr="0068137E">
        <w:rPr>
          <w:rFonts w:ascii="Book Antiqua" w:eastAsia="Book Antiqua" w:hAnsi="Book Antiqua" w:cs="Book Antiqua"/>
          <w:color w:val="000000"/>
        </w:rPr>
        <w:t>. However, there have been no reports to date on the recovery rate and recovery time for primary or secondary radial nerve palsies. This study is a retrospective analysis of the prevalence and recovery outcomes of radial nerve palsies associated with humeral shaft fractures treated using humeral closed nailing without radial nerve exploration.</w:t>
      </w:r>
    </w:p>
    <w:p w14:paraId="1329DA59" w14:textId="77777777" w:rsidR="00A77B3E" w:rsidRPr="0068137E" w:rsidRDefault="00A77B3E" w:rsidP="0068137E">
      <w:pPr>
        <w:adjustRightInd w:val="0"/>
        <w:snapToGrid w:val="0"/>
        <w:spacing w:line="360" w:lineRule="auto"/>
        <w:jc w:val="both"/>
        <w:rPr>
          <w:rFonts w:ascii="Book Antiqua" w:hAnsi="Book Antiqua"/>
        </w:rPr>
      </w:pPr>
    </w:p>
    <w:p w14:paraId="47AA30DE"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caps/>
          <w:color w:val="000000"/>
          <w:u w:val="single"/>
        </w:rPr>
        <w:t>MATERIALS AND METHODS</w:t>
      </w:r>
    </w:p>
    <w:p w14:paraId="672198C0"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bCs/>
          <w:i/>
          <w:iCs/>
          <w:color w:val="000000"/>
        </w:rPr>
        <w:t>Patients</w:t>
      </w:r>
    </w:p>
    <w:p w14:paraId="0EEDF15E" w14:textId="17302035"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A retrospective study was conducted using data collected from the orthopedic department of our institution involving patients whose trauma episodes occurred between October 2016 and March 2020. Patients with sustained humeral shaft fractures that were treated with humeral nails were included in the study. This study was approved by the institutional review board of Shin Kong Wu Ho-</w:t>
      </w:r>
      <w:proofErr w:type="spellStart"/>
      <w:r w:rsidRPr="0068137E">
        <w:rPr>
          <w:rFonts w:ascii="Book Antiqua" w:eastAsia="Book Antiqua" w:hAnsi="Book Antiqua" w:cs="Book Antiqua"/>
          <w:color w:val="000000"/>
        </w:rPr>
        <w:t>Su</w:t>
      </w:r>
      <w:proofErr w:type="spellEnd"/>
      <w:r w:rsidRPr="0068137E">
        <w:rPr>
          <w:rFonts w:ascii="Book Antiqua" w:eastAsia="Book Antiqua" w:hAnsi="Book Antiqua" w:cs="Book Antiqua"/>
          <w:color w:val="000000"/>
        </w:rPr>
        <w:t xml:space="preserve"> Memorial Hospital on August 4, 2020 (Approval </w:t>
      </w:r>
      <w:r w:rsidR="002633AD">
        <w:rPr>
          <w:rFonts w:ascii="Book Antiqua" w:eastAsia="Book Antiqua" w:hAnsi="Book Antiqua" w:cs="Book Antiqua"/>
          <w:color w:val="000000"/>
        </w:rPr>
        <w:t>n</w:t>
      </w:r>
      <w:r w:rsidRPr="0068137E">
        <w:rPr>
          <w:rFonts w:ascii="Book Antiqua" w:eastAsia="Book Antiqua" w:hAnsi="Book Antiqua" w:cs="Book Antiqua"/>
          <w:color w:val="000000"/>
        </w:rPr>
        <w:t>umber: 20200706R). The study was performed in accordance with the ethical standards laid down in the 1964 Declaration of Helsinki and its later amendments or comparable ethical standards. The requirement for informed consent was waived owing to the retrospective study design.</w:t>
      </w:r>
    </w:p>
    <w:p w14:paraId="5951610A" w14:textId="77777777" w:rsidR="00A77B3E" w:rsidRPr="0068137E" w:rsidRDefault="00A77B3E" w:rsidP="0068137E">
      <w:pPr>
        <w:adjustRightInd w:val="0"/>
        <w:snapToGrid w:val="0"/>
        <w:spacing w:line="360" w:lineRule="auto"/>
        <w:jc w:val="both"/>
        <w:rPr>
          <w:rFonts w:ascii="Book Antiqua" w:hAnsi="Book Antiqua"/>
        </w:rPr>
      </w:pPr>
    </w:p>
    <w:p w14:paraId="220497D3"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bCs/>
          <w:i/>
          <w:iCs/>
          <w:color w:val="000000"/>
        </w:rPr>
        <w:t>Indication for humeral nail fixation</w:t>
      </w:r>
    </w:p>
    <w:p w14:paraId="25412F4E"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 xml:space="preserve">The fractures were classified according to the AO-Müller/Orthopedic Trauma Association (AO/OTA) classification. Fractures at the mid-shaft categorized within the </w:t>
      </w:r>
      <w:r w:rsidRPr="0068137E">
        <w:rPr>
          <w:rFonts w:ascii="Book Antiqua" w:eastAsia="Book Antiqua" w:hAnsi="Book Antiqua" w:cs="Book Antiqua"/>
          <w:color w:val="000000"/>
        </w:rPr>
        <w:lastRenderedPageBreak/>
        <w:t>AO/OTA classification as spiral (12 A1, B1), oblique (12 A2, B2), transverse (12 A3), or comminuted (12 C3) were included in the study. Only these four fracture patterns, in line with closed- or Gustilo type I open fractures, were considered for closed humeral nailing.</w:t>
      </w:r>
    </w:p>
    <w:p w14:paraId="50C078E9" w14:textId="77777777" w:rsidR="00A77B3E" w:rsidRPr="0068137E" w:rsidRDefault="00A77B3E" w:rsidP="0068137E">
      <w:pPr>
        <w:adjustRightInd w:val="0"/>
        <w:snapToGrid w:val="0"/>
        <w:spacing w:line="360" w:lineRule="auto"/>
        <w:jc w:val="both"/>
        <w:rPr>
          <w:rFonts w:ascii="Book Antiqua" w:hAnsi="Book Antiqua"/>
        </w:rPr>
      </w:pPr>
    </w:p>
    <w:p w14:paraId="02EB579E"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bCs/>
          <w:i/>
          <w:iCs/>
          <w:color w:val="000000"/>
        </w:rPr>
        <w:t>Nail fixation technique</w:t>
      </w:r>
    </w:p>
    <w:p w14:paraId="198CFB21"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 xml:space="preserve">All surgeries were performed by experienced surgeons, that is, either attending physicians or senior resident physicians under the supervision of attending physicians. A skin incision was made, the exact nail entry point was located, and an awl was passed. Subsequently, a guidewire was placed under biplanar c-arm guidance, and closed reduction was performed. Reaming or </w:t>
      </w:r>
      <w:proofErr w:type="spellStart"/>
      <w:r w:rsidRPr="0068137E">
        <w:rPr>
          <w:rFonts w:ascii="Book Antiqua" w:eastAsia="Book Antiqua" w:hAnsi="Book Antiqua" w:cs="Book Antiqua"/>
          <w:color w:val="000000"/>
        </w:rPr>
        <w:t>unreaming</w:t>
      </w:r>
      <w:proofErr w:type="spellEnd"/>
      <w:r w:rsidRPr="0068137E">
        <w:rPr>
          <w:rFonts w:ascii="Book Antiqua" w:eastAsia="Book Antiqua" w:hAnsi="Book Antiqua" w:cs="Book Antiqua"/>
          <w:color w:val="000000"/>
        </w:rPr>
        <w:t xml:space="preserve"> was performed based on the patients’ humeral canal size and bone quality, followed by the insertion of </w:t>
      </w:r>
      <w:proofErr w:type="spellStart"/>
      <w:r w:rsidRPr="0068137E">
        <w:rPr>
          <w:rFonts w:ascii="Book Antiqua" w:eastAsia="Book Antiqua" w:hAnsi="Book Antiqua" w:cs="Book Antiqua"/>
          <w:color w:val="000000"/>
        </w:rPr>
        <w:t>MultiLoc</w:t>
      </w:r>
      <w:proofErr w:type="spellEnd"/>
      <w:r w:rsidRPr="0068137E">
        <w:rPr>
          <w:rFonts w:ascii="Book Antiqua" w:eastAsia="Book Antiqua" w:hAnsi="Book Antiqua" w:cs="Book Antiqua"/>
          <w:color w:val="000000"/>
        </w:rPr>
        <w:t xml:space="preserve"> humeral implants (Figure 1). The patients were treated at our hospital using the closed nailing technique.</w:t>
      </w:r>
    </w:p>
    <w:p w14:paraId="508AD357" w14:textId="77777777" w:rsidR="00A77B3E" w:rsidRPr="0068137E" w:rsidRDefault="00A77B3E" w:rsidP="0068137E">
      <w:pPr>
        <w:adjustRightInd w:val="0"/>
        <w:snapToGrid w:val="0"/>
        <w:spacing w:line="360" w:lineRule="auto"/>
        <w:jc w:val="both"/>
        <w:rPr>
          <w:rFonts w:ascii="Book Antiqua" w:hAnsi="Book Antiqua"/>
        </w:rPr>
      </w:pPr>
    </w:p>
    <w:p w14:paraId="78DAA3D8"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bCs/>
          <w:i/>
          <w:iCs/>
          <w:color w:val="000000"/>
        </w:rPr>
        <w:t>Radial nerve palsy evaluation</w:t>
      </w:r>
    </w:p>
    <w:p w14:paraId="76CC7D3E"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 xml:space="preserve">We routinely examined wrist and thumb function preoperatively and postoperatively for all humeral shaft fractures. The Medical Research Council (MRC) scale of muscle strength (Grade 0: No movement; Grade 5: Normal muscle contraction against full resistance) was used to evaluate the strength of the muscles (wrist and digit extensors and extensor pollicis longus and </w:t>
      </w:r>
      <w:proofErr w:type="gramStart"/>
      <w:r w:rsidRPr="0068137E">
        <w:rPr>
          <w:rFonts w:ascii="Book Antiqua" w:eastAsia="Book Antiqua" w:hAnsi="Book Antiqua" w:cs="Book Antiqua"/>
          <w:color w:val="000000"/>
        </w:rPr>
        <w:t>brevis)</w:t>
      </w:r>
      <w:r w:rsidRPr="0068137E">
        <w:rPr>
          <w:rFonts w:ascii="Book Antiqua" w:eastAsia="Book Antiqua" w:hAnsi="Book Antiqua" w:cs="Book Antiqua"/>
          <w:color w:val="000000"/>
          <w:vertAlign w:val="superscript"/>
        </w:rPr>
        <w:t>[</w:t>
      </w:r>
      <w:proofErr w:type="gramEnd"/>
      <w:r w:rsidRPr="0068137E">
        <w:rPr>
          <w:rFonts w:ascii="Book Antiqua" w:eastAsia="Book Antiqua" w:hAnsi="Book Antiqua" w:cs="Book Antiqua"/>
          <w:color w:val="000000"/>
          <w:vertAlign w:val="superscript"/>
        </w:rPr>
        <w:t>9]</w:t>
      </w:r>
      <w:r w:rsidRPr="0068137E">
        <w:rPr>
          <w:rFonts w:ascii="Book Antiqua" w:eastAsia="Book Antiqua" w:hAnsi="Book Antiqua" w:cs="Book Antiqua"/>
          <w:color w:val="000000"/>
        </w:rPr>
        <w:t>. If the MRC grade was below Grade 2, we considered the patient to have primary or secondary (postoperative onset) radial nerve palsy.</w:t>
      </w:r>
    </w:p>
    <w:p w14:paraId="1DEDA365" w14:textId="77777777" w:rsidR="00A77B3E" w:rsidRPr="0068137E" w:rsidRDefault="0068137E" w:rsidP="0068137E">
      <w:pPr>
        <w:adjustRightInd w:val="0"/>
        <w:snapToGrid w:val="0"/>
        <w:spacing w:line="360" w:lineRule="auto"/>
        <w:ind w:firstLine="720"/>
        <w:jc w:val="both"/>
        <w:rPr>
          <w:rFonts w:ascii="Book Antiqua" w:hAnsi="Book Antiqua"/>
        </w:rPr>
      </w:pPr>
      <w:r w:rsidRPr="0068137E">
        <w:rPr>
          <w:rFonts w:ascii="Book Antiqua" w:eastAsia="Book Antiqua" w:hAnsi="Book Antiqua" w:cs="Book Antiqua"/>
          <w:color w:val="000000"/>
        </w:rPr>
        <w:t xml:space="preserve">Patients with radial nerve palsies were required to visit our outpatient clinic every 2 </w:t>
      </w:r>
      <w:proofErr w:type="spellStart"/>
      <w:r w:rsidRPr="0068137E">
        <w:rPr>
          <w:rFonts w:ascii="Book Antiqua" w:eastAsia="Book Antiqua" w:hAnsi="Book Antiqua" w:cs="Book Antiqua"/>
          <w:color w:val="000000"/>
        </w:rPr>
        <w:t>wk</w:t>
      </w:r>
      <w:proofErr w:type="spellEnd"/>
      <w:r w:rsidRPr="0068137E">
        <w:rPr>
          <w:rFonts w:ascii="Book Antiqua" w:eastAsia="Book Antiqua" w:hAnsi="Book Antiqua" w:cs="Book Antiqua"/>
          <w:color w:val="000000"/>
        </w:rPr>
        <w:t xml:space="preserve"> postoperatively until recovery. The data of one patient who did not visit our outpatient department postoperatively were excluded from our analysis. Initial radial nerve assessment was performed using electromyography (EMG) and documented. Subsequently, EMG was performed once every 3 </w:t>
      </w:r>
      <w:proofErr w:type="spellStart"/>
      <w:r w:rsidRPr="0068137E">
        <w:rPr>
          <w:rFonts w:ascii="Book Antiqua" w:eastAsia="Book Antiqua" w:hAnsi="Book Antiqua" w:cs="Book Antiqua"/>
          <w:color w:val="000000"/>
        </w:rPr>
        <w:t>mo</w:t>
      </w:r>
      <w:proofErr w:type="spellEnd"/>
      <w:r w:rsidRPr="0068137E">
        <w:rPr>
          <w:rFonts w:ascii="Book Antiqua" w:eastAsia="Book Antiqua" w:hAnsi="Book Antiqua" w:cs="Book Antiqua"/>
          <w:color w:val="000000"/>
        </w:rPr>
        <w:t xml:space="preserve">, as permitted by our public health </w:t>
      </w:r>
      <w:r w:rsidRPr="0068137E">
        <w:rPr>
          <w:rFonts w:ascii="Book Antiqua" w:eastAsia="Book Antiqua" w:hAnsi="Book Antiqua" w:cs="Book Antiqua"/>
          <w:color w:val="000000"/>
        </w:rPr>
        <w:lastRenderedPageBreak/>
        <w:t>insurance. Thus, radial nerve recovery was evaluated using two methods of assessment: active ROM of the wrist and an EMG test.</w:t>
      </w:r>
    </w:p>
    <w:p w14:paraId="40A21483" w14:textId="77777777" w:rsidR="00A77B3E" w:rsidRPr="0068137E" w:rsidRDefault="0068137E" w:rsidP="0068137E">
      <w:pPr>
        <w:adjustRightInd w:val="0"/>
        <w:snapToGrid w:val="0"/>
        <w:spacing w:line="360" w:lineRule="auto"/>
        <w:ind w:firstLine="720"/>
        <w:jc w:val="both"/>
        <w:rPr>
          <w:rFonts w:ascii="Book Antiqua" w:hAnsi="Book Antiqua"/>
        </w:rPr>
      </w:pPr>
      <w:r w:rsidRPr="0068137E">
        <w:rPr>
          <w:rFonts w:ascii="Book Antiqua" w:eastAsia="Book Antiqua" w:hAnsi="Book Antiqua" w:cs="Book Antiqua"/>
          <w:color w:val="000000"/>
        </w:rPr>
        <w:t>Patients were considered to have recovered from nerve palsy when the radial nerve motor function returned to normal (</w:t>
      </w:r>
      <w:r w:rsidRPr="0068137E">
        <w:rPr>
          <w:rFonts w:ascii="Book Antiqua" w:eastAsia="Book Antiqua" w:hAnsi="Book Antiqua" w:cs="Book Antiqua"/>
          <w:i/>
          <w:iCs/>
          <w:color w:val="000000"/>
        </w:rPr>
        <w:t>i.e.</w:t>
      </w:r>
      <w:r w:rsidRPr="0068137E">
        <w:rPr>
          <w:rFonts w:ascii="Book Antiqua" w:eastAsia="Book Antiqua" w:hAnsi="Book Antiqua" w:cs="Book Antiqua"/>
          <w:color w:val="000000"/>
        </w:rPr>
        <w:t>, the patient regained a muscle strength of grade 4 or 5 for wrist and thumb extension, indicating that the patient could move the joint and had full ROM under moderate resistance).</w:t>
      </w:r>
    </w:p>
    <w:p w14:paraId="24F9AF9F" w14:textId="77777777" w:rsidR="00A77B3E" w:rsidRPr="0068137E" w:rsidRDefault="00A77B3E" w:rsidP="0068137E">
      <w:pPr>
        <w:adjustRightInd w:val="0"/>
        <w:snapToGrid w:val="0"/>
        <w:spacing w:line="360" w:lineRule="auto"/>
        <w:ind w:firstLine="720"/>
        <w:jc w:val="both"/>
        <w:rPr>
          <w:rFonts w:ascii="Book Antiqua" w:hAnsi="Book Antiqua"/>
        </w:rPr>
      </w:pPr>
    </w:p>
    <w:p w14:paraId="19D32BEC"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bCs/>
          <w:i/>
          <w:iCs/>
          <w:color w:val="000000"/>
        </w:rPr>
        <w:t>Implant usage</w:t>
      </w:r>
    </w:p>
    <w:p w14:paraId="5548C94F"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 xml:space="preserve">The </w:t>
      </w:r>
      <w:proofErr w:type="spellStart"/>
      <w:r w:rsidRPr="0068137E">
        <w:rPr>
          <w:rFonts w:ascii="Book Antiqua" w:eastAsia="Book Antiqua" w:hAnsi="Book Antiqua" w:cs="Book Antiqua"/>
          <w:color w:val="000000"/>
        </w:rPr>
        <w:t>MultiLoc</w:t>
      </w:r>
      <w:proofErr w:type="spellEnd"/>
      <w:r w:rsidRPr="0068137E">
        <w:rPr>
          <w:rFonts w:ascii="Book Antiqua" w:eastAsia="Book Antiqua" w:hAnsi="Book Antiqua" w:cs="Book Antiqua"/>
          <w:color w:val="000000"/>
        </w:rPr>
        <w:t xml:space="preserve"> nailing system (Synthes, </w:t>
      </w:r>
      <w:proofErr w:type="spellStart"/>
      <w:r w:rsidRPr="0068137E">
        <w:rPr>
          <w:rFonts w:ascii="Book Antiqua" w:eastAsia="Book Antiqua" w:hAnsi="Book Antiqua" w:cs="Book Antiqua"/>
          <w:color w:val="000000"/>
        </w:rPr>
        <w:t>Umkirch</w:t>
      </w:r>
      <w:proofErr w:type="spellEnd"/>
      <w:r w:rsidRPr="0068137E">
        <w:rPr>
          <w:rFonts w:ascii="Book Antiqua" w:eastAsia="Book Antiqua" w:hAnsi="Book Antiqua" w:cs="Book Antiqua"/>
          <w:color w:val="000000"/>
        </w:rPr>
        <w:t>, Germany) was used for nail fixation. No other products for humeral nail implants were available at our hospital.</w:t>
      </w:r>
    </w:p>
    <w:p w14:paraId="645FCDF7" w14:textId="77777777" w:rsidR="00A77B3E" w:rsidRPr="0068137E" w:rsidRDefault="00A77B3E" w:rsidP="0068137E">
      <w:pPr>
        <w:adjustRightInd w:val="0"/>
        <w:snapToGrid w:val="0"/>
        <w:spacing w:line="360" w:lineRule="auto"/>
        <w:jc w:val="both"/>
        <w:rPr>
          <w:rFonts w:ascii="Book Antiqua" w:hAnsi="Book Antiqua"/>
        </w:rPr>
      </w:pPr>
    </w:p>
    <w:p w14:paraId="4A6D56A5"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caps/>
          <w:color w:val="000000"/>
          <w:u w:val="single"/>
        </w:rPr>
        <w:t>RESULTS</w:t>
      </w:r>
    </w:p>
    <w:p w14:paraId="5FA1D094"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Seventy-two patients with closed- or Gustilo type I open humeral shaft fracture, with a spiral (12 A1, B1), oblique (12 A2, B2), transverse (12 A3), or comminuted (12 C3) AO classification, underwent closed humeral nail fixation between October 2016 and March 2020. We excluded the data of two patients who died within a month following surgery. Participants included 35 males and 35 females aged 18 to 82 years. Of the 70 patients, three had pathological fractures.</w:t>
      </w:r>
    </w:p>
    <w:p w14:paraId="5DCBB965" w14:textId="77777777" w:rsidR="00A77B3E" w:rsidRPr="0068137E" w:rsidRDefault="0068137E" w:rsidP="0068137E">
      <w:pPr>
        <w:adjustRightInd w:val="0"/>
        <w:snapToGrid w:val="0"/>
        <w:spacing w:line="360" w:lineRule="auto"/>
        <w:ind w:firstLine="720"/>
        <w:jc w:val="both"/>
        <w:rPr>
          <w:rFonts w:ascii="Book Antiqua" w:hAnsi="Book Antiqua"/>
        </w:rPr>
      </w:pPr>
      <w:r w:rsidRPr="0068137E">
        <w:rPr>
          <w:rFonts w:ascii="Book Antiqua" w:eastAsia="Book Antiqua" w:hAnsi="Book Antiqua" w:cs="Book Antiqua"/>
          <w:color w:val="000000"/>
        </w:rPr>
        <w:t>Of the 70 patients, five (7.1%) reported primary radial nerve palsy. Secondary radial nerve palsy was also observed in five patients (7.1%). Both patients with primary and secondary nerve palsy achieved 100% radial nerve recovery (Table 1).</w:t>
      </w:r>
    </w:p>
    <w:p w14:paraId="6B944CA7" w14:textId="77777777" w:rsidR="00A77B3E" w:rsidRPr="0068137E" w:rsidRDefault="0068137E" w:rsidP="0068137E">
      <w:pPr>
        <w:adjustRightInd w:val="0"/>
        <w:snapToGrid w:val="0"/>
        <w:spacing w:line="360" w:lineRule="auto"/>
        <w:ind w:firstLine="720"/>
        <w:jc w:val="both"/>
        <w:rPr>
          <w:rFonts w:ascii="Book Antiqua" w:hAnsi="Book Antiqua"/>
        </w:rPr>
      </w:pPr>
      <w:r w:rsidRPr="0068137E">
        <w:rPr>
          <w:rFonts w:ascii="Book Antiqua" w:eastAsia="Book Antiqua" w:hAnsi="Book Antiqua" w:cs="Book Antiqua"/>
          <w:color w:val="000000"/>
        </w:rPr>
        <w:t xml:space="preserve">The mean time to 80% functional recovery was 4.4 ± 0.4 </w:t>
      </w:r>
      <w:proofErr w:type="spellStart"/>
      <w:r w:rsidRPr="0068137E">
        <w:rPr>
          <w:rFonts w:ascii="Book Antiqua" w:eastAsia="Book Antiqua" w:hAnsi="Book Antiqua" w:cs="Book Antiqua"/>
          <w:color w:val="000000"/>
        </w:rPr>
        <w:t>mo</w:t>
      </w:r>
      <w:proofErr w:type="spellEnd"/>
      <w:r w:rsidRPr="0068137E">
        <w:rPr>
          <w:rFonts w:ascii="Book Antiqua" w:eastAsia="Book Antiqua" w:hAnsi="Book Antiqua" w:cs="Book Antiqua"/>
          <w:color w:val="000000"/>
        </w:rPr>
        <w:t xml:space="preserve"> and 4.2 ± 1.3 </w:t>
      </w:r>
      <w:proofErr w:type="spellStart"/>
      <w:r w:rsidRPr="0068137E">
        <w:rPr>
          <w:rFonts w:ascii="Book Antiqua" w:eastAsia="Book Antiqua" w:hAnsi="Book Antiqua" w:cs="Book Antiqua"/>
          <w:color w:val="000000"/>
        </w:rPr>
        <w:t>mo</w:t>
      </w:r>
      <w:proofErr w:type="spellEnd"/>
      <w:r w:rsidRPr="0068137E">
        <w:rPr>
          <w:rFonts w:ascii="Book Antiqua" w:eastAsia="Book Antiqua" w:hAnsi="Book Antiqua" w:cs="Book Antiqua"/>
          <w:color w:val="000000"/>
        </w:rPr>
        <w:t xml:space="preserve"> in patients with primary and secondary radial nerve palsy, respectively. The overall average recovery time was 4.3 mo.</w:t>
      </w:r>
    </w:p>
    <w:p w14:paraId="334D9143" w14:textId="77777777" w:rsidR="00A77B3E" w:rsidRPr="0068137E" w:rsidRDefault="00A77B3E" w:rsidP="0068137E">
      <w:pPr>
        <w:adjustRightInd w:val="0"/>
        <w:snapToGrid w:val="0"/>
        <w:spacing w:line="360" w:lineRule="auto"/>
        <w:ind w:firstLine="720"/>
        <w:jc w:val="both"/>
        <w:rPr>
          <w:rFonts w:ascii="Book Antiqua" w:hAnsi="Book Antiqua"/>
        </w:rPr>
      </w:pPr>
    </w:p>
    <w:p w14:paraId="41CA9513"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caps/>
          <w:color w:val="000000"/>
          <w:u w:val="single"/>
        </w:rPr>
        <w:t>DISCUSSION</w:t>
      </w:r>
    </w:p>
    <w:p w14:paraId="13C5DCA9"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 xml:space="preserve">The nailing surgical technique for humeral shaft fracture is a minimally invasive procedure. In our experience, stab wounds often result in humeral fractures in patients. The surgical wounds are typically 1 cm to 1.5 cm in size. We have observed that </w:t>
      </w:r>
      <w:r w:rsidRPr="0068137E">
        <w:rPr>
          <w:rFonts w:ascii="Book Antiqua" w:eastAsia="Book Antiqua" w:hAnsi="Book Antiqua" w:cs="Book Antiqua"/>
          <w:color w:val="000000"/>
        </w:rPr>
        <w:lastRenderedPageBreak/>
        <w:t>reduced damage to the periosteum, soft tissue, and blood supply at the fracture site resulting from closed nailing decreases the time for bone healing compared to open nailing. Closed humeral nailing produces better cosmetic outcomes and causes less damage to the blood supply of the periosteum than open nailing. However, no studies have been published thus far on the primary or secondary radial nerve recovery rate following the use of the closed nailing technique.</w:t>
      </w:r>
    </w:p>
    <w:p w14:paraId="28AF024F" w14:textId="77777777" w:rsidR="00A77B3E" w:rsidRPr="0068137E" w:rsidRDefault="0068137E" w:rsidP="0068137E">
      <w:pPr>
        <w:adjustRightInd w:val="0"/>
        <w:snapToGrid w:val="0"/>
        <w:spacing w:line="360" w:lineRule="auto"/>
        <w:ind w:firstLine="720"/>
        <w:jc w:val="both"/>
        <w:rPr>
          <w:rFonts w:ascii="Book Antiqua" w:hAnsi="Book Antiqua"/>
        </w:rPr>
      </w:pPr>
      <w:r w:rsidRPr="0068137E">
        <w:rPr>
          <w:rFonts w:ascii="Book Antiqua" w:eastAsia="Book Antiqua" w:hAnsi="Book Antiqua" w:cs="Book Antiqua"/>
          <w:color w:val="000000"/>
        </w:rPr>
        <w:t xml:space="preserve">Neuropraxia is the most common radial nerve palsy following humeral shaft fracture and is caused by transient nerve conduction interruption due to traction or compression of the radial nerve. Recovery from neuropraxia is expected to be </w:t>
      </w:r>
      <w:proofErr w:type="gramStart"/>
      <w:r w:rsidRPr="0068137E">
        <w:rPr>
          <w:rFonts w:ascii="Book Antiqua" w:eastAsia="Book Antiqua" w:hAnsi="Book Antiqua" w:cs="Book Antiqua"/>
          <w:color w:val="000000"/>
        </w:rPr>
        <w:t>spontaneous</w:t>
      </w:r>
      <w:r w:rsidRPr="0068137E">
        <w:rPr>
          <w:rFonts w:ascii="Book Antiqua" w:eastAsia="Book Antiqua" w:hAnsi="Book Antiqua" w:cs="Book Antiqua"/>
          <w:color w:val="000000"/>
          <w:vertAlign w:val="superscript"/>
        </w:rPr>
        <w:t>[</w:t>
      </w:r>
      <w:proofErr w:type="gramEnd"/>
      <w:r w:rsidRPr="0068137E">
        <w:rPr>
          <w:rFonts w:ascii="Book Antiqua" w:eastAsia="Book Antiqua" w:hAnsi="Book Antiqua" w:cs="Book Antiqua"/>
          <w:color w:val="000000"/>
          <w:vertAlign w:val="superscript"/>
        </w:rPr>
        <w:t>10]</w:t>
      </w:r>
      <w:r w:rsidRPr="0068137E">
        <w:rPr>
          <w:rFonts w:ascii="Book Antiqua" w:eastAsia="Book Antiqua" w:hAnsi="Book Antiqua" w:cs="Book Antiqua"/>
          <w:color w:val="000000"/>
        </w:rPr>
        <w:t xml:space="preserve">. Axonotmesis, however, is more severe because direct pressure on the axons results in mechanical extrusion of myelin, Wallerian degeneration, and late </w:t>
      </w:r>
      <w:proofErr w:type="gramStart"/>
      <w:r w:rsidRPr="0068137E">
        <w:rPr>
          <w:rFonts w:ascii="Book Antiqua" w:eastAsia="Book Antiqua" w:hAnsi="Book Antiqua" w:cs="Book Antiqua"/>
          <w:color w:val="000000"/>
        </w:rPr>
        <w:t>recovery</w:t>
      </w:r>
      <w:r w:rsidRPr="0068137E">
        <w:rPr>
          <w:rFonts w:ascii="Book Antiqua" w:eastAsia="Book Antiqua" w:hAnsi="Book Antiqua" w:cs="Book Antiqua"/>
          <w:color w:val="000000"/>
          <w:vertAlign w:val="superscript"/>
        </w:rPr>
        <w:t>[</w:t>
      </w:r>
      <w:proofErr w:type="gramEnd"/>
      <w:r w:rsidRPr="0068137E">
        <w:rPr>
          <w:rFonts w:ascii="Book Antiqua" w:eastAsia="Book Antiqua" w:hAnsi="Book Antiqua" w:cs="Book Antiqua"/>
          <w:color w:val="000000"/>
          <w:vertAlign w:val="superscript"/>
        </w:rPr>
        <w:t>11]</w:t>
      </w:r>
      <w:r w:rsidRPr="0068137E">
        <w:rPr>
          <w:rFonts w:ascii="Book Antiqua" w:eastAsia="Book Antiqua" w:hAnsi="Book Antiqua" w:cs="Book Antiqua"/>
          <w:color w:val="000000"/>
        </w:rPr>
        <w:t xml:space="preserve">. Neurotmesis refers to the complete destruction of the axons and Schwann cells, from which there is no chance of recovery without surgical </w:t>
      </w:r>
      <w:proofErr w:type="gramStart"/>
      <w:r w:rsidRPr="0068137E">
        <w:rPr>
          <w:rFonts w:ascii="Book Antiqua" w:eastAsia="Book Antiqua" w:hAnsi="Book Antiqua" w:cs="Book Antiqua"/>
          <w:color w:val="000000"/>
        </w:rPr>
        <w:t>intervention</w:t>
      </w:r>
      <w:r w:rsidRPr="0068137E">
        <w:rPr>
          <w:rFonts w:ascii="Book Antiqua" w:eastAsia="Book Antiqua" w:hAnsi="Book Antiqua" w:cs="Book Antiqua"/>
          <w:color w:val="000000"/>
          <w:vertAlign w:val="superscript"/>
        </w:rPr>
        <w:t>[</w:t>
      </w:r>
      <w:proofErr w:type="gramEnd"/>
      <w:r w:rsidRPr="0068137E">
        <w:rPr>
          <w:rFonts w:ascii="Book Antiqua" w:eastAsia="Book Antiqua" w:hAnsi="Book Antiqua" w:cs="Book Antiqua"/>
          <w:color w:val="000000"/>
          <w:vertAlign w:val="superscript"/>
        </w:rPr>
        <w:t>12]</w:t>
      </w:r>
      <w:r w:rsidRPr="0068137E">
        <w:rPr>
          <w:rFonts w:ascii="Book Antiqua" w:eastAsia="Book Antiqua" w:hAnsi="Book Antiqua" w:cs="Book Antiqua"/>
          <w:color w:val="000000"/>
        </w:rPr>
        <w:t>. Fortunately, neurotmesis seldom occurs in humeral mid-shaft fractures complicated with radial nerve palsy.</w:t>
      </w:r>
    </w:p>
    <w:p w14:paraId="5CF84C0A" w14:textId="77777777" w:rsidR="00A77B3E" w:rsidRPr="0068137E" w:rsidRDefault="0068137E" w:rsidP="0068137E">
      <w:pPr>
        <w:adjustRightInd w:val="0"/>
        <w:snapToGrid w:val="0"/>
        <w:spacing w:line="360" w:lineRule="auto"/>
        <w:ind w:firstLine="720"/>
        <w:jc w:val="both"/>
        <w:rPr>
          <w:rFonts w:ascii="Book Antiqua" w:hAnsi="Book Antiqua"/>
        </w:rPr>
      </w:pPr>
      <w:r w:rsidRPr="0068137E">
        <w:rPr>
          <w:rFonts w:ascii="Book Antiqua" w:eastAsia="Book Antiqua" w:hAnsi="Book Antiqua" w:cs="Book Antiqua"/>
          <w:color w:val="000000"/>
        </w:rPr>
        <w:t xml:space="preserve">A previous study revealed that a mean time to full recovery for primary radial nerve palsy of 6.1 </w:t>
      </w:r>
      <w:proofErr w:type="spellStart"/>
      <w:r w:rsidRPr="0068137E">
        <w:rPr>
          <w:rFonts w:ascii="Book Antiqua" w:eastAsia="Book Antiqua" w:hAnsi="Book Antiqua" w:cs="Book Antiqua"/>
          <w:color w:val="000000"/>
        </w:rPr>
        <w:t>mo</w:t>
      </w:r>
      <w:proofErr w:type="spellEnd"/>
      <w:r w:rsidRPr="0068137E">
        <w:rPr>
          <w:rFonts w:ascii="Book Antiqua" w:eastAsia="Book Antiqua" w:hAnsi="Book Antiqua" w:cs="Book Antiqua"/>
          <w:color w:val="000000"/>
        </w:rPr>
        <w:t xml:space="preserve">, which is longer than that observed in our study (4.4 ± 0.4 </w:t>
      </w:r>
      <w:proofErr w:type="spellStart"/>
      <w:r w:rsidRPr="0068137E">
        <w:rPr>
          <w:rFonts w:ascii="Book Antiqua" w:eastAsia="Book Antiqua" w:hAnsi="Book Antiqua" w:cs="Book Antiqua"/>
          <w:color w:val="000000"/>
        </w:rPr>
        <w:t>mo</w:t>
      </w:r>
      <w:proofErr w:type="spellEnd"/>
      <w:r w:rsidRPr="0068137E">
        <w:rPr>
          <w:rFonts w:ascii="Book Antiqua" w:eastAsia="Book Antiqua" w:hAnsi="Book Antiqua" w:cs="Book Antiqua"/>
          <w:color w:val="000000"/>
        </w:rPr>
        <w:t xml:space="preserve"> and 4.2 ± 1.3 </w:t>
      </w:r>
      <w:proofErr w:type="spellStart"/>
      <w:r w:rsidRPr="0068137E">
        <w:rPr>
          <w:rFonts w:ascii="Book Antiqua" w:eastAsia="Book Antiqua" w:hAnsi="Book Antiqua" w:cs="Book Antiqua"/>
          <w:color w:val="000000"/>
        </w:rPr>
        <w:t>mo</w:t>
      </w:r>
      <w:proofErr w:type="spellEnd"/>
      <w:r w:rsidRPr="0068137E">
        <w:rPr>
          <w:rFonts w:ascii="Book Antiqua" w:eastAsia="Book Antiqua" w:hAnsi="Book Antiqua" w:cs="Book Antiqua"/>
          <w:color w:val="000000"/>
        </w:rPr>
        <w:t xml:space="preserve"> in primary and secondary nerve palsy, respectively) and a mean spontaneous nerve recovery rate of 70.7</w:t>
      </w:r>
      <w:proofErr w:type="gramStart"/>
      <w:r w:rsidRPr="0068137E">
        <w:rPr>
          <w:rFonts w:ascii="Book Antiqua" w:eastAsia="Book Antiqua" w:hAnsi="Book Antiqua" w:cs="Book Antiqua"/>
          <w:color w:val="000000"/>
        </w:rPr>
        <w:t>%</w:t>
      </w:r>
      <w:r w:rsidRPr="0068137E">
        <w:rPr>
          <w:rFonts w:ascii="Book Antiqua" w:eastAsia="Book Antiqua" w:hAnsi="Book Antiqua" w:cs="Book Antiqua"/>
          <w:color w:val="000000"/>
          <w:vertAlign w:val="superscript"/>
        </w:rPr>
        <w:t>[</w:t>
      </w:r>
      <w:proofErr w:type="gramEnd"/>
      <w:r w:rsidRPr="0068137E">
        <w:rPr>
          <w:rFonts w:ascii="Book Antiqua" w:eastAsia="Book Antiqua" w:hAnsi="Book Antiqua" w:cs="Book Antiqua"/>
          <w:color w:val="000000"/>
          <w:vertAlign w:val="superscript"/>
        </w:rPr>
        <w:t>13]</w:t>
      </w:r>
      <w:r w:rsidRPr="0068137E">
        <w:rPr>
          <w:rFonts w:ascii="Book Antiqua" w:eastAsia="Book Antiqua" w:hAnsi="Book Antiqua" w:cs="Book Antiqua"/>
          <w:color w:val="000000"/>
        </w:rPr>
        <w:t xml:space="preserve">, which is much lower than that observed in our study (100%). In the aforementioned </w:t>
      </w:r>
      <w:proofErr w:type="gramStart"/>
      <w:r w:rsidRPr="0068137E">
        <w:rPr>
          <w:rFonts w:ascii="Book Antiqua" w:eastAsia="Book Antiqua" w:hAnsi="Book Antiqua" w:cs="Book Antiqua"/>
          <w:color w:val="000000"/>
        </w:rPr>
        <w:t>study</w:t>
      </w:r>
      <w:r w:rsidRPr="0068137E">
        <w:rPr>
          <w:rFonts w:ascii="Book Antiqua" w:eastAsia="Book Antiqua" w:hAnsi="Book Antiqua" w:cs="Book Antiqua"/>
          <w:color w:val="000000"/>
          <w:vertAlign w:val="superscript"/>
        </w:rPr>
        <w:t>[</w:t>
      </w:r>
      <w:proofErr w:type="gramEnd"/>
      <w:r w:rsidRPr="0068137E">
        <w:rPr>
          <w:rFonts w:ascii="Book Antiqua" w:eastAsia="Book Antiqua" w:hAnsi="Book Antiqua" w:cs="Book Antiqua"/>
          <w:color w:val="000000"/>
          <w:vertAlign w:val="superscript"/>
        </w:rPr>
        <w:t>13]</w:t>
      </w:r>
      <w:r w:rsidRPr="0068137E">
        <w:rPr>
          <w:rFonts w:ascii="Book Antiqua" w:eastAsia="Book Antiqua" w:hAnsi="Book Antiqua" w:cs="Book Antiqua"/>
          <w:color w:val="000000"/>
        </w:rPr>
        <w:t xml:space="preserve">, patients with humeral shaft fractures were conservatively treated. In these patients, callus formation may have impeded recovery from radial nerve </w:t>
      </w:r>
      <w:proofErr w:type="gramStart"/>
      <w:r w:rsidRPr="0068137E">
        <w:rPr>
          <w:rFonts w:ascii="Book Antiqua" w:eastAsia="Book Antiqua" w:hAnsi="Book Antiqua" w:cs="Book Antiqua"/>
          <w:color w:val="000000"/>
        </w:rPr>
        <w:t>palsies</w:t>
      </w:r>
      <w:r w:rsidRPr="0068137E">
        <w:rPr>
          <w:rFonts w:ascii="Book Antiqua" w:eastAsia="Book Antiqua" w:hAnsi="Book Antiqua" w:cs="Book Antiqua"/>
          <w:color w:val="000000"/>
          <w:vertAlign w:val="superscript"/>
        </w:rPr>
        <w:t>[</w:t>
      </w:r>
      <w:proofErr w:type="gramEnd"/>
      <w:r w:rsidRPr="0068137E">
        <w:rPr>
          <w:rFonts w:ascii="Book Antiqua" w:eastAsia="Book Antiqua" w:hAnsi="Book Antiqua" w:cs="Book Antiqua"/>
          <w:color w:val="000000"/>
          <w:vertAlign w:val="superscript"/>
        </w:rPr>
        <w:t>1]</w:t>
      </w:r>
      <w:r w:rsidRPr="0068137E">
        <w:rPr>
          <w:rFonts w:ascii="Book Antiqua" w:eastAsia="Book Antiqua" w:hAnsi="Book Antiqua" w:cs="Book Antiqua"/>
          <w:color w:val="000000"/>
        </w:rPr>
        <w:t>. We could not control the area of callus formation, and this factor contributed to an extended spontaneous radial nerve recovery time and a lower spontaneous radial nerve recovery rate.</w:t>
      </w:r>
    </w:p>
    <w:p w14:paraId="3C8A1671" w14:textId="77777777" w:rsidR="00A77B3E" w:rsidRPr="0068137E" w:rsidRDefault="0068137E" w:rsidP="0068137E">
      <w:pPr>
        <w:adjustRightInd w:val="0"/>
        <w:snapToGrid w:val="0"/>
        <w:spacing w:line="360" w:lineRule="auto"/>
        <w:ind w:firstLine="720"/>
        <w:jc w:val="both"/>
        <w:rPr>
          <w:rFonts w:ascii="Book Antiqua" w:hAnsi="Book Antiqua"/>
        </w:rPr>
      </w:pPr>
      <w:r w:rsidRPr="0068137E">
        <w:rPr>
          <w:rFonts w:ascii="Book Antiqua" w:eastAsia="Book Antiqua" w:hAnsi="Book Antiqua" w:cs="Book Antiqua"/>
          <w:color w:val="000000"/>
        </w:rPr>
        <w:t xml:space="preserve">No studies have been performed to determine the mean radial nerve recovery time for primary and secondary radial nerve palsies in patients with humeral fractures. However, Shao </w:t>
      </w:r>
      <w:r w:rsidRPr="0068137E">
        <w:rPr>
          <w:rFonts w:ascii="Book Antiqua" w:eastAsia="Book Antiqua" w:hAnsi="Book Antiqua" w:cs="Book Antiqua"/>
          <w:i/>
          <w:iCs/>
          <w:color w:val="000000"/>
        </w:rPr>
        <w:t xml:space="preserve">et </w:t>
      </w:r>
      <w:proofErr w:type="gramStart"/>
      <w:r w:rsidRPr="0068137E">
        <w:rPr>
          <w:rFonts w:ascii="Book Antiqua" w:eastAsia="Book Antiqua" w:hAnsi="Book Antiqua" w:cs="Book Antiqua"/>
          <w:i/>
          <w:iCs/>
          <w:color w:val="000000"/>
        </w:rPr>
        <w:t>al</w:t>
      </w:r>
      <w:r w:rsidRPr="0068137E">
        <w:rPr>
          <w:rFonts w:ascii="Book Antiqua" w:eastAsia="Book Antiqua" w:hAnsi="Book Antiqua" w:cs="Book Antiqua"/>
          <w:color w:val="000000"/>
          <w:vertAlign w:val="superscript"/>
        </w:rPr>
        <w:t>[</w:t>
      </w:r>
      <w:proofErr w:type="gramEnd"/>
      <w:r w:rsidRPr="0068137E">
        <w:rPr>
          <w:rFonts w:ascii="Book Antiqua" w:eastAsia="Book Antiqua" w:hAnsi="Book Antiqua" w:cs="Book Antiqua"/>
          <w:color w:val="000000"/>
          <w:vertAlign w:val="superscript"/>
        </w:rPr>
        <w:t>13]</w:t>
      </w:r>
      <w:r w:rsidRPr="0068137E">
        <w:rPr>
          <w:rFonts w:ascii="Book Antiqua" w:eastAsia="Book Antiqua" w:hAnsi="Book Antiqua" w:cs="Book Antiqua"/>
          <w:color w:val="000000"/>
        </w:rPr>
        <w:t xml:space="preserve"> concluded that the rate of spontaneous nerve recovery after secondary radial neuropathy was similar to that after primary radial neuropathy. These </w:t>
      </w:r>
      <w:r w:rsidRPr="0068137E">
        <w:rPr>
          <w:rFonts w:ascii="Book Antiqua" w:eastAsia="Book Antiqua" w:hAnsi="Book Antiqua" w:cs="Book Antiqua"/>
          <w:color w:val="000000"/>
        </w:rPr>
        <w:lastRenderedPageBreak/>
        <w:t xml:space="preserve">findings are in accordance with those reported by Wang </w:t>
      </w:r>
      <w:r w:rsidRPr="0068137E">
        <w:rPr>
          <w:rFonts w:ascii="Book Antiqua" w:eastAsia="Book Antiqua" w:hAnsi="Book Antiqua" w:cs="Book Antiqua"/>
          <w:i/>
          <w:iCs/>
          <w:color w:val="000000"/>
        </w:rPr>
        <w:t xml:space="preserve">et </w:t>
      </w:r>
      <w:proofErr w:type="gramStart"/>
      <w:r w:rsidRPr="0068137E">
        <w:rPr>
          <w:rFonts w:ascii="Book Antiqua" w:eastAsia="Book Antiqua" w:hAnsi="Book Antiqua" w:cs="Book Antiqua"/>
          <w:i/>
          <w:iCs/>
          <w:color w:val="000000"/>
        </w:rPr>
        <w:t>al</w:t>
      </w:r>
      <w:r w:rsidRPr="0068137E">
        <w:rPr>
          <w:rFonts w:ascii="Book Antiqua" w:eastAsia="Book Antiqua" w:hAnsi="Book Antiqua" w:cs="Book Antiqua"/>
          <w:color w:val="000000"/>
          <w:vertAlign w:val="superscript"/>
        </w:rPr>
        <w:t>[</w:t>
      </w:r>
      <w:proofErr w:type="gramEnd"/>
      <w:r w:rsidRPr="0068137E">
        <w:rPr>
          <w:rFonts w:ascii="Book Antiqua" w:eastAsia="Book Antiqua" w:hAnsi="Book Antiqua" w:cs="Book Antiqua"/>
          <w:color w:val="000000"/>
          <w:vertAlign w:val="superscript"/>
        </w:rPr>
        <w:t>14]</w:t>
      </w:r>
      <w:r w:rsidRPr="0068137E">
        <w:rPr>
          <w:rFonts w:ascii="Book Antiqua" w:eastAsia="Book Antiqua" w:hAnsi="Book Antiqua" w:cs="Book Antiqua"/>
          <w:color w:val="000000"/>
        </w:rPr>
        <w:t>. Our comparative analysis revealed similar recovery times for primary and secondary radial nerve palsies.</w:t>
      </w:r>
    </w:p>
    <w:p w14:paraId="188BBBBA" w14:textId="77777777" w:rsidR="00A77B3E" w:rsidRPr="0068137E" w:rsidRDefault="0068137E" w:rsidP="0068137E">
      <w:pPr>
        <w:adjustRightInd w:val="0"/>
        <w:snapToGrid w:val="0"/>
        <w:spacing w:line="360" w:lineRule="auto"/>
        <w:ind w:firstLine="720"/>
        <w:jc w:val="both"/>
        <w:rPr>
          <w:rFonts w:ascii="Book Antiqua" w:hAnsi="Book Antiqua"/>
        </w:rPr>
      </w:pPr>
      <w:r w:rsidRPr="0068137E">
        <w:rPr>
          <w:rFonts w:ascii="Book Antiqua" w:eastAsia="Book Antiqua" w:hAnsi="Book Antiqua" w:cs="Book Antiqua"/>
          <w:color w:val="000000"/>
        </w:rPr>
        <w:t>In our study, secondary radial nerve palsy was observed in five patients (7.1%) following humeral shaft fractures. To the best of our knowledge, there have been no previous reports of the incidence of secondary radial nerve palsy in patients with humeral shaft fractures.</w:t>
      </w:r>
    </w:p>
    <w:p w14:paraId="43AD9DC5" w14:textId="77777777" w:rsidR="00A77B3E" w:rsidRPr="0068137E" w:rsidRDefault="0068137E" w:rsidP="0068137E">
      <w:pPr>
        <w:adjustRightInd w:val="0"/>
        <w:snapToGrid w:val="0"/>
        <w:spacing w:line="360" w:lineRule="auto"/>
        <w:ind w:firstLine="720"/>
        <w:jc w:val="both"/>
        <w:rPr>
          <w:rFonts w:ascii="Book Antiqua" w:hAnsi="Book Antiqua"/>
        </w:rPr>
      </w:pPr>
      <w:r w:rsidRPr="0068137E">
        <w:rPr>
          <w:rFonts w:ascii="Book Antiqua" w:eastAsia="Book Antiqua" w:hAnsi="Book Antiqua" w:cs="Book Antiqua"/>
          <w:color w:val="000000"/>
        </w:rPr>
        <w:t xml:space="preserve">Note that neurotmesis affects spontaneous nerve </w:t>
      </w:r>
      <w:proofErr w:type="gramStart"/>
      <w:r w:rsidRPr="0068137E">
        <w:rPr>
          <w:rFonts w:ascii="Book Antiqua" w:eastAsia="Book Antiqua" w:hAnsi="Book Antiqua" w:cs="Book Antiqua"/>
          <w:color w:val="000000"/>
        </w:rPr>
        <w:t>recovery</w:t>
      </w:r>
      <w:r w:rsidRPr="0068137E">
        <w:rPr>
          <w:rFonts w:ascii="Book Antiqua" w:eastAsia="Book Antiqua" w:hAnsi="Book Antiqua" w:cs="Book Antiqua"/>
          <w:color w:val="000000"/>
          <w:vertAlign w:val="superscript"/>
        </w:rPr>
        <w:t>[</w:t>
      </w:r>
      <w:proofErr w:type="gramEnd"/>
      <w:r w:rsidRPr="0068137E">
        <w:rPr>
          <w:rFonts w:ascii="Book Antiqua" w:eastAsia="Book Antiqua" w:hAnsi="Book Antiqua" w:cs="Book Antiqua"/>
          <w:color w:val="000000"/>
          <w:vertAlign w:val="superscript"/>
        </w:rPr>
        <w:t>2]</w:t>
      </w:r>
      <w:r w:rsidRPr="0068137E">
        <w:rPr>
          <w:rFonts w:ascii="Book Antiqua" w:eastAsia="Book Antiqua" w:hAnsi="Book Antiqua" w:cs="Book Antiqua"/>
          <w:color w:val="000000"/>
        </w:rPr>
        <w:t xml:space="preserve">. This condition is caused by direct trauma or iatrogenic damage. Once we eliminated the incidence of neurotmesis, the spontaneous radial nerve recovery rate increased. Radial nerve vulnerability is associated with the lateral intermuscular septum at the lower lateral aspect of the humerus and fractures at the posterior mid-shaft of the humerus where the nerve lies in contact with the </w:t>
      </w:r>
      <w:proofErr w:type="gramStart"/>
      <w:r w:rsidRPr="0068137E">
        <w:rPr>
          <w:rFonts w:ascii="Book Antiqua" w:eastAsia="Book Antiqua" w:hAnsi="Book Antiqua" w:cs="Book Antiqua"/>
          <w:color w:val="000000"/>
        </w:rPr>
        <w:t>bone</w:t>
      </w:r>
      <w:r w:rsidRPr="0068137E">
        <w:rPr>
          <w:rFonts w:ascii="Book Antiqua" w:eastAsia="Book Antiqua" w:hAnsi="Book Antiqua" w:cs="Book Antiqua"/>
          <w:color w:val="000000"/>
          <w:vertAlign w:val="superscript"/>
        </w:rPr>
        <w:t>[</w:t>
      </w:r>
      <w:proofErr w:type="gramEnd"/>
      <w:r w:rsidRPr="0068137E">
        <w:rPr>
          <w:rFonts w:ascii="Book Antiqua" w:eastAsia="Book Antiqua" w:hAnsi="Book Antiqua" w:cs="Book Antiqua"/>
          <w:color w:val="000000"/>
          <w:vertAlign w:val="superscript"/>
        </w:rPr>
        <w:t>11,15-17]</w:t>
      </w:r>
      <w:r w:rsidRPr="0068137E">
        <w:rPr>
          <w:rFonts w:ascii="Book Antiqua" w:eastAsia="Book Antiqua" w:hAnsi="Book Antiqua" w:cs="Book Antiqua"/>
          <w:color w:val="000000"/>
        </w:rPr>
        <w:t xml:space="preserve">. If the trauma involves external rotation and the fracture site is at the proximal-distal or distal end of the humeral shaft based on dividing the shaft into fifths, primary radial nerve injury caused by direct radial nerve entrapment may </w:t>
      </w:r>
      <w:proofErr w:type="gramStart"/>
      <w:r w:rsidRPr="0068137E">
        <w:rPr>
          <w:rFonts w:ascii="Book Antiqua" w:eastAsia="Book Antiqua" w:hAnsi="Book Antiqua" w:cs="Book Antiqua"/>
          <w:color w:val="000000"/>
        </w:rPr>
        <w:t>occur</w:t>
      </w:r>
      <w:r w:rsidRPr="0068137E">
        <w:rPr>
          <w:rFonts w:ascii="Book Antiqua" w:eastAsia="Book Antiqua" w:hAnsi="Book Antiqua" w:cs="Book Antiqua"/>
          <w:color w:val="000000"/>
          <w:vertAlign w:val="superscript"/>
        </w:rPr>
        <w:t>[</w:t>
      </w:r>
      <w:proofErr w:type="gramEnd"/>
      <w:r w:rsidRPr="0068137E">
        <w:rPr>
          <w:rFonts w:ascii="Book Antiqua" w:eastAsia="Book Antiqua" w:hAnsi="Book Antiqua" w:cs="Book Antiqua"/>
          <w:color w:val="000000"/>
          <w:vertAlign w:val="superscript"/>
        </w:rPr>
        <w:t>18]</w:t>
      </w:r>
      <w:r w:rsidRPr="0068137E">
        <w:rPr>
          <w:rFonts w:ascii="Book Antiqua" w:eastAsia="Book Antiqua" w:hAnsi="Book Antiqua" w:cs="Book Antiqua"/>
          <w:color w:val="000000"/>
        </w:rPr>
        <w:t>. In these situations, using the closed antegrade nailing technique to treat patients may increase the risk of failure of radial nerve spontaneous recovery.</w:t>
      </w:r>
    </w:p>
    <w:p w14:paraId="768A682D" w14:textId="77777777" w:rsidR="00A77B3E" w:rsidRPr="0068137E" w:rsidRDefault="0068137E" w:rsidP="0068137E">
      <w:pPr>
        <w:adjustRightInd w:val="0"/>
        <w:snapToGrid w:val="0"/>
        <w:spacing w:line="360" w:lineRule="auto"/>
        <w:ind w:firstLine="720"/>
        <w:jc w:val="both"/>
        <w:rPr>
          <w:rFonts w:ascii="Book Antiqua" w:hAnsi="Book Antiqua"/>
        </w:rPr>
      </w:pPr>
      <w:r w:rsidRPr="0068137E">
        <w:rPr>
          <w:rFonts w:ascii="Book Antiqua" w:eastAsia="Book Antiqua" w:hAnsi="Book Antiqua" w:cs="Book Antiqua"/>
          <w:color w:val="000000"/>
        </w:rPr>
        <w:t xml:space="preserve">Given the high incidence of secondary radial nerve palsy in patients undergoing nailing fixation, we emphasize surgical strategies to prevent iatrogenic radial nerve transection due to the potential impact on spontaneous nerve recovery. Distal locking screws for the </w:t>
      </w:r>
      <w:proofErr w:type="spellStart"/>
      <w:r w:rsidRPr="0068137E">
        <w:rPr>
          <w:rFonts w:ascii="Book Antiqua" w:eastAsia="Book Antiqua" w:hAnsi="Book Antiqua" w:cs="Book Antiqua"/>
          <w:color w:val="000000"/>
        </w:rPr>
        <w:t>MultiLoc</w:t>
      </w:r>
      <w:proofErr w:type="spellEnd"/>
      <w:r w:rsidRPr="0068137E">
        <w:rPr>
          <w:rFonts w:ascii="Book Antiqua" w:eastAsia="Book Antiqua" w:hAnsi="Book Antiqua" w:cs="Book Antiqua"/>
          <w:color w:val="000000"/>
        </w:rPr>
        <w:t xml:space="preserve"> nailing system are inserted using a free-hand fluoroscopic method. Overpenetration of the medial cortex with distal locking screws using anterior-posterior and lateral-medial locking techniques has been reported to be associated with an increased risk of neurovascular complications, including radial and lateral cutaneous nerve </w:t>
      </w:r>
      <w:proofErr w:type="gramStart"/>
      <w:r w:rsidRPr="0068137E">
        <w:rPr>
          <w:rFonts w:ascii="Book Antiqua" w:eastAsia="Book Antiqua" w:hAnsi="Book Antiqua" w:cs="Book Antiqua"/>
          <w:color w:val="000000"/>
        </w:rPr>
        <w:t>injuries</w:t>
      </w:r>
      <w:r w:rsidRPr="0068137E">
        <w:rPr>
          <w:rFonts w:ascii="Book Antiqua" w:eastAsia="Book Antiqua" w:hAnsi="Book Antiqua" w:cs="Book Antiqua"/>
          <w:color w:val="000000"/>
          <w:vertAlign w:val="superscript"/>
        </w:rPr>
        <w:t>[</w:t>
      </w:r>
      <w:proofErr w:type="gramEnd"/>
      <w:r w:rsidRPr="0068137E">
        <w:rPr>
          <w:rFonts w:ascii="Book Antiqua" w:eastAsia="Book Antiqua" w:hAnsi="Book Antiqua" w:cs="Book Antiqua"/>
          <w:color w:val="000000"/>
          <w:vertAlign w:val="superscript"/>
        </w:rPr>
        <w:t>19,20]</w:t>
      </w:r>
      <w:r w:rsidRPr="0068137E">
        <w:rPr>
          <w:rFonts w:ascii="Book Antiqua" w:eastAsia="Book Antiqua" w:hAnsi="Book Antiqua" w:cs="Book Antiqua"/>
          <w:color w:val="000000"/>
        </w:rPr>
        <w:t xml:space="preserve">. White </w:t>
      </w:r>
      <w:r w:rsidRPr="0068137E">
        <w:rPr>
          <w:rFonts w:ascii="Book Antiqua" w:eastAsia="Book Antiqua" w:hAnsi="Book Antiqua" w:cs="Book Antiqua"/>
          <w:i/>
          <w:iCs/>
          <w:color w:val="000000"/>
        </w:rPr>
        <w:t xml:space="preserve">et </w:t>
      </w:r>
      <w:proofErr w:type="gramStart"/>
      <w:r w:rsidRPr="0068137E">
        <w:rPr>
          <w:rFonts w:ascii="Book Antiqua" w:eastAsia="Book Antiqua" w:hAnsi="Book Antiqua" w:cs="Book Antiqua"/>
          <w:i/>
          <w:iCs/>
          <w:color w:val="000000"/>
        </w:rPr>
        <w:t>al</w:t>
      </w:r>
      <w:r w:rsidRPr="0068137E">
        <w:rPr>
          <w:rFonts w:ascii="Book Antiqua" w:eastAsia="Book Antiqua" w:hAnsi="Book Antiqua" w:cs="Book Antiqua"/>
          <w:color w:val="000000"/>
          <w:vertAlign w:val="superscript"/>
        </w:rPr>
        <w:t>[</w:t>
      </w:r>
      <w:proofErr w:type="gramEnd"/>
      <w:r w:rsidRPr="0068137E">
        <w:rPr>
          <w:rFonts w:ascii="Book Antiqua" w:eastAsia="Book Antiqua" w:hAnsi="Book Antiqua" w:cs="Book Antiqua"/>
          <w:color w:val="000000"/>
          <w:vertAlign w:val="superscript"/>
        </w:rPr>
        <w:t>21]</w:t>
      </w:r>
      <w:r w:rsidRPr="0068137E">
        <w:rPr>
          <w:rFonts w:ascii="Book Antiqua" w:eastAsia="Book Antiqua" w:hAnsi="Book Antiqua" w:cs="Book Antiqua"/>
          <w:color w:val="000000"/>
        </w:rPr>
        <w:t xml:space="preserve"> suggested that posterior-to-anterior drilling for distal locking screws can prevent neurovascular injury. Moreover, adequate soft tissue dissection before drilling and the use of drilling protectors can reduce the occurrence of neurovascular complications. However, iatrogenic nerve damage is sometimes unpredictable.</w:t>
      </w:r>
    </w:p>
    <w:p w14:paraId="36CB8FD8" w14:textId="77777777" w:rsidR="00A77B3E" w:rsidRPr="0068137E" w:rsidRDefault="0068137E" w:rsidP="0068137E">
      <w:pPr>
        <w:adjustRightInd w:val="0"/>
        <w:snapToGrid w:val="0"/>
        <w:spacing w:line="360" w:lineRule="auto"/>
        <w:ind w:firstLine="720"/>
        <w:jc w:val="both"/>
        <w:rPr>
          <w:rFonts w:ascii="Book Antiqua" w:hAnsi="Book Antiqua"/>
        </w:rPr>
      </w:pPr>
      <w:r w:rsidRPr="0068137E">
        <w:rPr>
          <w:rFonts w:ascii="Book Antiqua" w:eastAsia="Book Antiqua" w:hAnsi="Book Antiqua" w:cs="Book Antiqua"/>
          <w:color w:val="000000"/>
        </w:rPr>
        <w:lastRenderedPageBreak/>
        <w:t>The incidence of humeral shaft fractures is 3%, and some surgeons in our hospitals treat humeral shaft fractures using the plating technique. These factors contributed to the small sample size. Despite the small cohort studied, we concluded that surgeons need not be concerned about permanent radial nerve damage in cases of primary or secondary radial nerve palsies when managing patients with humeral shaft fractures. We will collect further data on patients treated with closed nail fixation for humeral shaft fractures. The results of the present observational study can provide guidance to surgeons regarding the radial nerve recovery rate and the time to recovery and to patients in terms of expectations for recovery.</w:t>
      </w:r>
    </w:p>
    <w:p w14:paraId="3A5A10EF" w14:textId="77777777" w:rsidR="00A77B3E" w:rsidRPr="0068137E" w:rsidRDefault="00A77B3E" w:rsidP="0068137E">
      <w:pPr>
        <w:adjustRightInd w:val="0"/>
        <w:snapToGrid w:val="0"/>
        <w:spacing w:line="360" w:lineRule="auto"/>
        <w:ind w:firstLine="720"/>
        <w:jc w:val="both"/>
        <w:rPr>
          <w:rFonts w:ascii="Book Antiqua" w:hAnsi="Book Antiqua"/>
        </w:rPr>
      </w:pPr>
    </w:p>
    <w:p w14:paraId="2C4874E5"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caps/>
          <w:color w:val="000000"/>
          <w:u w:val="single"/>
        </w:rPr>
        <w:t>CONCLUSION</w:t>
      </w:r>
    </w:p>
    <w:p w14:paraId="72B94763"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Primary or secondary radial nerve palsy is a common peripheral nerve injury complication in patients with closed- or Gustilo type I open humeral shaft fractures. In this single-hospital case series, primary and secondary radial nerve palsy occurred at equal incidences of 7.1% of humeral shaft fractures treated using closed nail fixation. Despite the high incidence of radial nerve palsies, a 100% radial nerve recovery rate was achieved following closed nail fixation of humeral shaft fractures. The mean recovery time and the recovery rate are crucial for guiding protocols regarding the expected waiting periods to be followed by surgeons in clinical settings.</w:t>
      </w:r>
    </w:p>
    <w:p w14:paraId="48F484C5" w14:textId="77777777" w:rsidR="00A77B3E" w:rsidRPr="0068137E" w:rsidRDefault="00A77B3E" w:rsidP="0068137E">
      <w:pPr>
        <w:adjustRightInd w:val="0"/>
        <w:snapToGrid w:val="0"/>
        <w:spacing w:line="360" w:lineRule="auto"/>
        <w:jc w:val="both"/>
        <w:rPr>
          <w:rFonts w:ascii="Book Antiqua" w:hAnsi="Book Antiqua"/>
        </w:rPr>
      </w:pPr>
    </w:p>
    <w:p w14:paraId="6796514E"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caps/>
          <w:color w:val="000000"/>
          <w:u w:val="single"/>
        </w:rPr>
        <w:t>ARTICLE HIGHLIGHTS</w:t>
      </w:r>
    </w:p>
    <w:p w14:paraId="0CBA1214"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i/>
          <w:color w:val="000000"/>
        </w:rPr>
        <w:t>Research background</w:t>
      </w:r>
    </w:p>
    <w:p w14:paraId="59543C97"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Humeral shaft fractures are commonly associated with radial nerve palsies. The emergence of innovative implants has made the minimally invasive nailing procedure increasingly popular. In this study, we surveyed the recovery time and recovery rate of patients with primary or secondary radial nerve palsies.</w:t>
      </w:r>
    </w:p>
    <w:p w14:paraId="0FA556F5" w14:textId="77777777" w:rsidR="00A77B3E" w:rsidRPr="0068137E" w:rsidRDefault="00A77B3E" w:rsidP="0068137E">
      <w:pPr>
        <w:adjustRightInd w:val="0"/>
        <w:snapToGrid w:val="0"/>
        <w:spacing w:line="360" w:lineRule="auto"/>
        <w:jc w:val="both"/>
        <w:rPr>
          <w:rFonts w:ascii="Book Antiqua" w:hAnsi="Book Antiqua"/>
        </w:rPr>
      </w:pPr>
    </w:p>
    <w:p w14:paraId="5505B045"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i/>
          <w:color w:val="000000"/>
        </w:rPr>
        <w:t>Research motivation</w:t>
      </w:r>
    </w:p>
    <w:p w14:paraId="56483AE8"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lastRenderedPageBreak/>
        <w:t>No studies have been published on radial nerve recovery after nailing fixation treatment for humeral shaft fractures.</w:t>
      </w:r>
    </w:p>
    <w:p w14:paraId="2C08A914" w14:textId="77777777" w:rsidR="00A77B3E" w:rsidRPr="0068137E" w:rsidRDefault="00A77B3E" w:rsidP="0068137E">
      <w:pPr>
        <w:adjustRightInd w:val="0"/>
        <w:snapToGrid w:val="0"/>
        <w:spacing w:line="360" w:lineRule="auto"/>
        <w:jc w:val="both"/>
        <w:rPr>
          <w:rFonts w:ascii="Book Antiqua" w:hAnsi="Book Antiqua"/>
        </w:rPr>
      </w:pPr>
    </w:p>
    <w:p w14:paraId="634B3317"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i/>
          <w:color w:val="000000"/>
        </w:rPr>
        <w:t>Research objectives</w:t>
      </w:r>
    </w:p>
    <w:p w14:paraId="56F3D67E"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The aim of this study was to evaluate the radial nerve recovery time and rate in primary or secondary radial nerve palsy patients treated for humeral shaft fracture with a nailing fixation technique.</w:t>
      </w:r>
    </w:p>
    <w:p w14:paraId="63787125" w14:textId="77777777" w:rsidR="00A77B3E" w:rsidRPr="0068137E" w:rsidRDefault="00A77B3E" w:rsidP="0068137E">
      <w:pPr>
        <w:adjustRightInd w:val="0"/>
        <w:snapToGrid w:val="0"/>
        <w:spacing w:line="360" w:lineRule="auto"/>
        <w:jc w:val="both"/>
        <w:rPr>
          <w:rFonts w:ascii="Book Antiqua" w:hAnsi="Book Antiqua"/>
        </w:rPr>
      </w:pPr>
    </w:p>
    <w:p w14:paraId="1E997C53"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i/>
          <w:color w:val="000000"/>
        </w:rPr>
        <w:t>Research methods</w:t>
      </w:r>
    </w:p>
    <w:p w14:paraId="01433481"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In this observational study, we enrolled patients with sustained close or Gustilo open type I humeral shaft fractures who received close nailing fixation treatment between October 2016 and March 2020. We examined the wrist and thumb function preoperatively and postoperatively for all humeral shaft fractures.</w:t>
      </w:r>
    </w:p>
    <w:p w14:paraId="0A41DCC2" w14:textId="77777777" w:rsidR="00A77B3E" w:rsidRPr="0068137E" w:rsidRDefault="00A77B3E" w:rsidP="0068137E">
      <w:pPr>
        <w:adjustRightInd w:val="0"/>
        <w:snapToGrid w:val="0"/>
        <w:spacing w:line="360" w:lineRule="auto"/>
        <w:jc w:val="both"/>
        <w:rPr>
          <w:rFonts w:ascii="Book Antiqua" w:hAnsi="Book Antiqua"/>
        </w:rPr>
      </w:pPr>
    </w:p>
    <w:p w14:paraId="1BBEB22E"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i/>
          <w:color w:val="000000"/>
        </w:rPr>
        <w:t>Research results</w:t>
      </w:r>
    </w:p>
    <w:p w14:paraId="7DC65A6C"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The study results demonstrated that all patients who suffered from radial nerve palsies recovered functionally (100%). The mean recovery time was 4.3 mo.</w:t>
      </w:r>
    </w:p>
    <w:p w14:paraId="3D87E346" w14:textId="77777777" w:rsidR="00A77B3E" w:rsidRPr="0068137E" w:rsidRDefault="00A77B3E" w:rsidP="0068137E">
      <w:pPr>
        <w:adjustRightInd w:val="0"/>
        <w:snapToGrid w:val="0"/>
        <w:spacing w:line="360" w:lineRule="auto"/>
        <w:jc w:val="both"/>
        <w:rPr>
          <w:rFonts w:ascii="Book Antiqua" w:hAnsi="Book Antiqua"/>
        </w:rPr>
      </w:pPr>
    </w:p>
    <w:p w14:paraId="2126C43B"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i/>
          <w:color w:val="000000"/>
        </w:rPr>
        <w:t>Research conclusions</w:t>
      </w:r>
    </w:p>
    <w:p w14:paraId="6742D011"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This observational study revealed that all patients with radial nerve palsies who underwent close nailing treatment for humeral shaft fracture achieved full recovery.</w:t>
      </w:r>
    </w:p>
    <w:p w14:paraId="093504B4" w14:textId="77777777" w:rsidR="00A77B3E" w:rsidRPr="0068137E" w:rsidRDefault="00A77B3E" w:rsidP="0068137E">
      <w:pPr>
        <w:adjustRightInd w:val="0"/>
        <w:snapToGrid w:val="0"/>
        <w:spacing w:line="360" w:lineRule="auto"/>
        <w:jc w:val="both"/>
        <w:rPr>
          <w:rFonts w:ascii="Book Antiqua" w:hAnsi="Book Antiqua"/>
        </w:rPr>
      </w:pPr>
    </w:p>
    <w:p w14:paraId="52022FC7"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i/>
          <w:color w:val="000000"/>
        </w:rPr>
        <w:t>Research perspectives</w:t>
      </w:r>
    </w:p>
    <w:p w14:paraId="38EFBC96"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Although this observational study was conducted on a small sample, the high radial nerve recovery rate demonstrated that surgeons need not be concerned about permanent nerve injuries.</w:t>
      </w:r>
    </w:p>
    <w:p w14:paraId="6022916B" w14:textId="77777777" w:rsidR="00A77B3E" w:rsidRPr="0068137E" w:rsidRDefault="00A77B3E" w:rsidP="0068137E">
      <w:pPr>
        <w:adjustRightInd w:val="0"/>
        <w:snapToGrid w:val="0"/>
        <w:spacing w:line="360" w:lineRule="auto"/>
        <w:jc w:val="both"/>
        <w:rPr>
          <w:rFonts w:ascii="Book Antiqua" w:hAnsi="Book Antiqua"/>
        </w:rPr>
      </w:pPr>
    </w:p>
    <w:p w14:paraId="2931A84A"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color w:val="000000"/>
        </w:rPr>
        <w:t>REFERENCES</w:t>
      </w:r>
    </w:p>
    <w:p w14:paraId="7111E05E" w14:textId="77777777" w:rsidR="00A77B3E" w:rsidRPr="0068137E" w:rsidRDefault="0068137E" w:rsidP="0068137E">
      <w:pPr>
        <w:adjustRightInd w:val="0"/>
        <w:snapToGrid w:val="0"/>
        <w:spacing w:line="360" w:lineRule="auto"/>
        <w:jc w:val="both"/>
        <w:rPr>
          <w:rFonts w:ascii="Book Antiqua" w:hAnsi="Book Antiqua"/>
        </w:rPr>
      </w:pPr>
      <w:bookmarkStart w:id="4" w:name="OLE_LINK4"/>
      <w:r w:rsidRPr="0068137E">
        <w:rPr>
          <w:rFonts w:ascii="Book Antiqua" w:eastAsia="Book Antiqua" w:hAnsi="Book Antiqua" w:cs="Book Antiqua"/>
          <w:color w:val="000000"/>
        </w:rPr>
        <w:lastRenderedPageBreak/>
        <w:t xml:space="preserve">1 </w:t>
      </w:r>
      <w:r w:rsidRPr="0068137E">
        <w:rPr>
          <w:rFonts w:ascii="Book Antiqua" w:eastAsia="Book Antiqua" w:hAnsi="Book Antiqua" w:cs="Book Antiqua"/>
          <w:b/>
          <w:bCs/>
          <w:color w:val="000000"/>
        </w:rPr>
        <w:t>Sarmiento A</w:t>
      </w:r>
      <w:r w:rsidRPr="0068137E">
        <w:rPr>
          <w:rFonts w:ascii="Book Antiqua" w:eastAsia="Book Antiqua" w:hAnsi="Book Antiqua" w:cs="Book Antiqua"/>
          <w:color w:val="000000"/>
        </w:rPr>
        <w:t xml:space="preserve">, </w:t>
      </w:r>
      <w:proofErr w:type="spellStart"/>
      <w:r w:rsidRPr="0068137E">
        <w:rPr>
          <w:rFonts w:ascii="Book Antiqua" w:eastAsia="Book Antiqua" w:hAnsi="Book Antiqua" w:cs="Book Antiqua"/>
          <w:color w:val="000000"/>
        </w:rPr>
        <w:t>Kinman</w:t>
      </w:r>
      <w:proofErr w:type="spellEnd"/>
      <w:r w:rsidRPr="0068137E">
        <w:rPr>
          <w:rFonts w:ascii="Book Antiqua" w:eastAsia="Book Antiqua" w:hAnsi="Book Antiqua" w:cs="Book Antiqua"/>
          <w:color w:val="000000"/>
        </w:rPr>
        <w:t xml:space="preserve"> PB, Galvin EG, Schmitt RH, Phillips JG. Functional bracing of fractures of the shaft of the humerus. </w:t>
      </w:r>
      <w:r w:rsidRPr="0068137E">
        <w:rPr>
          <w:rFonts w:ascii="Book Antiqua" w:eastAsia="Book Antiqua" w:hAnsi="Book Antiqua" w:cs="Book Antiqua"/>
          <w:i/>
          <w:iCs/>
          <w:color w:val="000000"/>
        </w:rPr>
        <w:t>J Bone Joint Surg Am</w:t>
      </w:r>
      <w:r w:rsidRPr="0068137E">
        <w:rPr>
          <w:rFonts w:ascii="Book Antiqua" w:eastAsia="Book Antiqua" w:hAnsi="Book Antiqua" w:cs="Book Antiqua"/>
          <w:color w:val="000000"/>
        </w:rPr>
        <w:t xml:space="preserve"> 1977; </w:t>
      </w:r>
      <w:r w:rsidRPr="0068137E">
        <w:rPr>
          <w:rFonts w:ascii="Book Antiqua" w:eastAsia="Book Antiqua" w:hAnsi="Book Antiqua" w:cs="Book Antiqua"/>
          <w:b/>
          <w:bCs/>
          <w:color w:val="000000"/>
        </w:rPr>
        <w:t>59</w:t>
      </w:r>
      <w:r w:rsidRPr="0068137E">
        <w:rPr>
          <w:rFonts w:ascii="Book Antiqua" w:eastAsia="Book Antiqua" w:hAnsi="Book Antiqua" w:cs="Book Antiqua"/>
          <w:color w:val="000000"/>
        </w:rPr>
        <w:t>: 596-601 [PMID: 873955]</w:t>
      </w:r>
    </w:p>
    <w:p w14:paraId="55D96CE9"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 xml:space="preserve">2 </w:t>
      </w:r>
      <w:proofErr w:type="spellStart"/>
      <w:r w:rsidRPr="0068137E">
        <w:rPr>
          <w:rFonts w:ascii="Book Antiqua" w:eastAsia="Book Antiqua" w:hAnsi="Book Antiqua" w:cs="Book Antiqua"/>
          <w:b/>
          <w:bCs/>
          <w:color w:val="000000"/>
        </w:rPr>
        <w:t>Papasoulis</w:t>
      </w:r>
      <w:proofErr w:type="spellEnd"/>
      <w:r w:rsidRPr="0068137E">
        <w:rPr>
          <w:rFonts w:ascii="Book Antiqua" w:eastAsia="Book Antiqua" w:hAnsi="Book Antiqua" w:cs="Book Antiqua"/>
          <w:b/>
          <w:bCs/>
          <w:color w:val="000000"/>
        </w:rPr>
        <w:t xml:space="preserve"> E</w:t>
      </w:r>
      <w:r w:rsidRPr="0068137E">
        <w:rPr>
          <w:rFonts w:ascii="Book Antiqua" w:eastAsia="Book Antiqua" w:hAnsi="Book Antiqua" w:cs="Book Antiqua"/>
          <w:color w:val="000000"/>
        </w:rPr>
        <w:t xml:space="preserve">, </w:t>
      </w:r>
      <w:proofErr w:type="spellStart"/>
      <w:r w:rsidRPr="0068137E">
        <w:rPr>
          <w:rFonts w:ascii="Book Antiqua" w:eastAsia="Book Antiqua" w:hAnsi="Book Antiqua" w:cs="Book Antiqua"/>
          <w:color w:val="000000"/>
        </w:rPr>
        <w:t>Drosos</w:t>
      </w:r>
      <w:proofErr w:type="spellEnd"/>
      <w:r w:rsidRPr="0068137E">
        <w:rPr>
          <w:rFonts w:ascii="Book Antiqua" w:eastAsia="Book Antiqua" w:hAnsi="Book Antiqua" w:cs="Book Antiqua"/>
          <w:color w:val="000000"/>
        </w:rPr>
        <w:t xml:space="preserve"> GI, </w:t>
      </w:r>
      <w:proofErr w:type="spellStart"/>
      <w:r w:rsidRPr="0068137E">
        <w:rPr>
          <w:rFonts w:ascii="Book Antiqua" w:eastAsia="Book Antiqua" w:hAnsi="Book Antiqua" w:cs="Book Antiqua"/>
          <w:color w:val="000000"/>
        </w:rPr>
        <w:t>Ververidis</w:t>
      </w:r>
      <w:proofErr w:type="spellEnd"/>
      <w:r w:rsidRPr="0068137E">
        <w:rPr>
          <w:rFonts w:ascii="Book Antiqua" w:eastAsia="Book Antiqua" w:hAnsi="Book Antiqua" w:cs="Book Antiqua"/>
          <w:color w:val="000000"/>
        </w:rPr>
        <w:t xml:space="preserve"> AN, </w:t>
      </w:r>
      <w:proofErr w:type="spellStart"/>
      <w:r w:rsidRPr="0068137E">
        <w:rPr>
          <w:rFonts w:ascii="Book Antiqua" w:eastAsia="Book Antiqua" w:hAnsi="Book Antiqua" w:cs="Book Antiqua"/>
          <w:color w:val="000000"/>
        </w:rPr>
        <w:t>Verettas</w:t>
      </w:r>
      <w:proofErr w:type="spellEnd"/>
      <w:r w:rsidRPr="0068137E">
        <w:rPr>
          <w:rFonts w:ascii="Book Antiqua" w:eastAsia="Book Antiqua" w:hAnsi="Book Antiqua" w:cs="Book Antiqua"/>
          <w:color w:val="000000"/>
        </w:rPr>
        <w:t xml:space="preserve"> DA. Functional bracing of humeral shaft fractures. A review of clinical studies. </w:t>
      </w:r>
      <w:r w:rsidRPr="0068137E">
        <w:rPr>
          <w:rFonts w:ascii="Book Antiqua" w:eastAsia="Book Antiqua" w:hAnsi="Book Antiqua" w:cs="Book Antiqua"/>
          <w:i/>
          <w:iCs/>
          <w:color w:val="000000"/>
        </w:rPr>
        <w:t>Injury</w:t>
      </w:r>
      <w:r w:rsidRPr="0068137E">
        <w:rPr>
          <w:rFonts w:ascii="Book Antiqua" w:eastAsia="Book Antiqua" w:hAnsi="Book Antiqua" w:cs="Book Antiqua"/>
          <w:color w:val="000000"/>
        </w:rPr>
        <w:t xml:space="preserve"> 2010; </w:t>
      </w:r>
      <w:r w:rsidRPr="0068137E">
        <w:rPr>
          <w:rFonts w:ascii="Book Antiqua" w:eastAsia="Book Antiqua" w:hAnsi="Book Antiqua" w:cs="Book Antiqua"/>
          <w:b/>
          <w:bCs/>
          <w:color w:val="000000"/>
        </w:rPr>
        <w:t>41</w:t>
      </w:r>
      <w:r w:rsidRPr="0068137E">
        <w:rPr>
          <w:rFonts w:ascii="Book Antiqua" w:eastAsia="Book Antiqua" w:hAnsi="Book Antiqua" w:cs="Book Antiqua"/>
          <w:color w:val="000000"/>
        </w:rPr>
        <w:t>: e21-e27 [PMID: 19523625 DOI: 10.1016/j.injury.2009.05.004]</w:t>
      </w:r>
    </w:p>
    <w:p w14:paraId="1133FCBE"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 xml:space="preserve">3 </w:t>
      </w:r>
      <w:proofErr w:type="spellStart"/>
      <w:r w:rsidRPr="0068137E">
        <w:rPr>
          <w:rFonts w:ascii="Book Antiqua" w:eastAsia="Book Antiqua" w:hAnsi="Book Antiqua" w:cs="Book Antiqua"/>
          <w:b/>
          <w:bCs/>
          <w:color w:val="000000"/>
        </w:rPr>
        <w:t>Rämö</w:t>
      </w:r>
      <w:proofErr w:type="spellEnd"/>
      <w:r w:rsidRPr="0068137E">
        <w:rPr>
          <w:rFonts w:ascii="Book Antiqua" w:eastAsia="Book Antiqua" w:hAnsi="Book Antiqua" w:cs="Book Antiqua"/>
          <w:b/>
          <w:bCs/>
          <w:color w:val="000000"/>
        </w:rPr>
        <w:t xml:space="preserve"> L</w:t>
      </w:r>
      <w:r w:rsidRPr="0068137E">
        <w:rPr>
          <w:rFonts w:ascii="Book Antiqua" w:eastAsia="Book Antiqua" w:hAnsi="Book Antiqua" w:cs="Book Antiqua"/>
          <w:color w:val="000000"/>
        </w:rPr>
        <w:t xml:space="preserve">, </w:t>
      </w:r>
      <w:proofErr w:type="spellStart"/>
      <w:r w:rsidRPr="0068137E">
        <w:rPr>
          <w:rFonts w:ascii="Book Antiqua" w:eastAsia="Book Antiqua" w:hAnsi="Book Antiqua" w:cs="Book Antiqua"/>
          <w:color w:val="000000"/>
        </w:rPr>
        <w:t>Taimela</w:t>
      </w:r>
      <w:proofErr w:type="spellEnd"/>
      <w:r w:rsidRPr="0068137E">
        <w:rPr>
          <w:rFonts w:ascii="Book Antiqua" w:eastAsia="Book Antiqua" w:hAnsi="Book Antiqua" w:cs="Book Antiqua"/>
          <w:color w:val="000000"/>
        </w:rPr>
        <w:t xml:space="preserve"> S, </w:t>
      </w:r>
      <w:proofErr w:type="spellStart"/>
      <w:r w:rsidRPr="0068137E">
        <w:rPr>
          <w:rFonts w:ascii="Book Antiqua" w:eastAsia="Book Antiqua" w:hAnsi="Book Antiqua" w:cs="Book Antiqua"/>
          <w:color w:val="000000"/>
        </w:rPr>
        <w:t>Lepola</w:t>
      </w:r>
      <w:proofErr w:type="spellEnd"/>
      <w:r w:rsidRPr="0068137E">
        <w:rPr>
          <w:rFonts w:ascii="Book Antiqua" w:eastAsia="Book Antiqua" w:hAnsi="Book Antiqua" w:cs="Book Antiqua"/>
          <w:color w:val="000000"/>
        </w:rPr>
        <w:t xml:space="preserve"> V, </w:t>
      </w:r>
      <w:proofErr w:type="spellStart"/>
      <w:r w:rsidRPr="0068137E">
        <w:rPr>
          <w:rFonts w:ascii="Book Antiqua" w:eastAsia="Book Antiqua" w:hAnsi="Book Antiqua" w:cs="Book Antiqua"/>
          <w:color w:val="000000"/>
        </w:rPr>
        <w:t>Malmivaara</w:t>
      </w:r>
      <w:proofErr w:type="spellEnd"/>
      <w:r w:rsidRPr="0068137E">
        <w:rPr>
          <w:rFonts w:ascii="Book Antiqua" w:eastAsia="Book Antiqua" w:hAnsi="Book Antiqua" w:cs="Book Antiqua"/>
          <w:color w:val="000000"/>
        </w:rPr>
        <w:t xml:space="preserve"> A, </w:t>
      </w:r>
      <w:proofErr w:type="spellStart"/>
      <w:r w:rsidRPr="0068137E">
        <w:rPr>
          <w:rFonts w:ascii="Book Antiqua" w:eastAsia="Book Antiqua" w:hAnsi="Book Antiqua" w:cs="Book Antiqua"/>
          <w:color w:val="000000"/>
        </w:rPr>
        <w:t>Lähdeoja</w:t>
      </w:r>
      <w:proofErr w:type="spellEnd"/>
      <w:r w:rsidRPr="0068137E">
        <w:rPr>
          <w:rFonts w:ascii="Book Antiqua" w:eastAsia="Book Antiqua" w:hAnsi="Book Antiqua" w:cs="Book Antiqua"/>
          <w:color w:val="000000"/>
        </w:rPr>
        <w:t xml:space="preserve"> T, Paavola M. Open reduction and internal fixation of humeral shaft fractures </w:t>
      </w:r>
      <w:r w:rsidRPr="0068137E">
        <w:rPr>
          <w:rFonts w:ascii="Book Antiqua" w:eastAsia="Book Antiqua" w:hAnsi="Book Antiqua" w:cs="Book Antiqua"/>
          <w:i/>
          <w:iCs/>
          <w:color w:val="000000"/>
        </w:rPr>
        <w:t>vs</w:t>
      </w:r>
      <w:r w:rsidRPr="0068137E">
        <w:rPr>
          <w:rFonts w:ascii="Book Antiqua" w:eastAsia="Book Antiqua" w:hAnsi="Book Antiqua" w:cs="Book Antiqua"/>
          <w:color w:val="000000"/>
        </w:rPr>
        <w:t xml:space="preserve"> conservative treatment with a functional brace: a study protocol of a </w:t>
      </w:r>
      <w:proofErr w:type="spellStart"/>
      <w:r w:rsidRPr="0068137E">
        <w:rPr>
          <w:rFonts w:ascii="Book Antiqua" w:eastAsia="Book Antiqua" w:hAnsi="Book Antiqua" w:cs="Book Antiqua"/>
          <w:color w:val="000000"/>
        </w:rPr>
        <w:t>randomised</w:t>
      </w:r>
      <w:proofErr w:type="spellEnd"/>
      <w:r w:rsidRPr="0068137E">
        <w:rPr>
          <w:rFonts w:ascii="Book Antiqua" w:eastAsia="Book Antiqua" w:hAnsi="Book Antiqua" w:cs="Book Antiqua"/>
          <w:color w:val="000000"/>
        </w:rPr>
        <w:t xml:space="preserve"> controlled trial embedded in a cohort. </w:t>
      </w:r>
      <w:r w:rsidRPr="0068137E">
        <w:rPr>
          <w:rFonts w:ascii="Book Antiqua" w:eastAsia="Book Antiqua" w:hAnsi="Book Antiqua" w:cs="Book Antiqua"/>
          <w:i/>
          <w:iCs/>
          <w:color w:val="000000"/>
        </w:rPr>
        <w:t>BMJ Open</w:t>
      </w:r>
      <w:r w:rsidRPr="0068137E">
        <w:rPr>
          <w:rFonts w:ascii="Book Antiqua" w:eastAsia="Book Antiqua" w:hAnsi="Book Antiqua" w:cs="Book Antiqua"/>
          <w:color w:val="000000"/>
        </w:rPr>
        <w:t xml:space="preserve"> 2017; </w:t>
      </w:r>
      <w:r w:rsidRPr="0068137E">
        <w:rPr>
          <w:rFonts w:ascii="Book Antiqua" w:eastAsia="Book Antiqua" w:hAnsi="Book Antiqua" w:cs="Book Antiqua"/>
          <w:b/>
          <w:bCs/>
          <w:color w:val="000000"/>
        </w:rPr>
        <w:t>7</w:t>
      </w:r>
      <w:r w:rsidRPr="0068137E">
        <w:rPr>
          <w:rFonts w:ascii="Book Antiqua" w:eastAsia="Book Antiqua" w:hAnsi="Book Antiqua" w:cs="Book Antiqua"/>
          <w:color w:val="000000"/>
        </w:rPr>
        <w:t>: e014076 [PMID: 28694341 DOI: 10.1136/bmjopen-2016-014076]</w:t>
      </w:r>
    </w:p>
    <w:p w14:paraId="1273AD30" w14:textId="2699112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 xml:space="preserve">4 </w:t>
      </w:r>
      <w:r w:rsidRPr="0068137E">
        <w:rPr>
          <w:rFonts w:ascii="Book Antiqua" w:eastAsia="Book Antiqua" w:hAnsi="Book Antiqua" w:cs="Book Antiqua"/>
          <w:b/>
          <w:bCs/>
          <w:color w:val="000000"/>
        </w:rPr>
        <w:t>Holstein A</w:t>
      </w:r>
      <w:r w:rsidRPr="0068137E">
        <w:rPr>
          <w:rFonts w:ascii="Book Antiqua" w:eastAsia="Book Antiqua" w:hAnsi="Book Antiqua" w:cs="Book Antiqua"/>
          <w:color w:val="000000"/>
        </w:rPr>
        <w:t xml:space="preserve">, Lewis GM. Fractures of the humerus with radial-nerve paralysis. </w:t>
      </w:r>
      <w:r w:rsidRPr="0068137E">
        <w:rPr>
          <w:rFonts w:ascii="Book Antiqua" w:eastAsia="Book Antiqua" w:hAnsi="Book Antiqua" w:cs="Book Antiqua"/>
          <w:i/>
          <w:iCs/>
          <w:color w:val="000000"/>
        </w:rPr>
        <w:t>J Bone Joint Surg Am</w:t>
      </w:r>
      <w:r w:rsidRPr="0068137E">
        <w:rPr>
          <w:rFonts w:ascii="Book Antiqua" w:eastAsia="Book Antiqua" w:hAnsi="Book Antiqua" w:cs="Book Antiqua"/>
          <w:color w:val="000000"/>
        </w:rPr>
        <w:t xml:space="preserve"> 1963; </w:t>
      </w:r>
      <w:r w:rsidRPr="0068137E">
        <w:rPr>
          <w:rFonts w:ascii="Book Antiqua" w:eastAsia="Book Antiqua" w:hAnsi="Book Antiqua" w:cs="Book Antiqua"/>
          <w:b/>
          <w:bCs/>
          <w:color w:val="000000"/>
        </w:rPr>
        <w:t>45</w:t>
      </w:r>
      <w:r w:rsidRPr="0068137E">
        <w:rPr>
          <w:rFonts w:ascii="Book Antiqua" w:eastAsia="Book Antiqua" w:hAnsi="Book Antiqua" w:cs="Book Antiqua"/>
          <w:color w:val="000000"/>
        </w:rPr>
        <w:t>: 1382-1388 [PMID: 14069777]</w:t>
      </w:r>
    </w:p>
    <w:p w14:paraId="7AC7CBB2"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 xml:space="preserve">5 </w:t>
      </w:r>
      <w:r w:rsidRPr="0068137E">
        <w:rPr>
          <w:rFonts w:ascii="Book Antiqua" w:eastAsia="Book Antiqua" w:hAnsi="Book Antiqua" w:cs="Book Antiqua"/>
          <w:b/>
          <w:bCs/>
          <w:color w:val="000000"/>
        </w:rPr>
        <w:t>Schwab TR</w:t>
      </w:r>
      <w:r w:rsidRPr="0068137E">
        <w:rPr>
          <w:rFonts w:ascii="Book Antiqua" w:eastAsia="Book Antiqua" w:hAnsi="Book Antiqua" w:cs="Book Antiqua"/>
          <w:color w:val="000000"/>
        </w:rPr>
        <w:t xml:space="preserve">, </w:t>
      </w:r>
      <w:proofErr w:type="spellStart"/>
      <w:r w:rsidRPr="0068137E">
        <w:rPr>
          <w:rFonts w:ascii="Book Antiqua" w:eastAsia="Book Antiqua" w:hAnsi="Book Antiqua" w:cs="Book Antiqua"/>
          <w:color w:val="000000"/>
        </w:rPr>
        <w:t>Stillhard</w:t>
      </w:r>
      <w:proofErr w:type="spellEnd"/>
      <w:r w:rsidRPr="0068137E">
        <w:rPr>
          <w:rFonts w:ascii="Book Antiqua" w:eastAsia="Book Antiqua" w:hAnsi="Book Antiqua" w:cs="Book Antiqua"/>
          <w:color w:val="000000"/>
        </w:rPr>
        <w:t xml:space="preserve"> PF, </w:t>
      </w:r>
      <w:proofErr w:type="spellStart"/>
      <w:r w:rsidRPr="0068137E">
        <w:rPr>
          <w:rFonts w:ascii="Book Antiqua" w:eastAsia="Book Antiqua" w:hAnsi="Book Antiqua" w:cs="Book Antiqua"/>
          <w:color w:val="000000"/>
        </w:rPr>
        <w:t>Schibli</w:t>
      </w:r>
      <w:proofErr w:type="spellEnd"/>
      <w:r w:rsidRPr="0068137E">
        <w:rPr>
          <w:rFonts w:ascii="Book Antiqua" w:eastAsia="Book Antiqua" w:hAnsi="Book Antiqua" w:cs="Book Antiqua"/>
          <w:color w:val="000000"/>
        </w:rPr>
        <w:t xml:space="preserve"> S, </w:t>
      </w:r>
      <w:proofErr w:type="spellStart"/>
      <w:r w:rsidRPr="0068137E">
        <w:rPr>
          <w:rFonts w:ascii="Book Antiqua" w:eastAsia="Book Antiqua" w:hAnsi="Book Antiqua" w:cs="Book Antiqua"/>
          <w:color w:val="000000"/>
        </w:rPr>
        <w:t>Furrer</w:t>
      </w:r>
      <w:proofErr w:type="spellEnd"/>
      <w:r w:rsidRPr="0068137E">
        <w:rPr>
          <w:rFonts w:ascii="Book Antiqua" w:eastAsia="Book Antiqua" w:hAnsi="Book Antiqua" w:cs="Book Antiqua"/>
          <w:color w:val="000000"/>
        </w:rPr>
        <w:t xml:space="preserve"> M, Sommer C. Radial nerve palsy in humeral shaft fractures with internal fixation: analysis of management and outcome. </w:t>
      </w:r>
      <w:r w:rsidRPr="0068137E">
        <w:rPr>
          <w:rFonts w:ascii="Book Antiqua" w:eastAsia="Book Antiqua" w:hAnsi="Book Antiqua" w:cs="Book Antiqua"/>
          <w:i/>
          <w:iCs/>
          <w:color w:val="000000"/>
        </w:rPr>
        <w:t xml:space="preserve">Eur J Trauma </w:t>
      </w:r>
      <w:proofErr w:type="spellStart"/>
      <w:r w:rsidRPr="0068137E">
        <w:rPr>
          <w:rFonts w:ascii="Book Antiqua" w:eastAsia="Book Antiqua" w:hAnsi="Book Antiqua" w:cs="Book Antiqua"/>
          <w:i/>
          <w:iCs/>
          <w:color w:val="000000"/>
        </w:rPr>
        <w:t>Emerg</w:t>
      </w:r>
      <w:proofErr w:type="spellEnd"/>
      <w:r w:rsidRPr="0068137E">
        <w:rPr>
          <w:rFonts w:ascii="Book Antiqua" w:eastAsia="Book Antiqua" w:hAnsi="Book Antiqua" w:cs="Book Antiqua"/>
          <w:i/>
          <w:iCs/>
          <w:color w:val="000000"/>
        </w:rPr>
        <w:t xml:space="preserve"> Surg</w:t>
      </w:r>
      <w:r w:rsidRPr="0068137E">
        <w:rPr>
          <w:rFonts w:ascii="Book Antiqua" w:eastAsia="Book Antiqua" w:hAnsi="Book Antiqua" w:cs="Book Antiqua"/>
          <w:color w:val="000000"/>
        </w:rPr>
        <w:t xml:space="preserve"> 2018; </w:t>
      </w:r>
      <w:r w:rsidRPr="0068137E">
        <w:rPr>
          <w:rFonts w:ascii="Book Antiqua" w:eastAsia="Book Antiqua" w:hAnsi="Book Antiqua" w:cs="Book Antiqua"/>
          <w:b/>
          <w:bCs/>
          <w:color w:val="000000"/>
        </w:rPr>
        <w:t>44</w:t>
      </w:r>
      <w:r w:rsidRPr="0068137E">
        <w:rPr>
          <w:rFonts w:ascii="Book Antiqua" w:eastAsia="Book Antiqua" w:hAnsi="Book Antiqua" w:cs="Book Antiqua"/>
          <w:color w:val="000000"/>
        </w:rPr>
        <w:t>: 235-243 [PMID: 28280873 DOI: 10.1007/s00068-017-0775-9]</w:t>
      </w:r>
    </w:p>
    <w:p w14:paraId="5DDE73E2" w14:textId="16B17B32"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 xml:space="preserve">6 </w:t>
      </w:r>
      <w:r w:rsidRPr="0068137E">
        <w:rPr>
          <w:rFonts w:ascii="Book Antiqua" w:eastAsia="Book Antiqua" w:hAnsi="Book Antiqua" w:cs="Book Antiqua"/>
          <w:b/>
          <w:bCs/>
          <w:color w:val="000000"/>
        </w:rPr>
        <w:t>Reichert P</w:t>
      </w:r>
      <w:r w:rsidRPr="0068137E">
        <w:rPr>
          <w:rFonts w:ascii="Book Antiqua" w:eastAsia="Book Antiqua" w:hAnsi="Book Antiqua" w:cs="Book Antiqua"/>
          <w:color w:val="000000"/>
        </w:rPr>
        <w:t xml:space="preserve">, </w:t>
      </w:r>
      <w:proofErr w:type="spellStart"/>
      <w:r w:rsidRPr="0068137E">
        <w:rPr>
          <w:rFonts w:ascii="Book Antiqua" w:eastAsia="Book Antiqua" w:hAnsi="Book Antiqua" w:cs="Book Antiqua"/>
          <w:color w:val="000000"/>
        </w:rPr>
        <w:t>Wnukiewicz</w:t>
      </w:r>
      <w:proofErr w:type="spellEnd"/>
      <w:r w:rsidRPr="0068137E">
        <w:rPr>
          <w:rFonts w:ascii="Book Antiqua" w:eastAsia="Book Antiqua" w:hAnsi="Book Antiqua" w:cs="Book Antiqua"/>
          <w:color w:val="000000"/>
        </w:rPr>
        <w:t xml:space="preserve"> W, Witkowski J, </w:t>
      </w:r>
      <w:proofErr w:type="spellStart"/>
      <w:r w:rsidRPr="0068137E">
        <w:rPr>
          <w:rFonts w:ascii="Book Antiqua" w:eastAsia="Book Antiqua" w:hAnsi="Book Antiqua" w:cs="Book Antiqua"/>
          <w:color w:val="000000"/>
        </w:rPr>
        <w:t>Bocheńska</w:t>
      </w:r>
      <w:proofErr w:type="spellEnd"/>
      <w:r w:rsidRPr="0068137E">
        <w:rPr>
          <w:rFonts w:ascii="Book Antiqua" w:eastAsia="Book Antiqua" w:hAnsi="Book Antiqua" w:cs="Book Antiqua"/>
          <w:color w:val="000000"/>
        </w:rPr>
        <w:t xml:space="preserve"> A, </w:t>
      </w:r>
      <w:proofErr w:type="spellStart"/>
      <w:r w:rsidRPr="0068137E">
        <w:rPr>
          <w:rFonts w:ascii="Book Antiqua" w:eastAsia="Book Antiqua" w:hAnsi="Book Antiqua" w:cs="Book Antiqua"/>
          <w:color w:val="000000"/>
        </w:rPr>
        <w:t>Mizia</w:t>
      </w:r>
      <w:proofErr w:type="spellEnd"/>
      <w:r w:rsidRPr="0068137E">
        <w:rPr>
          <w:rFonts w:ascii="Book Antiqua" w:eastAsia="Book Antiqua" w:hAnsi="Book Antiqua" w:cs="Book Antiqua"/>
          <w:color w:val="000000"/>
        </w:rPr>
        <w:t xml:space="preserve"> S, </w:t>
      </w:r>
      <w:proofErr w:type="spellStart"/>
      <w:r w:rsidRPr="0068137E">
        <w:rPr>
          <w:rFonts w:ascii="Book Antiqua" w:eastAsia="Book Antiqua" w:hAnsi="Book Antiqua" w:cs="Book Antiqua"/>
          <w:color w:val="000000"/>
        </w:rPr>
        <w:t>Gosk</w:t>
      </w:r>
      <w:proofErr w:type="spellEnd"/>
      <w:r w:rsidRPr="0068137E">
        <w:rPr>
          <w:rFonts w:ascii="Book Antiqua" w:eastAsia="Book Antiqua" w:hAnsi="Book Antiqua" w:cs="Book Antiqua"/>
          <w:color w:val="000000"/>
        </w:rPr>
        <w:t xml:space="preserve"> J, Zimmer K. Causes of Secondary Radial Nerve Palsy and Results of Treatment. </w:t>
      </w:r>
      <w:r w:rsidRPr="0068137E">
        <w:rPr>
          <w:rFonts w:ascii="Book Antiqua" w:eastAsia="Book Antiqua" w:hAnsi="Book Antiqua" w:cs="Book Antiqua"/>
          <w:i/>
          <w:iCs/>
          <w:color w:val="000000"/>
        </w:rPr>
        <w:t xml:space="preserve">Med Sci </w:t>
      </w:r>
      <w:proofErr w:type="spellStart"/>
      <w:r w:rsidRPr="0068137E">
        <w:rPr>
          <w:rFonts w:ascii="Book Antiqua" w:eastAsia="Book Antiqua" w:hAnsi="Book Antiqua" w:cs="Book Antiqua"/>
          <w:i/>
          <w:iCs/>
          <w:color w:val="000000"/>
        </w:rPr>
        <w:t>Monit</w:t>
      </w:r>
      <w:proofErr w:type="spellEnd"/>
      <w:r w:rsidRPr="0068137E">
        <w:rPr>
          <w:rFonts w:ascii="Book Antiqua" w:eastAsia="Book Antiqua" w:hAnsi="Book Antiqua" w:cs="Book Antiqua"/>
          <w:color w:val="000000"/>
        </w:rPr>
        <w:t xml:space="preserve"> 2016; </w:t>
      </w:r>
      <w:r w:rsidRPr="0068137E">
        <w:rPr>
          <w:rFonts w:ascii="Book Antiqua" w:eastAsia="Book Antiqua" w:hAnsi="Book Antiqua" w:cs="Book Antiqua"/>
          <w:b/>
          <w:bCs/>
          <w:color w:val="000000"/>
        </w:rPr>
        <w:t>22</w:t>
      </w:r>
      <w:r w:rsidRPr="0068137E">
        <w:rPr>
          <w:rFonts w:ascii="Book Antiqua" w:eastAsia="Book Antiqua" w:hAnsi="Book Antiqua" w:cs="Book Antiqua"/>
          <w:color w:val="000000"/>
        </w:rPr>
        <w:t>: 554-562 [PMID: 26895570 DOI: 10.12659/msm.897170]</w:t>
      </w:r>
    </w:p>
    <w:p w14:paraId="3A1087A2" w14:textId="2F22FBC9"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 xml:space="preserve">7 </w:t>
      </w:r>
      <w:proofErr w:type="spellStart"/>
      <w:r w:rsidRPr="0068137E">
        <w:rPr>
          <w:rFonts w:ascii="Book Antiqua" w:eastAsia="Book Antiqua" w:hAnsi="Book Antiqua" w:cs="Book Antiqua"/>
          <w:b/>
          <w:bCs/>
          <w:color w:val="000000"/>
        </w:rPr>
        <w:t>Garnavos</w:t>
      </w:r>
      <w:proofErr w:type="spellEnd"/>
      <w:r w:rsidRPr="0068137E">
        <w:rPr>
          <w:rFonts w:ascii="Book Antiqua" w:eastAsia="Book Antiqua" w:hAnsi="Book Antiqua" w:cs="Book Antiqua"/>
          <w:b/>
          <w:bCs/>
          <w:color w:val="000000"/>
        </w:rPr>
        <w:t xml:space="preserve"> C</w:t>
      </w:r>
      <w:r w:rsidRPr="0068137E">
        <w:rPr>
          <w:rFonts w:ascii="Book Antiqua" w:eastAsia="Book Antiqua" w:hAnsi="Book Antiqua" w:cs="Book Antiqua"/>
          <w:color w:val="000000"/>
        </w:rPr>
        <w:t xml:space="preserve">. Diaphyseal humeral fractures and intramedullary nailing: Can we improve outcomes? </w:t>
      </w:r>
      <w:r w:rsidRPr="0068137E">
        <w:rPr>
          <w:rFonts w:ascii="Book Antiqua" w:eastAsia="Book Antiqua" w:hAnsi="Book Antiqua" w:cs="Book Antiqua"/>
          <w:i/>
          <w:iCs/>
          <w:color w:val="000000"/>
        </w:rPr>
        <w:t xml:space="preserve">Indian J </w:t>
      </w:r>
      <w:proofErr w:type="spellStart"/>
      <w:r w:rsidRPr="0068137E">
        <w:rPr>
          <w:rFonts w:ascii="Book Antiqua" w:eastAsia="Book Antiqua" w:hAnsi="Book Antiqua" w:cs="Book Antiqua"/>
          <w:i/>
          <w:iCs/>
          <w:color w:val="000000"/>
        </w:rPr>
        <w:t>Orthop</w:t>
      </w:r>
      <w:proofErr w:type="spellEnd"/>
      <w:r w:rsidRPr="0068137E">
        <w:rPr>
          <w:rFonts w:ascii="Book Antiqua" w:eastAsia="Book Antiqua" w:hAnsi="Book Antiqua" w:cs="Book Antiqua"/>
          <w:color w:val="000000"/>
        </w:rPr>
        <w:t xml:space="preserve"> 2011; </w:t>
      </w:r>
      <w:r w:rsidRPr="0068137E">
        <w:rPr>
          <w:rFonts w:ascii="Book Antiqua" w:eastAsia="Book Antiqua" w:hAnsi="Book Antiqua" w:cs="Book Antiqua"/>
          <w:b/>
          <w:bCs/>
          <w:color w:val="000000"/>
        </w:rPr>
        <w:t>45</w:t>
      </w:r>
      <w:r w:rsidRPr="0068137E">
        <w:rPr>
          <w:rFonts w:ascii="Book Antiqua" w:eastAsia="Book Antiqua" w:hAnsi="Book Antiqua" w:cs="Book Antiqua"/>
          <w:color w:val="000000"/>
        </w:rPr>
        <w:t>: 208-215 [PMID: 21559099 DOI: 10.4103/0019-5413.67117]</w:t>
      </w:r>
    </w:p>
    <w:p w14:paraId="27302639"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 xml:space="preserve">8 </w:t>
      </w:r>
      <w:proofErr w:type="spellStart"/>
      <w:r w:rsidRPr="0068137E">
        <w:rPr>
          <w:rFonts w:ascii="Book Antiqua" w:eastAsia="Book Antiqua" w:hAnsi="Book Antiqua" w:cs="Book Antiqua"/>
          <w:b/>
          <w:bCs/>
          <w:color w:val="000000"/>
        </w:rPr>
        <w:t>Tahririan</w:t>
      </w:r>
      <w:proofErr w:type="spellEnd"/>
      <w:r w:rsidRPr="0068137E">
        <w:rPr>
          <w:rFonts w:ascii="Book Antiqua" w:eastAsia="Book Antiqua" w:hAnsi="Book Antiqua" w:cs="Book Antiqua"/>
          <w:b/>
          <w:bCs/>
          <w:color w:val="000000"/>
        </w:rPr>
        <w:t xml:space="preserve"> MA</w:t>
      </w:r>
      <w:r w:rsidRPr="0068137E">
        <w:rPr>
          <w:rFonts w:ascii="Book Antiqua" w:eastAsia="Book Antiqua" w:hAnsi="Book Antiqua" w:cs="Book Antiqua"/>
          <w:color w:val="000000"/>
        </w:rPr>
        <w:t xml:space="preserve">, </w:t>
      </w:r>
      <w:proofErr w:type="spellStart"/>
      <w:r w:rsidRPr="0068137E">
        <w:rPr>
          <w:rFonts w:ascii="Book Antiqua" w:eastAsia="Book Antiqua" w:hAnsi="Book Antiqua" w:cs="Book Antiqua"/>
          <w:color w:val="000000"/>
        </w:rPr>
        <w:t>Andalib</w:t>
      </w:r>
      <w:proofErr w:type="spellEnd"/>
      <w:r w:rsidRPr="0068137E">
        <w:rPr>
          <w:rFonts w:ascii="Book Antiqua" w:eastAsia="Book Antiqua" w:hAnsi="Book Antiqua" w:cs="Book Antiqua"/>
          <w:color w:val="000000"/>
        </w:rPr>
        <w:t xml:space="preserve"> A. Is there a place for open intramedullary nailing in femoral shaft fractures? </w:t>
      </w:r>
      <w:r w:rsidRPr="0068137E">
        <w:rPr>
          <w:rFonts w:ascii="Book Antiqua" w:eastAsia="Book Antiqua" w:hAnsi="Book Antiqua" w:cs="Book Antiqua"/>
          <w:i/>
          <w:iCs/>
          <w:color w:val="000000"/>
        </w:rPr>
        <w:t>Adv Biomed Res</w:t>
      </w:r>
      <w:r w:rsidRPr="0068137E">
        <w:rPr>
          <w:rFonts w:ascii="Book Antiqua" w:eastAsia="Book Antiqua" w:hAnsi="Book Antiqua" w:cs="Book Antiqua"/>
          <w:color w:val="000000"/>
        </w:rPr>
        <w:t xml:space="preserve"> 2014; </w:t>
      </w:r>
      <w:r w:rsidRPr="0068137E">
        <w:rPr>
          <w:rFonts w:ascii="Book Antiqua" w:eastAsia="Book Antiqua" w:hAnsi="Book Antiqua" w:cs="Book Antiqua"/>
          <w:b/>
          <w:bCs/>
          <w:color w:val="000000"/>
        </w:rPr>
        <w:t>3</w:t>
      </w:r>
      <w:r w:rsidRPr="0068137E">
        <w:rPr>
          <w:rFonts w:ascii="Book Antiqua" w:eastAsia="Book Antiqua" w:hAnsi="Book Antiqua" w:cs="Book Antiqua"/>
          <w:color w:val="000000"/>
        </w:rPr>
        <w:t>: 157 [PMID: 25221760 DOI: 10.4103/2277-9175.137870]</w:t>
      </w:r>
    </w:p>
    <w:p w14:paraId="7D372069"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 xml:space="preserve">9 </w:t>
      </w:r>
      <w:proofErr w:type="spellStart"/>
      <w:r w:rsidRPr="0068137E">
        <w:rPr>
          <w:rFonts w:ascii="Book Antiqua" w:eastAsia="Book Antiqua" w:hAnsi="Book Antiqua" w:cs="Book Antiqua"/>
          <w:b/>
          <w:bCs/>
          <w:color w:val="000000"/>
        </w:rPr>
        <w:t>Paternostro-Sluga</w:t>
      </w:r>
      <w:proofErr w:type="spellEnd"/>
      <w:r w:rsidRPr="0068137E">
        <w:rPr>
          <w:rFonts w:ascii="Book Antiqua" w:eastAsia="Book Antiqua" w:hAnsi="Book Antiqua" w:cs="Book Antiqua"/>
          <w:b/>
          <w:bCs/>
          <w:color w:val="000000"/>
        </w:rPr>
        <w:t xml:space="preserve"> T</w:t>
      </w:r>
      <w:r w:rsidRPr="0068137E">
        <w:rPr>
          <w:rFonts w:ascii="Book Antiqua" w:eastAsia="Book Antiqua" w:hAnsi="Book Antiqua" w:cs="Book Antiqua"/>
          <w:color w:val="000000"/>
        </w:rPr>
        <w:t>, Grim-</w:t>
      </w:r>
      <w:proofErr w:type="spellStart"/>
      <w:r w:rsidRPr="0068137E">
        <w:rPr>
          <w:rFonts w:ascii="Book Antiqua" w:eastAsia="Book Antiqua" w:hAnsi="Book Antiqua" w:cs="Book Antiqua"/>
          <w:color w:val="000000"/>
        </w:rPr>
        <w:t>Stieger</w:t>
      </w:r>
      <w:proofErr w:type="spellEnd"/>
      <w:r w:rsidRPr="0068137E">
        <w:rPr>
          <w:rFonts w:ascii="Book Antiqua" w:eastAsia="Book Antiqua" w:hAnsi="Book Antiqua" w:cs="Book Antiqua"/>
          <w:color w:val="000000"/>
        </w:rPr>
        <w:t xml:space="preserve"> M, </w:t>
      </w:r>
      <w:proofErr w:type="spellStart"/>
      <w:r w:rsidRPr="0068137E">
        <w:rPr>
          <w:rFonts w:ascii="Book Antiqua" w:eastAsia="Book Antiqua" w:hAnsi="Book Antiqua" w:cs="Book Antiqua"/>
          <w:color w:val="000000"/>
        </w:rPr>
        <w:t>Posch</w:t>
      </w:r>
      <w:proofErr w:type="spellEnd"/>
      <w:r w:rsidRPr="0068137E">
        <w:rPr>
          <w:rFonts w:ascii="Book Antiqua" w:eastAsia="Book Antiqua" w:hAnsi="Book Antiqua" w:cs="Book Antiqua"/>
          <w:color w:val="000000"/>
        </w:rPr>
        <w:t xml:space="preserve"> M, </w:t>
      </w:r>
      <w:proofErr w:type="spellStart"/>
      <w:r w:rsidRPr="0068137E">
        <w:rPr>
          <w:rFonts w:ascii="Book Antiqua" w:eastAsia="Book Antiqua" w:hAnsi="Book Antiqua" w:cs="Book Antiqua"/>
          <w:color w:val="000000"/>
        </w:rPr>
        <w:t>Schuhfried</w:t>
      </w:r>
      <w:proofErr w:type="spellEnd"/>
      <w:r w:rsidRPr="0068137E">
        <w:rPr>
          <w:rFonts w:ascii="Book Antiqua" w:eastAsia="Book Antiqua" w:hAnsi="Book Antiqua" w:cs="Book Antiqua"/>
          <w:color w:val="000000"/>
        </w:rPr>
        <w:t xml:space="preserve"> O, </w:t>
      </w:r>
      <w:proofErr w:type="spellStart"/>
      <w:r w:rsidRPr="0068137E">
        <w:rPr>
          <w:rFonts w:ascii="Book Antiqua" w:eastAsia="Book Antiqua" w:hAnsi="Book Antiqua" w:cs="Book Antiqua"/>
          <w:color w:val="000000"/>
        </w:rPr>
        <w:t>Vacariu</w:t>
      </w:r>
      <w:proofErr w:type="spellEnd"/>
      <w:r w:rsidRPr="0068137E">
        <w:rPr>
          <w:rFonts w:ascii="Book Antiqua" w:eastAsia="Book Antiqua" w:hAnsi="Book Antiqua" w:cs="Book Antiqua"/>
          <w:color w:val="000000"/>
        </w:rPr>
        <w:t xml:space="preserve"> G, Mittermaier C, Bittner C, </w:t>
      </w:r>
      <w:proofErr w:type="spellStart"/>
      <w:r w:rsidRPr="0068137E">
        <w:rPr>
          <w:rFonts w:ascii="Book Antiqua" w:eastAsia="Book Antiqua" w:hAnsi="Book Antiqua" w:cs="Book Antiqua"/>
          <w:color w:val="000000"/>
        </w:rPr>
        <w:t>Fialka</w:t>
      </w:r>
      <w:proofErr w:type="spellEnd"/>
      <w:r w:rsidRPr="0068137E">
        <w:rPr>
          <w:rFonts w:ascii="Book Antiqua" w:eastAsia="Book Antiqua" w:hAnsi="Book Antiqua" w:cs="Book Antiqua"/>
          <w:color w:val="000000"/>
        </w:rPr>
        <w:t xml:space="preserve">-Moser V. Reliability and validity of the Medical Research Council (MRC) scale and a modified scale for testing muscle strength in patients with radial palsy. </w:t>
      </w:r>
      <w:r w:rsidRPr="0068137E">
        <w:rPr>
          <w:rFonts w:ascii="Book Antiqua" w:eastAsia="Book Antiqua" w:hAnsi="Book Antiqua" w:cs="Book Antiqua"/>
          <w:i/>
          <w:iCs/>
          <w:color w:val="000000"/>
        </w:rPr>
        <w:t xml:space="preserve">J </w:t>
      </w:r>
      <w:proofErr w:type="spellStart"/>
      <w:r w:rsidRPr="0068137E">
        <w:rPr>
          <w:rFonts w:ascii="Book Antiqua" w:eastAsia="Book Antiqua" w:hAnsi="Book Antiqua" w:cs="Book Antiqua"/>
          <w:i/>
          <w:iCs/>
          <w:color w:val="000000"/>
        </w:rPr>
        <w:t>Rehabil</w:t>
      </w:r>
      <w:proofErr w:type="spellEnd"/>
      <w:r w:rsidRPr="0068137E">
        <w:rPr>
          <w:rFonts w:ascii="Book Antiqua" w:eastAsia="Book Antiqua" w:hAnsi="Book Antiqua" w:cs="Book Antiqua"/>
          <w:i/>
          <w:iCs/>
          <w:color w:val="000000"/>
        </w:rPr>
        <w:t xml:space="preserve"> Med</w:t>
      </w:r>
      <w:r w:rsidRPr="0068137E">
        <w:rPr>
          <w:rFonts w:ascii="Book Antiqua" w:eastAsia="Book Antiqua" w:hAnsi="Book Antiqua" w:cs="Book Antiqua"/>
          <w:color w:val="000000"/>
        </w:rPr>
        <w:t xml:space="preserve"> 2008; </w:t>
      </w:r>
      <w:r w:rsidRPr="0068137E">
        <w:rPr>
          <w:rFonts w:ascii="Book Antiqua" w:eastAsia="Book Antiqua" w:hAnsi="Book Antiqua" w:cs="Book Antiqua"/>
          <w:b/>
          <w:bCs/>
          <w:color w:val="000000"/>
        </w:rPr>
        <w:t>40</w:t>
      </w:r>
      <w:r w:rsidRPr="0068137E">
        <w:rPr>
          <w:rFonts w:ascii="Book Antiqua" w:eastAsia="Book Antiqua" w:hAnsi="Book Antiqua" w:cs="Book Antiqua"/>
          <w:color w:val="000000"/>
        </w:rPr>
        <w:t>: 665-671 [PMID: 19020701 DOI: 10.2340/16501977-0235]</w:t>
      </w:r>
    </w:p>
    <w:p w14:paraId="46E355D4"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lastRenderedPageBreak/>
        <w:t xml:space="preserve">10 </w:t>
      </w:r>
      <w:proofErr w:type="spellStart"/>
      <w:r w:rsidRPr="0068137E">
        <w:rPr>
          <w:rFonts w:ascii="Book Antiqua" w:eastAsia="Book Antiqua" w:hAnsi="Book Antiqua" w:cs="Book Antiqua"/>
          <w:b/>
          <w:bCs/>
          <w:color w:val="000000"/>
        </w:rPr>
        <w:t>Nakamichi</w:t>
      </w:r>
      <w:proofErr w:type="spellEnd"/>
      <w:r w:rsidRPr="0068137E">
        <w:rPr>
          <w:rFonts w:ascii="Book Antiqua" w:eastAsia="Book Antiqua" w:hAnsi="Book Antiqua" w:cs="Book Antiqua"/>
          <w:b/>
          <w:bCs/>
          <w:color w:val="000000"/>
        </w:rPr>
        <w:t xml:space="preserve"> K</w:t>
      </w:r>
      <w:r w:rsidRPr="0068137E">
        <w:rPr>
          <w:rFonts w:ascii="Book Antiqua" w:eastAsia="Book Antiqua" w:hAnsi="Book Antiqua" w:cs="Book Antiqua"/>
          <w:color w:val="000000"/>
        </w:rPr>
        <w:t xml:space="preserve">, Tachibana S. Radial nerve entrapment by the lateral head of the triceps. </w:t>
      </w:r>
      <w:r w:rsidRPr="0068137E">
        <w:rPr>
          <w:rFonts w:ascii="Book Antiqua" w:eastAsia="Book Antiqua" w:hAnsi="Book Antiqua" w:cs="Book Antiqua"/>
          <w:i/>
          <w:iCs/>
          <w:color w:val="000000"/>
        </w:rPr>
        <w:t>J Hand Surg Am</w:t>
      </w:r>
      <w:r w:rsidRPr="0068137E">
        <w:rPr>
          <w:rFonts w:ascii="Book Antiqua" w:eastAsia="Book Antiqua" w:hAnsi="Book Antiqua" w:cs="Book Antiqua"/>
          <w:color w:val="000000"/>
        </w:rPr>
        <w:t xml:space="preserve"> 1991; </w:t>
      </w:r>
      <w:r w:rsidRPr="0068137E">
        <w:rPr>
          <w:rFonts w:ascii="Book Antiqua" w:eastAsia="Book Antiqua" w:hAnsi="Book Antiqua" w:cs="Book Antiqua"/>
          <w:b/>
          <w:bCs/>
          <w:color w:val="000000"/>
        </w:rPr>
        <w:t>16</w:t>
      </w:r>
      <w:r w:rsidRPr="0068137E">
        <w:rPr>
          <w:rFonts w:ascii="Book Antiqua" w:eastAsia="Book Antiqua" w:hAnsi="Book Antiqua" w:cs="Book Antiqua"/>
          <w:color w:val="000000"/>
        </w:rPr>
        <w:t>: 748-750 [PMID: 1880378 DOI: 10.1016/0363-5023(91)90206-q]</w:t>
      </w:r>
    </w:p>
    <w:p w14:paraId="1A607F42" w14:textId="00ABEB35"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 xml:space="preserve">11 </w:t>
      </w:r>
      <w:r w:rsidRPr="0068137E">
        <w:rPr>
          <w:rFonts w:ascii="Book Antiqua" w:eastAsia="Book Antiqua" w:hAnsi="Book Antiqua" w:cs="Book Antiqua"/>
          <w:b/>
          <w:bCs/>
          <w:color w:val="000000"/>
        </w:rPr>
        <w:t>Lin J</w:t>
      </w:r>
      <w:r w:rsidRPr="0068137E">
        <w:rPr>
          <w:rFonts w:ascii="Book Antiqua" w:eastAsia="Book Antiqua" w:hAnsi="Book Antiqua" w:cs="Book Antiqua"/>
          <w:color w:val="000000"/>
        </w:rPr>
        <w:t xml:space="preserve">. Locked nailing of spiral humeral fractures with or without radial nerve entrapment. </w:t>
      </w:r>
      <w:r w:rsidRPr="0068137E">
        <w:rPr>
          <w:rFonts w:ascii="Book Antiqua" w:eastAsia="Book Antiqua" w:hAnsi="Book Antiqua" w:cs="Book Antiqua"/>
          <w:i/>
          <w:iCs/>
          <w:color w:val="000000"/>
        </w:rPr>
        <w:t xml:space="preserve">Clin </w:t>
      </w:r>
      <w:proofErr w:type="spellStart"/>
      <w:r w:rsidRPr="0068137E">
        <w:rPr>
          <w:rFonts w:ascii="Book Antiqua" w:eastAsia="Book Antiqua" w:hAnsi="Book Antiqua" w:cs="Book Antiqua"/>
          <w:i/>
          <w:iCs/>
          <w:color w:val="000000"/>
        </w:rPr>
        <w:t>Orthop</w:t>
      </w:r>
      <w:proofErr w:type="spellEnd"/>
      <w:r w:rsidRPr="0068137E">
        <w:rPr>
          <w:rFonts w:ascii="Book Antiqua" w:eastAsia="Book Antiqua" w:hAnsi="Book Antiqua" w:cs="Book Antiqua"/>
          <w:i/>
          <w:iCs/>
          <w:color w:val="000000"/>
        </w:rPr>
        <w:t xml:space="preserve"> </w:t>
      </w:r>
      <w:proofErr w:type="spellStart"/>
      <w:r w:rsidRPr="0068137E">
        <w:rPr>
          <w:rFonts w:ascii="Book Antiqua" w:eastAsia="Book Antiqua" w:hAnsi="Book Antiqua" w:cs="Book Antiqua"/>
          <w:i/>
          <w:iCs/>
          <w:color w:val="000000"/>
        </w:rPr>
        <w:t>Relat</w:t>
      </w:r>
      <w:proofErr w:type="spellEnd"/>
      <w:r w:rsidRPr="0068137E">
        <w:rPr>
          <w:rFonts w:ascii="Book Antiqua" w:eastAsia="Book Antiqua" w:hAnsi="Book Antiqua" w:cs="Book Antiqua"/>
          <w:i/>
          <w:iCs/>
          <w:color w:val="000000"/>
        </w:rPr>
        <w:t xml:space="preserve"> Res</w:t>
      </w:r>
      <w:r w:rsidRPr="0068137E">
        <w:rPr>
          <w:rFonts w:ascii="Book Antiqua" w:eastAsia="Book Antiqua" w:hAnsi="Book Antiqua" w:cs="Book Antiqua"/>
          <w:color w:val="000000"/>
        </w:rPr>
        <w:t xml:space="preserve"> 2002; </w:t>
      </w:r>
      <w:r w:rsidRPr="0068137E">
        <w:rPr>
          <w:rFonts w:ascii="Book Antiqua" w:eastAsia="Book Antiqua" w:hAnsi="Book Antiqua" w:cs="Book Antiqua"/>
          <w:b/>
          <w:bCs/>
          <w:color w:val="000000"/>
        </w:rPr>
        <w:t>(403)</w:t>
      </w:r>
      <w:r w:rsidRPr="0068137E">
        <w:rPr>
          <w:rFonts w:ascii="Book Antiqua" w:eastAsia="Book Antiqua" w:hAnsi="Book Antiqua" w:cs="Book Antiqua"/>
          <w:color w:val="000000"/>
        </w:rPr>
        <w:t>: 213-220 [PMID: 12360029 DOI: 10.1097/00003086-200210000-00031]</w:t>
      </w:r>
    </w:p>
    <w:p w14:paraId="02FEC745"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 xml:space="preserve">12 </w:t>
      </w:r>
      <w:proofErr w:type="spellStart"/>
      <w:r w:rsidRPr="0068137E">
        <w:rPr>
          <w:rFonts w:ascii="Book Antiqua" w:eastAsia="Book Antiqua" w:hAnsi="Book Antiqua" w:cs="Book Antiqua"/>
          <w:b/>
          <w:bCs/>
          <w:color w:val="000000"/>
        </w:rPr>
        <w:t>Latef</w:t>
      </w:r>
      <w:proofErr w:type="spellEnd"/>
      <w:r w:rsidRPr="0068137E">
        <w:rPr>
          <w:rFonts w:ascii="Book Antiqua" w:eastAsia="Book Antiqua" w:hAnsi="Book Antiqua" w:cs="Book Antiqua"/>
          <w:b/>
          <w:bCs/>
          <w:color w:val="000000"/>
        </w:rPr>
        <w:t xml:space="preserve"> TJ</w:t>
      </w:r>
      <w:r w:rsidRPr="0068137E">
        <w:rPr>
          <w:rFonts w:ascii="Book Antiqua" w:eastAsia="Book Antiqua" w:hAnsi="Book Antiqua" w:cs="Book Antiqua"/>
          <w:color w:val="000000"/>
        </w:rPr>
        <w:t xml:space="preserve">, Bilal M, Vetter M, Iwanaga J, </w:t>
      </w:r>
      <w:proofErr w:type="spellStart"/>
      <w:r w:rsidRPr="0068137E">
        <w:rPr>
          <w:rFonts w:ascii="Book Antiqua" w:eastAsia="Book Antiqua" w:hAnsi="Book Antiqua" w:cs="Book Antiqua"/>
          <w:color w:val="000000"/>
        </w:rPr>
        <w:t>Oskouian</w:t>
      </w:r>
      <w:proofErr w:type="spellEnd"/>
      <w:r w:rsidRPr="0068137E">
        <w:rPr>
          <w:rFonts w:ascii="Book Antiqua" w:eastAsia="Book Antiqua" w:hAnsi="Book Antiqua" w:cs="Book Antiqua"/>
          <w:color w:val="000000"/>
        </w:rPr>
        <w:t xml:space="preserve"> RJ, Tubbs RS. Injury of the Radial Nerve in the Arm: A Review. </w:t>
      </w:r>
      <w:proofErr w:type="spellStart"/>
      <w:r w:rsidRPr="0068137E">
        <w:rPr>
          <w:rFonts w:ascii="Book Antiqua" w:eastAsia="Book Antiqua" w:hAnsi="Book Antiqua" w:cs="Book Antiqua"/>
          <w:i/>
          <w:iCs/>
          <w:color w:val="000000"/>
        </w:rPr>
        <w:t>Cureus</w:t>
      </w:r>
      <w:proofErr w:type="spellEnd"/>
      <w:r w:rsidRPr="0068137E">
        <w:rPr>
          <w:rFonts w:ascii="Book Antiqua" w:eastAsia="Book Antiqua" w:hAnsi="Book Antiqua" w:cs="Book Antiqua"/>
          <w:color w:val="000000"/>
        </w:rPr>
        <w:t xml:space="preserve"> 2018; </w:t>
      </w:r>
      <w:r w:rsidRPr="0068137E">
        <w:rPr>
          <w:rFonts w:ascii="Book Antiqua" w:eastAsia="Book Antiqua" w:hAnsi="Book Antiqua" w:cs="Book Antiqua"/>
          <w:b/>
          <w:bCs/>
          <w:color w:val="000000"/>
        </w:rPr>
        <w:t>10</w:t>
      </w:r>
      <w:r w:rsidRPr="0068137E">
        <w:rPr>
          <w:rFonts w:ascii="Book Antiqua" w:eastAsia="Book Antiqua" w:hAnsi="Book Antiqua" w:cs="Book Antiqua"/>
          <w:color w:val="000000"/>
        </w:rPr>
        <w:t>: e2199 [PMID: 29666777 DOI: 10.7759/cureus.2199]</w:t>
      </w:r>
    </w:p>
    <w:p w14:paraId="032F4FB4"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 xml:space="preserve">13 </w:t>
      </w:r>
      <w:r w:rsidRPr="0068137E">
        <w:rPr>
          <w:rFonts w:ascii="Book Antiqua" w:eastAsia="Book Antiqua" w:hAnsi="Book Antiqua" w:cs="Book Antiqua"/>
          <w:b/>
          <w:bCs/>
          <w:color w:val="000000"/>
        </w:rPr>
        <w:t>Shao YC</w:t>
      </w:r>
      <w:r w:rsidRPr="0068137E">
        <w:rPr>
          <w:rFonts w:ascii="Book Antiqua" w:eastAsia="Book Antiqua" w:hAnsi="Book Antiqua" w:cs="Book Antiqua"/>
          <w:color w:val="000000"/>
        </w:rPr>
        <w:t xml:space="preserve">, Harwood P, </w:t>
      </w:r>
      <w:proofErr w:type="spellStart"/>
      <w:r w:rsidRPr="0068137E">
        <w:rPr>
          <w:rFonts w:ascii="Book Antiqua" w:eastAsia="Book Antiqua" w:hAnsi="Book Antiqua" w:cs="Book Antiqua"/>
          <w:color w:val="000000"/>
        </w:rPr>
        <w:t>Grotz</w:t>
      </w:r>
      <w:proofErr w:type="spellEnd"/>
      <w:r w:rsidRPr="0068137E">
        <w:rPr>
          <w:rFonts w:ascii="Book Antiqua" w:eastAsia="Book Antiqua" w:hAnsi="Book Antiqua" w:cs="Book Antiqua"/>
          <w:color w:val="000000"/>
        </w:rPr>
        <w:t xml:space="preserve"> MR, Limb D, </w:t>
      </w:r>
      <w:proofErr w:type="spellStart"/>
      <w:r w:rsidRPr="0068137E">
        <w:rPr>
          <w:rFonts w:ascii="Book Antiqua" w:eastAsia="Book Antiqua" w:hAnsi="Book Antiqua" w:cs="Book Antiqua"/>
          <w:color w:val="000000"/>
        </w:rPr>
        <w:t>Giannoudis</w:t>
      </w:r>
      <w:proofErr w:type="spellEnd"/>
      <w:r w:rsidRPr="0068137E">
        <w:rPr>
          <w:rFonts w:ascii="Book Antiqua" w:eastAsia="Book Antiqua" w:hAnsi="Book Antiqua" w:cs="Book Antiqua"/>
          <w:color w:val="000000"/>
        </w:rPr>
        <w:t xml:space="preserve"> PV. Radial nerve palsy associated with fractures of the shaft of the humerus: a systematic review. </w:t>
      </w:r>
      <w:r w:rsidRPr="0068137E">
        <w:rPr>
          <w:rFonts w:ascii="Book Antiqua" w:eastAsia="Book Antiqua" w:hAnsi="Book Antiqua" w:cs="Book Antiqua"/>
          <w:i/>
          <w:iCs/>
          <w:color w:val="000000"/>
        </w:rPr>
        <w:t>J Bone Joint Surg Br</w:t>
      </w:r>
      <w:r w:rsidRPr="0068137E">
        <w:rPr>
          <w:rFonts w:ascii="Book Antiqua" w:eastAsia="Book Antiqua" w:hAnsi="Book Antiqua" w:cs="Book Antiqua"/>
          <w:color w:val="000000"/>
        </w:rPr>
        <w:t xml:space="preserve"> 2005; </w:t>
      </w:r>
      <w:r w:rsidRPr="0068137E">
        <w:rPr>
          <w:rFonts w:ascii="Book Antiqua" w:eastAsia="Book Antiqua" w:hAnsi="Book Antiqua" w:cs="Book Antiqua"/>
          <w:b/>
          <w:bCs/>
          <w:color w:val="000000"/>
        </w:rPr>
        <w:t>87</w:t>
      </w:r>
      <w:r w:rsidRPr="0068137E">
        <w:rPr>
          <w:rFonts w:ascii="Book Antiqua" w:eastAsia="Book Antiqua" w:hAnsi="Book Antiqua" w:cs="Book Antiqua"/>
          <w:color w:val="000000"/>
        </w:rPr>
        <w:t>: 1647-1652 [PMID: 16326879 DOI: 10.1302/0301-620X.87B12.16132]</w:t>
      </w:r>
    </w:p>
    <w:p w14:paraId="49115142"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 xml:space="preserve">14 </w:t>
      </w:r>
      <w:r w:rsidRPr="0068137E">
        <w:rPr>
          <w:rFonts w:ascii="Book Antiqua" w:eastAsia="Book Antiqua" w:hAnsi="Book Antiqua" w:cs="Book Antiqua"/>
          <w:b/>
          <w:bCs/>
          <w:color w:val="000000"/>
        </w:rPr>
        <w:t>Wang JP</w:t>
      </w:r>
      <w:r w:rsidRPr="0068137E">
        <w:rPr>
          <w:rFonts w:ascii="Book Antiqua" w:eastAsia="Book Antiqua" w:hAnsi="Book Antiqua" w:cs="Book Antiqua"/>
          <w:color w:val="000000"/>
        </w:rPr>
        <w:t xml:space="preserve">, Shen WJ, Chen WM, Huang CK, Shen YS, Chen TH. Iatrogenic radial nerve palsy after operative management of humeral shaft fractures. </w:t>
      </w:r>
      <w:r w:rsidRPr="0068137E">
        <w:rPr>
          <w:rFonts w:ascii="Book Antiqua" w:eastAsia="Book Antiqua" w:hAnsi="Book Antiqua" w:cs="Book Antiqua"/>
          <w:i/>
          <w:iCs/>
          <w:color w:val="000000"/>
        </w:rPr>
        <w:t>J Trauma</w:t>
      </w:r>
      <w:r w:rsidRPr="0068137E">
        <w:rPr>
          <w:rFonts w:ascii="Book Antiqua" w:eastAsia="Book Antiqua" w:hAnsi="Book Antiqua" w:cs="Book Antiqua"/>
          <w:color w:val="000000"/>
        </w:rPr>
        <w:t xml:space="preserve"> 2009; </w:t>
      </w:r>
      <w:r w:rsidRPr="0068137E">
        <w:rPr>
          <w:rFonts w:ascii="Book Antiqua" w:eastAsia="Book Antiqua" w:hAnsi="Book Antiqua" w:cs="Book Antiqua"/>
          <w:b/>
          <w:bCs/>
          <w:color w:val="000000"/>
        </w:rPr>
        <w:t>66</w:t>
      </w:r>
      <w:r w:rsidRPr="0068137E">
        <w:rPr>
          <w:rFonts w:ascii="Book Antiqua" w:eastAsia="Book Antiqua" w:hAnsi="Book Antiqua" w:cs="Book Antiqua"/>
          <w:color w:val="000000"/>
        </w:rPr>
        <w:t>: 800-803 [PMID: 19276756 DOI: 10.1097/TA.0b013e31816142cf]</w:t>
      </w:r>
    </w:p>
    <w:p w14:paraId="3867298A"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 xml:space="preserve">15 </w:t>
      </w:r>
      <w:proofErr w:type="spellStart"/>
      <w:r w:rsidRPr="0068137E">
        <w:rPr>
          <w:rFonts w:ascii="Book Antiqua" w:eastAsia="Book Antiqua" w:hAnsi="Book Antiqua" w:cs="Book Antiqua"/>
          <w:b/>
          <w:bCs/>
          <w:color w:val="000000"/>
        </w:rPr>
        <w:t>Seigerman</w:t>
      </w:r>
      <w:proofErr w:type="spellEnd"/>
      <w:r w:rsidRPr="0068137E">
        <w:rPr>
          <w:rFonts w:ascii="Book Antiqua" w:eastAsia="Book Antiqua" w:hAnsi="Book Antiqua" w:cs="Book Antiqua"/>
          <w:b/>
          <w:bCs/>
          <w:color w:val="000000"/>
        </w:rPr>
        <w:t xml:space="preserve"> DA</w:t>
      </w:r>
      <w:r w:rsidRPr="0068137E">
        <w:rPr>
          <w:rFonts w:ascii="Book Antiqua" w:eastAsia="Book Antiqua" w:hAnsi="Book Antiqua" w:cs="Book Antiqua"/>
          <w:color w:val="000000"/>
        </w:rPr>
        <w:t xml:space="preserve">, Choung EW, Yoon RS, Lu M, Frank MA, Gaines LC, </w:t>
      </w:r>
      <w:proofErr w:type="spellStart"/>
      <w:r w:rsidRPr="0068137E">
        <w:rPr>
          <w:rFonts w:ascii="Book Antiqua" w:eastAsia="Book Antiqua" w:hAnsi="Book Antiqua" w:cs="Book Antiqua"/>
          <w:color w:val="000000"/>
        </w:rPr>
        <w:t>Liporace</w:t>
      </w:r>
      <w:proofErr w:type="spellEnd"/>
      <w:r w:rsidRPr="0068137E">
        <w:rPr>
          <w:rFonts w:ascii="Book Antiqua" w:eastAsia="Book Antiqua" w:hAnsi="Book Antiqua" w:cs="Book Antiqua"/>
          <w:color w:val="000000"/>
        </w:rPr>
        <w:t xml:space="preserve"> FA. Identification of the radial nerve during the posterior approach to the humerus: a cadaveric study. </w:t>
      </w:r>
      <w:r w:rsidRPr="0068137E">
        <w:rPr>
          <w:rFonts w:ascii="Book Antiqua" w:eastAsia="Book Antiqua" w:hAnsi="Book Antiqua" w:cs="Book Antiqua"/>
          <w:i/>
          <w:iCs/>
          <w:color w:val="000000"/>
        </w:rPr>
        <w:t xml:space="preserve">J </w:t>
      </w:r>
      <w:proofErr w:type="spellStart"/>
      <w:r w:rsidRPr="0068137E">
        <w:rPr>
          <w:rFonts w:ascii="Book Antiqua" w:eastAsia="Book Antiqua" w:hAnsi="Book Antiqua" w:cs="Book Antiqua"/>
          <w:i/>
          <w:iCs/>
          <w:color w:val="000000"/>
        </w:rPr>
        <w:t>Orthop</w:t>
      </w:r>
      <w:proofErr w:type="spellEnd"/>
      <w:r w:rsidRPr="0068137E">
        <w:rPr>
          <w:rFonts w:ascii="Book Antiqua" w:eastAsia="Book Antiqua" w:hAnsi="Book Antiqua" w:cs="Book Antiqua"/>
          <w:i/>
          <w:iCs/>
          <w:color w:val="000000"/>
        </w:rPr>
        <w:t xml:space="preserve"> Trauma</w:t>
      </w:r>
      <w:r w:rsidRPr="0068137E">
        <w:rPr>
          <w:rFonts w:ascii="Book Antiqua" w:eastAsia="Book Antiqua" w:hAnsi="Book Antiqua" w:cs="Book Antiqua"/>
          <w:color w:val="000000"/>
        </w:rPr>
        <w:t xml:space="preserve"> 2012; </w:t>
      </w:r>
      <w:r w:rsidRPr="0068137E">
        <w:rPr>
          <w:rFonts w:ascii="Book Antiqua" w:eastAsia="Book Antiqua" w:hAnsi="Book Antiqua" w:cs="Book Antiqua"/>
          <w:b/>
          <w:bCs/>
          <w:color w:val="000000"/>
        </w:rPr>
        <w:t>26</w:t>
      </w:r>
      <w:r w:rsidRPr="0068137E">
        <w:rPr>
          <w:rFonts w:ascii="Book Antiqua" w:eastAsia="Book Antiqua" w:hAnsi="Book Antiqua" w:cs="Book Antiqua"/>
          <w:color w:val="000000"/>
        </w:rPr>
        <w:t>: 226-228 [PMID: 21918485 DOI: 10.1097/BOT.0b013e31821d0200]</w:t>
      </w:r>
    </w:p>
    <w:p w14:paraId="68B159CA"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 xml:space="preserve">16 </w:t>
      </w:r>
      <w:proofErr w:type="spellStart"/>
      <w:r w:rsidRPr="0068137E">
        <w:rPr>
          <w:rFonts w:ascii="Book Antiqua" w:eastAsia="Book Antiqua" w:hAnsi="Book Antiqua" w:cs="Book Antiqua"/>
          <w:b/>
          <w:bCs/>
          <w:color w:val="000000"/>
        </w:rPr>
        <w:t>Rocchi</w:t>
      </w:r>
      <w:proofErr w:type="spellEnd"/>
      <w:r w:rsidRPr="0068137E">
        <w:rPr>
          <w:rFonts w:ascii="Book Antiqua" w:eastAsia="Book Antiqua" w:hAnsi="Book Antiqua" w:cs="Book Antiqua"/>
          <w:b/>
          <w:bCs/>
          <w:color w:val="000000"/>
        </w:rPr>
        <w:t xml:space="preserve"> M</w:t>
      </w:r>
      <w:r w:rsidRPr="0068137E">
        <w:rPr>
          <w:rFonts w:ascii="Book Antiqua" w:eastAsia="Book Antiqua" w:hAnsi="Book Antiqua" w:cs="Book Antiqua"/>
          <w:color w:val="000000"/>
        </w:rPr>
        <w:t xml:space="preserve">, Tarallo L, Mugnai R, Adani R. </w:t>
      </w:r>
      <w:proofErr w:type="spellStart"/>
      <w:r w:rsidRPr="0068137E">
        <w:rPr>
          <w:rFonts w:ascii="Book Antiqua" w:eastAsia="Book Antiqua" w:hAnsi="Book Antiqua" w:cs="Book Antiqua"/>
          <w:color w:val="000000"/>
        </w:rPr>
        <w:t>Humerus</w:t>
      </w:r>
      <w:proofErr w:type="spellEnd"/>
      <w:r w:rsidRPr="0068137E">
        <w:rPr>
          <w:rFonts w:ascii="Book Antiqua" w:eastAsia="Book Antiqua" w:hAnsi="Book Antiqua" w:cs="Book Antiqua"/>
          <w:color w:val="000000"/>
        </w:rPr>
        <w:t xml:space="preserve"> shaft fracture complicated by radial nerve palsy: Is surgical exploration necessary? </w:t>
      </w:r>
      <w:proofErr w:type="spellStart"/>
      <w:r w:rsidRPr="0068137E">
        <w:rPr>
          <w:rFonts w:ascii="Book Antiqua" w:eastAsia="Book Antiqua" w:hAnsi="Book Antiqua" w:cs="Book Antiqua"/>
          <w:i/>
          <w:iCs/>
          <w:color w:val="000000"/>
        </w:rPr>
        <w:t>Musculoskelet</w:t>
      </w:r>
      <w:proofErr w:type="spellEnd"/>
      <w:r w:rsidRPr="0068137E">
        <w:rPr>
          <w:rFonts w:ascii="Book Antiqua" w:eastAsia="Book Antiqua" w:hAnsi="Book Antiqua" w:cs="Book Antiqua"/>
          <w:i/>
          <w:iCs/>
          <w:color w:val="000000"/>
        </w:rPr>
        <w:t xml:space="preserve"> Surg</w:t>
      </w:r>
      <w:r w:rsidRPr="0068137E">
        <w:rPr>
          <w:rFonts w:ascii="Book Antiqua" w:eastAsia="Book Antiqua" w:hAnsi="Book Antiqua" w:cs="Book Antiqua"/>
          <w:color w:val="000000"/>
        </w:rPr>
        <w:t xml:space="preserve"> 2016; </w:t>
      </w:r>
      <w:r w:rsidRPr="0068137E">
        <w:rPr>
          <w:rFonts w:ascii="Book Antiqua" w:eastAsia="Book Antiqua" w:hAnsi="Book Antiqua" w:cs="Book Antiqua"/>
          <w:b/>
          <w:bCs/>
          <w:color w:val="000000"/>
        </w:rPr>
        <w:t>100</w:t>
      </w:r>
      <w:r w:rsidRPr="0068137E">
        <w:rPr>
          <w:rFonts w:ascii="Book Antiqua" w:eastAsia="Book Antiqua" w:hAnsi="Book Antiqua" w:cs="Book Antiqua"/>
          <w:color w:val="000000"/>
        </w:rPr>
        <w:t>: 53-60 [PMID: 27900704 DOI: 10.1007/s12306-016-0414-3]</w:t>
      </w:r>
    </w:p>
    <w:p w14:paraId="76CE7F3C"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 xml:space="preserve">17 </w:t>
      </w:r>
      <w:proofErr w:type="spellStart"/>
      <w:r w:rsidRPr="0068137E">
        <w:rPr>
          <w:rFonts w:ascii="Book Antiqua" w:eastAsia="Book Antiqua" w:hAnsi="Book Antiqua" w:cs="Book Antiqua"/>
          <w:b/>
          <w:bCs/>
          <w:color w:val="000000"/>
        </w:rPr>
        <w:t>Moattari</w:t>
      </w:r>
      <w:proofErr w:type="spellEnd"/>
      <w:r w:rsidRPr="0068137E">
        <w:rPr>
          <w:rFonts w:ascii="Book Antiqua" w:eastAsia="Book Antiqua" w:hAnsi="Book Antiqua" w:cs="Book Antiqua"/>
          <w:b/>
          <w:bCs/>
          <w:color w:val="000000"/>
        </w:rPr>
        <w:t xml:space="preserve"> M</w:t>
      </w:r>
      <w:r w:rsidRPr="0068137E">
        <w:rPr>
          <w:rFonts w:ascii="Book Antiqua" w:eastAsia="Book Antiqua" w:hAnsi="Book Antiqua" w:cs="Book Antiqua"/>
          <w:color w:val="000000"/>
        </w:rPr>
        <w:t xml:space="preserve">, </w:t>
      </w:r>
      <w:proofErr w:type="spellStart"/>
      <w:r w:rsidRPr="0068137E">
        <w:rPr>
          <w:rFonts w:ascii="Book Antiqua" w:eastAsia="Book Antiqua" w:hAnsi="Book Antiqua" w:cs="Book Antiqua"/>
          <w:color w:val="000000"/>
        </w:rPr>
        <w:t>Kouchesfehani</w:t>
      </w:r>
      <w:proofErr w:type="spellEnd"/>
      <w:r w:rsidRPr="0068137E">
        <w:rPr>
          <w:rFonts w:ascii="Book Antiqua" w:eastAsia="Book Antiqua" w:hAnsi="Book Antiqua" w:cs="Book Antiqua"/>
          <w:color w:val="000000"/>
        </w:rPr>
        <w:t xml:space="preserve"> HM, Kaka G, </w:t>
      </w:r>
      <w:proofErr w:type="spellStart"/>
      <w:r w:rsidRPr="0068137E">
        <w:rPr>
          <w:rFonts w:ascii="Book Antiqua" w:eastAsia="Book Antiqua" w:hAnsi="Book Antiqua" w:cs="Book Antiqua"/>
          <w:color w:val="000000"/>
        </w:rPr>
        <w:t>Sadraie</w:t>
      </w:r>
      <w:proofErr w:type="spellEnd"/>
      <w:r w:rsidRPr="0068137E">
        <w:rPr>
          <w:rFonts w:ascii="Book Antiqua" w:eastAsia="Book Antiqua" w:hAnsi="Book Antiqua" w:cs="Book Antiqua"/>
          <w:color w:val="000000"/>
        </w:rPr>
        <w:t xml:space="preserve"> SH, Naghdi M. Evaluation of nerve growth factor (NGF) treated mesenchymal stem cells for recovery in neurotmesis model of peripheral nerve injury. </w:t>
      </w:r>
      <w:r w:rsidRPr="0068137E">
        <w:rPr>
          <w:rFonts w:ascii="Book Antiqua" w:eastAsia="Book Antiqua" w:hAnsi="Book Antiqua" w:cs="Book Antiqua"/>
          <w:i/>
          <w:iCs/>
          <w:color w:val="000000"/>
        </w:rPr>
        <w:t xml:space="preserve">J </w:t>
      </w:r>
      <w:proofErr w:type="spellStart"/>
      <w:r w:rsidRPr="0068137E">
        <w:rPr>
          <w:rFonts w:ascii="Book Antiqua" w:eastAsia="Book Antiqua" w:hAnsi="Book Antiqua" w:cs="Book Antiqua"/>
          <w:i/>
          <w:iCs/>
          <w:color w:val="000000"/>
        </w:rPr>
        <w:t>Craniomaxillofac</w:t>
      </w:r>
      <w:proofErr w:type="spellEnd"/>
      <w:r w:rsidRPr="0068137E">
        <w:rPr>
          <w:rFonts w:ascii="Book Antiqua" w:eastAsia="Book Antiqua" w:hAnsi="Book Antiqua" w:cs="Book Antiqua"/>
          <w:i/>
          <w:iCs/>
          <w:color w:val="000000"/>
        </w:rPr>
        <w:t xml:space="preserve"> Surg</w:t>
      </w:r>
      <w:r w:rsidRPr="0068137E">
        <w:rPr>
          <w:rFonts w:ascii="Book Antiqua" w:eastAsia="Book Antiqua" w:hAnsi="Book Antiqua" w:cs="Book Antiqua"/>
          <w:color w:val="000000"/>
        </w:rPr>
        <w:t xml:space="preserve"> 2018; </w:t>
      </w:r>
      <w:r w:rsidRPr="0068137E">
        <w:rPr>
          <w:rFonts w:ascii="Book Antiqua" w:eastAsia="Book Antiqua" w:hAnsi="Book Antiqua" w:cs="Book Antiqua"/>
          <w:b/>
          <w:bCs/>
          <w:color w:val="000000"/>
        </w:rPr>
        <w:t>46</w:t>
      </w:r>
      <w:r w:rsidRPr="0068137E">
        <w:rPr>
          <w:rFonts w:ascii="Book Antiqua" w:eastAsia="Book Antiqua" w:hAnsi="Book Antiqua" w:cs="Book Antiqua"/>
          <w:color w:val="000000"/>
        </w:rPr>
        <w:t>: 898-904 [PMID: 29716818 DOI: 10.1016/j.jcms.2018.03.015]</w:t>
      </w:r>
    </w:p>
    <w:p w14:paraId="6AF40D5E"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 xml:space="preserve">18 </w:t>
      </w:r>
      <w:proofErr w:type="spellStart"/>
      <w:r w:rsidRPr="0068137E">
        <w:rPr>
          <w:rFonts w:ascii="Book Antiqua" w:eastAsia="Book Antiqua" w:hAnsi="Book Antiqua" w:cs="Book Antiqua"/>
          <w:b/>
          <w:bCs/>
          <w:color w:val="000000"/>
        </w:rPr>
        <w:t>Ekholm</w:t>
      </w:r>
      <w:proofErr w:type="spellEnd"/>
      <w:r w:rsidRPr="0068137E">
        <w:rPr>
          <w:rFonts w:ascii="Book Antiqua" w:eastAsia="Book Antiqua" w:hAnsi="Book Antiqua" w:cs="Book Antiqua"/>
          <w:b/>
          <w:bCs/>
          <w:color w:val="000000"/>
        </w:rPr>
        <w:t xml:space="preserve"> R</w:t>
      </w:r>
      <w:r w:rsidRPr="0068137E">
        <w:rPr>
          <w:rFonts w:ascii="Book Antiqua" w:eastAsia="Book Antiqua" w:hAnsi="Book Antiqua" w:cs="Book Antiqua"/>
          <w:color w:val="000000"/>
        </w:rPr>
        <w:t xml:space="preserve">, </w:t>
      </w:r>
      <w:proofErr w:type="spellStart"/>
      <w:r w:rsidRPr="0068137E">
        <w:rPr>
          <w:rFonts w:ascii="Book Antiqua" w:eastAsia="Book Antiqua" w:hAnsi="Book Antiqua" w:cs="Book Antiqua"/>
          <w:color w:val="000000"/>
        </w:rPr>
        <w:t>Ponzer</w:t>
      </w:r>
      <w:proofErr w:type="spellEnd"/>
      <w:r w:rsidRPr="0068137E">
        <w:rPr>
          <w:rFonts w:ascii="Book Antiqua" w:eastAsia="Book Antiqua" w:hAnsi="Book Antiqua" w:cs="Book Antiqua"/>
          <w:color w:val="000000"/>
        </w:rPr>
        <w:t xml:space="preserve"> S, </w:t>
      </w:r>
      <w:proofErr w:type="spellStart"/>
      <w:r w:rsidRPr="0068137E">
        <w:rPr>
          <w:rFonts w:ascii="Book Antiqua" w:eastAsia="Book Antiqua" w:hAnsi="Book Antiqua" w:cs="Book Antiqua"/>
          <w:color w:val="000000"/>
        </w:rPr>
        <w:t>Törnkvist</w:t>
      </w:r>
      <w:proofErr w:type="spellEnd"/>
      <w:r w:rsidRPr="0068137E">
        <w:rPr>
          <w:rFonts w:ascii="Book Antiqua" w:eastAsia="Book Antiqua" w:hAnsi="Book Antiqua" w:cs="Book Antiqua"/>
          <w:color w:val="000000"/>
        </w:rPr>
        <w:t xml:space="preserve"> H, </w:t>
      </w:r>
      <w:proofErr w:type="spellStart"/>
      <w:r w:rsidRPr="0068137E">
        <w:rPr>
          <w:rFonts w:ascii="Book Antiqua" w:eastAsia="Book Antiqua" w:hAnsi="Book Antiqua" w:cs="Book Antiqua"/>
          <w:color w:val="000000"/>
        </w:rPr>
        <w:t>Adami</w:t>
      </w:r>
      <w:proofErr w:type="spellEnd"/>
      <w:r w:rsidRPr="0068137E">
        <w:rPr>
          <w:rFonts w:ascii="Book Antiqua" w:eastAsia="Book Antiqua" w:hAnsi="Book Antiqua" w:cs="Book Antiqua"/>
          <w:color w:val="000000"/>
        </w:rPr>
        <w:t xml:space="preserve"> J, </w:t>
      </w:r>
      <w:proofErr w:type="spellStart"/>
      <w:r w:rsidRPr="0068137E">
        <w:rPr>
          <w:rFonts w:ascii="Book Antiqua" w:eastAsia="Book Antiqua" w:hAnsi="Book Antiqua" w:cs="Book Antiqua"/>
          <w:color w:val="000000"/>
        </w:rPr>
        <w:t>Tidermark</w:t>
      </w:r>
      <w:proofErr w:type="spellEnd"/>
      <w:r w:rsidRPr="0068137E">
        <w:rPr>
          <w:rFonts w:ascii="Book Antiqua" w:eastAsia="Book Antiqua" w:hAnsi="Book Antiqua" w:cs="Book Antiqua"/>
          <w:color w:val="000000"/>
        </w:rPr>
        <w:t xml:space="preserve"> J. The Holstein-Lewis humeral shaft fracture: aspects of radial nerve injury, primary treatment, and outcome. </w:t>
      </w:r>
      <w:r w:rsidRPr="0068137E">
        <w:rPr>
          <w:rFonts w:ascii="Book Antiqua" w:eastAsia="Book Antiqua" w:hAnsi="Book Antiqua" w:cs="Book Antiqua"/>
          <w:i/>
          <w:iCs/>
          <w:color w:val="000000"/>
        </w:rPr>
        <w:t xml:space="preserve">J </w:t>
      </w:r>
      <w:proofErr w:type="spellStart"/>
      <w:r w:rsidRPr="0068137E">
        <w:rPr>
          <w:rFonts w:ascii="Book Antiqua" w:eastAsia="Book Antiqua" w:hAnsi="Book Antiqua" w:cs="Book Antiqua"/>
          <w:i/>
          <w:iCs/>
          <w:color w:val="000000"/>
        </w:rPr>
        <w:t>Orthop</w:t>
      </w:r>
      <w:proofErr w:type="spellEnd"/>
      <w:r w:rsidRPr="0068137E">
        <w:rPr>
          <w:rFonts w:ascii="Book Antiqua" w:eastAsia="Book Antiqua" w:hAnsi="Book Antiqua" w:cs="Book Antiqua"/>
          <w:i/>
          <w:iCs/>
          <w:color w:val="000000"/>
        </w:rPr>
        <w:t xml:space="preserve"> Trauma</w:t>
      </w:r>
      <w:r w:rsidRPr="0068137E">
        <w:rPr>
          <w:rFonts w:ascii="Book Antiqua" w:eastAsia="Book Antiqua" w:hAnsi="Book Antiqua" w:cs="Book Antiqua"/>
          <w:color w:val="000000"/>
        </w:rPr>
        <w:t xml:space="preserve"> 2008; </w:t>
      </w:r>
      <w:r w:rsidRPr="0068137E">
        <w:rPr>
          <w:rFonts w:ascii="Book Antiqua" w:eastAsia="Book Antiqua" w:hAnsi="Book Antiqua" w:cs="Book Antiqua"/>
          <w:b/>
          <w:bCs/>
          <w:color w:val="000000"/>
        </w:rPr>
        <w:t>22</w:t>
      </w:r>
      <w:r w:rsidRPr="0068137E">
        <w:rPr>
          <w:rFonts w:ascii="Book Antiqua" w:eastAsia="Book Antiqua" w:hAnsi="Book Antiqua" w:cs="Book Antiqua"/>
          <w:color w:val="000000"/>
        </w:rPr>
        <w:t>: 693-697 [PMID: 18978544 DOI: 10.1097/BOT.0b013e31818915bf]</w:t>
      </w:r>
    </w:p>
    <w:p w14:paraId="2FB1B0A2"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lastRenderedPageBreak/>
        <w:t xml:space="preserve">19 </w:t>
      </w:r>
      <w:r w:rsidRPr="0068137E">
        <w:rPr>
          <w:rFonts w:ascii="Book Antiqua" w:eastAsia="Book Antiqua" w:hAnsi="Book Antiqua" w:cs="Book Antiqua"/>
          <w:b/>
          <w:bCs/>
          <w:color w:val="000000"/>
        </w:rPr>
        <w:t>Rupp RE</w:t>
      </w:r>
      <w:r w:rsidRPr="0068137E">
        <w:rPr>
          <w:rFonts w:ascii="Book Antiqua" w:eastAsia="Book Antiqua" w:hAnsi="Book Antiqua" w:cs="Book Antiqua"/>
          <w:color w:val="000000"/>
        </w:rPr>
        <w:t xml:space="preserve">, </w:t>
      </w:r>
      <w:proofErr w:type="spellStart"/>
      <w:r w:rsidRPr="0068137E">
        <w:rPr>
          <w:rFonts w:ascii="Book Antiqua" w:eastAsia="Book Antiqua" w:hAnsi="Book Antiqua" w:cs="Book Antiqua"/>
          <w:color w:val="000000"/>
        </w:rPr>
        <w:t>Chrissos</w:t>
      </w:r>
      <w:proofErr w:type="spellEnd"/>
      <w:r w:rsidRPr="0068137E">
        <w:rPr>
          <w:rFonts w:ascii="Book Antiqua" w:eastAsia="Book Antiqua" w:hAnsi="Book Antiqua" w:cs="Book Antiqua"/>
          <w:color w:val="000000"/>
        </w:rPr>
        <w:t xml:space="preserve"> MG, </w:t>
      </w:r>
      <w:proofErr w:type="spellStart"/>
      <w:r w:rsidRPr="0068137E">
        <w:rPr>
          <w:rFonts w:ascii="Book Antiqua" w:eastAsia="Book Antiqua" w:hAnsi="Book Antiqua" w:cs="Book Antiqua"/>
          <w:color w:val="000000"/>
        </w:rPr>
        <w:t>Ebraheim</w:t>
      </w:r>
      <w:proofErr w:type="spellEnd"/>
      <w:r w:rsidRPr="0068137E">
        <w:rPr>
          <w:rFonts w:ascii="Book Antiqua" w:eastAsia="Book Antiqua" w:hAnsi="Book Antiqua" w:cs="Book Antiqua"/>
          <w:color w:val="000000"/>
        </w:rPr>
        <w:t xml:space="preserve"> NA. The risk of neurovascular injury with distal locking screws of humeral intramedullary nails. </w:t>
      </w:r>
      <w:r w:rsidRPr="0068137E">
        <w:rPr>
          <w:rFonts w:ascii="Book Antiqua" w:eastAsia="Book Antiqua" w:hAnsi="Book Antiqua" w:cs="Book Antiqua"/>
          <w:i/>
          <w:iCs/>
          <w:color w:val="000000"/>
        </w:rPr>
        <w:t>Orthopedics</w:t>
      </w:r>
      <w:r w:rsidRPr="0068137E">
        <w:rPr>
          <w:rFonts w:ascii="Book Antiqua" w:eastAsia="Book Antiqua" w:hAnsi="Book Antiqua" w:cs="Book Antiqua"/>
          <w:color w:val="000000"/>
        </w:rPr>
        <w:t xml:space="preserve"> 1996; </w:t>
      </w:r>
      <w:r w:rsidRPr="0068137E">
        <w:rPr>
          <w:rFonts w:ascii="Book Antiqua" w:eastAsia="Book Antiqua" w:hAnsi="Book Antiqua" w:cs="Book Antiqua"/>
          <w:b/>
          <w:bCs/>
          <w:color w:val="000000"/>
        </w:rPr>
        <w:t>19</w:t>
      </w:r>
      <w:r w:rsidRPr="0068137E">
        <w:rPr>
          <w:rFonts w:ascii="Book Antiqua" w:eastAsia="Book Antiqua" w:hAnsi="Book Antiqua" w:cs="Book Antiqua"/>
          <w:color w:val="000000"/>
        </w:rPr>
        <w:t>: 593-595 [PMID: 8823817]</w:t>
      </w:r>
    </w:p>
    <w:p w14:paraId="4ED1F677"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 xml:space="preserve">20 </w:t>
      </w:r>
      <w:proofErr w:type="spellStart"/>
      <w:r w:rsidRPr="0068137E">
        <w:rPr>
          <w:rFonts w:ascii="Book Antiqua" w:eastAsia="Book Antiqua" w:hAnsi="Book Antiqua" w:cs="Book Antiqua"/>
          <w:b/>
          <w:bCs/>
          <w:color w:val="000000"/>
        </w:rPr>
        <w:t>Vural</w:t>
      </w:r>
      <w:proofErr w:type="spellEnd"/>
      <w:r w:rsidRPr="0068137E">
        <w:rPr>
          <w:rFonts w:ascii="Book Antiqua" w:eastAsia="Book Antiqua" w:hAnsi="Book Antiqua" w:cs="Book Antiqua"/>
          <w:b/>
          <w:bCs/>
          <w:color w:val="000000"/>
        </w:rPr>
        <w:t xml:space="preserve"> M</w:t>
      </w:r>
      <w:r w:rsidRPr="0068137E">
        <w:rPr>
          <w:rFonts w:ascii="Book Antiqua" w:eastAsia="Book Antiqua" w:hAnsi="Book Antiqua" w:cs="Book Antiqua"/>
          <w:color w:val="000000"/>
        </w:rPr>
        <w:t xml:space="preserve">, </w:t>
      </w:r>
      <w:proofErr w:type="spellStart"/>
      <w:r w:rsidRPr="0068137E">
        <w:rPr>
          <w:rFonts w:ascii="Book Antiqua" w:eastAsia="Book Antiqua" w:hAnsi="Book Antiqua" w:cs="Book Antiqua"/>
          <w:color w:val="000000"/>
        </w:rPr>
        <w:t>Arslantaş</w:t>
      </w:r>
      <w:proofErr w:type="spellEnd"/>
      <w:r w:rsidRPr="0068137E">
        <w:rPr>
          <w:rFonts w:ascii="Book Antiqua" w:eastAsia="Book Antiqua" w:hAnsi="Book Antiqua" w:cs="Book Antiqua"/>
          <w:color w:val="000000"/>
        </w:rPr>
        <w:t xml:space="preserve"> A. Delayed radial nerve palsy due to entrapment of the nerve in the callus of a distal third humerus fracture. </w:t>
      </w:r>
      <w:r w:rsidRPr="0068137E">
        <w:rPr>
          <w:rFonts w:ascii="Book Antiqua" w:eastAsia="Book Antiqua" w:hAnsi="Book Antiqua" w:cs="Book Antiqua"/>
          <w:i/>
          <w:iCs/>
          <w:color w:val="000000"/>
        </w:rPr>
        <w:t xml:space="preserve">Turk </w:t>
      </w:r>
      <w:proofErr w:type="spellStart"/>
      <w:r w:rsidRPr="0068137E">
        <w:rPr>
          <w:rFonts w:ascii="Book Antiqua" w:eastAsia="Book Antiqua" w:hAnsi="Book Antiqua" w:cs="Book Antiqua"/>
          <w:i/>
          <w:iCs/>
          <w:color w:val="000000"/>
        </w:rPr>
        <w:t>Neurosurg</w:t>
      </w:r>
      <w:proofErr w:type="spellEnd"/>
      <w:r w:rsidRPr="0068137E">
        <w:rPr>
          <w:rFonts w:ascii="Book Antiqua" w:eastAsia="Book Antiqua" w:hAnsi="Book Antiqua" w:cs="Book Antiqua"/>
          <w:color w:val="000000"/>
        </w:rPr>
        <w:t xml:space="preserve"> 2008; </w:t>
      </w:r>
      <w:r w:rsidRPr="0068137E">
        <w:rPr>
          <w:rFonts w:ascii="Book Antiqua" w:eastAsia="Book Antiqua" w:hAnsi="Book Antiqua" w:cs="Book Antiqua"/>
          <w:b/>
          <w:bCs/>
          <w:color w:val="000000"/>
        </w:rPr>
        <w:t>18</w:t>
      </w:r>
      <w:r w:rsidRPr="0068137E">
        <w:rPr>
          <w:rFonts w:ascii="Book Antiqua" w:eastAsia="Book Antiqua" w:hAnsi="Book Antiqua" w:cs="Book Antiqua"/>
          <w:color w:val="000000"/>
        </w:rPr>
        <w:t>: 194-196 [PMID: 18597237]</w:t>
      </w:r>
    </w:p>
    <w:p w14:paraId="67E9153C" w14:textId="0D1ECDC8"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 xml:space="preserve">21 </w:t>
      </w:r>
      <w:r w:rsidRPr="0068137E">
        <w:rPr>
          <w:rFonts w:ascii="Book Antiqua" w:eastAsia="Book Antiqua" w:hAnsi="Book Antiqua" w:cs="Book Antiqua"/>
          <w:b/>
          <w:bCs/>
          <w:color w:val="000000"/>
        </w:rPr>
        <w:t>White WJ</w:t>
      </w:r>
      <w:r w:rsidRPr="0068137E">
        <w:rPr>
          <w:rFonts w:ascii="Book Antiqua" w:eastAsia="Book Antiqua" w:hAnsi="Book Antiqua" w:cs="Book Antiqua"/>
          <w:color w:val="000000"/>
        </w:rPr>
        <w:t xml:space="preserve">, Hawken RM, Giles NC. Posterior to anterior distal locking of humeral intramedullary nails. </w:t>
      </w:r>
      <w:r w:rsidRPr="0068137E">
        <w:rPr>
          <w:rFonts w:ascii="Book Antiqua" w:eastAsia="Book Antiqua" w:hAnsi="Book Antiqua" w:cs="Book Antiqua"/>
          <w:i/>
          <w:iCs/>
          <w:color w:val="000000"/>
        </w:rPr>
        <w:t xml:space="preserve">Ann R Coll Surg </w:t>
      </w:r>
      <w:proofErr w:type="spellStart"/>
      <w:r w:rsidRPr="0068137E">
        <w:rPr>
          <w:rFonts w:ascii="Book Antiqua" w:eastAsia="Book Antiqua" w:hAnsi="Book Antiqua" w:cs="Book Antiqua"/>
          <w:i/>
          <w:iCs/>
          <w:color w:val="000000"/>
        </w:rPr>
        <w:t>Engl</w:t>
      </w:r>
      <w:proofErr w:type="spellEnd"/>
      <w:r w:rsidRPr="0068137E">
        <w:rPr>
          <w:rFonts w:ascii="Book Antiqua" w:eastAsia="Book Antiqua" w:hAnsi="Book Antiqua" w:cs="Book Antiqua"/>
          <w:color w:val="000000"/>
        </w:rPr>
        <w:t xml:space="preserve"> 2012; </w:t>
      </w:r>
      <w:r w:rsidRPr="0068137E">
        <w:rPr>
          <w:rFonts w:ascii="Book Antiqua" w:eastAsia="Book Antiqua" w:hAnsi="Book Antiqua" w:cs="Book Antiqua"/>
          <w:b/>
          <w:bCs/>
          <w:color w:val="000000"/>
        </w:rPr>
        <w:t>94</w:t>
      </w:r>
      <w:r w:rsidRPr="0068137E">
        <w:rPr>
          <w:rFonts w:ascii="Book Antiqua" w:eastAsia="Book Antiqua" w:hAnsi="Book Antiqua" w:cs="Book Antiqua"/>
          <w:color w:val="000000"/>
        </w:rPr>
        <w:t>: 603 [PMID: 23131238 DOI: 10.1308/003588412x13373405387096d]</w:t>
      </w:r>
    </w:p>
    <w:bookmarkEnd w:id="4"/>
    <w:p w14:paraId="73E08F1D" w14:textId="77777777" w:rsidR="00A77B3E" w:rsidRPr="0068137E" w:rsidRDefault="00A77B3E" w:rsidP="0068137E">
      <w:pPr>
        <w:adjustRightInd w:val="0"/>
        <w:snapToGrid w:val="0"/>
        <w:spacing w:line="360" w:lineRule="auto"/>
        <w:jc w:val="both"/>
        <w:rPr>
          <w:rFonts w:ascii="Book Antiqua" w:hAnsi="Book Antiqua"/>
        </w:rPr>
        <w:sectPr w:rsidR="00A77B3E" w:rsidRPr="0068137E">
          <w:pgSz w:w="12240" w:h="15840"/>
          <w:pgMar w:top="1440" w:right="1440" w:bottom="1440" w:left="1440" w:header="720" w:footer="720" w:gutter="0"/>
          <w:cols w:space="720"/>
          <w:docGrid w:linePitch="360"/>
        </w:sectPr>
      </w:pPr>
    </w:p>
    <w:p w14:paraId="08DF3018"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color w:val="000000"/>
        </w:rPr>
        <w:lastRenderedPageBreak/>
        <w:t>Footnotes</w:t>
      </w:r>
    </w:p>
    <w:p w14:paraId="7544B333"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bCs/>
          <w:color w:val="000000"/>
        </w:rPr>
        <w:t xml:space="preserve">Institutional review board statement: </w:t>
      </w:r>
      <w:r w:rsidRPr="0068137E">
        <w:rPr>
          <w:rFonts w:ascii="Book Antiqua" w:eastAsia="Book Antiqua" w:hAnsi="Book Antiqua" w:cs="Book Antiqua"/>
          <w:color w:val="000000"/>
        </w:rPr>
        <w:t>This study was approved by the institutional review board of Shin Kong Wu Ho-</w:t>
      </w:r>
      <w:proofErr w:type="spellStart"/>
      <w:r w:rsidRPr="0068137E">
        <w:rPr>
          <w:rFonts w:ascii="Book Antiqua" w:eastAsia="Book Antiqua" w:hAnsi="Book Antiqua" w:cs="Book Antiqua"/>
          <w:color w:val="000000"/>
        </w:rPr>
        <w:t>Su</w:t>
      </w:r>
      <w:proofErr w:type="spellEnd"/>
      <w:r w:rsidRPr="0068137E">
        <w:rPr>
          <w:rFonts w:ascii="Book Antiqua" w:eastAsia="Book Antiqua" w:hAnsi="Book Antiqua" w:cs="Book Antiqua"/>
          <w:color w:val="000000"/>
        </w:rPr>
        <w:t xml:space="preserve"> Memorial Hospital on August 4, 2020 (Approval Number: 20200706R).</w:t>
      </w:r>
    </w:p>
    <w:p w14:paraId="679BAB5A" w14:textId="77777777" w:rsidR="00A77B3E" w:rsidRPr="0068137E" w:rsidRDefault="00A77B3E" w:rsidP="0068137E">
      <w:pPr>
        <w:adjustRightInd w:val="0"/>
        <w:snapToGrid w:val="0"/>
        <w:spacing w:line="360" w:lineRule="auto"/>
        <w:jc w:val="both"/>
        <w:rPr>
          <w:rFonts w:ascii="Book Antiqua" w:hAnsi="Book Antiqua"/>
        </w:rPr>
      </w:pPr>
    </w:p>
    <w:p w14:paraId="5A099767"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bCs/>
          <w:color w:val="000000"/>
        </w:rPr>
        <w:t xml:space="preserve">Informed consent statement: </w:t>
      </w:r>
      <w:r w:rsidRPr="0068137E">
        <w:rPr>
          <w:rFonts w:ascii="Book Antiqua" w:eastAsia="Book Antiqua" w:hAnsi="Book Antiqua" w:cs="Book Antiqua"/>
          <w:color w:val="000000"/>
        </w:rPr>
        <w:t>The requirement for informed consent was waived owing to the retrospective study design.</w:t>
      </w:r>
    </w:p>
    <w:p w14:paraId="3D021FFD" w14:textId="77777777" w:rsidR="00A77B3E" w:rsidRPr="0068137E" w:rsidRDefault="00A77B3E" w:rsidP="0068137E">
      <w:pPr>
        <w:adjustRightInd w:val="0"/>
        <w:snapToGrid w:val="0"/>
        <w:spacing w:line="360" w:lineRule="auto"/>
        <w:jc w:val="both"/>
        <w:rPr>
          <w:rFonts w:ascii="Book Antiqua" w:hAnsi="Book Antiqua"/>
        </w:rPr>
      </w:pPr>
    </w:p>
    <w:p w14:paraId="1591F106"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bCs/>
          <w:color w:val="000000"/>
        </w:rPr>
        <w:t xml:space="preserve">Conflict-of-interest statement: </w:t>
      </w:r>
      <w:r w:rsidRPr="0068137E">
        <w:rPr>
          <w:rFonts w:ascii="Book Antiqua" w:eastAsia="Book Antiqua" w:hAnsi="Book Antiqua" w:cs="Book Antiqua"/>
          <w:color w:val="000000"/>
        </w:rPr>
        <w:t>The authors declare no conflicts of interest.</w:t>
      </w:r>
    </w:p>
    <w:p w14:paraId="1AD82AEE" w14:textId="77777777" w:rsidR="00A77B3E" w:rsidRPr="0068137E" w:rsidRDefault="00A77B3E" w:rsidP="0068137E">
      <w:pPr>
        <w:adjustRightInd w:val="0"/>
        <w:snapToGrid w:val="0"/>
        <w:spacing w:line="360" w:lineRule="auto"/>
        <w:jc w:val="both"/>
        <w:rPr>
          <w:rFonts w:ascii="Book Antiqua" w:hAnsi="Book Antiqua"/>
        </w:rPr>
      </w:pPr>
    </w:p>
    <w:p w14:paraId="71F3A554"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bCs/>
          <w:color w:val="000000"/>
        </w:rPr>
        <w:t xml:space="preserve">Data sharing statement: </w:t>
      </w:r>
      <w:r w:rsidRPr="0068137E">
        <w:rPr>
          <w:rFonts w:ascii="Book Antiqua" w:eastAsia="Book Antiqua" w:hAnsi="Book Antiqua" w:cs="Book Antiqua"/>
          <w:color w:val="000000"/>
        </w:rPr>
        <w:t xml:space="preserve">The technical appendix, statistical code, and dataset are available from the corresponding author at </w:t>
      </w:r>
      <w:hyperlink r:id="rId7" w:history="1">
        <w:r w:rsidRPr="0068137E">
          <w:rPr>
            <w:rFonts w:ascii="Book Antiqua" w:eastAsia="Book Antiqua" w:hAnsi="Book Antiqua" w:cs="Book Antiqua"/>
            <w:color w:val="000000"/>
            <w:u w:val="single" w:color="0563C1"/>
          </w:rPr>
          <w:t>nowfornever@gmail.com</w:t>
        </w:r>
      </w:hyperlink>
      <w:r w:rsidRPr="0068137E">
        <w:rPr>
          <w:rFonts w:ascii="Book Antiqua" w:eastAsia="Book Antiqua" w:hAnsi="Book Antiqua" w:cs="Book Antiqua"/>
          <w:color w:val="000000"/>
        </w:rPr>
        <w:t>. All participants provided informed consent for data sharing.</w:t>
      </w:r>
    </w:p>
    <w:p w14:paraId="652F29A0" w14:textId="77777777" w:rsidR="00A77B3E" w:rsidRPr="0068137E" w:rsidRDefault="00A77B3E" w:rsidP="0068137E">
      <w:pPr>
        <w:adjustRightInd w:val="0"/>
        <w:snapToGrid w:val="0"/>
        <w:spacing w:line="360" w:lineRule="auto"/>
        <w:jc w:val="both"/>
        <w:rPr>
          <w:rFonts w:ascii="Book Antiqua" w:hAnsi="Book Antiqua"/>
        </w:rPr>
      </w:pPr>
    </w:p>
    <w:p w14:paraId="5D5CD7FC"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bCs/>
          <w:color w:val="000000"/>
        </w:rPr>
        <w:t xml:space="preserve">Open-Access: </w:t>
      </w:r>
      <w:r w:rsidRPr="0068137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8137E">
        <w:rPr>
          <w:rFonts w:ascii="Book Antiqua" w:eastAsia="Book Antiqua" w:hAnsi="Book Antiqua" w:cs="Book Antiqua"/>
          <w:color w:val="000000"/>
        </w:rPr>
        <w:t>NonCommercial</w:t>
      </w:r>
      <w:proofErr w:type="spellEnd"/>
      <w:r w:rsidRPr="0068137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DD6B7DC" w14:textId="77777777" w:rsidR="00A77B3E" w:rsidRPr="0068137E" w:rsidRDefault="00A77B3E" w:rsidP="0068137E">
      <w:pPr>
        <w:adjustRightInd w:val="0"/>
        <w:snapToGrid w:val="0"/>
        <w:spacing w:line="360" w:lineRule="auto"/>
        <w:jc w:val="both"/>
        <w:rPr>
          <w:rFonts w:ascii="Book Antiqua" w:hAnsi="Book Antiqua"/>
        </w:rPr>
      </w:pPr>
    </w:p>
    <w:p w14:paraId="4158608B" w14:textId="494C5AA5"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color w:val="000000"/>
        </w:rPr>
        <w:t xml:space="preserve">Manuscript source: </w:t>
      </w:r>
      <w:r w:rsidRPr="0068137E">
        <w:rPr>
          <w:rFonts w:ascii="Book Antiqua" w:eastAsia="Book Antiqua" w:hAnsi="Book Antiqua" w:cs="Book Antiqua"/>
          <w:color w:val="000000"/>
        </w:rPr>
        <w:t>Unsolicited manuscript</w:t>
      </w:r>
    </w:p>
    <w:p w14:paraId="767C845E" w14:textId="77777777" w:rsidR="00A77B3E" w:rsidRPr="0068137E" w:rsidRDefault="00A77B3E" w:rsidP="0068137E">
      <w:pPr>
        <w:adjustRightInd w:val="0"/>
        <w:snapToGrid w:val="0"/>
        <w:spacing w:line="360" w:lineRule="auto"/>
        <w:jc w:val="both"/>
        <w:rPr>
          <w:rFonts w:ascii="Book Antiqua" w:hAnsi="Book Antiqua"/>
        </w:rPr>
      </w:pPr>
    </w:p>
    <w:p w14:paraId="21EEFC1E"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color w:val="000000"/>
        </w:rPr>
        <w:t xml:space="preserve">Peer-review started: </w:t>
      </w:r>
      <w:r w:rsidRPr="0068137E">
        <w:rPr>
          <w:rFonts w:ascii="Book Antiqua" w:eastAsia="Book Antiqua" w:hAnsi="Book Antiqua" w:cs="Book Antiqua"/>
          <w:color w:val="000000"/>
        </w:rPr>
        <w:t>April 15, 2021</w:t>
      </w:r>
    </w:p>
    <w:p w14:paraId="684AC903"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color w:val="000000"/>
        </w:rPr>
        <w:t xml:space="preserve">First decision: </w:t>
      </w:r>
      <w:r w:rsidRPr="0068137E">
        <w:rPr>
          <w:rFonts w:ascii="Book Antiqua" w:eastAsia="Book Antiqua" w:hAnsi="Book Antiqua" w:cs="Book Antiqua"/>
          <w:color w:val="000000"/>
        </w:rPr>
        <w:t>April 27, 2021</w:t>
      </w:r>
    </w:p>
    <w:p w14:paraId="180E682F"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color w:val="000000"/>
        </w:rPr>
        <w:t xml:space="preserve">Article in press: </w:t>
      </w:r>
    </w:p>
    <w:p w14:paraId="7BBFA2B8" w14:textId="77777777" w:rsidR="00A77B3E" w:rsidRPr="0068137E" w:rsidRDefault="00A77B3E" w:rsidP="0068137E">
      <w:pPr>
        <w:adjustRightInd w:val="0"/>
        <w:snapToGrid w:val="0"/>
        <w:spacing w:line="360" w:lineRule="auto"/>
        <w:jc w:val="both"/>
        <w:rPr>
          <w:rFonts w:ascii="Book Antiqua" w:hAnsi="Book Antiqua"/>
        </w:rPr>
      </w:pPr>
    </w:p>
    <w:p w14:paraId="01D27046"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color w:val="000000"/>
        </w:rPr>
        <w:t xml:space="preserve">Specialty type: </w:t>
      </w:r>
      <w:r w:rsidRPr="0068137E">
        <w:rPr>
          <w:rFonts w:ascii="Book Antiqua" w:eastAsia="Book Antiqua" w:hAnsi="Book Antiqua" w:cs="Book Antiqua"/>
          <w:color w:val="000000"/>
        </w:rPr>
        <w:t>Orthopedics</w:t>
      </w:r>
    </w:p>
    <w:p w14:paraId="0129D1A0"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color w:val="000000"/>
        </w:rPr>
        <w:lastRenderedPageBreak/>
        <w:t xml:space="preserve">Country/Territory of origin: </w:t>
      </w:r>
      <w:r w:rsidRPr="0068137E">
        <w:rPr>
          <w:rFonts w:ascii="Book Antiqua" w:eastAsia="Book Antiqua" w:hAnsi="Book Antiqua" w:cs="Book Antiqua"/>
          <w:color w:val="000000"/>
        </w:rPr>
        <w:t>Taiwan</w:t>
      </w:r>
    </w:p>
    <w:p w14:paraId="3C5B9057"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color w:val="000000"/>
        </w:rPr>
        <w:t>Peer-review report’s scientific quality classification</w:t>
      </w:r>
    </w:p>
    <w:p w14:paraId="1FBD2056"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Grade A (Excellent): 0</w:t>
      </w:r>
    </w:p>
    <w:p w14:paraId="358E3598"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Grade B (Very good): B, B, B</w:t>
      </w:r>
    </w:p>
    <w:p w14:paraId="2BAAE475"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Grade C (Good): 0</w:t>
      </w:r>
    </w:p>
    <w:p w14:paraId="560B26FB"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Grade D (Fair): D</w:t>
      </w:r>
    </w:p>
    <w:p w14:paraId="04E35A28"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Grade E (Poor): 0</w:t>
      </w:r>
    </w:p>
    <w:p w14:paraId="21066462" w14:textId="77777777" w:rsidR="00A77B3E" w:rsidRPr="0068137E" w:rsidRDefault="00A77B3E" w:rsidP="0068137E">
      <w:pPr>
        <w:adjustRightInd w:val="0"/>
        <w:snapToGrid w:val="0"/>
        <w:spacing w:line="360" w:lineRule="auto"/>
        <w:jc w:val="both"/>
        <w:rPr>
          <w:rFonts w:ascii="Book Antiqua" w:hAnsi="Book Antiqua"/>
        </w:rPr>
      </w:pPr>
    </w:p>
    <w:p w14:paraId="0D45D1C1" w14:textId="77777777" w:rsidR="00A77B3E" w:rsidRPr="0068137E" w:rsidRDefault="0068137E" w:rsidP="0068137E">
      <w:pPr>
        <w:adjustRightInd w:val="0"/>
        <w:snapToGrid w:val="0"/>
        <w:spacing w:line="360" w:lineRule="auto"/>
        <w:jc w:val="both"/>
        <w:rPr>
          <w:rFonts w:ascii="Book Antiqua" w:hAnsi="Book Antiqua"/>
        </w:rPr>
        <w:sectPr w:rsidR="00A77B3E" w:rsidRPr="0068137E">
          <w:pgSz w:w="12240" w:h="15840"/>
          <w:pgMar w:top="1440" w:right="1440" w:bottom="1440" w:left="1440" w:header="720" w:footer="720" w:gutter="0"/>
          <w:cols w:space="720"/>
          <w:docGrid w:linePitch="360"/>
        </w:sectPr>
      </w:pPr>
      <w:r w:rsidRPr="0068137E">
        <w:rPr>
          <w:rFonts w:ascii="Book Antiqua" w:eastAsia="Book Antiqua" w:hAnsi="Book Antiqua" w:cs="Book Antiqua"/>
          <w:b/>
          <w:color w:val="000000"/>
        </w:rPr>
        <w:t xml:space="preserve">P-Reviewer: </w:t>
      </w:r>
      <w:r w:rsidRPr="0068137E">
        <w:rPr>
          <w:rFonts w:ascii="Book Antiqua" w:eastAsia="Book Antiqua" w:hAnsi="Book Antiqua" w:cs="Book Antiqua"/>
          <w:color w:val="000000"/>
        </w:rPr>
        <w:t xml:space="preserve">Cao X, </w:t>
      </w:r>
      <w:proofErr w:type="spellStart"/>
      <w:r w:rsidRPr="0068137E">
        <w:rPr>
          <w:rFonts w:ascii="Book Antiqua" w:eastAsia="Book Antiqua" w:hAnsi="Book Antiqua" w:cs="Book Antiqua"/>
          <w:color w:val="000000"/>
        </w:rPr>
        <w:t>Chisthi</w:t>
      </w:r>
      <w:proofErr w:type="spellEnd"/>
      <w:r w:rsidRPr="0068137E">
        <w:rPr>
          <w:rFonts w:ascii="Book Antiqua" w:eastAsia="Book Antiqua" w:hAnsi="Book Antiqua" w:cs="Book Antiqua"/>
          <w:color w:val="000000"/>
        </w:rPr>
        <w:t xml:space="preserve"> MM, Samara AA</w:t>
      </w:r>
      <w:r w:rsidRPr="0068137E">
        <w:rPr>
          <w:rFonts w:ascii="Book Antiqua" w:eastAsia="Book Antiqua" w:hAnsi="Book Antiqua" w:cs="Book Antiqua"/>
          <w:b/>
          <w:color w:val="000000"/>
        </w:rPr>
        <w:t xml:space="preserve"> S-Editor: </w:t>
      </w:r>
      <w:r w:rsidRPr="0068137E">
        <w:rPr>
          <w:rFonts w:ascii="Book Antiqua" w:eastAsia="Book Antiqua" w:hAnsi="Book Antiqua" w:cs="Book Antiqua"/>
          <w:color w:val="000000"/>
        </w:rPr>
        <w:t>Liu M</w:t>
      </w:r>
      <w:r w:rsidRPr="0068137E">
        <w:rPr>
          <w:rFonts w:ascii="Book Antiqua" w:eastAsia="Book Antiqua" w:hAnsi="Book Antiqua" w:cs="Book Antiqua"/>
          <w:b/>
          <w:color w:val="000000"/>
        </w:rPr>
        <w:t xml:space="preserve"> L-Editor:  P-Editor: </w:t>
      </w:r>
    </w:p>
    <w:p w14:paraId="4A8C9DE6" w14:textId="613D337F" w:rsidR="00A77B3E" w:rsidRPr="0068137E" w:rsidRDefault="0068137E" w:rsidP="0068137E">
      <w:pPr>
        <w:adjustRightInd w:val="0"/>
        <w:snapToGrid w:val="0"/>
        <w:spacing w:line="360" w:lineRule="auto"/>
        <w:jc w:val="both"/>
        <w:rPr>
          <w:rFonts w:ascii="Book Antiqua" w:eastAsia="Book Antiqua" w:hAnsi="Book Antiqua" w:cs="Book Antiqua"/>
          <w:b/>
          <w:color w:val="000000"/>
        </w:rPr>
      </w:pPr>
      <w:r w:rsidRPr="0068137E">
        <w:rPr>
          <w:rFonts w:ascii="Book Antiqua" w:eastAsia="Book Antiqua" w:hAnsi="Book Antiqua" w:cs="Book Antiqua"/>
          <w:b/>
          <w:color w:val="000000"/>
        </w:rPr>
        <w:lastRenderedPageBreak/>
        <w:t>Figure Legends</w:t>
      </w:r>
    </w:p>
    <w:p w14:paraId="5875DA49" w14:textId="77B827A6" w:rsidR="0068137E" w:rsidRPr="0068137E" w:rsidRDefault="0068137E" w:rsidP="0068137E">
      <w:pPr>
        <w:adjustRightInd w:val="0"/>
        <w:snapToGrid w:val="0"/>
        <w:spacing w:line="360" w:lineRule="auto"/>
        <w:jc w:val="both"/>
        <w:rPr>
          <w:rFonts w:ascii="Book Antiqua" w:eastAsia="Book Antiqua" w:hAnsi="Book Antiqua" w:cs="Book Antiqua"/>
          <w:b/>
          <w:color w:val="000000"/>
        </w:rPr>
      </w:pPr>
      <w:r w:rsidRPr="0068137E">
        <w:rPr>
          <w:rFonts w:ascii="Book Antiqua" w:eastAsia="Book Antiqua" w:hAnsi="Book Antiqua" w:cs="Book Antiqua"/>
          <w:b/>
          <w:noProof/>
          <w:color w:val="000000"/>
        </w:rPr>
        <w:drawing>
          <wp:inline distT="0" distB="0" distL="0" distR="0" wp14:anchorId="24E21DCB" wp14:editId="092F540D">
            <wp:extent cx="4220943" cy="159091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1454" cy="1594876"/>
                    </a:xfrm>
                    <a:prstGeom prst="rect">
                      <a:avLst/>
                    </a:prstGeom>
                    <a:noFill/>
                  </pic:spPr>
                </pic:pic>
              </a:graphicData>
            </a:graphic>
          </wp:inline>
        </w:drawing>
      </w:r>
    </w:p>
    <w:p w14:paraId="11ECFC83" w14:textId="3CBCE05E" w:rsidR="0068137E" w:rsidRPr="0068137E" w:rsidRDefault="0068137E" w:rsidP="0068137E">
      <w:pPr>
        <w:adjustRightInd w:val="0"/>
        <w:snapToGrid w:val="0"/>
        <w:spacing w:line="360" w:lineRule="auto"/>
        <w:jc w:val="both"/>
        <w:rPr>
          <w:rFonts w:ascii="Book Antiqua" w:hAnsi="Book Antiqua"/>
          <w:bCs/>
          <w:color w:val="000000" w:themeColor="text1"/>
        </w:rPr>
      </w:pPr>
      <w:r w:rsidRPr="0068137E">
        <w:rPr>
          <w:rFonts w:ascii="Book Antiqua" w:hAnsi="Book Antiqua"/>
          <w:b/>
          <w:color w:val="000000" w:themeColor="text1"/>
        </w:rPr>
        <w:t xml:space="preserve">Figure 1 Preoperative and postoperative radiographs. </w:t>
      </w:r>
      <w:r w:rsidRPr="0068137E">
        <w:rPr>
          <w:rFonts w:ascii="Book Antiqua" w:hAnsi="Book Antiqua"/>
          <w:bCs/>
          <w:color w:val="000000" w:themeColor="text1"/>
        </w:rPr>
        <w:t>A</w:t>
      </w:r>
      <w:r w:rsidRPr="0068137E">
        <w:rPr>
          <w:rFonts w:ascii="Book Antiqua" w:eastAsia="等线" w:hAnsi="Book Antiqua"/>
          <w:bCs/>
          <w:color w:val="000000"/>
        </w:rPr>
        <w:t xml:space="preserve"> and</w:t>
      </w:r>
      <w:r w:rsidRPr="0068137E">
        <w:rPr>
          <w:rFonts w:ascii="Book Antiqua" w:hAnsi="Book Antiqua"/>
          <w:bCs/>
          <w:color w:val="000000" w:themeColor="text1"/>
        </w:rPr>
        <w:t xml:space="preserve"> B: </w:t>
      </w:r>
      <w:r w:rsidRPr="0068137E">
        <w:rPr>
          <w:rFonts w:ascii="Book Antiqua" w:eastAsia="等线" w:hAnsi="Book Antiqua"/>
          <w:bCs/>
          <w:color w:val="000000"/>
        </w:rPr>
        <w:t>Show</w:t>
      </w:r>
      <w:r w:rsidRPr="0068137E">
        <w:rPr>
          <w:rFonts w:ascii="Book Antiqua" w:hAnsi="Book Antiqua"/>
          <w:bCs/>
          <w:color w:val="000000" w:themeColor="text1"/>
        </w:rPr>
        <w:t xml:space="preserve"> humeral shaft </w:t>
      </w:r>
      <w:r w:rsidRPr="0068137E">
        <w:rPr>
          <w:rFonts w:ascii="Book Antiqua" w:eastAsia="等线" w:hAnsi="Book Antiqua"/>
          <w:bCs/>
          <w:color w:val="000000"/>
        </w:rPr>
        <w:t>fractures</w:t>
      </w:r>
      <w:r w:rsidRPr="0068137E">
        <w:rPr>
          <w:rFonts w:ascii="Book Antiqua" w:hAnsi="Book Antiqua"/>
          <w:bCs/>
          <w:color w:val="000000" w:themeColor="text1"/>
        </w:rPr>
        <w:t xml:space="preserve"> with </w:t>
      </w:r>
      <w:r w:rsidRPr="0068137E">
        <w:rPr>
          <w:rFonts w:ascii="Book Antiqua" w:eastAsia="等线" w:hAnsi="Book Antiqua"/>
          <w:bCs/>
          <w:color w:val="000000"/>
        </w:rPr>
        <w:t xml:space="preserve">an </w:t>
      </w:r>
      <w:r w:rsidR="00EB4849" w:rsidRPr="0068137E">
        <w:rPr>
          <w:rFonts w:ascii="Book Antiqua" w:eastAsia="Book Antiqua" w:hAnsi="Book Antiqua" w:cs="Book Antiqua"/>
          <w:color w:val="000000"/>
        </w:rPr>
        <w:t>AO-Müller/Orthopedic Trauma Association</w:t>
      </w:r>
      <w:r w:rsidRPr="0068137E">
        <w:rPr>
          <w:rFonts w:ascii="Book Antiqua" w:hAnsi="Book Antiqua"/>
          <w:bCs/>
          <w:color w:val="000000" w:themeColor="text1"/>
        </w:rPr>
        <w:t xml:space="preserve"> classification of 12 A3. Primary radial nerve palsy was diagnosed; C and D</w:t>
      </w:r>
      <w:r w:rsidRPr="0068137E">
        <w:rPr>
          <w:rFonts w:ascii="Book Antiqua" w:eastAsia="等线" w:hAnsi="Book Antiqua"/>
          <w:bCs/>
          <w:color w:val="000000"/>
        </w:rPr>
        <w:t xml:space="preserve">: Show </w:t>
      </w:r>
      <w:r w:rsidRPr="0068137E">
        <w:rPr>
          <w:rFonts w:ascii="Book Antiqua" w:hAnsi="Book Antiqua"/>
          <w:bCs/>
          <w:color w:val="000000" w:themeColor="text1"/>
        </w:rPr>
        <w:t xml:space="preserve">fracture treatment with </w:t>
      </w:r>
      <w:r w:rsidRPr="0068137E">
        <w:rPr>
          <w:rFonts w:ascii="Book Antiqua" w:eastAsia="等线" w:hAnsi="Book Antiqua"/>
          <w:bCs/>
          <w:color w:val="000000"/>
        </w:rPr>
        <w:t xml:space="preserve">a </w:t>
      </w:r>
      <w:r w:rsidRPr="0068137E">
        <w:rPr>
          <w:rFonts w:ascii="Book Antiqua" w:hAnsi="Book Antiqua"/>
          <w:bCs/>
          <w:color w:val="000000" w:themeColor="text1"/>
        </w:rPr>
        <w:t xml:space="preserve">close nailing surgical technique. </w:t>
      </w:r>
      <w:r w:rsidRPr="0068137E">
        <w:rPr>
          <w:rFonts w:ascii="Book Antiqua" w:eastAsia="等线" w:hAnsi="Book Antiqua"/>
          <w:bCs/>
          <w:color w:val="000000"/>
        </w:rPr>
        <w:t xml:space="preserve">Recovery from radial </w:t>
      </w:r>
      <w:r w:rsidRPr="0068137E">
        <w:rPr>
          <w:rFonts w:ascii="Book Antiqua" w:hAnsi="Book Antiqua"/>
          <w:bCs/>
          <w:color w:val="000000" w:themeColor="text1"/>
        </w:rPr>
        <w:t xml:space="preserve">nerve palsy was complete 4 </w:t>
      </w:r>
      <w:proofErr w:type="spellStart"/>
      <w:r w:rsidRPr="0068137E">
        <w:rPr>
          <w:rFonts w:ascii="Book Antiqua" w:hAnsi="Book Antiqua"/>
          <w:bCs/>
          <w:color w:val="000000" w:themeColor="text1"/>
        </w:rPr>
        <w:t>mo</w:t>
      </w:r>
      <w:proofErr w:type="spellEnd"/>
      <w:r w:rsidRPr="0068137E">
        <w:rPr>
          <w:rFonts w:ascii="Book Antiqua" w:hAnsi="Book Antiqua"/>
          <w:bCs/>
          <w:color w:val="000000" w:themeColor="text1"/>
        </w:rPr>
        <w:t xml:space="preserve"> after</w:t>
      </w:r>
      <w:r w:rsidRPr="0068137E">
        <w:rPr>
          <w:rFonts w:ascii="Book Antiqua" w:eastAsia="等线" w:hAnsi="Book Antiqua"/>
          <w:bCs/>
          <w:color w:val="000000"/>
        </w:rPr>
        <w:t xml:space="preserve"> the</w:t>
      </w:r>
      <w:r w:rsidRPr="0068137E">
        <w:rPr>
          <w:rFonts w:ascii="Book Antiqua" w:hAnsi="Book Antiqua"/>
          <w:bCs/>
          <w:color w:val="000000" w:themeColor="text1"/>
        </w:rPr>
        <w:t xml:space="preserve"> accident occurred.</w:t>
      </w:r>
    </w:p>
    <w:p w14:paraId="0BB0D459" w14:textId="77777777" w:rsidR="0068137E" w:rsidRPr="0068137E" w:rsidRDefault="0068137E" w:rsidP="0068137E">
      <w:pPr>
        <w:adjustRightInd w:val="0"/>
        <w:snapToGrid w:val="0"/>
        <w:spacing w:line="360" w:lineRule="auto"/>
        <w:jc w:val="both"/>
        <w:rPr>
          <w:rFonts w:ascii="Book Antiqua" w:hAnsi="Book Antiqua"/>
          <w:iCs/>
          <w:color w:val="000000" w:themeColor="text1"/>
        </w:rPr>
      </w:pPr>
      <w:r w:rsidRPr="0068137E">
        <w:rPr>
          <w:rFonts w:ascii="Book Antiqua" w:hAnsi="Book Antiqua"/>
        </w:rPr>
        <w:br w:type="page"/>
      </w:r>
      <w:r w:rsidRPr="0068137E">
        <w:rPr>
          <w:rFonts w:ascii="Book Antiqua" w:hAnsi="Book Antiqua"/>
          <w:b/>
          <w:bCs/>
          <w:iCs/>
          <w:color w:val="000000" w:themeColor="text1"/>
        </w:rPr>
        <w:lastRenderedPageBreak/>
        <w:t>Table 1 Characteristics of patients with humeral shaft fractures complicated with radial nerve palsy</w:t>
      </w:r>
    </w:p>
    <w:tbl>
      <w:tblPr>
        <w:tblStyle w:val="ac"/>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1043"/>
        <w:gridCol w:w="1008"/>
        <w:gridCol w:w="1164"/>
        <w:gridCol w:w="1446"/>
        <w:gridCol w:w="1304"/>
        <w:gridCol w:w="2405"/>
      </w:tblGrid>
      <w:tr w:rsidR="0068137E" w:rsidRPr="0068137E" w14:paraId="61052340" w14:textId="77777777" w:rsidTr="00227F0C">
        <w:trPr>
          <w:trHeight w:val="523"/>
        </w:trPr>
        <w:tc>
          <w:tcPr>
            <w:tcW w:w="629" w:type="pct"/>
            <w:tcBorders>
              <w:top w:val="single" w:sz="4" w:space="0" w:color="auto"/>
              <w:bottom w:val="single" w:sz="4" w:space="0" w:color="auto"/>
            </w:tcBorders>
          </w:tcPr>
          <w:p w14:paraId="19CF105C" w14:textId="77777777" w:rsidR="0068137E" w:rsidRPr="0068137E" w:rsidRDefault="0068137E" w:rsidP="0068137E">
            <w:pPr>
              <w:adjustRightInd w:val="0"/>
              <w:snapToGrid w:val="0"/>
              <w:spacing w:line="360" w:lineRule="auto"/>
              <w:jc w:val="both"/>
              <w:rPr>
                <w:b/>
                <w:bCs/>
                <w:iCs/>
                <w:color w:val="000000" w:themeColor="text1"/>
              </w:rPr>
            </w:pPr>
            <w:r w:rsidRPr="0068137E">
              <w:rPr>
                <w:b/>
                <w:bCs/>
                <w:iCs/>
                <w:color w:val="000000" w:themeColor="text1"/>
              </w:rPr>
              <w:t>Patient</w:t>
            </w:r>
          </w:p>
          <w:p w14:paraId="37B34B7A" w14:textId="73892B1B" w:rsidR="0068137E" w:rsidRPr="0068137E" w:rsidRDefault="00BB644E" w:rsidP="0068137E">
            <w:pPr>
              <w:adjustRightInd w:val="0"/>
              <w:snapToGrid w:val="0"/>
              <w:spacing w:line="360" w:lineRule="auto"/>
              <w:jc w:val="both"/>
              <w:rPr>
                <w:b/>
                <w:bCs/>
                <w:iCs/>
                <w:color w:val="000000" w:themeColor="text1"/>
              </w:rPr>
            </w:pPr>
            <w:r>
              <w:rPr>
                <w:b/>
                <w:bCs/>
                <w:iCs/>
                <w:color w:val="000000" w:themeColor="text1"/>
              </w:rPr>
              <w:t>n</w:t>
            </w:r>
            <w:r w:rsidR="0068137E" w:rsidRPr="0068137E">
              <w:rPr>
                <w:b/>
                <w:bCs/>
                <w:iCs/>
                <w:color w:val="000000" w:themeColor="text1"/>
              </w:rPr>
              <w:t>umber</w:t>
            </w:r>
          </w:p>
        </w:tc>
        <w:tc>
          <w:tcPr>
            <w:tcW w:w="544" w:type="pct"/>
            <w:tcBorders>
              <w:top w:val="single" w:sz="4" w:space="0" w:color="auto"/>
              <w:bottom w:val="single" w:sz="4" w:space="0" w:color="auto"/>
            </w:tcBorders>
          </w:tcPr>
          <w:p w14:paraId="746347AE" w14:textId="77777777" w:rsidR="0068137E" w:rsidRPr="0068137E" w:rsidRDefault="0068137E" w:rsidP="0068137E">
            <w:pPr>
              <w:adjustRightInd w:val="0"/>
              <w:snapToGrid w:val="0"/>
              <w:spacing w:line="360" w:lineRule="auto"/>
              <w:jc w:val="both"/>
              <w:rPr>
                <w:b/>
                <w:bCs/>
                <w:iCs/>
                <w:color w:val="000000" w:themeColor="text1"/>
              </w:rPr>
            </w:pPr>
            <w:r w:rsidRPr="0068137E">
              <w:rPr>
                <w:b/>
                <w:bCs/>
                <w:iCs/>
                <w:color w:val="000000" w:themeColor="text1"/>
              </w:rPr>
              <w:t>Sex</w:t>
            </w:r>
          </w:p>
        </w:tc>
        <w:tc>
          <w:tcPr>
            <w:tcW w:w="526" w:type="pct"/>
            <w:tcBorders>
              <w:top w:val="single" w:sz="4" w:space="0" w:color="auto"/>
              <w:bottom w:val="single" w:sz="4" w:space="0" w:color="auto"/>
            </w:tcBorders>
          </w:tcPr>
          <w:p w14:paraId="1FC1DF8A" w14:textId="3875428B" w:rsidR="0068137E" w:rsidRPr="0068137E" w:rsidRDefault="0068137E" w:rsidP="0068137E">
            <w:pPr>
              <w:adjustRightInd w:val="0"/>
              <w:snapToGrid w:val="0"/>
              <w:spacing w:line="360" w:lineRule="auto"/>
              <w:jc w:val="both"/>
              <w:rPr>
                <w:b/>
                <w:bCs/>
                <w:iCs/>
                <w:color w:val="000000" w:themeColor="text1"/>
              </w:rPr>
            </w:pPr>
            <w:r w:rsidRPr="0068137E">
              <w:rPr>
                <w:b/>
                <w:bCs/>
                <w:iCs/>
                <w:color w:val="000000" w:themeColor="text1"/>
              </w:rPr>
              <w:t>Age (</w:t>
            </w:r>
            <w:proofErr w:type="spellStart"/>
            <w:r w:rsidRPr="0068137E">
              <w:rPr>
                <w:b/>
                <w:bCs/>
                <w:iCs/>
                <w:color w:val="000000" w:themeColor="text1"/>
              </w:rPr>
              <w:t>yr</w:t>
            </w:r>
            <w:proofErr w:type="spellEnd"/>
            <w:r w:rsidRPr="0068137E">
              <w:rPr>
                <w:b/>
                <w:bCs/>
                <w:iCs/>
                <w:color w:val="000000" w:themeColor="text1"/>
              </w:rPr>
              <w:t>)</w:t>
            </w:r>
          </w:p>
        </w:tc>
        <w:tc>
          <w:tcPr>
            <w:tcW w:w="608" w:type="pct"/>
            <w:tcBorders>
              <w:top w:val="single" w:sz="4" w:space="0" w:color="auto"/>
              <w:bottom w:val="single" w:sz="4" w:space="0" w:color="auto"/>
            </w:tcBorders>
          </w:tcPr>
          <w:p w14:paraId="6BA97863" w14:textId="77777777" w:rsidR="0068137E" w:rsidRPr="0068137E" w:rsidRDefault="0068137E" w:rsidP="0068137E">
            <w:pPr>
              <w:adjustRightInd w:val="0"/>
              <w:snapToGrid w:val="0"/>
              <w:spacing w:line="360" w:lineRule="auto"/>
              <w:jc w:val="both"/>
              <w:rPr>
                <w:b/>
                <w:bCs/>
                <w:iCs/>
                <w:color w:val="000000" w:themeColor="text1"/>
              </w:rPr>
            </w:pPr>
            <w:r w:rsidRPr="0068137E">
              <w:rPr>
                <w:b/>
                <w:bCs/>
                <w:iCs/>
                <w:color w:val="000000" w:themeColor="text1"/>
              </w:rPr>
              <w:t>Primary nerve palsy</w:t>
            </w:r>
          </w:p>
        </w:tc>
        <w:tc>
          <w:tcPr>
            <w:tcW w:w="755" w:type="pct"/>
            <w:tcBorders>
              <w:top w:val="single" w:sz="4" w:space="0" w:color="auto"/>
              <w:bottom w:val="single" w:sz="4" w:space="0" w:color="auto"/>
            </w:tcBorders>
          </w:tcPr>
          <w:p w14:paraId="5F7C6433" w14:textId="77777777" w:rsidR="0068137E" w:rsidRPr="0068137E" w:rsidRDefault="0068137E" w:rsidP="0068137E">
            <w:pPr>
              <w:adjustRightInd w:val="0"/>
              <w:snapToGrid w:val="0"/>
              <w:spacing w:line="360" w:lineRule="auto"/>
              <w:jc w:val="both"/>
              <w:rPr>
                <w:b/>
                <w:bCs/>
                <w:iCs/>
                <w:color w:val="000000" w:themeColor="text1"/>
              </w:rPr>
            </w:pPr>
            <w:r w:rsidRPr="0068137E">
              <w:rPr>
                <w:b/>
                <w:bCs/>
                <w:iCs/>
                <w:color w:val="000000" w:themeColor="text1"/>
              </w:rPr>
              <w:t>Secondary nerve palsy</w:t>
            </w:r>
          </w:p>
        </w:tc>
        <w:tc>
          <w:tcPr>
            <w:tcW w:w="681" w:type="pct"/>
            <w:tcBorders>
              <w:top w:val="single" w:sz="4" w:space="0" w:color="auto"/>
              <w:bottom w:val="single" w:sz="4" w:space="0" w:color="auto"/>
            </w:tcBorders>
          </w:tcPr>
          <w:p w14:paraId="421CEAA5" w14:textId="27BC9198" w:rsidR="0068137E" w:rsidRPr="0068137E" w:rsidRDefault="0068137E" w:rsidP="0068137E">
            <w:pPr>
              <w:adjustRightInd w:val="0"/>
              <w:snapToGrid w:val="0"/>
              <w:spacing w:line="360" w:lineRule="auto"/>
              <w:jc w:val="both"/>
              <w:rPr>
                <w:b/>
                <w:bCs/>
                <w:iCs/>
                <w:color w:val="000000" w:themeColor="text1"/>
              </w:rPr>
            </w:pPr>
            <w:r w:rsidRPr="0068137E">
              <w:rPr>
                <w:b/>
                <w:bCs/>
                <w:iCs/>
                <w:color w:val="000000" w:themeColor="text1"/>
              </w:rPr>
              <w:t>Recovery time (</w:t>
            </w:r>
            <w:proofErr w:type="spellStart"/>
            <w:r w:rsidRPr="0068137E">
              <w:rPr>
                <w:b/>
                <w:bCs/>
                <w:iCs/>
                <w:color w:val="000000" w:themeColor="text1"/>
              </w:rPr>
              <w:t>mo</w:t>
            </w:r>
            <w:proofErr w:type="spellEnd"/>
            <w:r w:rsidRPr="0068137E">
              <w:rPr>
                <w:b/>
                <w:bCs/>
                <w:iCs/>
                <w:color w:val="000000" w:themeColor="text1"/>
              </w:rPr>
              <w:t>)</w:t>
            </w:r>
          </w:p>
        </w:tc>
        <w:tc>
          <w:tcPr>
            <w:tcW w:w="1256" w:type="pct"/>
            <w:tcBorders>
              <w:top w:val="single" w:sz="4" w:space="0" w:color="auto"/>
              <w:bottom w:val="single" w:sz="4" w:space="0" w:color="auto"/>
            </w:tcBorders>
          </w:tcPr>
          <w:p w14:paraId="6A6287EB" w14:textId="77777777" w:rsidR="0068137E" w:rsidRPr="0068137E" w:rsidRDefault="0068137E" w:rsidP="0068137E">
            <w:pPr>
              <w:adjustRightInd w:val="0"/>
              <w:snapToGrid w:val="0"/>
              <w:spacing w:line="360" w:lineRule="auto"/>
              <w:jc w:val="both"/>
              <w:rPr>
                <w:b/>
                <w:bCs/>
                <w:iCs/>
                <w:color w:val="000000" w:themeColor="text1"/>
              </w:rPr>
            </w:pPr>
            <w:r w:rsidRPr="0068137E">
              <w:rPr>
                <w:b/>
                <w:bCs/>
                <w:iCs/>
                <w:color w:val="000000" w:themeColor="text1"/>
              </w:rPr>
              <w:t>Mechanism of injury</w:t>
            </w:r>
          </w:p>
        </w:tc>
      </w:tr>
      <w:tr w:rsidR="0068137E" w:rsidRPr="0068137E" w14:paraId="0CF17362" w14:textId="77777777" w:rsidTr="00227F0C">
        <w:trPr>
          <w:trHeight w:val="268"/>
        </w:trPr>
        <w:tc>
          <w:tcPr>
            <w:tcW w:w="629" w:type="pct"/>
            <w:tcBorders>
              <w:top w:val="single" w:sz="4" w:space="0" w:color="auto"/>
            </w:tcBorders>
          </w:tcPr>
          <w:p w14:paraId="1D264923"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1</w:t>
            </w:r>
          </w:p>
        </w:tc>
        <w:tc>
          <w:tcPr>
            <w:tcW w:w="544" w:type="pct"/>
            <w:tcBorders>
              <w:top w:val="single" w:sz="4" w:space="0" w:color="auto"/>
            </w:tcBorders>
          </w:tcPr>
          <w:p w14:paraId="60D072FE"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Female</w:t>
            </w:r>
          </w:p>
        </w:tc>
        <w:tc>
          <w:tcPr>
            <w:tcW w:w="526" w:type="pct"/>
            <w:tcBorders>
              <w:top w:val="single" w:sz="4" w:space="0" w:color="auto"/>
            </w:tcBorders>
          </w:tcPr>
          <w:p w14:paraId="37D86BB7"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21</w:t>
            </w:r>
          </w:p>
        </w:tc>
        <w:tc>
          <w:tcPr>
            <w:tcW w:w="608" w:type="pct"/>
            <w:tcBorders>
              <w:top w:val="single" w:sz="4" w:space="0" w:color="auto"/>
            </w:tcBorders>
          </w:tcPr>
          <w:p w14:paraId="04A92579"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w:t>
            </w:r>
          </w:p>
        </w:tc>
        <w:tc>
          <w:tcPr>
            <w:tcW w:w="755" w:type="pct"/>
            <w:tcBorders>
              <w:top w:val="single" w:sz="4" w:space="0" w:color="auto"/>
            </w:tcBorders>
          </w:tcPr>
          <w:p w14:paraId="680F4C33"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w:t>
            </w:r>
          </w:p>
        </w:tc>
        <w:tc>
          <w:tcPr>
            <w:tcW w:w="681" w:type="pct"/>
            <w:tcBorders>
              <w:top w:val="single" w:sz="4" w:space="0" w:color="auto"/>
            </w:tcBorders>
          </w:tcPr>
          <w:p w14:paraId="2DEB380A"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3</w:t>
            </w:r>
          </w:p>
        </w:tc>
        <w:tc>
          <w:tcPr>
            <w:tcW w:w="1256" w:type="pct"/>
            <w:tcBorders>
              <w:top w:val="single" w:sz="4" w:space="0" w:color="auto"/>
            </w:tcBorders>
          </w:tcPr>
          <w:p w14:paraId="33D1A69C"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Fall from a 1.5-m height</w:t>
            </w:r>
          </w:p>
        </w:tc>
      </w:tr>
      <w:tr w:rsidR="0068137E" w:rsidRPr="0068137E" w14:paraId="595603D2" w14:textId="77777777" w:rsidTr="00227F0C">
        <w:trPr>
          <w:trHeight w:val="280"/>
        </w:trPr>
        <w:tc>
          <w:tcPr>
            <w:tcW w:w="629" w:type="pct"/>
          </w:tcPr>
          <w:p w14:paraId="25E43FBC"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2</w:t>
            </w:r>
          </w:p>
        </w:tc>
        <w:tc>
          <w:tcPr>
            <w:tcW w:w="544" w:type="pct"/>
          </w:tcPr>
          <w:p w14:paraId="406DCD90"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Male</w:t>
            </w:r>
          </w:p>
        </w:tc>
        <w:tc>
          <w:tcPr>
            <w:tcW w:w="526" w:type="pct"/>
          </w:tcPr>
          <w:p w14:paraId="4F73E4FA"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20</w:t>
            </w:r>
          </w:p>
        </w:tc>
        <w:tc>
          <w:tcPr>
            <w:tcW w:w="608" w:type="pct"/>
          </w:tcPr>
          <w:p w14:paraId="2C243897"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w:t>
            </w:r>
          </w:p>
        </w:tc>
        <w:tc>
          <w:tcPr>
            <w:tcW w:w="755" w:type="pct"/>
          </w:tcPr>
          <w:p w14:paraId="049BD6AB"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w:t>
            </w:r>
          </w:p>
        </w:tc>
        <w:tc>
          <w:tcPr>
            <w:tcW w:w="681" w:type="pct"/>
          </w:tcPr>
          <w:p w14:paraId="6987217B"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4</w:t>
            </w:r>
          </w:p>
        </w:tc>
        <w:tc>
          <w:tcPr>
            <w:tcW w:w="1256" w:type="pct"/>
          </w:tcPr>
          <w:p w14:paraId="001C50D7"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Fall from a 2-m height</w:t>
            </w:r>
          </w:p>
        </w:tc>
      </w:tr>
      <w:tr w:rsidR="0068137E" w:rsidRPr="0068137E" w14:paraId="5C7A1311" w14:textId="77777777" w:rsidTr="00227F0C">
        <w:trPr>
          <w:trHeight w:val="280"/>
        </w:trPr>
        <w:tc>
          <w:tcPr>
            <w:tcW w:w="629" w:type="pct"/>
          </w:tcPr>
          <w:p w14:paraId="53DD8693"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3</w:t>
            </w:r>
          </w:p>
        </w:tc>
        <w:tc>
          <w:tcPr>
            <w:tcW w:w="544" w:type="pct"/>
          </w:tcPr>
          <w:p w14:paraId="7480A438"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Male</w:t>
            </w:r>
          </w:p>
        </w:tc>
        <w:tc>
          <w:tcPr>
            <w:tcW w:w="526" w:type="pct"/>
          </w:tcPr>
          <w:p w14:paraId="0628EAFD"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18</w:t>
            </w:r>
          </w:p>
        </w:tc>
        <w:tc>
          <w:tcPr>
            <w:tcW w:w="608" w:type="pct"/>
          </w:tcPr>
          <w:p w14:paraId="6ACB9C16"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w:t>
            </w:r>
          </w:p>
        </w:tc>
        <w:tc>
          <w:tcPr>
            <w:tcW w:w="755" w:type="pct"/>
          </w:tcPr>
          <w:p w14:paraId="202FF054"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w:t>
            </w:r>
          </w:p>
        </w:tc>
        <w:tc>
          <w:tcPr>
            <w:tcW w:w="681" w:type="pct"/>
          </w:tcPr>
          <w:p w14:paraId="6A239590"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4.5</w:t>
            </w:r>
          </w:p>
        </w:tc>
        <w:tc>
          <w:tcPr>
            <w:tcW w:w="1256" w:type="pct"/>
          </w:tcPr>
          <w:p w14:paraId="722DA75A"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Motor vehicle accident</w:t>
            </w:r>
          </w:p>
        </w:tc>
      </w:tr>
      <w:tr w:rsidR="0068137E" w:rsidRPr="0068137E" w14:paraId="37AC0D33" w14:textId="77777777" w:rsidTr="00227F0C">
        <w:trPr>
          <w:trHeight w:val="280"/>
        </w:trPr>
        <w:tc>
          <w:tcPr>
            <w:tcW w:w="629" w:type="pct"/>
          </w:tcPr>
          <w:p w14:paraId="523A5841"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4</w:t>
            </w:r>
          </w:p>
        </w:tc>
        <w:tc>
          <w:tcPr>
            <w:tcW w:w="544" w:type="pct"/>
          </w:tcPr>
          <w:p w14:paraId="235890BA"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Male</w:t>
            </w:r>
          </w:p>
        </w:tc>
        <w:tc>
          <w:tcPr>
            <w:tcW w:w="526" w:type="pct"/>
          </w:tcPr>
          <w:p w14:paraId="17B5049E"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65</w:t>
            </w:r>
          </w:p>
        </w:tc>
        <w:tc>
          <w:tcPr>
            <w:tcW w:w="608" w:type="pct"/>
          </w:tcPr>
          <w:p w14:paraId="167EDB19"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w:t>
            </w:r>
          </w:p>
        </w:tc>
        <w:tc>
          <w:tcPr>
            <w:tcW w:w="755" w:type="pct"/>
          </w:tcPr>
          <w:p w14:paraId="1BA7FC51"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w:t>
            </w:r>
          </w:p>
        </w:tc>
        <w:tc>
          <w:tcPr>
            <w:tcW w:w="681" w:type="pct"/>
          </w:tcPr>
          <w:p w14:paraId="168765AD"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4.5</w:t>
            </w:r>
          </w:p>
        </w:tc>
        <w:tc>
          <w:tcPr>
            <w:tcW w:w="1256" w:type="pct"/>
          </w:tcPr>
          <w:p w14:paraId="635464CE"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Fall from a 1-m height</w:t>
            </w:r>
          </w:p>
        </w:tc>
      </w:tr>
      <w:tr w:rsidR="0068137E" w:rsidRPr="0068137E" w14:paraId="2B8D2562" w14:textId="77777777" w:rsidTr="00227F0C">
        <w:trPr>
          <w:trHeight w:val="268"/>
        </w:trPr>
        <w:tc>
          <w:tcPr>
            <w:tcW w:w="629" w:type="pct"/>
          </w:tcPr>
          <w:p w14:paraId="5E83399D"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5</w:t>
            </w:r>
          </w:p>
        </w:tc>
        <w:tc>
          <w:tcPr>
            <w:tcW w:w="544" w:type="pct"/>
          </w:tcPr>
          <w:p w14:paraId="6B461EF0"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Female</w:t>
            </w:r>
          </w:p>
        </w:tc>
        <w:tc>
          <w:tcPr>
            <w:tcW w:w="526" w:type="pct"/>
          </w:tcPr>
          <w:p w14:paraId="7C1DD465"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47</w:t>
            </w:r>
          </w:p>
        </w:tc>
        <w:tc>
          <w:tcPr>
            <w:tcW w:w="608" w:type="pct"/>
          </w:tcPr>
          <w:p w14:paraId="1F6A2699"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w:t>
            </w:r>
          </w:p>
        </w:tc>
        <w:tc>
          <w:tcPr>
            <w:tcW w:w="755" w:type="pct"/>
          </w:tcPr>
          <w:p w14:paraId="46577175"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w:t>
            </w:r>
          </w:p>
        </w:tc>
        <w:tc>
          <w:tcPr>
            <w:tcW w:w="681" w:type="pct"/>
          </w:tcPr>
          <w:p w14:paraId="23A85FFC"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5</w:t>
            </w:r>
          </w:p>
        </w:tc>
        <w:tc>
          <w:tcPr>
            <w:tcW w:w="1256" w:type="pct"/>
          </w:tcPr>
          <w:p w14:paraId="0D770F28"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Slippage and fall</w:t>
            </w:r>
          </w:p>
        </w:tc>
      </w:tr>
      <w:tr w:rsidR="0068137E" w:rsidRPr="0068137E" w14:paraId="6CD1A18F" w14:textId="77777777" w:rsidTr="00227F0C">
        <w:trPr>
          <w:trHeight w:val="280"/>
        </w:trPr>
        <w:tc>
          <w:tcPr>
            <w:tcW w:w="629" w:type="pct"/>
          </w:tcPr>
          <w:p w14:paraId="60DFEEC0"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6</w:t>
            </w:r>
          </w:p>
        </w:tc>
        <w:tc>
          <w:tcPr>
            <w:tcW w:w="544" w:type="pct"/>
          </w:tcPr>
          <w:p w14:paraId="09D726E7"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Male</w:t>
            </w:r>
          </w:p>
        </w:tc>
        <w:tc>
          <w:tcPr>
            <w:tcW w:w="526" w:type="pct"/>
          </w:tcPr>
          <w:p w14:paraId="1DFC15A8"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53</w:t>
            </w:r>
          </w:p>
        </w:tc>
        <w:tc>
          <w:tcPr>
            <w:tcW w:w="608" w:type="pct"/>
          </w:tcPr>
          <w:p w14:paraId="6AD7882C"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w:t>
            </w:r>
          </w:p>
        </w:tc>
        <w:tc>
          <w:tcPr>
            <w:tcW w:w="755" w:type="pct"/>
          </w:tcPr>
          <w:p w14:paraId="698FFE63"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w:t>
            </w:r>
          </w:p>
        </w:tc>
        <w:tc>
          <w:tcPr>
            <w:tcW w:w="681" w:type="pct"/>
          </w:tcPr>
          <w:p w14:paraId="541F064A"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5</w:t>
            </w:r>
          </w:p>
        </w:tc>
        <w:tc>
          <w:tcPr>
            <w:tcW w:w="1256" w:type="pct"/>
          </w:tcPr>
          <w:p w14:paraId="4541150E"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Motor vehicle accident</w:t>
            </w:r>
          </w:p>
        </w:tc>
      </w:tr>
      <w:tr w:rsidR="0068137E" w:rsidRPr="0068137E" w14:paraId="251923AF" w14:textId="77777777" w:rsidTr="00227F0C">
        <w:trPr>
          <w:trHeight w:val="280"/>
        </w:trPr>
        <w:tc>
          <w:tcPr>
            <w:tcW w:w="629" w:type="pct"/>
          </w:tcPr>
          <w:p w14:paraId="412FE53C"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7</w:t>
            </w:r>
          </w:p>
        </w:tc>
        <w:tc>
          <w:tcPr>
            <w:tcW w:w="544" w:type="pct"/>
          </w:tcPr>
          <w:p w14:paraId="6579F30E"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Male</w:t>
            </w:r>
          </w:p>
        </w:tc>
        <w:tc>
          <w:tcPr>
            <w:tcW w:w="526" w:type="pct"/>
          </w:tcPr>
          <w:p w14:paraId="126E4C23"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40</w:t>
            </w:r>
          </w:p>
        </w:tc>
        <w:tc>
          <w:tcPr>
            <w:tcW w:w="608" w:type="pct"/>
          </w:tcPr>
          <w:p w14:paraId="2C6B8B58"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w:t>
            </w:r>
          </w:p>
        </w:tc>
        <w:tc>
          <w:tcPr>
            <w:tcW w:w="755" w:type="pct"/>
          </w:tcPr>
          <w:p w14:paraId="34CD8463"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w:t>
            </w:r>
          </w:p>
        </w:tc>
        <w:tc>
          <w:tcPr>
            <w:tcW w:w="681" w:type="pct"/>
          </w:tcPr>
          <w:p w14:paraId="4B5CA680"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4</w:t>
            </w:r>
          </w:p>
        </w:tc>
        <w:tc>
          <w:tcPr>
            <w:tcW w:w="1256" w:type="pct"/>
          </w:tcPr>
          <w:p w14:paraId="3C6C62DA"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Motor vehicle accident</w:t>
            </w:r>
          </w:p>
        </w:tc>
      </w:tr>
      <w:tr w:rsidR="0068137E" w:rsidRPr="0068137E" w14:paraId="3FF3D8C1" w14:textId="77777777" w:rsidTr="00227F0C">
        <w:trPr>
          <w:trHeight w:val="280"/>
        </w:trPr>
        <w:tc>
          <w:tcPr>
            <w:tcW w:w="629" w:type="pct"/>
          </w:tcPr>
          <w:p w14:paraId="507AA5EC"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8</w:t>
            </w:r>
          </w:p>
        </w:tc>
        <w:tc>
          <w:tcPr>
            <w:tcW w:w="544" w:type="pct"/>
          </w:tcPr>
          <w:p w14:paraId="0C3C352A"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Female</w:t>
            </w:r>
          </w:p>
        </w:tc>
        <w:tc>
          <w:tcPr>
            <w:tcW w:w="526" w:type="pct"/>
          </w:tcPr>
          <w:p w14:paraId="7CD04B58"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62</w:t>
            </w:r>
          </w:p>
        </w:tc>
        <w:tc>
          <w:tcPr>
            <w:tcW w:w="608" w:type="pct"/>
          </w:tcPr>
          <w:p w14:paraId="5DE76CEC"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w:t>
            </w:r>
          </w:p>
        </w:tc>
        <w:tc>
          <w:tcPr>
            <w:tcW w:w="755" w:type="pct"/>
          </w:tcPr>
          <w:p w14:paraId="124A809D"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w:t>
            </w:r>
          </w:p>
        </w:tc>
        <w:tc>
          <w:tcPr>
            <w:tcW w:w="681" w:type="pct"/>
          </w:tcPr>
          <w:p w14:paraId="4F34C992"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6</w:t>
            </w:r>
          </w:p>
        </w:tc>
        <w:tc>
          <w:tcPr>
            <w:tcW w:w="1256" w:type="pct"/>
          </w:tcPr>
          <w:p w14:paraId="3725CB45"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Motor vehicle accident</w:t>
            </w:r>
          </w:p>
        </w:tc>
      </w:tr>
      <w:tr w:rsidR="0068137E" w:rsidRPr="0068137E" w14:paraId="106705CE" w14:textId="77777777" w:rsidTr="00227F0C">
        <w:trPr>
          <w:trHeight w:val="280"/>
        </w:trPr>
        <w:tc>
          <w:tcPr>
            <w:tcW w:w="629" w:type="pct"/>
          </w:tcPr>
          <w:p w14:paraId="08CF30EB"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9</w:t>
            </w:r>
          </w:p>
        </w:tc>
        <w:tc>
          <w:tcPr>
            <w:tcW w:w="544" w:type="pct"/>
          </w:tcPr>
          <w:p w14:paraId="0F9461D2"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Male</w:t>
            </w:r>
          </w:p>
        </w:tc>
        <w:tc>
          <w:tcPr>
            <w:tcW w:w="526" w:type="pct"/>
          </w:tcPr>
          <w:p w14:paraId="4A795C7A"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22</w:t>
            </w:r>
          </w:p>
        </w:tc>
        <w:tc>
          <w:tcPr>
            <w:tcW w:w="608" w:type="pct"/>
          </w:tcPr>
          <w:p w14:paraId="2CDD8E16"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w:t>
            </w:r>
          </w:p>
        </w:tc>
        <w:tc>
          <w:tcPr>
            <w:tcW w:w="755" w:type="pct"/>
          </w:tcPr>
          <w:p w14:paraId="4AA0ACB2"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w:t>
            </w:r>
          </w:p>
        </w:tc>
        <w:tc>
          <w:tcPr>
            <w:tcW w:w="681" w:type="pct"/>
          </w:tcPr>
          <w:p w14:paraId="110E062E"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3</w:t>
            </w:r>
          </w:p>
        </w:tc>
        <w:tc>
          <w:tcPr>
            <w:tcW w:w="1256" w:type="pct"/>
          </w:tcPr>
          <w:p w14:paraId="620FBA32"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Motor vehicle accident</w:t>
            </w:r>
          </w:p>
        </w:tc>
      </w:tr>
      <w:tr w:rsidR="0068137E" w:rsidRPr="0068137E" w14:paraId="5C2ECE0C" w14:textId="77777777" w:rsidTr="00227F0C">
        <w:trPr>
          <w:trHeight w:val="280"/>
        </w:trPr>
        <w:tc>
          <w:tcPr>
            <w:tcW w:w="629" w:type="pct"/>
          </w:tcPr>
          <w:p w14:paraId="5B566A0E"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10</w:t>
            </w:r>
          </w:p>
        </w:tc>
        <w:tc>
          <w:tcPr>
            <w:tcW w:w="544" w:type="pct"/>
          </w:tcPr>
          <w:p w14:paraId="1D2F7A19"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Female</w:t>
            </w:r>
          </w:p>
        </w:tc>
        <w:tc>
          <w:tcPr>
            <w:tcW w:w="526" w:type="pct"/>
          </w:tcPr>
          <w:p w14:paraId="416BD0D9"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24</w:t>
            </w:r>
          </w:p>
        </w:tc>
        <w:tc>
          <w:tcPr>
            <w:tcW w:w="608" w:type="pct"/>
          </w:tcPr>
          <w:p w14:paraId="6037DE69"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w:t>
            </w:r>
          </w:p>
        </w:tc>
        <w:tc>
          <w:tcPr>
            <w:tcW w:w="755" w:type="pct"/>
          </w:tcPr>
          <w:p w14:paraId="5A5C4A38"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w:t>
            </w:r>
          </w:p>
        </w:tc>
        <w:tc>
          <w:tcPr>
            <w:tcW w:w="681" w:type="pct"/>
          </w:tcPr>
          <w:p w14:paraId="21982BA6"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4</w:t>
            </w:r>
          </w:p>
        </w:tc>
        <w:tc>
          <w:tcPr>
            <w:tcW w:w="1256" w:type="pct"/>
          </w:tcPr>
          <w:p w14:paraId="65CF48F5"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Motor vehicle accident</w:t>
            </w:r>
          </w:p>
        </w:tc>
      </w:tr>
    </w:tbl>
    <w:p w14:paraId="0AA3838C" w14:textId="3227A3FF" w:rsidR="0068137E" w:rsidRPr="0068137E" w:rsidRDefault="0068137E" w:rsidP="0068137E">
      <w:pPr>
        <w:adjustRightInd w:val="0"/>
        <w:snapToGrid w:val="0"/>
        <w:spacing w:line="360" w:lineRule="auto"/>
        <w:jc w:val="both"/>
        <w:rPr>
          <w:rFonts w:ascii="Book Antiqua" w:hAnsi="Book Antiqua"/>
          <w:color w:val="000000" w:themeColor="text1"/>
        </w:rPr>
      </w:pPr>
      <w:r w:rsidRPr="0068137E">
        <w:rPr>
          <w:rFonts w:ascii="Book Antiqua" w:hAnsi="Book Antiqua"/>
          <w:color w:val="000000" w:themeColor="text1"/>
        </w:rPr>
        <w:t>The average functional recovery time was 4.3 mo. No patient suffered from persistent radial nerve palsy.</w:t>
      </w:r>
    </w:p>
    <w:p w14:paraId="0F9250A8" w14:textId="3DFA3587" w:rsidR="00A77B3E" w:rsidRPr="0068137E" w:rsidRDefault="00A77B3E" w:rsidP="0068137E">
      <w:pPr>
        <w:adjustRightInd w:val="0"/>
        <w:snapToGrid w:val="0"/>
        <w:spacing w:line="360" w:lineRule="auto"/>
        <w:jc w:val="both"/>
        <w:rPr>
          <w:rFonts w:ascii="Book Antiqua" w:hAnsi="Book Antiqua"/>
        </w:rPr>
      </w:pPr>
    </w:p>
    <w:sectPr w:rsidR="00A77B3E" w:rsidRPr="006813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60FDB" w14:textId="77777777" w:rsidR="00940A8F" w:rsidRDefault="00940A8F" w:rsidP="0068137E">
      <w:r>
        <w:separator/>
      </w:r>
    </w:p>
  </w:endnote>
  <w:endnote w:type="continuationSeparator" w:id="0">
    <w:p w14:paraId="0FD31251" w14:textId="77777777" w:rsidR="00940A8F" w:rsidRDefault="00940A8F" w:rsidP="0068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389349"/>
      <w:docPartObj>
        <w:docPartGallery w:val="Page Numbers (Bottom of Page)"/>
        <w:docPartUnique/>
      </w:docPartObj>
    </w:sdtPr>
    <w:sdtEndPr/>
    <w:sdtContent>
      <w:sdt>
        <w:sdtPr>
          <w:id w:val="-1705238520"/>
          <w:docPartObj>
            <w:docPartGallery w:val="Page Numbers (Top of Page)"/>
            <w:docPartUnique/>
          </w:docPartObj>
        </w:sdtPr>
        <w:sdtEndPr/>
        <w:sdtContent>
          <w:p w14:paraId="6FBDBFC5" w14:textId="189E4A41" w:rsidR="0068137E" w:rsidRDefault="0068137E" w:rsidP="0068137E">
            <w:pPr>
              <w:pStyle w:val="a5"/>
              <w:jc w:val="right"/>
            </w:pPr>
            <w:r w:rsidRPr="0068137E">
              <w:rPr>
                <w:rFonts w:ascii="Book Antiqua" w:hAnsi="Book Antiqua"/>
                <w:sz w:val="24"/>
                <w:szCs w:val="24"/>
                <w:lang w:val="zh-CN" w:eastAsia="zh-CN"/>
              </w:rPr>
              <w:t xml:space="preserve"> </w:t>
            </w:r>
            <w:r w:rsidRPr="0068137E">
              <w:rPr>
                <w:rFonts w:ascii="Book Antiqua" w:hAnsi="Book Antiqua"/>
                <w:b/>
                <w:bCs/>
                <w:sz w:val="24"/>
                <w:szCs w:val="24"/>
              </w:rPr>
              <w:fldChar w:fldCharType="begin"/>
            </w:r>
            <w:r w:rsidRPr="0068137E">
              <w:rPr>
                <w:rFonts w:ascii="Book Antiqua" w:hAnsi="Book Antiqua"/>
                <w:b/>
                <w:bCs/>
                <w:sz w:val="24"/>
                <w:szCs w:val="24"/>
              </w:rPr>
              <w:instrText>PAGE</w:instrText>
            </w:r>
            <w:r w:rsidRPr="0068137E">
              <w:rPr>
                <w:rFonts w:ascii="Book Antiqua" w:hAnsi="Book Antiqua"/>
                <w:b/>
                <w:bCs/>
                <w:sz w:val="24"/>
                <w:szCs w:val="24"/>
              </w:rPr>
              <w:fldChar w:fldCharType="separate"/>
            </w:r>
            <w:r w:rsidRPr="0068137E">
              <w:rPr>
                <w:rFonts w:ascii="Book Antiqua" w:hAnsi="Book Antiqua"/>
                <w:b/>
                <w:bCs/>
                <w:sz w:val="24"/>
                <w:szCs w:val="24"/>
                <w:lang w:val="zh-CN" w:eastAsia="zh-CN"/>
              </w:rPr>
              <w:t>2</w:t>
            </w:r>
            <w:r w:rsidRPr="0068137E">
              <w:rPr>
                <w:rFonts w:ascii="Book Antiqua" w:hAnsi="Book Antiqua"/>
                <w:b/>
                <w:bCs/>
                <w:sz w:val="24"/>
                <w:szCs w:val="24"/>
              </w:rPr>
              <w:fldChar w:fldCharType="end"/>
            </w:r>
            <w:r w:rsidRPr="0068137E">
              <w:rPr>
                <w:rFonts w:ascii="Book Antiqua" w:hAnsi="Book Antiqua"/>
                <w:sz w:val="24"/>
                <w:szCs w:val="24"/>
                <w:lang w:val="zh-CN" w:eastAsia="zh-CN"/>
              </w:rPr>
              <w:t xml:space="preserve"> / </w:t>
            </w:r>
            <w:r w:rsidRPr="0068137E">
              <w:rPr>
                <w:rFonts w:ascii="Book Antiqua" w:hAnsi="Book Antiqua"/>
                <w:b/>
                <w:bCs/>
                <w:sz w:val="24"/>
                <w:szCs w:val="24"/>
              </w:rPr>
              <w:fldChar w:fldCharType="begin"/>
            </w:r>
            <w:r w:rsidRPr="0068137E">
              <w:rPr>
                <w:rFonts w:ascii="Book Antiqua" w:hAnsi="Book Antiqua"/>
                <w:b/>
                <w:bCs/>
                <w:sz w:val="24"/>
                <w:szCs w:val="24"/>
              </w:rPr>
              <w:instrText>NUMPAGES</w:instrText>
            </w:r>
            <w:r w:rsidRPr="0068137E">
              <w:rPr>
                <w:rFonts w:ascii="Book Antiqua" w:hAnsi="Book Antiqua"/>
                <w:b/>
                <w:bCs/>
                <w:sz w:val="24"/>
                <w:szCs w:val="24"/>
              </w:rPr>
              <w:fldChar w:fldCharType="separate"/>
            </w:r>
            <w:r w:rsidRPr="0068137E">
              <w:rPr>
                <w:rFonts w:ascii="Book Antiqua" w:hAnsi="Book Antiqua"/>
                <w:b/>
                <w:bCs/>
                <w:sz w:val="24"/>
                <w:szCs w:val="24"/>
                <w:lang w:val="zh-CN" w:eastAsia="zh-CN"/>
              </w:rPr>
              <w:t>2</w:t>
            </w:r>
            <w:r w:rsidRPr="0068137E">
              <w:rPr>
                <w:rFonts w:ascii="Book Antiqua" w:hAnsi="Book Antiqua"/>
                <w:b/>
                <w:bCs/>
                <w:sz w:val="24"/>
                <w:szCs w:val="24"/>
              </w:rPr>
              <w:fldChar w:fldCharType="end"/>
            </w:r>
          </w:p>
        </w:sdtContent>
      </w:sdt>
    </w:sdtContent>
  </w:sdt>
  <w:p w14:paraId="21E4537A" w14:textId="77777777" w:rsidR="0068137E" w:rsidRDefault="006813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3F044" w14:textId="77777777" w:rsidR="00940A8F" w:rsidRDefault="00940A8F" w:rsidP="0068137E">
      <w:r>
        <w:separator/>
      </w:r>
    </w:p>
  </w:footnote>
  <w:footnote w:type="continuationSeparator" w:id="0">
    <w:p w14:paraId="5D143EF3" w14:textId="77777777" w:rsidR="00940A8F" w:rsidRDefault="00940A8F" w:rsidP="006813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612D6"/>
    <w:rsid w:val="001B4847"/>
    <w:rsid w:val="002633AD"/>
    <w:rsid w:val="004E483E"/>
    <w:rsid w:val="0068137E"/>
    <w:rsid w:val="00940A8F"/>
    <w:rsid w:val="00A77B3E"/>
    <w:rsid w:val="00B82E53"/>
    <w:rsid w:val="00BB644E"/>
    <w:rsid w:val="00CA2A55"/>
    <w:rsid w:val="00EB4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485BBF"/>
  <w15:docId w15:val="{AC189554-134A-43AA-905B-94372BEA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8137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8137E"/>
    <w:rPr>
      <w:sz w:val="18"/>
      <w:szCs w:val="18"/>
    </w:rPr>
  </w:style>
  <w:style w:type="paragraph" w:styleId="a5">
    <w:name w:val="footer"/>
    <w:basedOn w:val="a"/>
    <w:link w:val="a6"/>
    <w:uiPriority w:val="99"/>
    <w:unhideWhenUsed/>
    <w:rsid w:val="0068137E"/>
    <w:pPr>
      <w:tabs>
        <w:tab w:val="center" w:pos="4153"/>
        <w:tab w:val="right" w:pos="8306"/>
      </w:tabs>
      <w:snapToGrid w:val="0"/>
    </w:pPr>
    <w:rPr>
      <w:sz w:val="18"/>
      <w:szCs w:val="18"/>
    </w:rPr>
  </w:style>
  <w:style w:type="character" w:customStyle="1" w:styleId="a6">
    <w:name w:val="页脚 字符"/>
    <w:basedOn w:val="a0"/>
    <w:link w:val="a5"/>
    <w:uiPriority w:val="99"/>
    <w:rsid w:val="0068137E"/>
    <w:rPr>
      <w:sz w:val="18"/>
      <w:szCs w:val="18"/>
    </w:rPr>
  </w:style>
  <w:style w:type="character" w:styleId="a7">
    <w:name w:val="annotation reference"/>
    <w:basedOn w:val="a0"/>
    <w:semiHidden/>
    <w:unhideWhenUsed/>
    <w:rsid w:val="0068137E"/>
    <w:rPr>
      <w:sz w:val="21"/>
      <w:szCs w:val="21"/>
    </w:rPr>
  </w:style>
  <w:style w:type="paragraph" w:styleId="a8">
    <w:name w:val="annotation text"/>
    <w:basedOn w:val="a"/>
    <w:link w:val="a9"/>
    <w:semiHidden/>
    <w:unhideWhenUsed/>
    <w:rsid w:val="0068137E"/>
  </w:style>
  <w:style w:type="character" w:customStyle="1" w:styleId="a9">
    <w:name w:val="批注文字 字符"/>
    <w:basedOn w:val="a0"/>
    <w:link w:val="a8"/>
    <w:semiHidden/>
    <w:rsid w:val="0068137E"/>
    <w:rPr>
      <w:sz w:val="24"/>
      <w:szCs w:val="24"/>
    </w:rPr>
  </w:style>
  <w:style w:type="paragraph" w:styleId="aa">
    <w:name w:val="annotation subject"/>
    <w:basedOn w:val="a8"/>
    <w:next w:val="a8"/>
    <w:link w:val="ab"/>
    <w:semiHidden/>
    <w:unhideWhenUsed/>
    <w:rsid w:val="0068137E"/>
    <w:rPr>
      <w:b/>
      <w:bCs/>
    </w:rPr>
  </w:style>
  <w:style w:type="character" w:customStyle="1" w:styleId="ab">
    <w:name w:val="批注主题 字符"/>
    <w:basedOn w:val="a9"/>
    <w:link w:val="aa"/>
    <w:semiHidden/>
    <w:rsid w:val="0068137E"/>
    <w:rPr>
      <w:b/>
      <w:bCs/>
      <w:sz w:val="24"/>
      <w:szCs w:val="24"/>
    </w:rPr>
  </w:style>
  <w:style w:type="table" w:styleId="ac">
    <w:name w:val="Table Grid"/>
    <w:basedOn w:val="a1"/>
    <w:rsid w:val="0068137E"/>
    <w:rPr>
      <w:rFonts w:ascii="Book Antiqua" w:hAnsi="Book Antiqua"/>
      <w:kern w:val="2"/>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nowforneve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18</Pages>
  <Words>3836</Words>
  <Characters>21866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8</cp:revision>
  <dcterms:created xsi:type="dcterms:W3CDTF">2021-08-18T10:15:00Z</dcterms:created>
  <dcterms:modified xsi:type="dcterms:W3CDTF">2021-08-20T03:27:00Z</dcterms:modified>
</cp:coreProperties>
</file>