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CA395" w14:textId="7DF0054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Name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Journal: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Journal</w:t>
      </w:r>
      <w:r w:rsidR="00A31275" w:rsidRPr="006B66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2DCC7813" w14:textId="139DA35C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Manuscript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NO: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67059</w:t>
      </w:r>
    </w:p>
    <w:p w14:paraId="18274ECA" w14:textId="04141E1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Manuscript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Type: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</w:p>
    <w:p w14:paraId="370665B6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0B78D827" w14:textId="42301F8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eradication: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Exploring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its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impacts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mucosa</w:t>
      </w:r>
    </w:p>
    <w:p w14:paraId="36090C43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142833BE" w14:textId="7315395C" w:rsidR="00A77B3E" w:rsidRPr="006B66D4" w:rsidRDefault="00834F9D" w:rsidP="006B66D4">
      <w:pPr>
        <w:spacing w:line="360" w:lineRule="auto"/>
        <w:jc w:val="both"/>
        <w:rPr>
          <w:rFonts w:ascii="Book Antiqua" w:hAnsi="Book Antiqua"/>
        </w:rPr>
      </w:pPr>
      <w:proofErr w:type="spellStart"/>
      <w:r w:rsidRPr="006B66D4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hAnsi="Book Antiqua" w:cs="Book Antiqua"/>
          <w:iCs/>
          <w:color w:val="000000"/>
          <w:lang w:eastAsia="zh-CN"/>
        </w:rPr>
        <w:t>B</w:t>
      </w:r>
      <w:r w:rsidR="00A31275" w:rsidRPr="006B66D4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6B66D4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A31275" w:rsidRPr="006B66D4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6B66D4">
        <w:rPr>
          <w:rFonts w:ascii="Book Antiqua" w:hAnsi="Book Antiqua" w:cs="Book Antiqua"/>
          <w:i/>
          <w:iCs/>
          <w:color w:val="000000"/>
          <w:lang w:eastAsia="zh-CN"/>
        </w:rPr>
        <w:t>al.</w:t>
      </w:r>
      <w:r w:rsidR="00A31275" w:rsidRPr="006B66D4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094EA7"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94EA7"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094EA7" w:rsidRPr="006B66D4">
        <w:rPr>
          <w:rFonts w:ascii="Book Antiqua" w:eastAsia="Book Antiqua" w:hAnsi="Book Antiqua" w:cs="Book Antiqua"/>
          <w:color w:val="000000"/>
        </w:rPr>
        <w:t>eradication</w:t>
      </w:r>
    </w:p>
    <w:p w14:paraId="6555CBD9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277A3D25" w14:textId="009388C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Bin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Lv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Chun-Yan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Weng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Jing-Li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Xu,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Shao-Peng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Kai-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Jie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</w:p>
    <w:p w14:paraId="17886AD8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67778EFF" w14:textId="1C740CC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Pr="006B66D4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Department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Gastroenterology,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Affiliated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Hospital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Traditional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Medicine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University,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Hangzhou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310006,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Province,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</w:t>
      </w:r>
    </w:p>
    <w:p w14:paraId="70B5C51E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0858131A" w14:textId="430BBAA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Pr="006B66D4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Chun-Yan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Weng</w:t>
      </w:r>
      <w:proofErr w:type="spellEnd"/>
      <w:r w:rsidRPr="006B66D4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Shao-Peng Sun, Kai-</w:t>
      </w:r>
      <w:proofErr w:type="spellStart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>Jie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Wang, </w:t>
      </w:r>
      <w:r w:rsidRPr="006B66D4">
        <w:rPr>
          <w:rFonts w:ascii="Book Antiqua" w:eastAsia="Book Antiqua" w:hAnsi="Book Antiqua" w:cs="Book Antiqua"/>
          <w:color w:val="000000"/>
        </w:rPr>
        <w:t>Department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Gastroenterology,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Clinical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University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University,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Hangzhou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310053,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Province,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</w:t>
      </w:r>
    </w:p>
    <w:p w14:paraId="35E18205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2745CEC9" w14:textId="2C16E57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Jing-Li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Department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Surgery,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Clinical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University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University,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Hangzhou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310053,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Province,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</w:t>
      </w:r>
    </w:p>
    <w:p w14:paraId="24FD40B4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22A803F2" w14:textId="1C687A2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authors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contributed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collection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articles,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analysis,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writing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ed</w:t>
      </w:r>
      <w:r w:rsidRPr="006B66D4">
        <w:rPr>
          <w:rFonts w:ascii="Book Antiqua" w:eastAsia="Book Antiqua" w:hAnsi="Book Antiqua" w:cs="Book Antiqua"/>
          <w:color w:val="000000"/>
        </w:rPr>
        <w:t>iting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CC4E9D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</w:t>
      </w:r>
      <w:r w:rsidRPr="006B66D4">
        <w:rPr>
          <w:rFonts w:ascii="Book Antiqua" w:eastAsia="Book Antiqua" w:hAnsi="Book Antiqua" w:cs="Book Antiqua"/>
          <w:color w:val="000000"/>
        </w:rPr>
        <w:t>nuscript.</w:t>
      </w:r>
    </w:p>
    <w:p w14:paraId="22AC2A7D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1E6D381" w14:textId="076158A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Natural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Science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722211A00352.</w:t>
      </w:r>
    </w:p>
    <w:p w14:paraId="4F4CCA63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FFD1F97" w14:textId="252A658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Lv</w:t>
      </w:r>
      <w:proofErr w:type="spellEnd"/>
      <w:r w:rsidRPr="006B66D4">
        <w:rPr>
          <w:rFonts w:ascii="Book Antiqua" w:eastAsia="Book Antiqua" w:hAnsi="Book Antiqua" w:cs="Book Antiqua"/>
          <w:b/>
          <w:bCs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Department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Gastroenterology,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Affiliated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Hospital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Traditional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Medicine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University,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Youdian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Road,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Hangzhou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310006,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Province,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lvbin@medmail.com.cn</w:t>
      </w:r>
    </w:p>
    <w:p w14:paraId="3CB1C5B6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0AFAB980" w14:textId="010B5DE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April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14,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</w:t>
      </w:r>
    </w:p>
    <w:p w14:paraId="4FAB29EF" w14:textId="70F4B05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14,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</w:t>
      </w:r>
    </w:p>
    <w:p w14:paraId="747485C5" w14:textId="7AED11E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6B66D4">
        <w:rPr>
          <w:rFonts w:ascii="Book Antiqua" w:eastAsia="宋体" w:hAnsi="Book Antiqua"/>
          <w:color w:val="000000" w:themeColor="text1"/>
        </w:rPr>
        <w:t>J</w:t>
      </w:r>
      <w:r w:rsidR="006B66D4">
        <w:rPr>
          <w:rFonts w:ascii="Book Antiqua" w:eastAsia="宋体" w:hAnsi="Book Antiqua" w:hint="eastAsia"/>
          <w:color w:val="000000" w:themeColor="text1"/>
        </w:rPr>
        <w:t>u</w:t>
      </w:r>
      <w:r w:rsidR="006B66D4">
        <w:rPr>
          <w:rFonts w:ascii="Book Antiqua" w:eastAsia="宋体" w:hAnsi="Book Antiqua"/>
          <w:color w:val="000000" w:themeColor="text1"/>
        </w:rPr>
        <w:t>ly</w:t>
      </w:r>
      <w:r w:rsidR="006B66D4" w:rsidRPr="00F06907">
        <w:rPr>
          <w:rFonts w:ascii="Book Antiqua" w:eastAsia="宋体" w:hAnsi="Book Antiqua"/>
          <w:color w:val="000000" w:themeColor="text1"/>
        </w:rPr>
        <w:t xml:space="preserve"> </w:t>
      </w:r>
      <w:r w:rsidR="006B66D4">
        <w:rPr>
          <w:rFonts w:ascii="Book Antiqua" w:eastAsia="宋体" w:hAnsi="Book Antiqua"/>
          <w:color w:val="000000" w:themeColor="text1"/>
        </w:rPr>
        <w:t>15</w:t>
      </w:r>
      <w:r w:rsidR="006B66D4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353CCF80" w14:textId="34EFD55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8F141EE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  <w:sectPr w:rsidR="00A77B3E" w:rsidRPr="006B66D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7B3EE5" w14:textId="777777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28C5B6" w14:textId="4FF17DF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(H.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pylori)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approximately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50%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globally.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Persistent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causes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extragastric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dramatic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resulting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Consequently,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understand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clarify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subsequent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recovery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functions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summarize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</w:t>
      </w:r>
      <w:r w:rsidRPr="006B66D4">
        <w:rPr>
          <w:rFonts w:ascii="Book Antiqua" w:eastAsia="Book Antiqua" w:hAnsi="Book Antiqua" w:cs="Book Antiqua"/>
          <w:color w:val="000000"/>
        </w:rPr>
        <w:t>pic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</w:t>
      </w:r>
      <w:r w:rsidRPr="006B66D4">
        <w:rPr>
          <w:rFonts w:ascii="Book Antiqua" w:eastAsia="Book Antiqua" w:hAnsi="Book Antiqua" w:cs="Book Antiqua"/>
          <w:color w:val="000000"/>
        </w:rPr>
        <w:t>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therapeutic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mucosa.</w:t>
      </w:r>
    </w:p>
    <w:p w14:paraId="4835ADE2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E5C9DFA" w14:textId="4AD0BCB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" w:name="OLE_LINK17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Helicobacter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Histology;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bookmarkEnd w:id="3"/>
    </w:p>
    <w:p w14:paraId="522568B8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002F4013" w14:textId="5D74735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proofErr w:type="spellStart"/>
      <w:r w:rsidRPr="006B66D4">
        <w:rPr>
          <w:rFonts w:ascii="Book Antiqua" w:eastAsia="Book Antiqua" w:hAnsi="Book Antiqua" w:cs="Book Antiqua"/>
          <w:color w:val="000000"/>
        </w:rPr>
        <w:t>Lv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Weng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Exploring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impacts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press</w:t>
      </w:r>
    </w:p>
    <w:p w14:paraId="2FB9DB97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0829FCAA" w14:textId="6F21FAE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extragastric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emerge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 w:rsidRPr="006B66D4">
        <w:rPr>
          <w:rFonts w:ascii="Book Antiqua" w:eastAsia="Book Antiqua" w:hAnsi="Book Antiqua" w:cs="Book Antiqua"/>
          <w:color w:val="000000"/>
        </w:rPr>
        <w:t>persist</w:t>
      </w:r>
      <w:r w:rsidR="00CC4E9D">
        <w:rPr>
          <w:rFonts w:ascii="Book Antiqua" w:eastAsia="Book Antiqua" w:hAnsi="Book Antiqua" w:cs="Book Antiqua"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whereas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Thus,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dramatic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highlights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literature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comprehensive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evaluation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mucosa.</w:t>
      </w:r>
    </w:p>
    <w:p w14:paraId="4DCEA839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0C1881D4" w14:textId="777777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33963CE" w14:textId="70A2BB4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represents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type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Gram-negative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microaerophilic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 w:rsidRPr="006B66D4">
        <w:rPr>
          <w:rFonts w:ascii="Book Antiqua" w:eastAsia="Book Antiqua" w:hAnsi="Book Antiqua" w:cs="Book Antiqua"/>
          <w:color w:val="000000"/>
        </w:rPr>
        <w:t>bacteri</w:t>
      </w:r>
      <w:r w:rsidR="00CC4E9D">
        <w:rPr>
          <w:rFonts w:ascii="Book Antiqua" w:eastAsia="Book Antiqua" w:hAnsi="Book Antiqua" w:cs="Book Antiqua"/>
          <w:color w:val="000000"/>
        </w:rPr>
        <w:t>um</w:t>
      </w:r>
      <w:r w:rsidR="00CC4E9D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shape,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generally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childhood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O’Connor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generated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latest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epidemiological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remains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especially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certain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Eastern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European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South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American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countries.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~50%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global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population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researchers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socioeconomic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educational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resources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living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conditions,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 xml:space="preserve">that </w:t>
      </w:r>
      <w:r w:rsidRPr="006B66D4">
        <w:rPr>
          <w:rFonts w:ascii="Book Antiqua" w:eastAsia="Book Antiqua" w:hAnsi="Book Antiqua" w:cs="Book Antiqua"/>
          <w:color w:val="000000"/>
        </w:rPr>
        <w:t>elevated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prevalence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likely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happen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underdeveloped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countries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transmitted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iatrogenic,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fecal–oral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oral–oral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routes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6BB69BBE" w14:textId="08E6EAFA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persists,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acute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duodenal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ulcers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mucosa-associated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tissue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MALToma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[9</w:t>
      </w:r>
      <w:r w:rsidR="00CC4E9D" w:rsidRPr="006B66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4E9D">
        <w:rPr>
          <w:rFonts w:ascii="Book Antiqua" w:eastAsia="Book Antiqua" w:hAnsi="Book Antiqua" w:cs="Book Antiqua"/>
          <w:color w:val="000000"/>
        </w:rPr>
        <w:t xml:space="preserve">,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autoimmune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(AIG)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Several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plays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extragastric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immune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thrombocytopenia,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unexplained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iron-deficiency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anemia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Alzheimer’s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disease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11-15]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Moreover,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Health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Organization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carcinogens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critical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(GC)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etiology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16,17]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5781B3EB" w14:textId="7E4F3DC0" w:rsidR="00A77B3E" w:rsidRPr="006B66D4" w:rsidRDefault="00094EA7" w:rsidP="006B66D4">
      <w:pPr>
        <w:spacing w:line="360" w:lineRule="auto"/>
        <w:ind w:firstLine="48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Besides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complete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permanently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ulcers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induce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MALToma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regression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suggests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lesions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urgent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necessity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Therefore,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purpose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</w:t>
      </w:r>
      <w:r w:rsidRPr="006B66D4">
        <w:rPr>
          <w:rFonts w:ascii="Book Antiqua" w:eastAsia="Book Antiqua" w:hAnsi="Book Antiqua" w:cs="Book Antiqua"/>
          <w:color w:val="000000"/>
        </w:rPr>
        <w:t>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>i</w:t>
      </w:r>
      <w:r w:rsidR="00CC4E9D" w:rsidRPr="006B66D4">
        <w:rPr>
          <w:rFonts w:ascii="Book Antiqua" w:eastAsia="Book Antiqua" w:hAnsi="Book Antiqua" w:cs="Book Antiqua"/>
          <w:color w:val="000000"/>
        </w:rPr>
        <w:t xml:space="preserve">s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examine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understand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25E02DCB" w14:textId="77777777" w:rsidR="00A77B3E" w:rsidRPr="006B66D4" w:rsidRDefault="00A77B3E" w:rsidP="006B66D4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24497C0C" w14:textId="7D4C5AF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MUCOSA</w:t>
      </w:r>
      <w:r w:rsidR="00CC4E9D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CHANGES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H.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pylori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ERADICATION</w:t>
      </w:r>
    </w:p>
    <w:p w14:paraId="32288DC9" w14:textId="6565186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innermost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layer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consists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epithelium,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lamina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propria</w:t>
      </w:r>
      <w:proofErr w:type="spellEnd"/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muscularis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constituting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barriers.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barrier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epithelial–bicarbonate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barrier,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defense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mucosa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sequence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histopathological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</w:t>
      </w:r>
      <w:r w:rsidRPr="006B66D4">
        <w:rPr>
          <w:rFonts w:ascii="Book Antiqua" w:eastAsia="Book Antiqua" w:hAnsi="Book Antiqua" w:cs="Book Antiqua"/>
          <w:color w:val="000000"/>
        </w:rPr>
        <w:t>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(acute,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(IM),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dysplasia,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ultimately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neoplasia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according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sequence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proofErr w:type="gram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antibiotics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pump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(PPIs)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undergoes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various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changes.</w:t>
      </w:r>
    </w:p>
    <w:p w14:paraId="58D41F0D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5CB8170E" w14:textId="04E291C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HISTOLOGICAL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CHANGES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UPON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H.</w:t>
      </w:r>
      <w:r w:rsidR="00A31275"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pylori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ERADICATION</w:t>
      </w:r>
      <w:r w:rsidR="00A31275"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</w:p>
    <w:p w14:paraId="1D594C0E" w14:textId="72654A9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obvious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manifestations.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Evaluation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extent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proposed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Sydney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System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and/or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Updated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Sydney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comprising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pathological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efficiency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indicators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(neutrophil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polymorph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density),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(lymphocyte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plasma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elevations),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atrophy</w:t>
      </w:r>
      <w:r w:rsidR="00CC4E9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>IM.</w:t>
      </w:r>
    </w:p>
    <w:p w14:paraId="05C77202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F6D5DB0" w14:textId="38623B6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inflammation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activity</w:t>
      </w:r>
    </w:p>
    <w:p w14:paraId="31B01429" w14:textId="3C0FE60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Regarding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inflammation,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trends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reported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30-35]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several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neutrophil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disappearance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consequently,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considered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sensitive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index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presence.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Meanwhile,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inflammatory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index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PGII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declines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rapidly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1–2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Furthermore,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inflammation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cleared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overt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4B023FF6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305C9CC1" w14:textId="394EBAA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IM</w:t>
      </w:r>
    </w:p>
    <w:p w14:paraId="6BF67087" w14:textId="611FC3E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(AG)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premalignant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conditions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remains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controversial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reverses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IM.</w:t>
      </w:r>
    </w:p>
    <w:p w14:paraId="6847D1C4" w14:textId="0747DD98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Various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exhibit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recoverability.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carried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2000,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screening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587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-positive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subjects,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omeprazole,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amoxicillin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clarithromycin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=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295)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placebo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=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292),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alleviated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Annibale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Ohkusa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performed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results,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radical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lastRenderedPageBreak/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trend.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our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previously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receiving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markedly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</w:t>
      </w:r>
      <w:r w:rsidRPr="006B66D4">
        <w:rPr>
          <w:rFonts w:ascii="Book Antiqua" w:eastAsia="Book Antiqua" w:hAnsi="Book Antiqua" w:cs="Book Antiqua"/>
          <w:color w:val="000000"/>
        </w:rPr>
        <w:t>orpus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 xml:space="preserve">in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Furthermore,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Kodama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markedly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5–13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 xml:space="preserve">in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observed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untreated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follow-up,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Kodama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evaluated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points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Updated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Sydney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revealing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every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curvature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</w:t>
      </w:r>
      <w:r w:rsidRPr="006B66D4">
        <w:rPr>
          <w:rFonts w:ascii="Book Antiqua" w:eastAsia="Book Antiqua" w:hAnsi="Book Antiqua" w:cs="Book Antiqua"/>
          <w:color w:val="000000"/>
        </w:rPr>
        <w:t>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continuous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decreases.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gradually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alleviated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reached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point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-negative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analyses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45-47]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concerning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first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similar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occurred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 xml:space="preserve">the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corpus.</w:t>
      </w:r>
    </w:p>
    <w:p w14:paraId="26474D9B" w14:textId="252F4BB2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discrepant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responses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several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reasons.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methods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biopsy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specimens,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sample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sizes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amounts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biopsy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specimens</w:t>
      </w:r>
      <w:r w:rsidR="00CC4E9D">
        <w:rPr>
          <w:rFonts w:ascii="Book Antiqua" w:eastAsia="Book Antiqua" w:hAnsi="Book Antiqua" w:cs="Book Antiqua"/>
          <w:color w:val="000000"/>
        </w:rPr>
        <w:t xml:space="preserve"> are different across studies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progression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serious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decades,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 xml:space="preserve">that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period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mimic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actual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situation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48,49]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Moreover,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bile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reflux</w:t>
      </w:r>
      <w:r w:rsidR="00CC4E9D">
        <w:rPr>
          <w:rFonts w:ascii="Book Antiqua" w:eastAsia="Book Antiqua" w:hAnsi="Book Antiqua" w:cs="Book Antiqua"/>
          <w:color w:val="000000"/>
        </w:rPr>
        <w:t xml:space="preserve">,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</w:t>
      </w:r>
      <w:r w:rsidRPr="006B66D4">
        <w:rPr>
          <w:rFonts w:ascii="Book Antiqua" w:eastAsia="Book Antiqua" w:hAnsi="Book Antiqua" w:cs="Book Antiqua"/>
          <w:color w:val="000000"/>
        </w:rPr>
        <w:t>ti</w:t>
      </w:r>
      <w:r w:rsidRPr="006B66D4">
        <w:rPr>
          <w:rFonts w:ascii="Book Antiqua" w:eastAsia="Book Antiqua" w:hAnsi="Book Antiqua" w:cs="Book Antiqua"/>
          <w:color w:val="000000"/>
        </w:rPr>
        <w:t>ons,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age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Pr="006B66D4">
        <w:rPr>
          <w:rFonts w:ascii="Book Antiqua" w:eastAsia="Book Antiqua" w:hAnsi="Book Antiqua" w:cs="Book Antiqua"/>
          <w:color w:val="000000"/>
        </w:rPr>
        <w:t>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dietary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influence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results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33,50]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18790163" w14:textId="64E9D9AD" w:rsidR="00A77B3E" w:rsidRPr="006B66D4" w:rsidRDefault="00094EA7" w:rsidP="006B66D4">
      <w:pPr>
        <w:spacing w:line="360" w:lineRule="auto"/>
        <w:ind w:firstLine="21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result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recoverability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degrees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tightly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majority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divided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further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(&lt;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(3–10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</w:t>
      </w:r>
      <w:r w:rsidRPr="006B66D4">
        <w:rPr>
          <w:rFonts w:ascii="Book Antiqua" w:eastAsia="Book Antiqua" w:hAnsi="Book Antiqua" w:cs="Book Antiqua"/>
          <w:color w:val="000000"/>
        </w:rPr>
        <w:t>ars)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(≥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terms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(Table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inflammation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consistent.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completely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remains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debatable.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worth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research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Colombia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conducted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large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1990s.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years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[52</w:t>
      </w:r>
      <w:r w:rsidR="00CC4E9D" w:rsidRPr="006B66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C4E9D">
        <w:rPr>
          <w:rFonts w:ascii="Book Antiqua" w:eastAsia="Book Antiqua" w:hAnsi="Book Antiqua" w:cs="Book Antiqua"/>
          <w:color w:val="000000"/>
        </w:rPr>
        <w:t xml:space="preserve">,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 xml:space="preserve">the </w:t>
      </w:r>
      <w:r w:rsidRPr="006B66D4">
        <w:rPr>
          <w:rFonts w:ascii="Book Antiqua" w:eastAsia="Book Antiqua" w:hAnsi="Book Antiqua" w:cs="Book Antiqua"/>
          <w:color w:val="000000"/>
        </w:rPr>
        <w:t>results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</w:t>
      </w:r>
      <w:r w:rsidRPr="006B66D4">
        <w:rPr>
          <w:rFonts w:ascii="Book Antiqua" w:eastAsia="Book Antiqua" w:hAnsi="Book Antiqua" w:cs="Book Antiqua"/>
          <w:color w:val="000000"/>
        </w:rPr>
        <w:t>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progression,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regression,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progression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Therefore,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reversed,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prolonged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follow-up.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</w:p>
    <w:p w14:paraId="7536F0C7" w14:textId="488178CD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suggest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confers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benefits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progression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earlier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greater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benefits.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57BFFCE0" w14:textId="77777777" w:rsidR="00A77B3E" w:rsidRPr="006B66D4" w:rsidRDefault="00A77B3E" w:rsidP="006B66D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B54FD81" w14:textId="73A9239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CHANGES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ENDOSCOPIC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FINDINGS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AFTER</w:t>
      </w:r>
      <w:r w:rsidR="00A31275"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H.</w:t>
      </w:r>
      <w:r w:rsidR="00A31275"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pylori</w:t>
      </w:r>
      <w:r w:rsidR="00A31275"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ERADICATION</w:t>
      </w:r>
    </w:p>
    <w:p w14:paraId="068E3FCB" w14:textId="48C44A0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examination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method.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Kyoto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categorizing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(non-gastritis,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gastritis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6B66D4">
        <w:rPr>
          <w:rFonts w:ascii="Book Antiqua" w:eastAsia="Book Antiqua" w:hAnsi="Book Antiqua" w:cs="Book Antiqua"/>
          <w:color w:val="000000"/>
        </w:rPr>
        <w:t>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proposed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(Figure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healthy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easily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non-gastritis,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arrangement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collecting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venules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(RAC),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small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spots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surface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[56,57]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irregular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arrangement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absence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so-called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collecting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venules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diffuse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spotty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edema,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enlarged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folds.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phenomenon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disappear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59-61]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nodular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(NG),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“goose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flesh”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disappear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passage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time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62,63]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1A320107" w14:textId="10818A22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period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turns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spontaneously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disappears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because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advanced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map-like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redness,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flat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depressed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erythematous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tumors,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i.e.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nonatrophied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dissipate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inflammation,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nonatrophied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areas.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>Using</w:t>
      </w:r>
      <w:r w:rsidR="00CC4E9D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white-light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(WLI)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(LCI),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Majima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map-like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closely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occurrence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revealed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map-like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factor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>for</w:t>
      </w:r>
      <w:r w:rsidR="00CC4E9D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metachronous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cancer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</w:t>
      </w:r>
      <w:r w:rsidRPr="006B66D4">
        <w:rPr>
          <w:rFonts w:ascii="Book Antiqua" w:eastAsia="Book Antiqua" w:hAnsi="Book Antiqua" w:cs="Book Antiqua"/>
          <w:color w:val="000000"/>
        </w:rPr>
        <w:t>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expands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fundus,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66,67]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described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mottled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patchy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erythema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(MPE)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flat/slightly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depressed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erythematous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light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</w:p>
    <w:p w14:paraId="0B5E1874" w14:textId="549CF911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typical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mixed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patchy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pink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surrounding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grayish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slightly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elevated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plaques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generating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irregular,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uneven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surface.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Moreover,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villus-like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whitish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rough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surface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endoscopy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68,69]</w:t>
      </w:r>
      <w:r w:rsidRPr="006B66D4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contributes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recognition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similar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atrophy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hyperplastic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(HPPs);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either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sessile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pedunculated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result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infection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xanthoma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(GX)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typical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manifestation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persists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yellowish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well-delineated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Pr="006B66D4">
        <w:rPr>
          <w:rFonts w:ascii="Book Antiqua" w:eastAsia="Book Antiqua" w:hAnsi="Book Antiqua" w:cs="Book Antiqua"/>
          <w:color w:val="000000"/>
        </w:rPr>
        <w:t>dules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plaques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1–10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diameter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GC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72,73]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PPI,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phenomena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elevated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cobblestone-like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became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evident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comparison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PPI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nonusers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33DCC261" w14:textId="60A82508" w:rsidR="00A77B3E" w:rsidRPr="006B66D4" w:rsidRDefault="00094EA7" w:rsidP="006B66D4">
      <w:pPr>
        <w:spacing w:line="360" w:lineRule="auto"/>
        <w:ind w:firstLine="48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Overall,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represent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indexes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evaluating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efficacy.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</w:t>
      </w:r>
      <w:r w:rsidRPr="006B66D4">
        <w:rPr>
          <w:rFonts w:ascii="Book Antiqua" w:eastAsia="Book Antiqua" w:hAnsi="Book Antiqua" w:cs="Book Antiqua"/>
          <w:color w:val="000000"/>
        </w:rPr>
        <w:t>PPs</w:t>
      </w:r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fun</w:t>
      </w:r>
      <w:r w:rsidRPr="006B66D4">
        <w:rPr>
          <w:rFonts w:ascii="Book Antiqua" w:eastAsia="Book Antiqua" w:hAnsi="Book Antiqua" w:cs="Book Antiqua"/>
          <w:color w:val="000000"/>
        </w:rPr>
        <w:t>dic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boundaries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unclear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map-like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observed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rapid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76,77]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prolonged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required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3719CB78" w14:textId="77777777" w:rsidR="00A77B3E" w:rsidRPr="006B66D4" w:rsidRDefault="00A77B3E" w:rsidP="006B66D4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739F9854" w14:textId="3C09F36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EFFECT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H.</w:t>
      </w:r>
      <w:r w:rsidR="00A31275"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i/>
          <w:caps/>
          <w:color w:val="000000"/>
          <w:u w:val="single"/>
        </w:rPr>
        <w:t>pylori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ERADICATION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THERAPY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ON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GASTRIC</w:t>
      </w:r>
      <w:r w:rsidR="00A31275"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MICROBIOTA</w:t>
      </w:r>
    </w:p>
    <w:p w14:paraId="4CA3B145" w14:textId="7B7E7F2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There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microorganisms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constituting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alongside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so-called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microbiota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balance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stability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indispensable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normal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digestion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metabolism.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advanced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techniques,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culture-free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molecular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methods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rDNA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sequencing),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currently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known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</w:t>
      </w:r>
      <w:r w:rsidRPr="006B66D4">
        <w:rPr>
          <w:rFonts w:ascii="Book Antiqua" w:eastAsia="Book Antiqua" w:hAnsi="Book Antiqua" w:cs="Book Antiqua"/>
          <w:color w:val="000000"/>
        </w:rPr>
        <w:t>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resident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techniques,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>
        <w:rPr>
          <w:rFonts w:ascii="Book Antiqua" w:eastAsia="Book Antiqua" w:hAnsi="Book Antiqua" w:cs="Book Antiqua"/>
          <w:color w:val="000000"/>
        </w:rPr>
        <w:t xml:space="preserve">that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CC4E9D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6B66D4">
        <w:rPr>
          <w:rFonts w:ascii="Book Antiqua" w:eastAsia="Book Antiqua" w:hAnsi="Book Antiqua" w:cs="Book Antiqua"/>
          <w:color w:val="000000"/>
        </w:rPr>
        <w:t>negative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greatly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dominating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phyla,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Proteobacteria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="00CC4E9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Actinobacteria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commonest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genera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CC4E9D" w:rsidRPr="006B66D4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CC4E9D">
        <w:rPr>
          <w:rFonts w:ascii="Book Antiqua" w:eastAsia="Book Antiqua" w:hAnsi="Book Antiqua" w:cs="Book Antiqua"/>
          <w:color w:val="000000"/>
        </w:rPr>
        <w:t xml:space="preserve">,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Propionibacterium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80-85]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3ED48D7E" w14:textId="0DB1F8FE" w:rsidR="00A77B3E" w:rsidRPr="006B66D4" w:rsidRDefault="00094EA7" w:rsidP="006B66D4">
      <w:pPr>
        <w:spacing w:line="360" w:lineRule="auto"/>
        <w:ind w:firstLine="42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</w:t>
      </w:r>
      <w:r w:rsidRPr="006B66D4">
        <w:rPr>
          <w:rFonts w:ascii="Book Antiqua" w:eastAsia="Book Antiqua" w:hAnsi="Book Antiqua" w:cs="Book Antiqua"/>
          <w:color w:val="000000"/>
        </w:rPr>
        <w:t>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microorganisms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  <w:shd w:val="clear" w:color="auto" w:fill="FCFCFE"/>
        </w:rPr>
        <w:t>arise,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191E2D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composition</w:t>
      </w:r>
      <w:r w:rsidR="00191E2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pathways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leading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various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[87-89]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Generally,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colonization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alpha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(representing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inter-sample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in-sample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diversities,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respectively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90-92]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several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revealed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community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comparison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their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-negative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counterparts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93-96]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Compositionally,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Proteobacteria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often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dominate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becoming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single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abundant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almost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reaching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90%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abundance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phylum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level,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phyla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Actinobacteria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Bacteroidetes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="00191E2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Fusobacteria)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numbers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[82,90,92-94,96,97]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7B44E40D" w14:textId="27CF6885" w:rsidR="00A77B3E" w:rsidRPr="006B66D4" w:rsidRDefault="00094EA7" w:rsidP="006B66D4">
      <w:pPr>
        <w:spacing w:line="360" w:lineRule="auto"/>
        <w:ind w:firstLine="42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undergoes</w:t>
      </w:r>
      <w:r w:rsidR="00191E2D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major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reshap</w:t>
      </w:r>
      <w:r w:rsidRPr="006B66D4">
        <w:rPr>
          <w:rFonts w:ascii="Book Antiqua" w:eastAsia="Book Antiqua" w:hAnsi="Book Antiqua" w:cs="Book Antiqua"/>
          <w:color w:val="000000"/>
        </w:rPr>
        <w:t>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(Table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Mounting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markedly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fails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35,82,86,93,98,99]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Recovery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gradually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week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weeks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[86]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alpha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level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98]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Although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community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healthy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appeared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related.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Specifically,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several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</w:t>
      </w:r>
      <w:r w:rsidRPr="006B66D4">
        <w:rPr>
          <w:rFonts w:ascii="Book Antiqua" w:eastAsia="Book Antiqua" w:hAnsi="Book Antiqua" w:cs="Book Antiqua"/>
          <w:color w:val="000000"/>
        </w:rPr>
        <w:t>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indicated</w:t>
      </w:r>
      <w:r w:rsidR="00191E2D">
        <w:rPr>
          <w:rFonts w:ascii="Book Antiqua" w:eastAsia="Book Antiqua" w:hAnsi="Book Antiqua" w:cs="Book Antiqua"/>
          <w:color w:val="000000"/>
        </w:rPr>
        <w:t xml:space="preserve"> 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adult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specimens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still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altered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community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negative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recruiting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children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community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between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-negative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post-therapy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[99]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composition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administered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with </w:t>
      </w:r>
      <w:r w:rsidRPr="006B66D4">
        <w:rPr>
          <w:rFonts w:ascii="Book Antiqua" w:eastAsia="Book Antiqua" w:hAnsi="Book Antiqua" w:cs="Book Antiqua"/>
          <w:color w:val="000000"/>
        </w:rPr>
        <w:t>anti-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proofErr w:type="gram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at </w:t>
      </w:r>
      <w:r w:rsidRPr="006B66D4">
        <w:rPr>
          <w:rFonts w:ascii="Book Antiqua" w:eastAsia="Book Antiqua" w:hAnsi="Book Antiqua" w:cs="Book Antiqua"/>
          <w:color w:val="000000"/>
        </w:rPr>
        <w:t>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post-treatment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[82]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believe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adult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further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research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needed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recovery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composition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observed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over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observation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period.</w:t>
      </w:r>
    </w:p>
    <w:p w14:paraId="1CEDB94A" w14:textId="4E09E93F" w:rsidR="00A77B3E" w:rsidRPr="006B66D4" w:rsidRDefault="00094EA7" w:rsidP="006B66D4">
      <w:pPr>
        <w:spacing w:line="360" w:lineRule="auto"/>
        <w:ind w:firstLine="42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Compositionally,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 w:rsidRPr="00DB7F07">
        <w:rPr>
          <w:rFonts w:ascii="Book Antiqua" w:eastAsia="Book Antiqua" w:hAnsi="Book Antiqua" w:cs="Book Antiqua"/>
          <w:iCs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abundance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of </w:t>
      </w:r>
      <w:r w:rsidR="00191E2D" w:rsidRPr="006B66D4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191E2D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starkly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</w:t>
      </w:r>
      <w:r w:rsidRPr="006B66D4">
        <w:rPr>
          <w:rFonts w:ascii="Book Antiqua" w:eastAsia="Book Antiqua" w:hAnsi="Book Antiqua" w:cs="Book Antiqua"/>
          <w:color w:val="000000"/>
        </w:rPr>
        <w:t>reases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post-treatment,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although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remains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dominant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bacterium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86,93]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Meanwhile,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Actinobacteria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Firmicutes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Bacteroidet</w:t>
      </w:r>
      <w:r w:rsidRPr="006B66D4">
        <w:rPr>
          <w:rFonts w:ascii="Book Antiqua" w:eastAsia="Book Antiqua" w:hAnsi="Book Antiqua" w:cs="Book Antiqua"/>
          <w:color w:val="000000"/>
        </w:rPr>
        <w:t>es</w:t>
      </w:r>
      <w:proofErr w:type="spellEnd"/>
      <w:r w:rsidR="00191E2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Fusobacteria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enriched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82,90,93,98]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genus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level,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probiotics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markedly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therapy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Functional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performed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studies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82,86,98]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disease-associated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categories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(lipopolysaccharide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biosynthesis,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motility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proteins</w:t>
      </w:r>
      <w:r w:rsidR="00191E2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6B66D4">
        <w:rPr>
          <w:rFonts w:ascii="Book Antiqua" w:eastAsia="Book Antiqua" w:hAnsi="Book Antiqua" w:cs="Book Antiqua"/>
          <w:color w:val="000000"/>
        </w:rPr>
        <w:t>.)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pronounced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82,98]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pathways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(protein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digestion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absorption,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secretion,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carbohydrate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digestion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absorption)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downregulated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100]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functions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might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restored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86]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66EA1B61" w14:textId="50954A81" w:rsidR="00A77B3E" w:rsidRPr="006B66D4" w:rsidRDefault="00094EA7" w:rsidP="006B66D4">
      <w:pPr>
        <w:spacing w:line="360" w:lineRule="auto"/>
        <w:ind w:firstLine="42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causes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shift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Clearance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diversity.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abundance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phyla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functions,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metabolism.</w:t>
      </w:r>
    </w:p>
    <w:p w14:paraId="3E294DBA" w14:textId="77777777" w:rsidR="00A77B3E" w:rsidRPr="006B66D4" w:rsidRDefault="00A77B3E" w:rsidP="006B66D4">
      <w:pPr>
        <w:spacing w:line="360" w:lineRule="auto"/>
        <w:ind w:firstLine="420"/>
        <w:jc w:val="both"/>
        <w:rPr>
          <w:rFonts w:ascii="Book Antiqua" w:hAnsi="Book Antiqua"/>
        </w:rPr>
      </w:pPr>
    </w:p>
    <w:p w14:paraId="5197AB37" w14:textId="6C9C6DC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CHANGES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GC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AFTER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H.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pylori</w:t>
      </w:r>
      <w:r w:rsidR="00A31275"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ERADICATION</w:t>
      </w:r>
    </w:p>
    <w:p w14:paraId="4290443B" w14:textId="2E4EBA1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Many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confirmed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etiological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GC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101,102]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[103-108]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339670D0" w14:textId="5B895DEF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explore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performed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placebo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</w:t>
      </w:r>
      <w:r w:rsidRPr="006B66D4">
        <w:rPr>
          <w:rFonts w:ascii="Book Antiqua" w:eastAsia="Book Antiqua" w:hAnsi="Book Antiqua" w:cs="Book Antiqua"/>
          <w:color w:val="000000"/>
        </w:rPr>
        <w:t>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>either</w:t>
      </w:r>
      <w:r w:rsidR="00191E2D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group),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underpowered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design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despite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7.5-year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1630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participants.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gradually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extended,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gradually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differences.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</w:t>
      </w:r>
      <w:r w:rsidR="00191E2D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191E2D">
        <w:rPr>
          <w:rFonts w:ascii="Book Antiqua" w:eastAsia="Book Antiqua" w:hAnsi="Book Antiqua" w:cs="Book Antiqua"/>
          <w:color w:val="000000"/>
        </w:rPr>
        <w:t xml:space="preserve"> of</w:t>
      </w:r>
      <w:r w:rsidR="00191E2D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standardized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ratio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(SIR)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1.62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initial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reach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0.14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Swedish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cohort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191E2D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adenocarcinoma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non-cardia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adenocarcinoma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(SIRs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8.65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1–3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2.02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3–5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0.31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5–7.5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[22,109]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39%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over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extended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52%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over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extended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persistent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whereas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initial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7.3-year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up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20,110,111]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first-degree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doubles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triples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risk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112]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first-degree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risk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106,113]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South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Korean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utilized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design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(832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844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placebo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respectively,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first-degree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cases).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55%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placebo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average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9.2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73%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placebo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2D72AC30" w14:textId="4AE357E2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GC,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point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inextricably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collaborators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relationship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metachronous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(MGC)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average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whereas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markedly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duration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71.6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[115]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involving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usually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severe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alterations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half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similar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trial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completely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eliminate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performed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retrospective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cohort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Japan,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2737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21.4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degree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</w:t>
      </w:r>
      <w:r w:rsidRPr="006B66D4">
        <w:rPr>
          <w:rFonts w:ascii="Book Antiqua" w:eastAsia="Book Antiqua" w:hAnsi="Book Antiqua" w:cs="Book Antiqua"/>
          <w:color w:val="000000"/>
        </w:rPr>
        <w:t>elated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a </w:t>
      </w:r>
      <w:r w:rsidRPr="006B66D4">
        <w:rPr>
          <w:rFonts w:ascii="Book Antiqua" w:eastAsia="Book Antiqua" w:hAnsi="Book Antiqua" w:cs="Book Antiqua"/>
          <w:color w:val="000000"/>
        </w:rPr>
        <w:t>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an </w:t>
      </w:r>
      <w:r w:rsidRPr="006B66D4">
        <w:rPr>
          <w:rFonts w:ascii="Book Antiqua" w:eastAsia="Book Antiqua" w:hAnsi="Book Antiqua" w:cs="Book Antiqua"/>
          <w:color w:val="000000"/>
        </w:rPr>
        <w:t>elevated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diffuse-type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moderate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baseline.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suggest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that </w:t>
      </w:r>
      <w:r w:rsidRPr="006B66D4">
        <w:rPr>
          <w:rFonts w:ascii="Book Antiqua" w:eastAsia="Book Antiqua" w:hAnsi="Book Antiqua" w:cs="Book Antiqua"/>
          <w:color w:val="000000"/>
        </w:rPr>
        <w:t>endoscop</w:t>
      </w:r>
      <w:r w:rsidRPr="006B66D4">
        <w:rPr>
          <w:rFonts w:ascii="Book Antiqua" w:eastAsia="Book Antiqua" w:hAnsi="Book Antiqua" w:cs="Book Antiqua"/>
          <w:color w:val="000000"/>
        </w:rPr>
        <w:t>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monitoring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continue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beyond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proofErr w:type="gram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regardless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degree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[117]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23447200" w14:textId="7727A385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Several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correlated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(Table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104,118-121]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involving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healthy,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asymptomatic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participants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34%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group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howed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a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(pooled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ratio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=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0.54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Sugano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Doorakkers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[120]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that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odd</w:t>
      </w:r>
      <w:r w:rsidRPr="006B66D4">
        <w:rPr>
          <w:rFonts w:ascii="Book Antiqua" w:eastAsia="Book Antiqua" w:hAnsi="Book Antiqua" w:cs="Book Antiqua"/>
          <w:color w:val="000000"/>
        </w:rPr>
        <w:t>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ratio/relative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0.46.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further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demonstrated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varied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countries,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conditions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baseline,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periods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effectively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Consistent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(≥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greater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shorter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periods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(&lt;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[119]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consistent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analyses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104,118,120-122]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Thus,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provided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further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robust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13D62532" w14:textId="46B91E53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closely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Consequently,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reverses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tumors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attracted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attention.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Kiriyama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123]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[109]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reverse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injury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yield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normal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point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return.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agreement,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progression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continues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109,124]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Taipei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global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Islands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</w:t>
      </w:r>
      <w:r w:rsidRPr="006B66D4">
        <w:rPr>
          <w:rFonts w:ascii="Book Antiqua" w:eastAsia="Book Antiqua" w:hAnsi="Book Antiqua" w:cs="Book Antiqua"/>
          <w:color w:val="000000"/>
        </w:rPr>
        <w:t>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proposed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 xml:space="preserve">that </w:t>
      </w:r>
      <w:r w:rsidRPr="006B66D4">
        <w:rPr>
          <w:rFonts w:ascii="Book Antiqua" w:eastAsia="Book Antiqua" w:hAnsi="Book Antiqua" w:cs="Book Antiqua"/>
          <w:color w:val="000000"/>
        </w:rPr>
        <w:t>eradicating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lastRenderedPageBreak/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risk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107,108]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before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certain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point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GC.</w:t>
      </w:r>
    </w:p>
    <w:p w14:paraId="195DB5AD" w14:textId="46CD3D7A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general,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increasing.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large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number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MGC.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small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large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(commun</w:t>
      </w:r>
      <w:r w:rsidRPr="006B66D4">
        <w:rPr>
          <w:rFonts w:ascii="Book Antiqua" w:eastAsia="Book Antiqua" w:hAnsi="Book Antiqua" w:cs="Book Antiqua"/>
          <w:color w:val="000000"/>
        </w:rPr>
        <w:t>ity,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region</w:t>
      </w:r>
      <w:r w:rsidR="00191E2D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country)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examining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first-degree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</w:t>
      </w:r>
      <w:r w:rsidRPr="006B66D4">
        <w:rPr>
          <w:rFonts w:ascii="Book Antiqua" w:eastAsia="Book Antiqua" w:hAnsi="Book Antiqua" w:cs="Book Antiqua"/>
          <w:color w:val="000000"/>
        </w:rPr>
        <w:t>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results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benefits.</w:t>
      </w:r>
    </w:p>
    <w:p w14:paraId="3B0F5E67" w14:textId="77777777" w:rsidR="00A77B3E" w:rsidRPr="006B66D4" w:rsidRDefault="00A77B3E" w:rsidP="006B66D4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7A563DE" w14:textId="777777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EF51C4D" w14:textId="3FE58E1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sequence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especially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(Figure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2A)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proposed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international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gastroenterologists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pathologists,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corresponding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termed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Operative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(OLGA)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scale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125]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severity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extent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OLGA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primary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parameters,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leads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interobserver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agreement.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Therefore,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(Operative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OLGIM;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Figure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2B)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proposed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degree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2010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[126]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potentially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ove</w:t>
      </w:r>
      <w:r w:rsidRPr="006B66D4">
        <w:rPr>
          <w:rFonts w:ascii="Book Antiqua" w:eastAsia="Book Antiqua" w:hAnsi="Book Antiqua" w:cs="Book Antiqua"/>
          <w:color w:val="000000"/>
        </w:rPr>
        <w:t>rlooked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91E2D">
        <w:rPr>
          <w:rFonts w:ascii="Book Antiqua" w:eastAsia="Book Antiqua" w:hAnsi="Book Antiqua" w:cs="Book Antiqua"/>
          <w:color w:val="000000"/>
        </w:rPr>
        <w:t>Therefore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combination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OLGA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OLGIM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accurately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Meanwhile,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deep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learning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(especially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convolutional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neural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networks;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CNNs)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applied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gastroenterology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128-131]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example,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usefulness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CNN-based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diagnosing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neoplasms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129,131,132]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1C4BC251" w14:textId="09693ADE" w:rsidR="00A77B3E" w:rsidRPr="006B66D4" w:rsidRDefault="00094EA7" w:rsidP="006B66D4">
      <w:pPr>
        <w:spacing w:line="360" w:lineRule="auto"/>
        <w:ind w:firstLine="48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Previous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small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number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eventually,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191E2D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</w:t>
      </w:r>
      <w:r w:rsidRPr="006B66D4">
        <w:rPr>
          <w:rFonts w:ascii="Book Antiqua" w:eastAsia="Book Antiqua" w:hAnsi="Book Antiqua" w:cs="Book Antiqua"/>
          <w:color w:val="000000"/>
        </w:rPr>
        <w:t>auses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emphasizes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proper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standard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techniques,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magnifying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endoscopy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133]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endocytosc</w:t>
      </w:r>
      <w:r w:rsidRPr="006B66D4">
        <w:rPr>
          <w:rFonts w:ascii="Book Antiqua" w:eastAsia="Book Antiqua" w:hAnsi="Book Antiqua" w:cs="Book Antiqua"/>
          <w:color w:val="000000"/>
        </w:rPr>
        <w:t>opy</w:t>
      </w:r>
      <w:proofErr w:type="spell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[134,135]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magnifying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narrow-band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(M-NBI)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[136]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I-Scan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endomicroscopy</w:t>
      </w:r>
      <w:proofErr w:type="spell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[138</w:t>
      </w:r>
      <w:r w:rsidR="008F21C8" w:rsidRPr="006B66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F21C8">
        <w:rPr>
          <w:rFonts w:ascii="Book Antiqua" w:eastAsia="Book Antiqua" w:hAnsi="Book Antiqua" w:cs="Book Antiqua"/>
          <w:color w:val="000000"/>
        </w:rPr>
        <w:t xml:space="preserve">,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LCI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[139-141</w:t>
      </w:r>
      <w:r w:rsidR="008F21C8" w:rsidRPr="006B66D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8F21C8" w:rsidRPr="00DB7F07">
        <w:rPr>
          <w:rFonts w:ascii="Book Antiqua" w:eastAsia="Book Antiqua" w:hAnsi="Book Antiqua" w:cs="Book Antiqua"/>
          <w:color w:val="000000"/>
        </w:rPr>
        <w:t>,</w:t>
      </w:r>
      <w:r w:rsidR="008F21C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</w:t>
      </w:r>
      <w:r w:rsidRPr="006B66D4">
        <w:rPr>
          <w:rFonts w:ascii="Book Antiqua" w:eastAsia="Book Antiqua" w:hAnsi="Book Antiqua" w:cs="Book Antiqua"/>
          <w:color w:val="000000"/>
        </w:rPr>
        <w:t>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Magnifying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allows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subepithelial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capillary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network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around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fovea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observed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detail.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novel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ultra-high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technology,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endocytoscopy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recognize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minimal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changes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134,135]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Moreover,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NBI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I-Scan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computed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virtual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chromoendoscopy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imaging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137]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accuracy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M-NBI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magnifying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I-Scan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96.1%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94.0%,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respectively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136,137]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Currently,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novel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LCI,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plays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through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enhanced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slight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color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139-141]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assistance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computer-aided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(CAD)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LCI-CAD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effectively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uninfected,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currently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</w:t>
      </w:r>
      <w:r w:rsidRPr="006B66D4">
        <w:rPr>
          <w:rFonts w:ascii="Book Antiqua" w:eastAsia="Book Antiqua" w:hAnsi="Book Antiqua" w:cs="Book Antiqua"/>
          <w:color w:val="000000"/>
        </w:rPr>
        <w:t>ected</w:t>
      </w:r>
      <w:r w:rsidR="008F21C8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patients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142-144]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216A5925" w14:textId="1B344E87" w:rsidR="00A77B3E" w:rsidRPr="006B66D4" w:rsidRDefault="00094EA7" w:rsidP="006B66D4">
      <w:pPr>
        <w:spacing w:line="360" w:lineRule="auto"/>
        <w:ind w:firstLine="48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describe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appearances,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8F21C8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MGC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Dyspeptic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symptoms,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AIG</w:t>
      </w:r>
      <w:r w:rsidR="008F21C8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recurrence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declined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synchronous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extragastric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disorders,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iron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deficiency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anemia,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MALToma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 xml:space="preserve">and </w:t>
      </w:r>
      <w:r w:rsidRPr="006B66D4">
        <w:rPr>
          <w:rFonts w:ascii="Book Antiqua" w:eastAsia="Book Antiqua" w:hAnsi="Book Antiqua" w:cs="Book Antiqua"/>
          <w:color w:val="000000"/>
        </w:rPr>
        <w:t>idiopa</w:t>
      </w:r>
      <w:r w:rsidRPr="006B66D4">
        <w:rPr>
          <w:rFonts w:ascii="Book Antiqua" w:eastAsia="Book Antiqua" w:hAnsi="Book Antiqua" w:cs="Book Antiqua"/>
          <w:color w:val="000000"/>
        </w:rPr>
        <w:t>thic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thrombocytopenic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purpura,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8,9,10,145,146]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Therefore,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recommend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diseases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38,147]</w:t>
      </w:r>
      <w:r w:rsidRPr="006B66D4">
        <w:rPr>
          <w:rFonts w:ascii="Book Antiqua" w:eastAsia="Book Antiqua" w:hAnsi="Book Antiqua" w:cs="Book Antiqua"/>
          <w:color w:val="000000"/>
        </w:rPr>
        <w:t>.</w:t>
      </w:r>
    </w:p>
    <w:p w14:paraId="07EAB15E" w14:textId="58FFCF0E" w:rsidR="00A77B3E" w:rsidRPr="006B66D4" w:rsidRDefault="00094EA7" w:rsidP="006B66D4">
      <w:pPr>
        <w:spacing w:line="360" w:lineRule="auto"/>
        <w:ind w:firstLine="24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potential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concerns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antibiotic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(particularly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metronidazole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clarithromycin)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resistance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[148,149]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novel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alternative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specific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urgent.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approaches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broadly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divided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two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categories: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(1)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Novel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synthetic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peptides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(AMPs)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small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molecule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(2)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>n</w:t>
      </w:r>
      <w:r w:rsidR="008F21C8" w:rsidRPr="006B66D4">
        <w:rPr>
          <w:rFonts w:ascii="Book Antiqua" w:eastAsia="Book Antiqua" w:hAnsi="Book Antiqua" w:cs="Book Antiqua"/>
          <w:color w:val="000000"/>
        </w:rPr>
        <w:t xml:space="preserve">atural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options,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include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probiotics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phytotherapy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pivotal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innate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immune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</w:t>
      </w:r>
      <w:r w:rsidRPr="006B66D4">
        <w:rPr>
          <w:rFonts w:ascii="Book Antiqua" w:eastAsia="Book Antiqua" w:hAnsi="Book Antiqua" w:cs="Book Antiqua"/>
          <w:color w:val="000000"/>
        </w:rPr>
        <w:t>ponses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AMPs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roughly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divided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</w:t>
      </w:r>
      <w:r w:rsidRPr="006B66D4">
        <w:rPr>
          <w:rFonts w:ascii="Book Antiqua" w:eastAsia="Book Antiqua" w:hAnsi="Book Antiqua" w:cs="Book Antiqua"/>
          <w:color w:val="000000"/>
        </w:rPr>
        <w:t>tegories: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F21C8">
        <w:rPr>
          <w:rFonts w:ascii="Book Antiqua" w:eastAsia="Book Antiqua" w:hAnsi="Book Antiqua" w:cs="Book Antiqua"/>
          <w:color w:val="000000"/>
        </w:rPr>
        <w:t>P</w:t>
      </w:r>
      <w:r w:rsidR="008F21C8" w:rsidRPr="006B66D4">
        <w:rPr>
          <w:rFonts w:ascii="Book Antiqua" w:eastAsia="Book Antiqua" w:hAnsi="Book Antiqua" w:cs="Book Antiqua"/>
          <w:color w:val="000000"/>
        </w:rPr>
        <w:t>exiganan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tilapia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piscidins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epinecidin</w:t>
      </w:r>
      <w:r w:rsidR="00DB7F07">
        <w:rPr>
          <w:rFonts w:ascii="Book Antiqua" w:eastAsia="Book Antiqua" w:hAnsi="Book Antiqua" w:cs="Book Antiqua"/>
          <w:color w:val="000000"/>
        </w:rPr>
        <w:t>-</w:t>
      </w:r>
      <w:r w:rsidRPr="006B66D4">
        <w:rPr>
          <w:rFonts w:ascii="Book Antiqua" w:eastAsia="Book Antiqua" w:hAnsi="Book Antiqua" w:cs="Book Antiqua"/>
          <w:color w:val="000000"/>
        </w:rPr>
        <w:t>1,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cathelicidins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defensins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bicarinalin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odorranain</w:t>
      </w:r>
      <w:proofErr w:type="spellEnd"/>
      <w:r w:rsidR="00DB7F07">
        <w:rPr>
          <w:rFonts w:ascii="Book Antiqua" w:eastAsia="Book Antiqua" w:hAnsi="Book Antiqua" w:cs="Book Antiqua"/>
          <w:color w:val="000000"/>
        </w:rPr>
        <w:t>-</w:t>
      </w:r>
      <w:r w:rsidRPr="006B66D4">
        <w:rPr>
          <w:rFonts w:ascii="Book Antiqua" w:eastAsia="Book Antiqua" w:hAnsi="Book Antiqua" w:cs="Book Antiqua"/>
          <w:color w:val="000000"/>
        </w:rPr>
        <w:t>HP,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PGLa</w:t>
      </w:r>
      <w:r w:rsidR="00DB7F07">
        <w:rPr>
          <w:rFonts w:ascii="Book Antiqua" w:eastAsia="Book Antiqua" w:hAnsi="Book Antiqua" w:cs="Book Antiqua"/>
          <w:color w:val="000000"/>
        </w:rPr>
        <w:t>-</w:t>
      </w:r>
      <w:r w:rsidRPr="006B66D4">
        <w:rPr>
          <w:rFonts w:ascii="Book Antiqua" w:eastAsia="Book Antiqua" w:hAnsi="Book Antiqua" w:cs="Book Antiqua"/>
          <w:color w:val="000000"/>
        </w:rPr>
        <w:t>AM1,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6B66D4">
        <w:rPr>
          <w:rFonts w:ascii="Book Antiqua" w:eastAsia="Book Antiqua" w:hAnsi="Book Antiqua" w:cs="Book Antiqua"/>
          <w:color w:val="000000"/>
        </w:rPr>
        <w:t>bacteriocins</w:t>
      </w:r>
      <w:proofErr w:type="spell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150]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cathelicidins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defensins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secreted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epithelial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cells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tissues,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exhibit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therapeutic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potential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151]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SQ109,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typical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representative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small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molecule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displays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robust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thermal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stability,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low/no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spontaneous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drug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resistance</w:t>
      </w:r>
      <w:r w:rsidR="008F21C8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shows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proofErr w:type="gram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superiority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over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metronidazole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amoxicillin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[152]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Second,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adjuvant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probiotics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phytotherapy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designed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adverse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treatment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153,154]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Phytotherapy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 xml:space="preserve">including </w:t>
      </w:r>
      <w:r w:rsidRPr="006B66D4">
        <w:rPr>
          <w:rFonts w:ascii="Book Antiqua" w:eastAsia="Book Antiqua" w:hAnsi="Book Antiqua" w:cs="Book Antiqua"/>
          <w:color w:val="000000"/>
        </w:rPr>
        <w:t>herbs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spices,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cruciferous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vegetables,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Korean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ginseng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extracts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oils,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resveratrol,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 xml:space="preserve">and </w:t>
      </w:r>
      <w:r w:rsidRPr="006B66D4">
        <w:rPr>
          <w:rFonts w:ascii="Book Antiqua" w:eastAsia="Book Antiqua" w:hAnsi="Book Antiqua" w:cs="Book Antiqua"/>
          <w:color w:val="000000"/>
        </w:rPr>
        <w:t>beta-carotene,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naturopathic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Specifically,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herbal</w:t>
      </w:r>
      <w:r w:rsidR="008F21C8">
        <w:rPr>
          <w:rFonts w:ascii="Book Antiqua" w:eastAsia="Book Antiqua" w:hAnsi="Book Antiqua" w:cs="Book Antiqua"/>
          <w:color w:val="000000"/>
        </w:rPr>
        <w:t>-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</w:t>
      </w:r>
      <w:r w:rsidRPr="006B66D4">
        <w:rPr>
          <w:rFonts w:ascii="Book Antiqua" w:eastAsia="Book Antiqua" w:hAnsi="Book Antiqua" w:cs="Book Antiqua"/>
          <w:color w:val="000000"/>
        </w:rPr>
        <w:t>erapies,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forms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phytotherapy,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anti-inflammatory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infection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Nevertheless,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component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majority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molecular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mechanism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against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remain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unknown.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gastroesophageal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reflux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secretion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156,157]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Alterations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might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decrease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secretion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levels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</w:t>
      </w:r>
      <w:r w:rsidRPr="006B66D4">
        <w:rPr>
          <w:rFonts w:ascii="Book Antiqua" w:eastAsia="Book Antiqua" w:hAnsi="Book Antiqua" w:cs="Book Antiqua"/>
          <w:color w:val="000000"/>
        </w:rPr>
        <w:t>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insulin,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fasti</w:t>
      </w:r>
      <w:r w:rsidRPr="006B66D4">
        <w:rPr>
          <w:rFonts w:ascii="Book Antiqua" w:eastAsia="Book Antiqua" w:hAnsi="Book Antiqua" w:cs="Book Antiqua"/>
          <w:color w:val="000000"/>
        </w:rPr>
        <w:t>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glucose,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chole</w:t>
      </w:r>
      <w:r w:rsidRPr="006B66D4">
        <w:rPr>
          <w:rFonts w:ascii="Book Antiqua" w:eastAsia="Book Antiqua" w:hAnsi="Book Antiqua" w:cs="Book Antiqua"/>
          <w:color w:val="000000"/>
        </w:rPr>
        <w:t>sterol</w:t>
      </w:r>
      <w:r w:rsidR="008F21C8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</w:t>
      </w:r>
      <w:r w:rsidRPr="006B66D4">
        <w:rPr>
          <w:rFonts w:ascii="Book Antiqua" w:eastAsia="Book Antiqua" w:hAnsi="Book Antiqua" w:cs="Book Antiqua"/>
          <w:color w:val="000000"/>
        </w:rPr>
        <w:t>glyceride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148,158]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However,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remain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controversial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further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well-designed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warranted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clarify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parameters.</w:t>
      </w:r>
    </w:p>
    <w:p w14:paraId="51A31D38" w14:textId="5C44CF37" w:rsidR="00A77B3E" w:rsidRPr="006B66D4" w:rsidRDefault="00094EA7" w:rsidP="006B66D4">
      <w:pPr>
        <w:spacing w:line="360" w:lineRule="auto"/>
        <w:ind w:firstLine="480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immutability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concern,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condition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carries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also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words,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still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IM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159]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map-like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erythema,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correlated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 xml:space="preserve">a </w:t>
      </w:r>
      <w:r w:rsidRPr="006B66D4">
        <w:rPr>
          <w:rFonts w:ascii="Book Antiqua" w:eastAsia="Book Antiqua" w:hAnsi="Book Antiqua" w:cs="Book Antiqua"/>
          <w:color w:val="000000"/>
        </w:rPr>
        <w:t>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8F21C8" w:rsidRPr="00DB7F07">
        <w:rPr>
          <w:rFonts w:ascii="Book Antiqua" w:eastAsia="Book Antiqua" w:hAnsi="Book Antiqua" w:cs="Book Antiqua"/>
          <w:color w:val="000000"/>
        </w:rPr>
        <w:t>Even</w:t>
      </w:r>
      <w:r w:rsidR="008F21C8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>w</w:t>
      </w:r>
      <w:r w:rsidR="008F21C8" w:rsidRPr="006B66D4">
        <w:rPr>
          <w:rFonts w:ascii="Book Antiqua" w:eastAsia="Book Antiqua" w:hAnsi="Book Antiqua" w:cs="Book Antiqua"/>
          <w:color w:val="000000"/>
        </w:rPr>
        <w:t>orse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cause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characteristics,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appearance,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>resulting in</w:t>
      </w:r>
      <w:r w:rsidR="008F21C8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 xml:space="preserve">a </w:t>
      </w:r>
      <w:r w:rsidRPr="006B66D4">
        <w:rPr>
          <w:rFonts w:ascii="Book Antiqua" w:eastAsia="Book Antiqua" w:hAnsi="Book Antiqua" w:cs="Book Antiqua"/>
          <w:color w:val="000000"/>
        </w:rPr>
        <w:t>diffic</w:t>
      </w:r>
      <w:r w:rsidRPr="006B66D4">
        <w:rPr>
          <w:rFonts w:ascii="Book Antiqua" w:eastAsia="Book Antiqua" w:hAnsi="Book Antiqua" w:cs="Book Antiqua"/>
          <w:color w:val="000000"/>
        </w:rPr>
        <w:t>ult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GC</w:t>
      </w:r>
      <w:r w:rsidRPr="006B66D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B66D4">
        <w:rPr>
          <w:rFonts w:ascii="Book Antiqua" w:eastAsia="Book Antiqua" w:hAnsi="Book Antiqua" w:cs="Book Antiqua"/>
          <w:color w:val="000000"/>
          <w:vertAlign w:val="superscript"/>
        </w:rPr>
        <w:t>160-162]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distinguished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negativity.</w:t>
      </w:r>
    </w:p>
    <w:p w14:paraId="79A4BE6A" w14:textId="77777777" w:rsidR="00A77B3E" w:rsidRPr="006B66D4" w:rsidRDefault="00A77B3E" w:rsidP="006B66D4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4029D6E1" w14:textId="777777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253EA5" w14:textId="0AB3766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Whether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confers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benefits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debated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Obviously,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 xml:space="preserve">of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</w:t>
      </w:r>
      <w:r w:rsidR="008F21C8">
        <w:rPr>
          <w:rFonts w:ascii="Book Antiqua" w:eastAsia="Book Antiqua" w:hAnsi="Book Antiqua" w:cs="Book Antiqua"/>
          <w:color w:val="000000"/>
        </w:rPr>
        <w:t>,</w:t>
      </w:r>
      <w:r w:rsidR="008F21C8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8F21C8">
        <w:rPr>
          <w:rFonts w:ascii="Book Antiqua" w:eastAsia="Book Antiqua" w:hAnsi="Book Antiqua" w:cs="Book Antiqua"/>
          <w:color w:val="000000"/>
        </w:rPr>
        <w:t>b</w:t>
      </w:r>
      <w:r w:rsidR="008F21C8" w:rsidRPr="006B66D4">
        <w:rPr>
          <w:rFonts w:ascii="Book Antiqua" w:eastAsia="Book Antiqua" w:hAnsi="Book Antiqua" w:cs="Book Antiqua"/>
          <w:color w:val="000000"/>
        </w:rPr>
        <w:t xml:space="preserve">ecause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disadvantages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avoided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clinical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experience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continuous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techn</w:t>
      </w:r>
      <w:r w:rsidRPr="006B66D4">
        <w:rPr>
          <w:rFonts w:ascii="Book Antiqua" w:eastAsia="Book Antiqua" w:hAnsi="Book Antiqua" w:cs="Book Antiqua"/>
          <w:color w:val="000000"/>
        </w:rPr>
        <w:t>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offers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lifelong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benefits,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earlier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eradicated,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better.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addition,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sensitive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accurate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tools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post-eradication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stages.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promising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research.</w:t>
      </w:r>
    </w:p>
    <w:p w14:paraId="4FE10FAA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0822D0CA" w14:textId="777777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AB09BAB" w14:textId="288FC2F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We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thank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members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our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laboratories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collaborators.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2450B123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6A8402A" w14:textId="777777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REFERENCES</w:t>
      </w:r>
    </w:p>
    <w:p w14:paraId="3FB26ACB" w14:textId="5DAC246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bookmarkStart w:id="4" w:name="OLE_LINK16"/>
      <w:r w:rsidRPr="006B66D4">
        <w:rPr>
          <w:rFonts w:ascii="Book Antiqua" w:eastAsia="Book Antiqua" w:hAnsi="Book Antiqua" w:cs="Book Antiqua"/>
          <w:color w:val="000000"/>
        </w:rPr>
        <w:t>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Okuda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Osaki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Yonezawa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Maekawa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Fukuda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Kikuchi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prevalence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children: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population-based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Japan.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133-138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25382113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10.1111/hel.12184]</w:t>
      </w:r>
    </w:p>
    <w:p w14:paraId="3AB7B7ED" w14:textId="6CB4434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Roma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Miele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Pediatrics.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47-53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26372825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10.1111/hel.12257]</w:t>
      </w:r>
    </w:p>
    <w:p w14:paraId="3517D232" w14:textId="7D1ECFD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O'Connor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screening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230-240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28053340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10.1038/nrgastro.2016.195]</w:t>
      </w:r>
    </w:p>
    <w:p w14:paraId="6DE78C7F" w14:textId="4E79FDA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Kotilea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Bontems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Touati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Epidemiology,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1149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17-33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31016621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10.1007/5584_2019_357]</w:t>
      </w:r>
    </w:p>
    <w:p w14:paraId="6705D726" w14:textId="09EA9FF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CISD2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enhances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chemosensitivity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through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enhancement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5-FU-induced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apoptosis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autophagy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AKT/mTOR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pathway.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2331-2346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28857517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10.1002/cam4.1169]</w:t>
      </w:r>
    </w:p>
    <w:p w14:paraId="661BC61D" w14:textId="104C5ACC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TB.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recurrence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inversely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correlated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index.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963-968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23550618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10.1111/apt.12293]</w:t>
      </w:r>
    </w:p>
    <w:p w14:paraId="528C234C" w14:textId="2C762E6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Dunn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Blaser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720-741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9336670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10.1128/cmr.10.4.720-741.1997]</w:t>
      </w:r>
    </w:p>
    <w:p w14:paraId="6532EF80" w14:textId="0C9EC39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Sonnenberg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Turner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Genta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Prevalence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pylori-Positive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Ulcers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Private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Outpatient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Centers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244-250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31972622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10.14309/ajg.0000000000000517]</w:t>
      </w:r>
    </w:p>
    <w:p w14:paraId="6E1AF9FB" w14:textId="2C78857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Ben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Younes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Doghri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Mrad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Bedhiafi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Benammar-Elgaaied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Sola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Aissa-Fennira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PTEN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Cyclin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Upregulation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Define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PI3K/AKT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Pathway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pylori-induced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MALT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DLBCL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MALT.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Immunohistochem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Morphol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56-61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32134755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10.1097/</w:t>
      </w:r>
      <w:r w:rsidR="00A31275" w:rsidRPr="006B66D4">
        <w:rPr>
          <w:rFonts w:ascii="Book Antiqua" w:eastAsia="Book Antiqua" w:hAnsi="Book Antiqua" w:cs="Book Antiqua"/>
          <w:color w:val="000000"/>
        </w:rPr>
        <w:t>PAI.</w:t>
      </w:r>
      <w:r w:rsidRPr="006B66D4">
        <w:rPr>
          <w:rFonts w:ascii="Book Antiqua" w:eastAsia="Book Antiqua" w:hAnsi="Book Antiqua" w:cs="Book Antiqua"/>
          <w:color w:val="000000"/>
        </w:rPr>
        <w:t>0000000000000839]</w:t>
      </w:r>
    </w:p>
    <w:p w14:paraId="1BF51563" w14:textId="55C964C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Lenti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MV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Lahner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Miceli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Toh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Genta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Block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Hershko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Sabatino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Autoimmune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32647173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10.1038/s41572-020-0187-8]</w:t>
      </w:r>
    </w:p>
    <w:p w14:paraId="24422C8A" w14:textId="0C23A2D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Rocha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Souza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Melo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Clementino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Marino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Rocha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Queiroz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Cytokine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profile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immune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thrombocytopenia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platelet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count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recovery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Br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168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421-428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25257094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10.1111/bjh.13141]</w:t>
      </w:r>
    </w:p>
    <w:p w14:paraId="19B37F1B" w14:textId="4DF34BC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Rostami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Keshtkar-Jahromi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Rahnavardi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Keshtkar-Jahromi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Esfahani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platelet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recovery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idiopathic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thrombocytopenic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purpura: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376-381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18183613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10.1002/ajh.21125]</w:t>
      </w:r>
    </w:p>
    <w:p w14:paraId="161FE18A" w14:textId="558D012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DuBois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Kearney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Iron-deficiency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anemia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evidence.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453-459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15667507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10.1111/j.1572-0241.2005.30252.x]</w:t>
      </w:r>
    </w:p>
    <w:p w14:paraId="601C1D7C" w14:textId="7642F92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14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Doulberis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Boziki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Giartza-Taxidou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Grigoriadis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Touloumtzi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Papanikopoulou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Anastasiadou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Georgopoulos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Dardiotis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Anastasiadis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Alzheimer'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lessons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1845-1846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30915725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10.26355/eurrev_201903_17218]</w:t>
      </w:r>
    </w:p>
    <w:p w14:paraId="31A3FA49" w14:textId="5F1325F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Raderer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Kiesewetter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Ferreri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Clinicopathologic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characteristics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marginal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mucosa-associated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tissue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(MALT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lymphoma).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153-171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26773441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10.3322/caac.21330]</w:t>
      </w:r>
    </w:p>
    <w:p w14:paraId="7AC58CFF" w14:textId="35C35FC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Parsonnet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Friedman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Vandersteen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Vogelman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Orentreich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Sibley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carcinoma.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1127-1131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1891020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10.1056/nejm199110173251603]</w:t>
      </w:r>
    </w:p>
    <w:p w14:paraId="07BF019C" w14:textId="10C25D2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Nomura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Stemmermann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Chyou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Perez-Perez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Blaser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Japanese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Americans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Hawaii.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1132-1136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1891021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10.1056/nejm199110173251604]</w:t>
      </w:r>
    </w:p>
    <w:p w14:paraId="45AD7199" w14:textId="79DC704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Lanas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FKL.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390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613-624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28242110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</w:t>
      </w:r>
      <w:r w:rsidR="006B66D4" w:rsidRPr="006B66D4">
        <w:rPr>
          <w:rFonts w:ascii="Book Antiqua" w:eastAsia="Book Antiqua" w:hAnsi="Book Antiqua" w:cs="Book Antiqua"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0140-6736(16)32404-7]</w:t>
      </w:r>
    </w:p>
    <w:p w14:paraId="29EBCFB4" w14:textId="24193F9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Wotherspoon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Doglioni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Moschini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Isaacson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Regression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primary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low-grade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B-cell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mucosa-associated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tissue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type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575-577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8102719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10.1016/0140-6736(93)91409-f]</w:t>
      </w:r>
    </w:p>
    <w:p w14:paraId="568BED0D" w14:textId="12CC36F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You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WC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Brown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Crystal-Mansour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Fraumeni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double-blind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factorial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prevalence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974-983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16849680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/djj264]</w:t>
      </w:r>
    </w:p>
    <w:p w14:paraId="5112028F" w14:textId="07D2524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Kosunen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TU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Pukkala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Sarna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Seppälä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Aromaa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Knekt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Rautelin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Finnish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cohort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433-439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20309944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10.1002/ijc.25337]</w:t>
      </w:r>
    </w:p>
    <w:p w14:paraId="3AF904F0" w14:textId="278E381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22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Doorakkers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Lagergren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Brusselaers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adenocarcinoma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Western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2092-2096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29382776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10.1136/gutjnl-2017-315363]</w:t>
      </w:r>
    </w:p>
    <w:p w14:paraId="7E3F2E9F" w14:textId="18AFEEE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Fukase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Kikuchi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Okamoto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Terao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Amagai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Hayashi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Asaka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Japan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Gast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metachronous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open-label,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392-397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18675689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</w:t>
      </w:r>
      <w:r w:rsidR="006B66D4" w:rsidRPr="006B66D4">
        <w:rPr>
          <w:rFonts w:ascii="Book Antiqua" w:eastAsia="Book Antiqua" w:hAnsi="Book Antiqua" w:cs="Book Antiqua"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0140-6736(08)61159-9]</w:t>
      </w:r>
    </w:p>
    <w:p w14:paraId="58EC75E2" w14:textId="4383505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Tuo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Physiological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Transporters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Channels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Pathophysiological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Relevance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Evid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Complement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Alternat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2020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2869138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32104192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10.1155/2020/2869138]</w:t>
      </w:r>
    </w:p>
    <w:p w14:paraId="02733D24" w14:textId="65466CF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Haenszel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Cuello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Tannenbaum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Archer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model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epidemiology.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1975;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58-60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49653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10.1016/s0140-6736(75)90498-5]</w:t>
      </w:r>
    </w:p>
    <w:p w14:paraId="19FD3FFC" w14:textId="625B5F2C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model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carcinogenesis.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1988;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3554-3560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3288329]</w:t>
      </w:r>
    </w:p>
    <w:p w14:paraId="238C58FA" w14:textId="43A22ED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Tsuda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Suda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Morita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Takanashi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Takagi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Koga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Hattori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Influence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Proton-Pump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Luminal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Tract.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e89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26065717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10.1038/ctg.2015.20]</w:t>
      </w:r>
    </w:p>
    <w:p w14:paraId="5A3E42AA" w14:textId="3767ACD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Price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Sydney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division.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209-222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1912431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10.1111/j.1440-1746.1991.tb01468.x]</w:t>
      </w:r>
    </w:p>
    <w:p w14:paraId="2190576A" w14:textId="5355B6C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29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Dixon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Genta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Yardley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updated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Sydney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International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Workshop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Histopathology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Houston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1994.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1161-1181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8827022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10.1097/00000478-199610000-00001]</w:t>
      </w:r>
    </w:p>
    <w:p w14:paraId="39764750" w14:textId="2B5AA0F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Bosch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DE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Truong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Lloyd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Swanson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Duodenal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intraepithelial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lymphocytosis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comparison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before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Virchows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478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805-809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33025296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10.1007/s00428-020-02941-2]</w:t>
      </w:r>
    </w:p>
    <w:p w14:paraId="099A9EAF" w14:textId="7D52A73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Solcia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Villani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Fiocca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Luinetti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Boldorini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Trespi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Perego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Alvisi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Lazzaroni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Bianchi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Porro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duodenal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Suppl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28-34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8047821]</w:t>
      </w:r>
    </w:p>
    <w:p w14:paraId="0BC65228" w14:textId="5EFBCBF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Mera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Fontham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Camargo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1536-1540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15985559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10.1136/gut.2005.072009]</w:t>
      </w:r>
    </w:p>
    <w:p w14:paraId="524A6CF2" w14:textId="46CC01A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Lu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6518-6520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16425426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10.3748/wjg.v11.i41.6518]</w:t>
      </w:r>
    </w:p>
    <w:p w14:paraId="0C426465" w14:textId="100A0A3C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7-14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10889149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10.1053/gast.2000.8550]</w:t>
      </w:r>
    </w:p>
    <w:p w14:paraId="6A12406B" w14:textId="73E2E9E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JJY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Coker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OO,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Szeto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Luk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HCH,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inflammation,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1572-1580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31974133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10.1136/gutjnl-2019-319826]</w:t>
      </w:r>
    </w:p>
    <w:p w14:paraId="593E3EE2" w14:textId="0D82615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Gatta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Mario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Vaira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Franzè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Plebani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Cavestro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Lucarini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Lera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Scarpignato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Quantification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serum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levels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pepsinogens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440-442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21172454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10.1016/j.cgh.2010.12.009]</w:t>
      </w:r>
    </w:p>
    <w:p w14:paraId="43FF412A" w14:textId="5B5391B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Leja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Lapina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Polaka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Rudzite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Vilkoite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Daugule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Belkovets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Pimanov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Makarenko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Tolmanis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Lejnieks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Rumba-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Rozenfelde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Vikmanis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Pepsinogen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testing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evaluation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completion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Medicina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(Kaunas)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8-13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25060199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10.1016/j.medici.2014.05.001]</w:t>
      </w:r>
    </w:p>
    <w:p w14:paraId="3273B2AA" w14:textId="46E0E2E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Malfertheiner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O'Morain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Axon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Bazzoli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Atherton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Rugge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Selgrad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Sugano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El-Omar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EM;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European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panel.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Management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infection-the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Maastricht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V/Florence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6-30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27707777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10.1136/gutjnl-2016-312288]</w:t>
      </w:r>
    </w:p>
    <w:p w14:paraId="1B99E566" w14:textId="1A6ECE2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39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Annibale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Aprile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D'ambra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Caruana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Bordi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Delle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hypergastrinemia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ECL-cell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hyperplasia.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625-634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10792127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10.1046/j.1365-2036.2000.00752.x]</w:t>
      </w:r>
    </w:p>
    <w:p w14:paraId="7A023206" w14:textId="451A45C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Ohkusa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Fujiki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Takashimizu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Kumagai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Tanizawa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Eishi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Yokoyama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Watanabe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eradicated.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380-386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11242498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10.7326/0003-4819-134-5-200103060-00010]</w:t>
      </w:r>
    </w:p>
    <w:p w14:paraId="41460452" w14:textId="0E5120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Kang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three-year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Korea.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2012;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86-95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22404438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10.1111/j.1523-5378.2011.00918.x]</w:t>
      </w:r>
    </w:p>
    <w:p w14:paraId="3620863F" w14:textId="438A4BE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Kodama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Murakami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Okimoto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Nakagawa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Mizukami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Uchida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Fujioka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observation.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2012;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126-130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22269293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10.1159/000334684]</w:t>
      </w:r>
    </w:p>
    <w:p w14:paraId="18CAEB2B" w14:textId="01DA148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Kodama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Murakami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Okimoto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Uchida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Nakagawa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Mizukami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Fujioka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Ten-year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points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recommended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updated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Sydney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2012;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394-403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22138891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10.1007/s00535-011-0504-9]</w:t>
      </w:r>
    </w:p>
    <w:p w14:paraId="3BAC80A7" w14:textId="122A019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Hwang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Reversibility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-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years.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380-390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29193217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10.1111/apt.14424]</w:t>
      </w:r>
    </w:p>
    <w:p w14:paraId="63D04AB3" w14:textId="781010A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45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before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Digestion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253-260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21282951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10.1159/000280318]</w:t>
      </w:r>
    </w:p>
    <w:p w14:paraId="48CEB288" w14:textId="5A90551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Rokkas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Pistiolas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Sechopoulos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Robotis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Margantinis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histology: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12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32-38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17991174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10.1111/j.1523-5378.2007.00563.x]</w:t>
      </w:r>
    </w:p>
    <w:p w14:paraId="3CA3EEC3" w14:textId="047CACF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Kong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Dai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MX.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5903-5911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24914352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10.3748/wjg.v20.i19.5903]</w:t>
      </w:r>
    </w:p>
    <w:p w14:paraId="780B8322" w14:textId="739792C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Houghton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Carcinogenesis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659-672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17681184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10.1053/j.gastro.2007.06.026]</w:t>
      </w:r>
    </w:p>
    <w:p w14:paraId="6CB29673" w14:textId="3CBDD50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49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Sonnenberg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article: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pylori-associated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329-342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23786250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10.1111/apt.12380]</w:t>
      </w:r>
    </w:p>
    <w:p w14:paraId="1A42B796" w14:textId="218536BC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Prevalence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Korean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gastroduodenal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245-255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18665932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10.1111/j.1523-5378.2008.00604.x]</w:t>
      </w:r>
    </w:p>
    <w:p w14:paraId="0C89A812" w14:textId="173E35A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Fontham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Ruiz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Zarama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Realpe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Malcom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Johnson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Chemoprevention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dysplasia: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antioxidant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supplements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1881-1888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11106679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/92.23.1881]</w:t>
      </w:r>
    </w:p>
    <w:p w14:paraId="18018552" w14:textId="41CE30B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Mera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Camargo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Delgado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Romero-Gallo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Yepez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Realpe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Schneider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Morgan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Peek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Wilson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MB.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Dynamics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determinant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progression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1239-1246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28647684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10.1136/gutjnl-2016-311685]</w:t>
      </w:r>
    </w:p>
    <w:p w14:paraId="0D6458E8" w14:textId="571A8EB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53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Piazuelo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Camargo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Bravo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Delgado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Washington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Rosero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Garcia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Realpe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Cifuentes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Morgan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Peek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Correa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Wilson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Colombian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Chemoprevention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Cohort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Lesions.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160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1106-1117.e3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33220252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10.1053/j.gastro.2020.11.017]</w:t>
      </w:r>
    </w:p>
    <w:p w14:paraId="5DB38602" w14:textId="292F8D4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Sugano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Tack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El-Omar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Miura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Haruma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Asaka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faculty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members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Kyoto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Global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Conference.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Kyoto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global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report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1353-1367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26187502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10.1136/gutjnl-2015-309252]</w:t>
      </w:r>
    </w:p>
    <w:p w14:paraId="4B28F0BD" w14:textId="7728ACC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Tytgat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Sydney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division.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appearances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gastritis/duodenitis.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223-234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1912432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10.1111/j.1440-1746.1991.tb01469.x]</w:t>
      </w:r>
    </w:p>
    <w:p w14:paraId="7CA85FB8" w14:textId="18B9677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Ebigbo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Marienhagen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Messmann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arrangement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collecting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venules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Kimura-Takemoto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Evaluation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Western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setting.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587-591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32767790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10.1111/den.13808]</w:t>
      </w:r>
    </w:p>
    <w:p w14:paraId="626D069C" w14:textId="18D3F67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Accuracy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Kyoto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599218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33344250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10.3389/fonc.2020.599218]</w:t>
      </w:r>
    </w:p>
    <w:p w14:paraId="0BA376C0" w14:textId="4564207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observation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pattern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standard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279-284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23189930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10.1111/jgh.12046]</w:t>
      </w:r>
    </w:p>
    <w:p w14:paraId="190F62B1" w14:textId="06EDE00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59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Nomura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Terao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Adachi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Watanabe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Research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Establishment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inflammation.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136-146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23362997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10.1111/j.1443-1661.2012.01357.x]</w:t>
      </w:r>
    </w:p>
    <w:p w14:paraId="7E49E9F4" w14:textId="075EEDF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Terao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Adachi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Nakajima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Uedo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Murakami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Watanabe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Establishing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Pr="006B66D4">
        <w:rPr>
          <w:rFonts w:ascii="MS Gothic" w:eastAsia="MS Gothic" w:hAnsi="MS Gothic" w:cs="MS Gothic" w:hint="eastAsia"/>
          <w:color w:val="000000"/>
        </w:rPr>
        <w:t> 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264-273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23369104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10.1111/j.1443-1661.2012.01385.x]</w:t>
      </w:r>
    </w:p>
    <w:p w14:paraId="74A124AE" w14:textId="5B5EF0B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Yagi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Watanabe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Establishing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508-518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23369058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10.1111/den.12031]</w:t>
      </w:r>
    </w:p>
    <w:p w14:paraId="65092EE7" w14:textId="03A4499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Miyamoto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Haruma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Hiyama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Sumioka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Nishisaka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Tanaka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Nodular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adults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caused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968-975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12772798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10.1023/a:1023016000096]</w:t>
      </w:r>
    </w:p>
    <w:p w14:paraId="2C595253" w14:textId="6E3BA2E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Miyamoto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Haruma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Sumioka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Nishisaka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Tanaka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cases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nodular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possible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between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nodular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2002;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819-820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12546520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10.1016/s1590-8658(02)80078-0]</w:t>
      </w:r>
    </w:p>
    <w:p w14:paraId="79B7FE09" w14:textId="0E85F71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Majima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Dohi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Takayama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Hirose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Uchiyama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Ishikawa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Takagi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Naito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Itoh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identifies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factors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763-769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31299258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10.1016/j.gie.2019.06.043]</w:t>
      </w:r>
    </w:p>
    <w:p w14:paraId="22998ED7" w14:textId="4E0BEAD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Moribata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Iguchi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Nakachi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Maeda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Shingaki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Niwa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Deguchi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Maekita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Tamai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Ichinose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metachronous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underwent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434-442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26623565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10.1111/den.12581]</w:t>
      </w:r>
    </w:p>
    <w:p w14:paraId="78099369" w14:textId="664D072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Nomura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Terao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Adachi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Watanabe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Research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Establishment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Chronic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709-719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24698334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10.1111/den.12286]</w:t>
      </w:r>
    </w:p>
    <w:p w14:paraId="22692406" w14:textId="071B29F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Bao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Tongue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Adv</w:t>
      </w:r>
      <w:r w:rsidR="00A31275" w:rsidRPr="006B66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Microbiol</w:t>
      </w:r>
      <w:r w:rsidR="00A31275" w:rsidRPr="006B66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10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681-690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10.4236/aim.2020.1012049]</w:t>
      </w:r>
    </w:p>
    <w:p w14:paraId="3697BDD7" w14:textId="59F1A38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Fukuta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Uedo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Watanabe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Investigating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526-534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23363394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10.1111/den.12032]</w:t>
      </w:r>
    </w:p>
    <w:p w14:paraId="765ABBC4" w14:textId="264B75D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69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Esposito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Pimentel-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Nunes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Angeletti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Castro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Galli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Lahner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Giulio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Annibale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-Ribeiro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(EGGIM):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validation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515-521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30577062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10.1055/a-0808-3186]</w:t>
      </w:r>
    </w:p>
    <w:p w14:paraId="11E2462B" w14:textId="3F3A18A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Yoshii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Mabe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Watano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Ohno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Kudo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Nojima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Sakamoto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Validity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features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Kyoto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74-83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31309632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10.1111/den.13486]</w:t>
      </w:r>
    </w:p>
    <w:p w14:paraId="30AA8BC1" w14:textId="4255D3E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drug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hyperplastic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1770-1773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16586550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10.3748/wjg.v12.i11.1770]</w:t>
      </w:r>
    </w:p>
    <w:p w14:paraId="19C0446E" w14:textId="6AFD606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Yamashita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Suzuki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Kubo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Onodera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Saito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Arimura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Nojima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Xanthomas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Fundic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Indicators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409-414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30600671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10.5009/gnl17136]</w:t>
      </w:r>
    </w:p>
    <w:p w14:paraId="000DF739" w14:textId="11F159B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Oviedo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Swan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Farraye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xanthomas.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3216-3218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11721787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10.1111/j.1572-0241.2001.05293.x]</w:t>
      </w:r>
    </w:p>
    <w:p w14:paraId="32D1EF38" w14:textId="3C6BEA5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Kiso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Kotachi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Masuda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Sasaki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Kawamura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Tanaka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pump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-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828-832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28485638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10.1080/00365521.2017.1322137]</w:t>
      </w:r>
    </w:p>
    <w:p w14:paraId="3AD302F3" w14:textId="57BA687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Watanabe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Nagata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Nakashima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Furuhata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Kobayakawa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Sakurai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Imbe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Yokoi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Akiyama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findings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pylori-uninfected,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-infected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-eradicated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validation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4374-4379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23885149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10.3748/wjg.v19.i27.4374]</w:t>
      </w:r>
    </w:p>
    <w:p w14:paraId="4C24EFF4" w14:textId="46BB40A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Shimbo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Akiyama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Nakashima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Hoshimoto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Uemura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Predictability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Mottled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Patchy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Erythema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203-209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27957016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10.4021/gr357w]</w:t>
      </w:r>
    </w:p>
    <w:p w14:paraId="40164F03" w14:textId="771C2B0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Toyoshima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Nishizawa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Sakitani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Yamakawa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Takahashi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Kinoshita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Torii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Suzuki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Kyoto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JGH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909-914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33102763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10.1002/jgh3.12360]</w:t>
      </w:r>
    </w:p>
    <w:p w14:paraId="32E20B18" w14:textId="2AF0D12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Kodama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Okimoto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Ogawa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Mizukami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Murakami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before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closely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E311-E317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26357676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10.1055/s-0034-1392090]</w:t>
      </w:r>
    </w:p>
    <w:p w14:paraId="24D06BDD" w14:textId="5A07278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79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Ianiro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Molina-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Infante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68-71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26372828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10.1111/hel.12260]</w:t>
      </w:r>
    </w:p>
    <w:p w14:paraId="6AC6D673" w14:textId="5D741BD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Klymiuk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Bilgilier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Stadlmann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Thannesberger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Kastner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Högenauer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Püspök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Biowski-Frotz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Schrutka-Kölbl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Thallinger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Steininger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2508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29312210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10.3389/fmicb.2017.02508]</w:t>
      </w:r>
    </w:p>
    <w:p w14:paraId="691DD975" w14:textId="68A00BA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Ferreira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Pereira-Marques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Pinto-Ribeiro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Costa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Carneiro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Machado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community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profiling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reveals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cancer-associated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226-236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29102920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10.1136/gutjnl-2017-314205]</w:t>
      </w:r>
    </w:p>
    <w:p w14:paraId="392C5C0F" w14:textId="50AF53D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82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Miao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relationship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pediatrics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e12676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31762120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10.1111/hel.12676]</w:t>
      </w:r>
    </w:p>
    <w:p w14:paraId="75D47D45" w14:textId="69B6A1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Andersson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AF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Lindberg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Jakobsson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Nyrén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barcoded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pyrosequencing.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e2836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18665274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10.1371/journal.pone.0002836]</w:t>
      </w:r>
    </w:p>
    <w:p w14:paraId="73D6A764" w14:textId="5EAD9B6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Bik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Eckburg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Gill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Nelson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Purdom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Francois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Perez-Perez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Blaser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Relman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Molecular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stomach.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U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732-737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16407106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10.1073/pnas.0506655103]</w:t>
      </w:r>
    </w:p>
    <w:p w14:paraId="0CE093C1" w14:textId="1C412E3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XX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profiling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non-steroidal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anti-inflammatory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drug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e7985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19956741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10.1371/journal.pone.0007985]</w:t>
      </w:r>
    </w:p>
    <w:p w14:paraId="1E91004C" w14:textId="0978FD2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Ouyang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disturbs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asymptomatic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adults.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e12590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31124220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10.1111/hel.12590]</w:t>
      </w:r>
    </w:p>
    <w:p w14:paraId="3BC52B64" w14:textId="410C059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Sonnenburg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Diet-microbiota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interactions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moderators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metabolism.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535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56-64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27383980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10.1038/nature18846]</w:t>
      </w:r>
    </w:p>
    <w:p w14:paraId="161E759F" w14:textId="78EE5CF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Lynch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Pedersen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Health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375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2369-2379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27974040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10.1056/NEJMra1600266]</w:t>
      </w:r>
    </w:p>
    <w:p w14:paraId="29930385" w14:textId="1DA9A1A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89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Levison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Koeth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Britt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Hazen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metabolism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phosphatidylcholine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cardiovascular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1575-1584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23614584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10.1056/NEJMoa1109400]</w:t>
      </w:r>
    </w:p>
    <w:p w14:paraId="07FAC5FC" w14:textId="54360E4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Schütte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Vilchez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-Vargas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Wos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-Oxley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Oxley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Pieper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assemblages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upper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tract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216-225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27920199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10.1136/gutjnl-2016-312904]</w:t>
      </w:r>
    </w:p>
    <w:p w14:paraId="3A89FEA8" w14:textId="059ADB0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91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Das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Pereira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Saxena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Ghosh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Anbumani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Nair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Abraham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their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interaction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networks.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15438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29133866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10.1038/s41598-017-15510-6]</w:t>
      </w:r>
    </w:p>
    <w:p w14:paraId="5AFB5004" w14:textId="760FBAB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Gantuya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Ajami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Oyuntsetseg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Azzaya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Uchida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6B66D4">
        <w:rPr>
          <w:rFonts w:ascii="Book Antiqua" w:eastAsia="Book Antiqua" w:hAnsi="Book Antiqua" w:cs="Book Antiqua"/>
          <w:color w:val="000000"/>
        </w:rPr>
        <w:t>-Negative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-Positive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30974798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10.3390/cancers11040504]</w:t>
      </w:r>
    </w:p>
    <w:p w14:paraId="76399340" w14:textId="4712C51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Alterations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Carcinogenesis.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44935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28322295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10.1038/srep44935]</w:t>
      </w:r>
    </w:p>
    <w:p w14:paraId="19D2EA60" w14:textId="067A32F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Llorca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Pérez-Pérez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Urruzuno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Martinez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Iizumi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Sohn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Simón-Soro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Characterization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Pediatric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According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173-178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27820723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10.1097/</w:t>
      </w:r>
      <w:r w:rsidR="006B66D4" w:rsidRPr="006B66D4">
        <w:rPr>
          <w:rFonts w:ascii="Book Antiqua" w:eastAsia="Book Antiqua" w:hAnsi="Book Antiqua" w:cs="Book Antiqua"/>
          <w:color w:val="000000"/>
        </w:rPr>
        <w:t>INF.</w:t>
      </w:r>
      <w:r w:rsidRPr="006B66D4">
        <w:rPr>
          <w:rFonts w:ascii="Book Antiqua" w:eastAsia="Book Antiqua" w:hAnsi="Book Antiqua" w:cs="Book Antiqua"/>
          <w:color w:val="000000"/>
        </w:rPr>
        <w:t>0000000000001383]</w:t>
      </w:r>
    </w:p>
    <w:p w14:paraId="4B761C8C" w14:textId="369D6E4C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Maldonado-Contreras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Goldfarb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Godoy-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Vitorino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Karaoz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Contreras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Blaser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Brodie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Dominguez-Bello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community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ISME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574-579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20927139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10.1038/ismej.2010.149]</w:t>
      </w:r>
    </w:p>
    <w:p w14:paraId="0D31FF21" w14:textId="758860B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Miftahussurur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Waskito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Ajami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Nusi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Syam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Rezkitha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Doohan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Fauzia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Maimunah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Sugihartono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Uchida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Indonesian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e12695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32395907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10.1111/hel.12695]</w:t>
      </w:r>
    </w:p>
    <w:p w14:paraId="5215476A" w14:textId="749B50E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Espinoza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Tanaka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Matsumura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emerging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player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pylori-induced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malignancies.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414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147-152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29138097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10.1016/j.canlet.2017.11.009]</w:t>
      </w:r>
    </w:p>
    <w:p w14:paraId="156190B7" w14:textId="6E2D4E9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Gerhard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Mejias-Luque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Quante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Schmid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Classen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WQ,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population-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Linqu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high-risk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1598-1607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31857433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10.1136/gutjnl-2019-319696]</w:t>
      </w:r>
    </w:p>
    <w:p w14:paraId="5AF982D6" w14:textId="7ACB6D6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99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Serrano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Pierre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Morrow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Smith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Harris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Children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Restores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Structure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Community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Children.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1673-1675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31442431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10.1053/j.gastro.2019.08.017]</w:t>
      </w:r>
    </w:p>
    <w:p w14:paraId="311D3B16" w14:textId="789A6B9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Westfal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Kelleher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Heller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myotomy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optimal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index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procedure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esophageal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achalasia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adolescents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adults.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Surg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3355-3360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30552502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10.1007/s00464-018-06625-6]</w:t>
      </w:r>
    </w:p>
    <w:p w14:paraId="497091AF" w14:textId="1AB8DB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Banks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Jansen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Pietro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Uedo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Bhandari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Pritchard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Rodriguez-Justo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Novelli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Ragunath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Shepherd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-Ribeiro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British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Society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guidelines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management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adenocarcinoma.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1545-1575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31278206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10.1136/gutjnl-2018-318126]</w:t>
      </w:r>
    </w:p>
    <w:p w14:paraId="7E91C67B" w14:textId="48C3F3A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Chiu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PWY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Uedo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Singh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EKW,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Kikuchi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Pittayanon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Goda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Tajiri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Asian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standards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upper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neoplasia.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186-197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30420400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10.1136/gutjnl-2018-317111]</w:t>
      </w:r>
    </w:p>
    <w:p w14:paraId="397849B4" w14:textId="53FFEF3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Takeuchi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Furuta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Harada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Edogawa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Kojima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Sugimoto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Fujimoto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Arakawa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Higuchi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Comparative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pump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influenced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CYP2C19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polymorphism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first-line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148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S422-S423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10.1016/S0016-5085(15)31427-X]</w:t>
      </w:r>
    </w:p>
    <w:p w14:paraId="56B06351" w14:textId="12685634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Ford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Forman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Yuan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Moayyedi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healthy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asymptomatic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348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g3174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24846275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10.1136/bmj.g3174]</w:t>
      </w:r>
    </w:p>
    <w:p w14:paraId="47DF0DF7" w14:textId="6F9DE96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Leung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IOL,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AYS,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ICK,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Older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Individuals.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155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67-75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29550592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10.1053/j.gastro.2018.03.028]</w:t>
      </w:r>
    </w:p>
    <w:p w14:paraId="53279A04" w14:textId="4881C2F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Kook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Metachronous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1085-1095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29562147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10.1056/NEJMoa1708423]</w:t>
      </w:r>
    </w:p>
    <w:p w14:paraId="314C6AC3" w14:textId="2E2E770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Liou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Sheu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Sugano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Yeoh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Hsu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Goh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Mahachai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Gotoda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Leow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Megraud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FKL,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El-Omar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EM;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Asian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Pacific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Alliance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(APAHAM).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Screening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Taipei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global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2093-2112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33004546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10.1136/gutjnl-2020-322368]</w:t>
      </w:r>
    </w:p>
    <w:p w14:paraId="5BA8967A" w14:textId="4E85E92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Chiang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Fann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Chuang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Shieh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Shun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Graham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mortality: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cohort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Islands.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243-250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32792335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10.1136/gutjnl-2020-322200]</w:t>
      </w:r>
    </w:p>
    <w:p w14:paraId="6DA1A5C7" w14:textId="0132514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109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Yuen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high-risk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291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187-194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14722144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10.1001/jama.291.2.187]</w:t>
      </w:r>
    </w:p>
    <w:p w14:paraId="6D61ACDD" w14:textId="788F3F6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Brown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Crystal-Mansour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Fraumeni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Fifteen-year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garlic,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vitamin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mortality.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2012;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488-492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22271764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/djs003]</w:t>
      </w:r>
    </w:p>
    <w:p w14:paraId="573197F0" w14:textId="0047445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WQ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vitamin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garlic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supplementation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mortality: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intervention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366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l5016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31511230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10.1136/bmj.l5016]</w:t>
      </w:r>
    </w:p>
    <w:p w14:paraId="249EC38E" w14:textId="1974D55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family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history.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Korean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1042-1053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27809451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10.3904/kjim.2016.147]</w:t>
      </w:r>
    </w:p>
    <w:p w14:paraId="79C0F19A" w14:textId="39D8474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Kook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Family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427-436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31995688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10.1056/NEJMoa1909666]</w:t>
      </w:r>
    </w:p>
    <w:p w14:paraId="7A01AB09" w14:textId="7BCA8B2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tumors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metachronous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carcinoma.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793-800.e1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24100112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10.1016/j.cgh.2013.09.057]</w:t>
      </w:r>
    </w:p>
    <w:p w14:paraId="2D0B6F7B" w14:textId="0A55F1D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Jung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HC.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metachronous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475-485.e2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29800546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10.1016/j.gie.2018.05.009]</w:t>
      </w:r>
    </w:p>
    <w:p w14:paraId="2AC09B39" w14:textId="0CD50A9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WQ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Brown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Crystal-Mansour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Fraumeni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mortality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subgroups.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24925350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/dju116]</w:t>
      </w:r>
    </w:p>
    <w:p w14:paraId="3A0FB5DF" w14:textId="7006A59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Take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Mizuno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Ishiki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Kusumoto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Imada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Hamada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Yokota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Mitsuhashi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second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281-288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31667586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10.1007/s00535-019-01639-w]</w:t>
      </w:r>
    </w:p>
    <w:p w14:paraId="07C0EF87" w14:textId="26E0042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118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Sugimoto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Murata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Chemoprevention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Asian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population: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1820-1840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32351296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10.3748/wjg.v26.i15.1820]</w:t>
      </w:r>
    </w:p>
    <w:p w14:paraId="0FB1B469" w14:textId="25FFC90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119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Sugano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435-445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30206731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10.1007/s10120-018-0876-0]</w:t>
      </w:r>
    </w:p>
    <w:p w14:paraId="2F62D39F" w14:textId="2611A65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Doorakkers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Lagergren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Brusselaers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Cohort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27416750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jnci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/djw132]</w:t>
      </w:r>
    </w:p>
    <w:p w14:paraId="7D5D4C6E" w14:textId="130D38F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HN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cannot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reduce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dysplasia: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from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166-175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25609452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10.1007/s10120-015-0462-7]</w:t>
      </w:r>
    </w:p>
    <w:p w14:paraId="7F4A17B6" w14:textId="7004B17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Kook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Ryu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YW.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Therapeutic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Decision-Making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Ultrasonography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42-50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26087792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10.5009/gnl14401]</w:t>
      </w:r>
    </w:p>
    <w:p w14:paraId="587C95C8" w14:textId="78D566D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Kiriyama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Shibata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Okubo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Nakagawa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Okabe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Ohmiya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Kuroda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Sugioka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Ichinose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Tatematsu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Tsukamoto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Gastric-and-intestinal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mixed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irreversible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point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Open</w:t>
      </w:r>
      <w:r w:rsidR="00A31275" w:rsidRPr="006B66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color w:val="000000"/>
        </w:rPr>
        <w:t>Pathol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93-104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10.4236/ojpathology.2016.62012]</w:t>
      </w:r>
    </w:p>
    <w:p w14:paraId="3E8AEC74" w14:textId="724A640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Lu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preventing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5660-5665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24914325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10.3748/wjg.v20.i19.5660]</w:t>
      </w:r>
    </w:p>
    <w:p w14:paraId="729DECF6" w14:textId="0F3E6ED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Görg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Postel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Baumer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Weiss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Two-dimensional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polyacrylamide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electrophoresis,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immobilized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first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dimension,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barley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proteins: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discrimination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cultivars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malting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grades.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Electrophoresis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1992;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192-203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1628598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10.1002/elps.1150130141]</w:t>
      </w:r>
    </w:p>
    <w:p w14:paraId="2F989CDE" w14:textId="7F3CB48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Capelle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LG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Vries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Haringsma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Borg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Vries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Bruno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Dekken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Meijer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Grieken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OLGA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accurate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alternative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1150-1158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20381801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10.1016/j.gie.2009.12.029]</w:t>
      </w:r>
    </w:p>
    <w:p w14:paraId="0CC6C219" w14:textId="68AE91B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127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XB.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Operative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appropriate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3670-3678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27053859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10.3748/wjg.v22.i13.3670]</w:t>
      </w:r>
    </w:p>
    <w:p w14:paraId="4010FD91" w14:textId="063E03E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Shichijo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Nomura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Aoyama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Nishikawa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Miura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Shinagawa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Takiyama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Tanimoto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Ishihara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Application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Convolutional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Neural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Networks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Based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106-111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29056541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10.1016/j.ebiom.2017.10.014]</w:t>
      </w:r>
    </w:p>
    <w:p w14:paraId="66DC7E43" w14:textId="10407B9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129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Hirasawa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Aoyama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Tanimoto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Ishihara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Shichijo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Ozawa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Ohnishi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Fujishiro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Fujisaki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Application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artificial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intelligence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convolutional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neural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network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653-660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29335825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10.1007/s10120-018-0793-2]</w:t>
      </w:r>
    </w:p>
    <w:p w14:paraId="33E4C155" w14:textId="410F7CC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Byrne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Chapados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Soudan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Oertel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Linares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Pérez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Kelly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Iqbal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Chandelier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Real-time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differentiation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adenomatous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hyperplastic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diminutive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colorectal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polyps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during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unaltered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videos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standard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colonoscopy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deep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learning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model.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94-100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29066576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10.1136/gutjnl-2017-314547]</w:t>
      </w:r>
    </w:p>
    <w:p w14:paraId="69D9B06B" w14:textId="7A6BA42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Mori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Kudo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Mohmed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Misawa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Ogata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Itoh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Artificial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intelligence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upper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status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perspective.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378-388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30549317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10.1111/den.13317]</w:t>
      </w:r>
    </w:p>
    <w:p w14:paraId="5F51F134" w14:textId="4EB2E06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Huang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Jiang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deep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neural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network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without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blind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spots.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522-531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30861533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10.1055/a-0855-3532]</w:t>
      </w:r>
    </w:p>
    <w:p w14:paraId="659F4D27" w14:textId="218C224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Anagnostopoulos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Kaye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Fogden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Fortun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Shonde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Foley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Atherton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Hawkey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Ragunath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High-resolution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reliably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identify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normal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pylori-associated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202-207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17273960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10.1055/s-2006-945056]</w:t>
      </w:r>
    </w:p>
    <w:p w14:paraId="2B5FB546" w14:textId="2B4A654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Hayee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Ikeda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Phalanusitthepha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Santi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Kobayashi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Kudo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histopathology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endocytoscopy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non-neoplastic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pilot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video).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875-881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25442082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10.1016/j.gie.2014.08.019]</w:t>
      </w:r>
    </w:p>
    <w:p w14:paraId="11BA0BAF" w14:textId="1E5F411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Sato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Inoue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Ikeda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Phlanusittepha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Hayee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Santi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EG,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Kobayashi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Kudo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vivo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histopathology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endocytoscopy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5002-5008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25945015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10.3748/wjg.v21.i16.5002]</w:t>
      </w:r>
    </w:p>
    <w:p w14:paraId="295EF677" w14:textId="65B0EB6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Jeon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Standard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magnifying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narrow-band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precancerous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conditions.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2238-2250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34025076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10.3748/wjg.v27.i18.2238]</w:t>
      </w:r>
    </w:p>
    <w:p w14:paraId="3B220E6B" w14:textId="2413568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Qi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QQ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CQ,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YQ.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High-definition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magnifying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-scan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pilot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579-586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23837680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10.1111/1751-2980.12086]</w:t>
      </w:r>
    </w:p>
    <w:p w14:paraId="248FFAE3" w14:textId="331DCC4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YQ,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Zhou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CJ.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Confocal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endomicroscopy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700-705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20492325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10.1111/j.1440-1746.2009.06197.x]</w:t>
      </w:r>
    </w:p>
    <w:p w14:paraId="42988C0A" w14:textId="7E36A89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139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Dohi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Yagi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Onozawa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Kimura-Tsuchiya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Majima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Kitaichi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Horii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Suzuki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Tomie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Okayama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Katada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Uchiyama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Ishikawa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Takagi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Naito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Itoh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E800-E805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27556101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10.1055/s-0042-109049]</w:t>
      </w:r>
    </w:p>
    <w:p w14:paraId="71413099" w14:textId="207E862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Fukuda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Miura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Osawa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Takezawa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Ino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Khurelbaatar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Lefor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Yamamoto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enhance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recognition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high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contrast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surrounding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396-406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30291440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10.1007/s00535-018-1515-6]</w:t>
      </w:r>
    </w:p>
    <w:p w14:paraId="6CF25D08" w14:textId="605DF76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colour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benefits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distal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5638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28717210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10.1038/s41598-017-05847-3]</w:t>
      </w:r>
    </w:p>
    <w:p w14:paraId="28E7FB10" w14:textId="6925CA6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Yasuda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Hiroyasu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Hiwa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Hayashi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Nakahata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Yasuda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Omatsu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Obora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Kojima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Ichikawa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Yagi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Potential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automatic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373-381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31398276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10.1111/den.13509]</w:t>
      </w:r>
    </w:p>
    <w:p w14:paraId="669751BA" w14:textId="0E26F82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Nakashima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Kawahira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Kawachi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Sakaki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Artificial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intelligence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blue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imaging-bright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single-center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462-468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29991891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10.20524/aog.2018.0269]</w:t>
      </w:r>
    </w:p>
    <w:p w14:paraId="56274042" w14:textId="0E81DCF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Nakashima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Kawahira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Kawachi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Sakaki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three-categorical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diagnosis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deep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learning: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single-center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prospective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video).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2020;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1033-1040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32382973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10.1007/s10120-020-01077-1]</w:t>
      </w:r>
    </w:p>
    <w:p w14:paraId="3AD90F33" w14:textId="78F64C3D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Shi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Zhang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GX.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Efficacy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functional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dyspepsia: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meta-analysis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12-month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follow-up.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241-247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24002127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10.1097/MCG.0b013e31829f2e25]</w:t>
      </w:r>
    </w:p>
    <w:p w14:paraId="3428EE98" w14:textId="5565CA2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Stasi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Sarpatwari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Segal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JB,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Osborn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Evangelista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Cooper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Provan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Newland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Amadori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Bussel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JB.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patients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immune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thrombocytopenic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purpura: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2009;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1231-1240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18945961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10.1182/blood-2008-07-167155]</w:t>
      </w:r>
    </w:p>
    <w:p w14:paraId="2156199C" w14:textId="1059381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Sheu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BS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Liou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Hsu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PI,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JT.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Consensus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clinical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management,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screening-to-treat,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surveillance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improve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nationwide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scale.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28066960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10.1111/hel.12368]</w:t>
      </w:r>
    </w:p>
    <w:p w14:paraId="7F2127B8" w14:textId="1A8E13C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148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Liou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Bair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Hsu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Lee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Luo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Hsu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YN,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TP,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Chuang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El-Omar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Wu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Taiwan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Consortium.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Long-term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changes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microbiota,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antibiotic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resistance,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parameters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open-label,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1109-1120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31559966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</w:t>
      </w:r>
      <w:r w:rsidR="006B66D4" w:rsidRPr="006B66D4">
        <w:rPr>
          <w:rFonts w:ascii="Book Antiqua" w:eastAsia="Book Antiqua" w:hAnsi="Book Antiqua" w:cs="Book Antiqua"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1473-3099(19)30272-5]</w:t>
      </w:r>
    </w:p>
    <w:p w14:paraId="35FDCAEF" w14:textId="5A3A9F4B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149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Abdoh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Kharraz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Ayoub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Khraim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Awad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Sbeah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Turman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resistance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antibiotics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An-Najah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University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Hospital: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cross-sectional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391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S32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29553431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10.1016/s0140-6736(18)30398-2]</w:t>
      </w:r>
    </w:p>
    <w:p w14:paraId="645F0DDC" w14:textId="7025BAD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Neshani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Zare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Akbari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Eidgahi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Hooshyar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Chichaklu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Movaqar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Ghazvini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peptides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e12555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30440101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10.1111/hel.12555]</w:t>
      </w:r>
    </w:p>
    <w:p w14:paraId="2DA3A55D" w14:textId="1461CC1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Cederlund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Gudmundsson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Agerberth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Antimicrobial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peptides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important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innate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immunity.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FEBS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278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3942-3951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21848912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10.1111/j.1742-4658.2011.08302.x]</w:t>
      </w:r>
    </w:p>
    <w:p w14:paraId="7A0B9E99" w14:textId="4FD4B87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Makobongo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MO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Einck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Peek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Merrell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vitro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characterization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anti-bacterial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activity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SQ109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against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2013;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e68917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23935905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10.1371/journal.pone.0068917]</w:t>
      </w:r>
    </w:p>
    <w:p w14:paraId="2AD04E2B" w14:textId="4876A99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Fallone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Reconciliation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Recent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Guidelines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Time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Increasing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Resistance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Antibiotics.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44-53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30998990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10.1053/j.gastro.2019.04.011]</w:t>
      </w:r>
    </w:p>
    <w:p w14:paraId="14538165" w14:textId="6814773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Makobongo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MO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Gilbreath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Merrell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Nontraditional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therapies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treat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259-272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24682990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10.1007/s12275-014-3603-5]</w:t>
      </w:r>
    </w:p>
    <w:p w14:paraId="6297B4E4" w14:textId="0FB74DD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Ghasemian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Fattahi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Shokouhi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Mostafavi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SK,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Almarzoqi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Memariani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Braiek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Yassine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Mostafavi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NSS,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Ahmed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Mirforughi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Herbal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medicine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auspicious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therapeutic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approach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concise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2019;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234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16847-16860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30847906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10.1002/jcp.28363]</w:t>
      </w:r>
    </w:p>
    <w:p w14:paraId="71036751" w14:textId="2C0CE580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Tan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gastroesophageal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reflux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disease.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Am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2015;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349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364-371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25767896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10.1097/</w:t>
      </w:r>
      <w:r w:rsidR="006B66D4" w:rsidRPr="006B66D4">
        <w:rPr>
          <w:rFonts w:ascii="Book Antiqua" w:eastAsia="Book Antiqua" w:hAnsi="Book Antiqua" w:cs="Book Antiqua"/>
          <w:color w:val="000000"/>
        </w:rPr>
        <w:t>MAJ.</w:t>
      </w:r>
      <w:r w:rsidRPr="006B66D4">
        <w:rPr>
          <w:rFonts w:ascii="Book Antiqua" w:eastAsia="Book Antiqua" w:hAnsi="Book Antiqua" w:cs="Book Antiqua"/>
          <w:color w:val="000000"/>
        </w:rPr>
        <w:t>0000000000000429]</w:t>
      </w:r>
    </w:p>
    <w:p w14:paraId="2A9F7C1F" w14:textId="2BA50138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Upala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Sanguankeo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Saleem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Jaruvongvanich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V.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Effects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insulin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resistance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metabolic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parameters: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lastRenderedPageBreak/>
        <w:t>meta-analysis.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2017;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153-159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27832037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10.1097/</w:t>
      </w:r>
      <w:r w:rsidR="006B66D4" w:rsidRPr="006B66D4">
        <w:rPr>
          <w:rFonts w:ascii="Book Antiqua" w:eastAsia="Book Antiqua" w:hAnsi="Book Antiqua" w:cs="Book Antiqua"/>
          <w:color w:val="000000"/>
        </w:rPr>
        <w:t>MEG.</w:t>
      </w:r>
      <w:r w:rsidRPr="006B66D4">
        <w:rPr>
          <w:rFonts w:ascii="Book Antiqua" w:eastAsia="Book Antiqua" w:hAnsi="Book Antiqua" w:cs="Book Antiqua"/>
          <w:color w:val="000000"/>
        </w:rPr>
        <w:t>0000000000000774]</w:t>
      </w:r>
    </w:p>
    <w:p w14:paraId="4369881B" w14:textId="55F36E63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Polyzos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Zavos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association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between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insulin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resistance: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systematic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2011;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79-88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21435084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10.1111/j.1523-5378.2011.00822.x]</w:t>
      </w:r>
    </w:p>
    <w:p w14:paraId="42973B4A" w14:textId="6E33516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159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Shichijo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Hirata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Niikura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Hayakawa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Yamada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Ushiku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Fukayama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Histologic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development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618-624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26995689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10.1016/j.gie.2016.03.791]</w:t>
      </w:r>
    </w:p>
    <w:p w14:paraId="3ECA6AA9" w14:textId="6D55671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160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b/>
          <w:bCs/>
          <w:color w:val="000000"/>
        </w:rPr>
        <w:t>Shichijo</w:t>
      </w:r>
      <w:proofErr w:type="spellEnd"/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Hirata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Characteristics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predictors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2018;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2163-2172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29853734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10.3748/wjg.v24.i20.2163]</w:t>
      </w:r>
    </w:p>
    <w:p w14:paraId="766ABAFF" w14:textId="5FB6BDD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161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Kitamura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Matsuo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Boda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Yoshihara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Tanaka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Chayama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epithelium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low-grade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atypia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appears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surface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cancer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successful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2014;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289-295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24766284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10.1111/hel.12132]</w:t>
      </w:r>
    </w:p>
    <w:p w14:paraId="7794AE29" w14:textId="33347E0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162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Hori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6B66D4">
        <w:rPr>
          <w:rFonts w:ascii="Book Antiqua" w:eastAsia="Book Antiqua" w:hAnsi="Book Antiqua" w:cs="Book Antiqua"/>
          <w:color w:val="000000"/>
        </w:rPr>
        <w:t>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Watari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Yamasaki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Kondo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Toyoshima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Sakurai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Ikehara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Tomita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Oshima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Fukui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Nakamura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Miwa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Morphological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Characteristics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Early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Neoplasms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Detected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2016;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6B66D4">
        <w:rPr>
          <w:rFonts w:ascii="Book Antiqua" w:eastAsia="Book Antiqua" w:hAnsi="Book Antiqua" w:cs="Book Antiqua"/>
          <w:color w:val="000000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1641-1651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[PMID: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26423081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DOI: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10.1007/s10620-015-3887-2]</w:t>
      </w:r>
    </w:p>
    <w:bookmarkEnd w:id="4"/>
    <w:p w14:paraId="1DEA5FE5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  <w:sectPr w:rsidR="00A77B3E" w:rsidRPr="006B66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6D978D" w14:textId="77777777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E5BE160" w14:textId="21D227E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authors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have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potential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conflict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interest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related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177FAA">
        <w:rPr>
          <w:rFonts w:ascii="Book Antiqua" w:eastAsia="Book Antiqua" w:hAnsi="Book Antiqua" w:cs="Book Antiqua"/>
          <w:color w:val="000000"/>
        </w:rPr>
        <w:t>manuscript</w:t>
      </w:r>
      <w:r w:rsidRPr="006B66D4">
        <w:rPr>
          <w:rFonts w:ascii="Book Antiqua" w:eastAsia="Book Antiqua" w:hAnsi="Book Antiqua" w:cs="Book Antiqua"/>
          <w:color w:val="000000"/>
        </w:rPr>
        <w:t>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</w:p>
    <w:p w14:paraId="05E201F6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A71E4ED" w14:textId="7D20765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article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open-access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article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that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selected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in-house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editor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fully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peer-reviewed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external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reviewers.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distributed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accordance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Creative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Commons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Attribution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(CC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BY-NC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4.0)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license,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which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permits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others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to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distribute,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remix,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adapt,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build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upon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non-commercially,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license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their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derivative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works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different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terms,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provided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original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work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properly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cited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use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non-commercial.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See: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E683889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F4D8A7A" w14:textId="6EA347BC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Manuscript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source: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Unsolicited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6B66D4" w:rsidRPr="006B66D4">
        <w:rPr>
          <w:rFonts w:ascii="Book Antiqua" w:eastAsia="Book Antiqua" w:hAnsi="Book Antiqua" w:cs="Book Antiqua"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anuscript</w:t>
      </w:r>
    </w:p>
    <w:p w14:paraId="6CC658B0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10454722" w14:textId="19E211C9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Peer-review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started: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April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14,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</w:t>
      </w:r>
    </w:p>
    <w:p w14:paraId="4CC6AC1B" w14:textId="3C78998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First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decision: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June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3,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2021</w:t>
      </w:r>
    </w:p>
    <w:p w14:paraId="7CC56FF5" w14:textId="71AE231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Article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in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press: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64F647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6548C766" w14:textId="764691BF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Specialty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type: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Gastroenterology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6B66D4" w:rsidRPr="006B66D4">
        <w:rPr>
          <w:rFonts w:ascii="Book Antiqua" w:eastAsia="Book Antiqua" w:hAnsi="Book Antiqua" w:cs="Book Antiqua"/>
          <w:color w:val="000000"/>
        </w:rPr>
        <w:t>h</w:t>
      </w:r>
      <w:r w:rsidRPr="006B66D4">
        <w:rPr>
          <w:rFonts w:ascii="Book Antiqua" w:eastAsia="Book Antiqua" w:hAnsi="Book Antiqua" w:cs="Book Antiqua"/>
          <w:color w:val="000000"/>
        </w:rPr>
        <w:t>epatology</w:t>
      </w:r>
    </w:p>
    <w:p w14:paraId="34168A71" w14:textId="7F115431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Country/Territory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origin: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China</w:t>
      </w:r>
    </w:p>
    <w:p w14:paraId="5FC9EA97" w14:textId="6BEF7A86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t>Peer-review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report’s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scientific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quality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0397F04" w14:textId="44AA08DE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(Excellent):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0</w:t>
      </w:r>
    </w:p>
    <w:p w14:paraId="18CAA654" w14:textId="5013B50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(Very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good):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</w:t>
      </w:r>
    </w:p>
    <w:p w14:paraId="315BB13E" w14:textId="4BCB9DC2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(Good):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</w:t>
      </w:r>
    </w:p>
    <w:p w14:paraId="25AB715D" w14:textId="71BBCC95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(Fair):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</w:t>
      </w:r>
    </w:p>
    <w:p w14:paraId="3D28CE75" w14:textId="0CC57D4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</w:pPr>
      <w:r w:rsidRPr="006B66D4">
        <w:rPr>
          <w:rFonts w:ascii="Book Antiqua" w:eastAsia="Book Antiqua" w:hAnsi="Book Antiqua" w:cs="Book Antiqua"/>
          <w:color w:val="000000"/>
        </w:rPr>
        <w:t>Grade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(Poor):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0</w:t>
      </w:r>
    </w:p>
    <w:p w14:paraId="618537E4" w14:textId="77777777" w:rsidR="00A77B3E" w:rsidRPr="006B66D4" w:rsidRDefault="00A77B3E" w:rsidP="006B66D4">
      <w:pPr>
        <w:spacing w:line="360" w:lineRule="auto"/>
        <w:jc w:val="both"/>
        <w:rPr>
          <w:rFonts w:ascii="Book Antiqua" w:hAnsi="Book Antiqua"/>
        </w:rPr>
      </w:pPr>
    </w:p>
    <w:p w14:paraId="4EBE1A6A" w14:textId="0533E23A" w:rsidR="00A77B3E" w:rsidRPr="006B66D4" w:rsidRDefault="00094EA7" w:rsidP="006B66D4">
      <w:pPr>
        <w:spacing w:line="360" w:lineRule="auto"/>
        <w:jc w:val="both"/>
        <w:rPr>
          <w:rFonts w:ascii="Book Antiqua" w:hAnsi="Book Antiqua"/>
        </w:rPr>
        <w:sectPr w:rsidR="00A77B3E" w:rsidRPr="006B66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B66D4">
        <w:rPr>
          <w:rFonts w:ascii="Book Antiqua" w:eastAsia="Book Antiqua" w:hAnsi="Book Antiqua" w:cs="Book Antiqua"/>
          <w:b/>
          <w:color w:val="000000"/>
        </w:rPr>
        <w:t>P-Reviewer: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Capparelli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Fujiyoshi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MRA,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Phadtare</w:t>
      </w:r>
      <w:proofErr w:type="spell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S,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B66D4">
        <w:rPr>
          <w:rFonts w:ascii="Book Antiqua" w:eastAsia="Book Antiqua" w:hAnsi="Book Antiqua" w:cs="Book Antiqua"/>
          <w:color w:val="000000"/>
        </w:rPr>
        <w:t>Romano</w:t>
      </w:r>
      <w:proofErr w:type="gramEnd"/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S-Editor: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YJ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L-Editor: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77FAA" w:rsidRPr="00DB7F07">
        <w:rPr>
          <w:rFonts w:ascii="Book Antiqua" w:eastAsia="Book Antiqua" w:hAnsi="Book Antiqua" w:cs="Book Antiqua"/>
          <w:color w:val="000000"/>
        </w:rPr>
        <w:t>Wang TQ</w:t>
      </w:r>
      <w:r w:rsidR="00177FA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P-Editor: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E08469F" w14:textId="311BA9A7" w:rsidR="00A77B3E" w:rsidRPr="006B66D4" w:rsidRDefault="00094EA7" w:rsidP="006B66D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6B66D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31275" w:rsidRPr="006B66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color w:val="000000"/>
        </w:rPr>
        <w:t>Legends</w:t>
      </w:r>
    </w:p>
    <w:p w14:paraId="4E8A341A" w14:textId="77777777" w:rsidR="00834F9D" w:rsidRPr="006B66D4" w:rsidRDefault="00834F9D" w:rsidP="006B66D4">
      <w:pPr>
        <w:spacing w:line="360" w:lineRule="auto"/>
        <w:jc w:val="both"/>
        <w:rPr>
          <w:rFonts w:ascii="Book Antiqua" w:hAnsi="Book Antiqua"/>
          <w:lang w:eastAsia="zh-CN"/>
        </w:rPr>
      </w:pPr>
      <w:r w:rsidRPr="006B66D4">
        <w:rPr>
          <w:rFonts w:ascii="Book Antiqua" w:hAnsi="Book Antiqua"/>
          <w:noProof/>
          <w:lang w:eastAsia="zh-CN"/>
        </w:rPr>
        <w:drawing>
          <wp:inline distT="0" distB="0" distL="0" distR="0" wp14:anchorId="0913FAF1" wp14:editId="5E8EA114">
            <wp:extent cx="5486400" cy="367347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DAA7B" w14:textId="21248939" w:rsidR="00A77B3E" w:rsidRPr="006B66D4" w:rsidRDefault="00094EA7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features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infection.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Normal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Regular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arrangement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coll</w:t>
      </w:r>
      <w:r w:rsidRPr="006B66D4">
        <w:rPr>
          <w:rFonts w:ascii="Book Antiqua" w:eastAsia="Book Antiqua" w:hAnsi="Book Antiqua" w:cs="Book Antiqua"/>
          <w:color w:val="000000"/>
        </w:rPr>
        <w:t>ecting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venules</w:t>
      </w:r>
      <w:proofErr w:type="spellEnd"/>
      <w:r w:rsidR="00177FAA">
        <w:rPr>
          <w:rFonts w:ascii="Book Antiqua" w:eastAsia="Book Antiqua" w:hAnsi="Book Antiqua" w:cs="Book Antiqua"/>
          <w:color w:val="000000"/>
        </w:rPr>
        <w:t xml:space="preserve"> is seen</w:t>
      </w:r>
      <w:r w:rsidRPr="006B66D4">
        <w:rPr>
          <w:rFonts w:ascii="Book Antiqua" w:eastAsia="Book Antiqua" w:hAnsi="Book Antiqua" w:cs="Book Antiqua"/>
          <w:color w:val="000000"/>
        </w:rPr>
        <w:t>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B: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Infected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B1: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Spotty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B2: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xanthoma;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B3: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Erosion;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B4:</w:t>
      </w:r>
      <w:r w:rsidR="00A31275" w:rsidRPr="006B66D4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Multiple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erosion;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B5: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Hyperplastic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polyp;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B6: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Nodular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B7: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mucosa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eradication.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C1: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Patchy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C2: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Map-like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C3: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Redness;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C4: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C5: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metaplasia.</w:t>
      </w:r>
    </w:p>
    <w:p w14:paraId="6C81ECC6" w14:textId="77777777" w:rsidR="00834F9D" w:rsidRPr="006B66D4" w:rsidRDefault="00834F9D" w:rsidP="006B66D4">
      <w:pPr>
        <w:spacing w:line="360" w:lineRule="auto"/>
        <w:jc w:val="both"/>
        <w:rPr>
          <w:rFonts w:ascii="Book Antiqua" w:hAnsi="Book Antiqua"/>
          <w:lang w:eastAsia="zh-CN"/>
        </w:rPr>
      </w:pPr>
      <w:r w:rsidRPr="006B66D4">
        <w:rPr>
          <w:rFonts w:ascii="Book Antiqua" w:hAnsi="Book Antiqua" w:cs="Book Antiqua"/>
          <w:color w:val="000000"/>
          <w:lang w:eastAsia="zh-CN"/>
        </w:rPr>
        <w:br w:type="page"/>
      </w:r>
      <w:r w:rsidRPr="006B66D4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0C65894" wp14:editId="7440F736">
            <wp:extent cx="5486400" cy="21443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55BB1" w14:textId="77777777" w:rsidR="00834F9D" w:rsidRPr="006B66D4" w:rsidRDefault="00834F9D" w:rsidP="006B66D4">
      <w:pPr>
        <w:spacing w:line="360" w:lineRule="auto"/>
        <w:jc w:val="both"/>
        <w:rPr>
          <w:rFonts w:ascii="Book Antiqua" w:hAnsi="Book Antiqua"/>
          <w:lang w:eastAsia="zh-CN"/>
        </w:rPr>
      </w:pPr>
      <w:r w:rsidRPr="006B66D4">
        <w:rPr>
          <w:rFonts w:ascii="Book Antiqua" w:hAnsi="Book Antiqua"/>
          <w:lang w:eastAsia="zh-CN"/>
        </w:rPr>
        <w:t>A</w:t>
      </w:r>
    </w:p>
    <w:p w14:paraId="7E7B8790" w14:textId="77777777" w:rsidR="00834F9D" w:rsidRPr="006B66D4" w:rsidRDefault="00834F9D" w:rsidP="006B66D4">
      <w:pPr>
        <w:spacing w:line="360" w:lineRule="auto"/>
        <w:jc w:val="both"/>
        <w:rPr>
          <w:rFonts w:ascii="Book Antiqua" w:hAnsi="Book Antiqua"/>
          <w:lang w:eastAsia="zh-CN"/>
        </w:rPr>
      </w:pPr>
      <w:r w:rsidRPr="006B66D4">
        <w:rPr>
          <w:rFonts w:ascii="Book Antiqua" w:hAnsi="Book Antiqua"/>
          <w:noProof/>
          <w:lang w:eastAsia="zh-CN"/>
        </w:rPr>
        <w:drawing>
          <wp:inline distT="0" distB="0" distL="0" distR="0" wp14:anchorId="7B58BD76" wp14:editId="166958F9">
            <wp:extent cx="5486400" cy="20643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C9F96" w14:textId="77777777" w:rsidR="00834F9D" w:rsidRPr="006B66D4" w:rsidRDefault="00834F9D" w:rsidP="006B66D4">
      <w:pPr>
        <w:spacing w:line="360" w:lineRule="auto"/>
        <w:jc w:val="both"/>
        <w:rPr>
          <w:rFonts w:ascii="Book Antiqua" w:hAnsi="Book Antiqua"/>
          <w:lang w:eastAsia="zh-CN"/>
        </w:rPr>
      </w:pPr>
      <w:r w:rsidRPr="006B66D4">
        <w:rPr>
          <w:rFonts w:ascii="Book Antiqua" w:hAnsi="Book Antiqua"/>
          <w:lang w:eastAsia="zh-CN"/>
        </w:rPr>
        <w:t>B</w:t>
      </w:r>
    </w:p>
    <w:p w14:paraId="53533C7F" w14:textId="42B561D5" w:rsidR="00ED56AC" w:rsidRPr="006B66D4" w:rsidRDefault="00094EA7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2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link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staging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(A)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link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assessment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(B)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staging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system.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OLGA: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Operative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gastritis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assessment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staging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system;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OLGIM: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Operative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link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assessment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.</w:t>
      </w:r>
    </w:p>
    <w:p w14:paraId="3B44A968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ED56AC" w:rsidRPr="006B66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23C961" w14:textId="3F0861B7" w:rsidR="00ED56AC" w:rsidRPr="006B66D4" w:rsidRDefault="00834F9D" w:rsidP="006B66D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6B66D4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1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features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eight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trials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738D" w:rsidRPr="006B66D4">
        <w:rPr>
          <w:rFonts w:ascii="Book Antiqua" w:eastAsia="Book Antiqua" w:hAnsi="Book Antiqua" w:cs="Book Antiqua"/>
          <w:b/>
          <w:bCs/>
          <w:color w:val="000000"/>
        </w:rPr>
        <w:t>examin</w:t>
      </w:r>
      <w:r w:rsidR="00B0738D">
        <w:rPr>
          <w:rFonts w:ascii="Book Antiqua" w:eastAsia="Book Antiqua" w:hAnsi="Book Antiqua" w:cs="Book Antiqua"/>
          <w:b/>
          <w:bCs/>
          <w:color w:val="000000"/>
        </w:rPr>
        <w:t>ing</w:t>
      </w:r>
      <w:r w:rsidR="00B0738D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histological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>parameters</w:t>
      </w:r>
    </w:p>
    <w:tbl>
      <w:tblPr>
        <w:tblW w:w="15735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134"/>
        <w:gridCol w:w="1019"/>
        <w:gridCol w:w="1020"/>
        <w:gridCol w:w="795"/>
        <w:gridCol w:w="990"/>
        <w:gridCol w:w="912"/>
        <w:gridCol w:w="849"/>
        <w:gridCol w:w="792"/>
        <w:gridCol w:w="726"/>
        <w:gridCol w:w="975"/>
        <w:gridCol w:w="784"/>
        <w:gridCol w:w="724"/>
        <w:gridCol w:w="805"/>
        <w:gridCol w:w="808"/>
        <w:gridCol w:w="722"/>
        <w:gridCol w:w="837"/>
        <w:gridCol w:w="992"/>
        <w:gridCol w:w="851"/>
      </w:tblGrid>
      <w:tr w:rsidR="00ED56AC" w:rsidRPr="006B66D4" w14:paraId="09316D4E" w14:textId="77777777" w:rsidTr="00CC4E9D">
        <w:trPr>
          <w:trHeight w:val="285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7BF17CD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B66D4">
              <w:rPr>
                <w:rFonts w:ascii="Book Antiqua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4ED51C" w14:textId="3F997BFA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B66D4">
              <w:rPr>
                <w:rFonts w:ascii="Book Antiqua" w:hAnsi="Book Antiqua"/>
                <w:b/>
                <w:bCs/>
                <w:color w:val="000000"/>
              </w:rPr>
              <w:t>Study</w:t>
            </w:r>
            <w:r w:rsidR="00A31275" w:rsidRPr="006B66D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bCs/>
                <w:color w:val="000000"/>
              </w:rPr>
              <w:t>arm,</w:t>
            </w:r>
            <w:r w:rsidR="00A31275" w:rsidRPr="006B66D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bCs/>
                <w:i/>
                <w:color w:val="000000"/>
              </w:rPr>
              <w:t>n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D529C5E" w14:textId="4549F93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B66D4">
              <w:rPr>
                <w:rFonts w:ascii="Book Antiqua" w:hAnsi="Book Antiqua"/>
                <w:b/>
                <w:bCs/>
                <w:color w:val="000000"/>
              </w:rPr>
              <w:t>Follow-up,</w:t>
            </w:r>
            <w:r w:rsidR="00A31275" w:rsidRPr="006B66D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b/>
                <w:bCs/>
                <w:color w:val="000000"/>
              </w:rPr>
              <w:t>yr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25458C1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B66D4">
              <w:rPr>
                <w:rFonts w:ascii="Book Antiqua" w:hAnsi="Book Antiqua"/>
                <w:b/>
                <w:bCs/>
                <w:color w:val="000000"/>
              </w:rPr>
              <w:t>Medication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81CA5FF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B66D4">
              <w:rPr>
                <w:rFonts w:ascii="Book Antiqua" w:hAnsi="Book Antiqua"/>
                <w:b/>
                <w:bCs/>
                <w:color w:val="000000"/>
              </w:rPr>
              <w:t>Methods</w:t>
            </w:r>
          </w:p>
          <w:p w14:paraId="7E191EB2" w14:textId="1751A03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1</w:t>
            </w:r>
            <w:r w:rsid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=</w:t>
            </w:r>
            <w:r w:rsid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OS</w:t>
            </w:r>
          </w:p>
          <w:p w14:paraId="24BB84A2" w14:textId="20DEE94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2</w:t>
            </w:r>
            <w:r w:rsid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=</w:t>
            </w:r>
            <w:r w:rsid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RCT</w:t>
            </w:r>
          </w:p>
        </w:tc>
        <w:tc>
          <w:tcPr>
            <w:tcW w:w="901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8DBF8F8" w14:textId="7E35FF22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6B66D4">
              <w:rPr>
                <w:rFonts w:ascii="Book Antiqua" w:hAnsi="Book Antiqua"/>
                <w:b/>
                <w:bCs/>
                <w:color w:val="000000"/>
              </w:rPr>
              <w:t>Histologic</w:t>
            </w:r>
            <w:r w:rsidR="00A31275" w:rsidRPr="006B66D4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bCs/>
                <w:color w:val="000000"/>
              </w:rPr>
              <w:t>parameter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0BD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b/>
                <w:color w:val="000000"/>
              </w:rPr>
            </w:pPr>
            <w:r w:rsidRPr="006B66D4">
              <w:rPr>
                <w:rFonts w:ascii="Book Antiqua" w:hAnsi="Book Antiqua" w:cs="宋体"/>
                <w:b/>
                <w:color w:val="000000"/>
              </w:rPr>
              <w:t xml:space="preserve">　</w:t>
            </w:r>
          </w:p>
        </w:tc>
      </w:tr>
      <w:tr w:rsidR="00ED56AC" w:rsidRPr="006B66D4" w14:paraId="0ACED921" w14:textId="77777777" w:rsidTr="00CC4E9D">
        <w:trPr>
          <w:trHeight w:val="285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3B000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D23A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Eradicated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CE657C" w14:textId="141B76AE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Not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eradicated</w:t>
            </w: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18246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38916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2DFE8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4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B163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AG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F9E7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IM</w:t>
            </w:r>
          </w:p>
        </w:tc>
      </w:tr>
      <w:tr w:rsidR="00ED56AC" w:rsidRPr="006B66D4" w14:paraId="090C6108" w14:textId="77777777" w:rsidTr="00CC4E9D">
        <w:trPr>
          <w:trHeight w:val="285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6C8CA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D797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0A12B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7DB93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36998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AC3B7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1136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Antrum</w:t>
            </w:r>
          </w:p>
        </w:tc>
        <w:tc>
          <w:tcPr>
            <w:tcW w:w="24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167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Corpus</w:t>
            </w:r>
          </w:p>
        </w:tc>
        <w:tc>
          <w:tcPr>
            <w:tcW w:w="2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5523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Antrum</w:t>
            </w:r>
          </w:p>
        </w:tc>
        <w:tc>
          <w:tcPr>
            <w:tcW w:w="2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FC02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Corpus</w:t>
            </w:r>
          </w:p>
        </w:tc>
      </w:tr>
      <w:tr w:rsidR="00ED56AC" w:rsidRPr="006B66D4" w14:paraId="2696CEAE" w14:textId="77777777" w:rsidTr="00CC4E9D">
        <w:trPr>
          <w:trHeight w:val="285"/>
        </w:trPr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F32BD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10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609A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0D6C7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6E36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FB06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F372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EE4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Before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8A6C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After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22437" w14:textId="53CA600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value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40D4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Before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1DB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After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A3B5F" w14:textId="70F24BA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value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453F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Before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6549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After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3398" w14:textId="76D33932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value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290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Before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2F77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After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743B" w14:textId="3C92B87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value</w:t>
            </w:r>
          </w:p>
        </w:tc>
      </w:tr>
      <w:tr w:rsidR="00ED56AC" w:rsidRPr="006B66D4" w14:paraId="0846F449" w14:textId="77777777" w:rsidTr="00CC4E9D">
        <w:trPr>
          <w:trHeight w:val="285"/>
        </w:trPr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BB7C" w14:textId="58FE54C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Sung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[34]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487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226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842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245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A56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475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OAC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AAE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032B" w14:textId="028DA09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0.78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3D86" w14:textId="083CF37E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0.70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0.82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114D" w14:textId="690A2C7F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0.627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85B9" w14:textId="100D274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0.06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0.31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E060" w14:textId="128CA05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0.02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985E" w14:textId="4CF96C28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0.682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31A7" w14:textId="1965413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0.78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0.98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B5E6" w14:textId="29BE8F2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0.94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C176A" w14:textId="2FDF244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0.014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15D9" w14:textId="23DB6F9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0.04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0.32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0597" w14:textId="4E45629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0.06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D50F2" w14:textId="51B4F39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0.391</w:t>
            </w:r>
          </w:p>
        </w:tc>
      </w:tr>
      <w:tr w:rsidR="00ED56AC" w:rsidRPr="006B66D4" w14:paraId="67DB6C3A" w14:textId="77777777" w:rsidTr="00CC4E9D">
        <w:trPr>
          <w:trHeight w:val="43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1659FB" w14:textId="297566C5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proofErr w:type="spellStart"/>
            <w:r w:rsidRPr="006B66D4">
              <w:rPr>
                <w:rFonts w:ascii="Book Antiqua" w:hAnsi="Book Antiqua"/>
                <w:color w:val="000000"/>
              </w:rPr>
              <w:t>Annibale</w:t>
            </w:r>
            <w:proofErr w:type="spellEnd"/>
            <w:r w:rsidR="00A31275" w:rsidRPr="006B66D4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6B66D4">
              <w:rPr>
                <w:rFonts w:ascii="Book Antiqua" w:hAnsi="Book Antiqua"/>
                <w:color w:val="000000"/>
                <w:vertAlign w:val="superscript"/>
                <w:lang w:eastAsia="zh-CN"/>
              </w:rPr>
              <w:t>39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86CB4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30B92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3C977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B78F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BAM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43B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EFF0" w14:textId="39D9DDC9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0.56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0.24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8FB8" w14:textId="3F79AB8D" w:rsidR="00ED56AC" w:rsidRPr="006B66D4" w:rsidRDefault="00A31275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0.5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±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754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6913" w14:textId="4C49EF4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1.64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0.11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E0A9" w14:textId="68C1415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1.36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0.18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764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700A" w14:textId="3B71C5B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0.58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2A70" w14:textId="25D1D179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0.53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0.23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FFC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A31A4" w14:textId="6727358E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0.52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3613" w14:textId="2CFAF50A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0.76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340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</w:tr>
      <w:tr w:rsidR="00ED56AC" w:rsidRPr="006B66D4" w14:paraId="76B71DFA" w14:textId="77777777" w:rsidTr="00CC4E9D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CBED" w14:textId="1C322D4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6B66D4">
              <w:rPr>
                <w:rFonts w:ascii="Book Antiqua" w:hAnsi="Book Antiqua"/>
                <w:color w:val="000000"/>
              </w:rPr>
              <w:t>Ohkusa</w:t>
            </w:r>
            <w:proofErr w:type="spellEnd"/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6B66D4">
              <w:rPr>
                <w:rFonts w:ascii="Book Antiqua" w:hAnsi="Book Antiqua"/>
                <w:color w:val="000000"/>
                <w:vertAlign w:val="superscript"/>
                <w:lang w:eastAsia="zh-CN"/>
              </w:rPr>
              <w:t>40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1A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757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23B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1-1.25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CFA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PPI/A/C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B97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0F6D" w14:textId="25519DDA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873D" w14:textId="5D4E6DD2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1–3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mo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7034F" w14:textId="63B209B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6B66D4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="006B66D4" w:rsidRPr="006B66D4">
              <w:rPr>
                <w:rFonts w:ascii="Book Antiqua" w:hAnsi="Book Antiqua"/>
                <w:color w:val="000000"/>
              </w:rPr>
              <w:t>&gt;</w:t>
            </w:r>
            <w:r w:rsidR="006B66D4" w:rsidRPr="006B66D4"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A081" w14:textId="3A729E08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2E2E" w14:textId="5455B049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1–3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mo:0.3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9931" w14:textId="1FD65A7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B7A7" w14:textId="172AFE7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0.7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6D1E" w14:textId="1562F02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1–3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mo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DDA8" w14:textId="3DB53EE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53FD" w14:textId="2EFDCB6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0892" w14:textId="31327DC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1–3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mo:0.2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A606" w14:textId="469415F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0.022</w:t>
            </w:r>
          </w:p>
        </w:tc>
      </w:tr>
      <w:tr w:rsidR="00ED56AC" w:rsidRPr="006B66D4" w14:paraId="651B8200" w14:textId="77777777" w:rsidTr="00CC4E9D">
        <w:trPr>
          <w:trHeight w:val="28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EBF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5A9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4C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5F4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A54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62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6D5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E798" w14:textId="1D89F54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12–15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mo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7A27" w14:textId="45BDE71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0.15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EC0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BBC8" w14:textId="0FDE33C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12–15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mo:0.2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CF70" w14:textId="619D630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0.001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9EC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2C40" w14:textId="2CA944F2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12–15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mo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80CB" w14:textId="6006DC1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0.001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DDB2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B7EA" w14:textId="30C496AF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12–15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mo:0.1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8E29" w14:textId="3E197B0A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6B66D4">
              <w:rPr>
                <w:rFonts w:ascii="Book Antiqua" w:eastAsia="宋体" w:hAnsi="Book Antiqua"/>
                <w:color w:val="000000"/>
              </w:rPr>
              <w:t>&gt;</w:t>
            </w:r>
            <w:r w:rsidR="00A31275" w:rsidRPr="006B66D4">
              <w:rPr>
                <w:rFonts w:ascii="Book Antiqua" w:eastAsia="宋体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</w:t>
            </w:r>
          </w:p>
        </w:tc>
      </w:tr>
      <w:tr w:rsidR="00ED56AC" w:rsidRPr="006B66D4" w14:paraId="0C6C3A1B" w14:textId="77777777" w:rsidTr="00CC4E9D">
        <w:trPr>
          <w:trHeight w:val="28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224C" w14:textId="7BD3F67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Lu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6B66D4">
              <w:rPr>
                <w:rFonts w:ascii="Book Antiqua" w:hAnsi="Book Antiqua"/>
                <w:color w:val="000000"/>
                <w:vertAlign w:val="superscript"/>
                <w:lang w:eastAsia="zh-CN"/>
              </w:rPr>
              <w:t>33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BB7D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B0A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EDC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CA5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O/LAC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83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B5D6B" w14:textId="34B9AA5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1.25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0.44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 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C81C" w14:textId="4B1FB04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0.97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0.83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A5C7" w14:textId="47F94C6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C815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830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912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CA20A" w14:textId="3C98E7C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0.76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278E" w14:textId="6F27C27F" w:rsidR="00ED56AC" w:rsidRPr="006B66D4" w:rsidRDefault="00A31275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0.73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±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0.77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F3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875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D49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A9B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</w:tr>
      <w:tr w:rsidR="00ED56AC" w:rsidRPr="006B66D4" w14:paraId="312B29C5" w14:textId="77777777" w:rsidTr="00CC4E9D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DDE0" w14:textId="687BCE3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lastRenderedPageBreak/>
              <w:t>Kang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6B66D4">
              <w:rPr>
                <w:rFonts w:ascii="Book Antiqua" w:hAnsi="Book Antiqua"/>
                <w:color w:val="000000"/>
                <w:vertAlign w:val="superscript"/>
                <w:lang w:eastAsia="zh-CN"/>
              </w:rPr>
              <w:t>41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997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D41D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FC1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E04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PPI/A/C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39DF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E253" w14:textId="5A66AB1A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0.85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5A7A" w14:textId="7A53155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0.83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C95F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0D31" w14:textId="60480608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0.70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0.07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D5CF" w14:textId="70B84CFF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0.42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4B34" w14:textId="6DFA39C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DE09" w14:textId="550873D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0.91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0.07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D86F" w14:textId="29EE16E6" w:rsidR="00ED56AC" w:rsidRPr="006B66D4" w:rsidRDefault="00A31275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1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ED56AC"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="00ED56AC" w:rsidRPr="006B66D4">
              <w:rPr>
                <w:rFonts w:ascii="Book Antiqua" w:hAnsi="Book Antiqua"/>
                <w:color w:val="000000"/>
              </w:rPr>
              <w:t>: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0.83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±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0.06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A0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F6D8" w14:textId="370F065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8753" w14:textId="2B5C19FA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0.54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403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</w:tr>
      <w:tr w:rsidR="00ED56AC" w:rsidRPr="006B66D4" w14:paraId="47928F10" w14:textId="77777777" w:rsidTr="00CC4E9D">
        <w:trPr>
          <w:trHeight w:val="28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3A9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8C6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DAD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C71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CA4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PPI/A/C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6C8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E23F" w14:textId="15DBDD8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0.96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44E2" w14:textId="62B42B4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1.32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67B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6588" w14:textId="3C805AB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0.91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0.20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DB46" w14:textId="2E80E66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0.45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0.15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EBDA" w14:textId="30C42C55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0.033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DD24" w14:textId="39B4826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1.02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8AD7" w14:textId="00940A2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1.29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2F0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E51F" w14:textId="212F5E9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B318" w14:textId="511AD5D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0.83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A1F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</w:tr>
      <w:tr w:rsidR="00ED56AC" w:rsidRPr="006B66D4" w14:paraId="1AE6CF48" w14:textId="77777777" w:rsidTr="00CC4E9D">
        <w:trPr>
          <w:trHeight w:val="28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4409" w14:textId="1BFF9472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Kodama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6B66D4">
              <w:rPr>
                <w:rFonts w:ascii="Book Antiqua" w:hAnsi="Book Antiqua"/>
                <w:color w:val="000000"/>
                <w:vertAlign w:val="superscript"/>
                <w:lang w:eastAsia="zh-CN"/>
              </w:rPr>
              <w:t>42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9E45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93A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5FE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8.6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07A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PPI/A/C</w:t>
            </w: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71FE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FCE62" w14:textId="4C78419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1.60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9444" w14:textId="5613562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1.02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C88D" w14:textId="3D883D15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0.001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8683" w14:textId="1DB70C4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0.71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3FC3" w14:textId="7620DBDE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0.02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CC2B" w14:textId="4E06A74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0.001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36D87" w14:textId="4993A31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0.11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C111" w14:textId="0A62DB47" w:rsidR="00ED56AC" w:rsidRPr="006B66D4" w:rsidRDefault="00A31275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0.43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±</w:t>
            </w: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0.09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67A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D154" w14:textId="3794B00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0.17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64EC" w14:textId="54C86E8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0.00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90AC" w14:textId="65D4246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0.05</w:t>
            </w:r>
          </w:p>
        </w:tc>
      </w:tr>
      <w:tr w:rsidR="00ED56AC" w:rsidRPr="006B66D4" w14:paraId="7ACD27DA" w14:textId="77777777" w:rsidTr="00CC4E9D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ADC" w14:textId="718EEB9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Kodama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6B66D4">
              <w:rPr>
                <w:rFonts w:ascii="Book Antiqua" w:hAnsi="Book Antiqua"/>
                <w:color w:val="000000"/>
                <w:vertAlign w:val="superscript"/>
                <w:lang w:eastAsia="zh-CN"/>
              </w:rPr>
              <w:t>43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1B4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9BC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E5B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6241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PPI/A/C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EC3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E1F" w14:textId="09351112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AI: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1.39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13C8" w14:textId="3593ED4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0.90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B7B3" w14:textId="763DBBF2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11EA" w14:textId="5DDE1C18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B1: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1.08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0737" w14:textId="65DAD78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0.78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8E38" w14:textId="5442979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A787" w14:textId="5FA4697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A1:1.14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ADD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5D7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9BD1" w14:textId="16D39875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B1:0.97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885E" w14:textId="01CE67BF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6y:0.42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3B71" w14:textId="75EF051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0.05</w:t>
            </w:r>
          </w:p>
        </w:tc>
      </w:tr>
      <w:tr w:rsidR="00ED56AC" w:rsidRPr="006B66D4" w14:paraId="60100D8D" w14:textId="77777777" w:rsidTr="00CC4E9D">
        <w:trPr>
          <w:trHeight w:val="27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32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3E4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67A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A2E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351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C7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9190" w14:textId="70AA4DC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A2: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1.39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3214" w14:textId="203C0C2F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1.06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1158" w14:textId="461FB559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31BFB" w14:textId="7E813B8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B2: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0.52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632C" w14:textId="272FB0F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mo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0.29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538B" w14:textId="3FF2C31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DD0E" w14:textId="7F7234C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A2:0.50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289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62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DB2A" w14:textId="42E4E2D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B2:0.13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BAE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C88F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</w:tr>
      <w:tr w:rsidR="00ED56AC" w:rsidRPr="006B66D4" w14:paraId="1843A09F" w14:textId="77777777" w:rsidTr="00CC4E9D">
        <w:trPr>
          <w:trHeight w:val="285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4CA8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F4AF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9D4A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3CD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025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39A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31C59" w14:textId="69839FE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IA: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1.51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0.08</w:t>
            </w:r>
          </w:p>
        </w:tc>
        <w:tc>
          <w:tcPr>
            <w:tcW w:w="7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5F05" w14:textId="48C66E6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6B66D4">
              <w:rPr>
                <w:rFonts w:ascii="Book Antiqua" w:hAnsi="Book Antiqua"/>
                <w:color w:val="000000"/>
              </w:rPr>
              <w:t>yr</w:t>
            </w:r>
            <w:proofErr w:type="spellEnd"/>
            <w:r w:rsidRPr="006B66D4">
              <w:rPr>
                <w:rFonts w:ascii="Book Antiqua" w:hAnsi="Book Antiqua"/>
                <w:color w:val="000000"/>
              </w:rPr>
              <w:t>: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1.24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0.09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110BD" w14:textId="6313FD3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&lt;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0.05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1F4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503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1A8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F213" w14:textId="4AA3D93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A1:1.04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±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9EB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35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NS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A53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E09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A2E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 w:cs="宋体"/>
                <w:color w:val="000000"/>
              </w:rPr>
            </w:pPr>
            <w:r w:rsidRPr="006B66D4">
              <w:rPr>
                <w:rFonts w:ascii="Book Antiqua" w:hAnsi="Book Antiqua" w:cs="宋体"/>
                <w:color w:val="000000"/>
              </w:rPr>
              <w:t xml:space="preserve">　</w:t>
            </w:r>
          </w:p>
        </w:tc>
      </w:tr>
      <w:tr w:rsidR="00ED56AC" w:rsidRPr="006B66D4" w14:paraId="34362C7D" w14:textId="77777777" w:rsidTr="00CC4E9D">
        <w:trPr>
          <w:trHeight w:val="285"/>
        </w:trPr>
        <w:tc>
          <w:tcPr>
            <w:tcW w:w="113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5B911" w14:textId="5FF3EC4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Hwang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et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al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6B66D4">
              <w:rPr>
                <w:rFonts w:ascii="Book Antiqua" w:hAnsi="Book Antiqua"/>
                <w:color w:val="000000"/>
                <w:vertAlign w:val="superscript"/>
                <w:lang w:eastAsia="zh-CN"/>
              </w:rPr>
              <w:t>44</w:t>
            </w:r>
            <w:r w:rsidRPr="006B66D4">
              <w:rPr>
                <w:rFonts w:ascii="Book Antiqua" w:hAnsi="Book Antiqua"/>
                <w:color w:val="000000"/>
                <w:vertAlign w:val="superscript"/>
              </w:rPr>
              <w:t>]</w:t>
            </w:r>
          </w:p>
        </w:tc>
        <w:tc>
          <w:tcPr>
            <w:tcW w:w="10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9C20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442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656B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91</w:t>
            </w:r>
          </w:p>
        </w:tc>
        <w:tc>
          <w:tcPr>
            <w:tcW w:w="79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B80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39C52" w14:textId="09421EE8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PPI/A/C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E/A/C/M</w:t>
            </w:r>
          </w:p>
        </w:tc>
        <w:tc>
          <w:tcPr>
            <w:tcW w:w="91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C83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84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91F7" w14:textId="52B8EFA6" w:rsidR="00ED56AC" w:rsidRPr="006B66D4" w:rsidRDefault="00A31275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i/>
                <w:color w:val="000000"/>
              </w:rPr>
              <w:t>n</w:t>
            </w:r>
            <w:r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i/>
                <w:color w:val="000000"/>
              </w:rPr>
              <w:t>=</w:t>
            </w:r>
            <w:r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="00ED56AC" w:rsidRPr="006B66D4">
              <w:rPr>
                <w:rFonts w:ascii="Book Antiqua" w:hAnsi="Book Antiqua"/>
                <w:color w:val="000000"/>
              </w:rPr>
              <w:t>178</w:t>
            </w:r>
          </w:p>
        </w:tc>
        <w:tc>
          <w:tcPr>
            <w:tcW w:w="7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7C2E" w14:textId="2A878B3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n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89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(50.0)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2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9ED8B" w14:textId="18EBE81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0.002</w:t>
            </w:r>
          </w:p>
        </w:tc>
        <w:tc>
          <w:tcPr>
            <w:tcW w:w="97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AB8A6" w14:textId="53E493C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n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105</w:t>
            </w:r>
          </w:p>
        </w:tc>
        <w:tc>
          <w:tcPr>
            <w:tcW w:w="78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A9944" w14:textId="39AAB88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n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72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(68.8)</w:t>
            </w:r>
          </w:p>
        </w:tc>
        <w:tc>
          <w:tcPr>
            <w:tcW w:w="72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7AD4" w14:textId="048AB96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0.01</w:t>
            </w:r>
          </w:p>
        </w:tc>
        <w:tc>
          <w:tcPr>
            <w:tcW w:w="80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2E889" w14:textId="3D303E8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n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221</w:t>
            </w:r>
          </w:p>
        </w:tc>
        <w:tc>
          <w:tcPr>
            <w:tcW w:w="80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FC195" w14:textId="3B339810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n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45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(20.4)</w:t>
            </w:r>
          </w:p>
        </w:tc>
        <w:tc>
          <w:tcPr>
            <w:tcW w:w="7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26DF7" w14:textId="52EAE558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0.002</w:t>
            </w:r>
          </w:p>
        </w:tc>
        <w:tc>
          <w:tcPr>
            <w:tcW w:w="83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415F" w14:textId="042B940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n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142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5AC88" w14:textId="75F5E31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n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31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(21.8)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8C123" w14:textId="1ABF6C4E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i/>
                <w:color w:val="000000"/>
              </w:rPr>
              <w:t>P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color w:val="000000"/>
              </w:rPr>
              <w:t>=</w:t>
            </w:r>
            <w:r w:rsidR="00A31275" w:rsidRPr="006B66D4">
              <w:rPr>
                <w:rFonts w:ascii="Book Antiqua" w:hAnsi="Book Antiqua"/>
                <w:i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0.01</w:t>
            </w:r>
          </w:p>
        </w:tc>
      </w:tr>
    </w:tbl>
    <w:p w14:paraId="1D5589E9" w14:textId="45CA6CD9" w:rsidR="00ED56AC" w:rsidRPr="006B66D4" w:rsidRDefault="00834F9D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B66D4">
        <w:rPr>
          <w:rFonts w:ascii="Book Antiqua" w:eastAsia="Book Antiqua" w:hAnsi="Book Antiqua" w:cs="Book Antiqua"/>
          <w:color w:val="000000"/>
        </w:rPr>
        <w:lastRenderedPageBreak/>
        <w:t>A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a</w:t>
      </w:r>
      <w:r w:rsidRPr="006B66D4">
        <w:rPr>
          <w:rFonts w:ascii="Book Antiqua" w:eastAsia="Book Antiqua" w:hAnsi="Book Antiqua" w:cs="Book Antiqua"/>
          <w:color w:val="000000"/>
        </w:rPr>
        <w:t>moxicillin;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A1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="00B0738D">
        <w:rPr>
          <w:rFonts w:ascii="Book Antiqua" w:eastAsia="Book Antiqua" w:hAnsi="Book Antiqua" w:cs="Book Antiqua"/>
          <w:caps/>
          <w:color w:val="000000"/>
        </w:rPr>
        <w:t>L</w:t>
      </w:r>
      <w:r w:rsidRPr="006B66D4">
        <w:rPr>
          <w:rFonts w:ascii="Book Antiqua" w:eastAsia="Book Antiqua" w:hAnsi="Book Antiqua" w:cs="Book Antiqua"/>
          <w:color w:val="000000"/>
        </w:rPr>
        <w:t>esser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curvature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A2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g</w:t>
      </w:r>
      <w:r w:rsidRPr="006B66D4">
        <w:rPr>
          <w:rFonts w:ascii="Book Antiqua" w:eastAsia="Book Antiqua" w:hAnsi="Book Antiqua" w:cs="Book Antiqua"/>
          <w:color w:val="000000"/>
        </w:rPr>
        <w:t>reater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curvature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antrum;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B1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l</w:t>
      </w:r>
      <w:r w:rsidRPr="006B66D4">
        <w:rPr>
          <w:rFonts w:ascii="Book Antiqua" w:eastAsia="Book Antiqua" w:hAnsi="Book Antiqua" w:cs="Book Antiqua"/>
          <w:color w:val="000000"/>
        </w:rPr>
        <w:t>esser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curvature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B2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g</w:t>
      </w:r>
      <w:r w:rsidRPr="006B66D4">
        <w:rPr>
          <w:rFonts w:ascii="Book Antiqua" w:eastAsia="Book Antiqua" w:hAnsi="Book Antiqua" w:cs="Book Antiqua"/>
          <w:color w:val="000000"/>
        </w:rPr>
        <w:t>reater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curvature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corpus;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B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b</w:t>
      </w:r>
      <w:r w:rsidRPr="006B66D4">
        <w:rPr>
          <w:rFonts w:ascii="Book Antiqua" w:eastAsia="Book Antiqua" w:hAnsi="Book Antiqua" w:cs="Book Antiqua"/>
          <w:color w:val="000000"/>
        </w:rPr>
        <w:t>ismuth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subcitrate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c</w:t>
      </w:r>
      <w:r w:rsidRPr="006B66D4">
        <w:rPr>
          <w:rFonts w:ascii="Book Antiqua" w:eastAsia="Book Antiqua" w:hAnsi="Book Antiqua" w:cs="Book Antiqua"/>
          <w:color w:val="000000"/>
        </w:rPr>
        <w:t>larithromycin;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e</w:t>
      </w:r>
      <w:r w:rsidRPr="006B66D4">
        <w:rPr>
          <w:rFonts w:ascii="Book Antiqua" w:eastAsia="Book Antiqua" w:hAnsi="Book Antiqua" w:cs="Book Antiqua"/>
          <w:color w:val="000000"/>
        </w:rPr>
        <w:t>someprazole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GA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g</w:t>
      </w:r>
      <w:r w:rsidRPr="006B66D4">
        <w:rPr>
          <w:rFonts w:ascii="Book Antiqua" w:eastAsia="Book Antiqua" w:hAnsi="Book Antiqua" w:cs="Book Antiqua"/>
          <w:color w:val="000000"/>
        </w:rPr>
        <w:t>astric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atrophy;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IA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l</w:t>
      </w:r>
      <w:r w:rsidRPr="006B66D4">
        <w:rPr>
          <w:rFonts w:ascii="Book Antiqua" w:eastAsia="Book Antiqua" w:hAnsi="Book Antiqua" w:cs="Book Antiqua"/>
          <w:color w:val="000000"/>
        </w:rPr>
        <w:t>esser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curvature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of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6B66D4">
        <w:rPr>
          <w:rFonts w:ascii="Book Antiqua" w:eastAsia="Book Antiqua" w:hAnsi="Book Antiqua" w:cs="Book Antiqua"/>
          <w:color w:val="000000"/>
        </w:rPr>
        <w:t>angulus</w:t>
      </w:r>
      <w:proofErr w:type="spellEnd"/>
      <w:r w:rsidRPr="006B66D4">
        <w:rPr>
          <w:rFonts w:ascii="Book Antiqua" w:eastAsia="Book Antiqua" w:hAnsi="Book Antiqua" w:cs="Book Antiqua"/>
          <w:color w:val="000000"/>
        </w:rPr>
        <w:t>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IM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i</w:t>
      </w:r>
      <w:r w:rsidRPr="006B66D4">
        <w:rPr>
          <w:rFonts w:ascii="Book Antiqua" w:eastAsia="Book Antiqua" w:hAnsi="Book Antiqua" w:cs="Book Antiqua"/>
          <w:color w:val="000000"/>
        </w:rPr>
        <w:t>ntestinal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metaplasia;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lansoprazole;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m</w:t>
      </w:r>
      <w:r w:rsidRPr="006B66D4">
        <w:rPr>
          <w:rFonts w:ascii="Book Antiqua" w:eastAsia="Book Antiqua" w:hAnsi="Book Antiqua" w:cs="Book Antiqua"/>
          <w:color w:val="000000"/>
        </w:rPr>
        <w:t>etronidazole;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n</w:t>
      </w:r>
      <w:r w:rsidRPr="006B66D4">
        <w:rPr>
          <w:rFonts w:ascii="Book Antiqua" w:eastAsia="Book Antiqua" w:hAnsi="Book Antiqua" w:cs="Book Antiqua"/>
          <w:color w:val="000000"/>
        </w:rPr>
        <w:t>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applied;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NS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n</w:t>
      </w:r>
      <w:r w:rsidRPr="006B66D4">
        <w:rPr>
          <w:rFonts w:ascii="Book Antiqua" w:eastAsia="Book Antiqua" w:hAnsi="Book Antiqua" w:cs="Book Antiqua"/>
          <w:color w:val="000000"/>
        </w:rPr>
        <w:t>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significant;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o</w:t>
      </w:r>
      <w:r w:rsidRPr="006B66D4">
        <w:rPr>
          <w:rFonts w:ascii="Book Antiqua" w:eastAsia="Book Antiqua" w:hAnsi="Book Antiqua" w:cs="Book Antiqua"/>
          <w:color w:val="000000"/>
        </w:rPr>
        <w:t>meprazole;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OS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o</w:t>
      </w:r>
      <w:r w:rsidRPr="006B66D4">
        <w:rPr>
          <w:rFonts w:ascii="Book Antiqua" w:eastAsia="Book Antiqua" w:hAnsi="Book Antiqua" w:cs="Book Antiqua"/>
          <w:color w:val="000000"/>
        </w:rPr>
        <w:t>bservational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study;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PPI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p</w:t>
      </w:r>
      <w:r w:rsidRPr="006B66D4">
        <w:rPr>
          <w:rFonts w:ascii="Book Antiqua" w:eastAsia="Book Antiqua" w:hAnsi="Book Antiqua" w:cs="Book Antiqua"/>
          <w:color w:val="000000"/>
        </w:rPr>
        <w:t>roton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pump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RCT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r</w:t>
      </w:r>
      <w:r w:rsidRPr="006B66D4">
        <w:rPr>
          <w:rFonts w:ascii="Book Antiqua" w:eastAsia="Book Antiqua" w:hAnsi="Book Antiqua" w:cs="Book Antiqua"/>
          <w:color w:val="000000"/>
        </w:rPr>
        <w:t>andomized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controlled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trial;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data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are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presented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ED56AC" w:rsidRPr="006B66D4">
        <w:rPr>
          <w:rFonts w:ascii="Book Antiqua" w:hAnsi="Book Antiqua" w:cs="Book Antiqua"/>
          <w:i/>
          <w:color w:val="000000"/>
          <w:lang w:eastAsia="zh-CN"/>
        </w:rPr>
        <w:t>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(%)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B0738D">
        <w:rPr>
          <w:rFonts w:ascii="Book Antiqua" w:eastAsia="Book Antiqua" w:hAnsi="Book Antiqua" w:cs="Book Antiqua"/>
          <w:color w:val="000000"/>
        </w:rPr>
        <w:t xml:space="preserve">the </w:t>
      </w:r>
      <w:r w:rsidRPr="006B66D4">
        <w:rPr>
          <w:rFonts w:ascii="Book Antiqua" w:eastAsia="Book Antiqua" w:hAnsi="Book Antiqua" w:cs="Book Antiqua"/>
          <w:color w:val="000000"/>
        </w:rPr>
        <w:t>median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±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standard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deviation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mean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±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SE/median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.</w:t>
      </w:r>
    </w:p>
    <w:p w14:paraId="75986298" w14:textId="055CAD17" w:rsidR="00834F9D" w:rsidRPr="006B66D4" w:rsidRDefault="00A31275" w:rsidP="006B66D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ED56AC" w:rsidRPr="006B66D4">
        <w:rPr>
          <w:rFonts w:ascii="Book Antiqua" w:eastAsia="Book Antiqua" w:hAnsi="Book Antiqua" w:cs="Book Antiqua"/>
          <w:color w:val="000000"/>
        </w:rPr>
        <w:br w:type="page"/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hAnsi="Book Antiqua" w:cs="Book Antiqua"/>
          <w:b/>
          <w:bCs/>
          <w:color w:val="000000"/>
          <w:lang w:eastAsia="zh-CN"/>
        </w:rPr>
        <w:t>2</w:t>
      </w:r>
      <w:r w:rsidRPr="006B66D4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Major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features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of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five</w:t>
      </w:r>
      <w:r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meta-analy</w:t>
      </w:r>
      <w:r w:rsidR="00B0738D">
        <w:rPr>
          <w:rFonts w:ascii="Book Antiqua" w:eastAsia="Book Antiqua" w:hAnsi="Book Antiqua" w:cs="Book Antiqua"/>
          <w:b/>
          <w:bCs/>
          <w:color w:val="000000"/>
        </w:rPr>
        <w:t>ses</w:t>
      </w:r>
    </w:p>
    <w:tbl>
      <w:tblPr>
        <w:tblpPr w:leftFromText="180" w:rightFromText="180" w:vertAnchor="text" w:horzAnchor="margin" w:tblpY="160"/>
        <w:tblW w:w="11426" w:type="dxa"/>
        <w:tblLayout w:type="fixed"/>
        <w:tblLook w:val="04A0" w:firstRow="1" w:lastRow="0" w:firstColumn="1" w:lastColumn="0" w:noHBand="0" w:noVBand="1"/>
      </w:tblPr>
      <w:tblGrid>
        <w:gridCol w:w="1732"/>
        <w:gridCol w:w="963"/>
        <w:gridCol w:w="1276"/>
        <w:gridCol w:w="796"/>
        <w:gridCol w:w="825"/>
        <w:gridCol w:w="1109"/>
        <w:gridCol w:w="796"/>
        <w:gridCol w:w="825"/>
        <w:gridCol w:w="1109"/>
        <w:gridCol w:w="877"/>
        <w:gridCol w:w="1118"/>
      </w:tblGrid>
      <w:tr w:rsidR="00ED56AC" w:rsidRPr="006B66D4" w14:paraId="12A7833B" w14:textId="77777777" w:rsidTr="00CC4E9D">
        <w:trPr>
          <w:trHeight w:val="270"/>
        </w:trPr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B4ED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Ref.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DC5E0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Year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1111BB" w14:textId="3BF98C7F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Total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No.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of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study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21A30" w14:textId="790A8AE5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Eradication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group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136273" w14:textId="45AC1BC5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Control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group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4CCC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OR/RR</w:t>
            </w:r>
          </w:p>
          <w:p w14:paraId="4E203FC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3AFD6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95%Cl</w:t>
            </w:r>
          </w:p>
          <w:p w14:paraId="6017F89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  <w:tr w:rsidR="00ED56AC" w:rsidRPr="006B66D4" w14:paraId="50A5CF3E" w14:textId="77777777" w:rsidTr="00CC4E9D">
        <w:trPr>
          <w:trHeight w:val="270"/>
        </w:trPr>
        <w:tc>
          <w:tcPr>
            <w:tcW w:w="1732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623CE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C68AC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C61A7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FF1B626" w14:textId="31185F2B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Total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N</w:t>
            </w:r>
            <w:r w:rsidR="006B66D4">
              <w:rPr>
                <w:rFonts w:ascii="Book Antiqua" w:hAnsi="Book Antiqua"/>
                <w:b/>
                <w:color w:val="000000"/>
              </w:rPr>
              <w:t>o</w:t>
            </w:r>
            <w:r w:rsidRPr="006B66D4">
              <w:rPr>
                <w:rFonts w:ascii="Book Antiqua" w:hAnsi="Book Antiqua"/>
                <w:b/>
                <w:color w:val="000000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6E599C3" w14:textId="2684562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Total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events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1488C08" w14:textId="3D93014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Incidence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rate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30DF9A" w14:textId="2B4EDB1D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Total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N</w:t>
            </w:r>
            <w:r w:rsidR="006B66D4">
              <w:rPr>
                <w:rFonts w:ascii="Book Antiqua" w:hAnsi="Book Antiqua"/>
                <w:b/>
                <w:color w:val="000000"/>
              </w:rPr>
              <w:t>o</w:t>
            </w:r>
            <w:r w:rsidRPr="006B66D4">
              <w:rPr>
                <w:rFonts w:ascii="Book Antiqua" w:hAnsi="Book Antiqua"/>
                <w:b/>
                <w:color w:val="000000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FF08D7" w14:textId="005DCC91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Total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events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02D72D" w14:textId="4D32EDF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Incidence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rate</w:t>
            </w: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5C69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A0889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ED56AC" w:rsidRPr="006B66D4" w14:paraId="27224AC9" w14:textId="77777777" w:rsidTr="00CC4E9D">
        <w:trPr>
          <w:trHeight w:val="293"/>
        </w:trPr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40C600F" w14:textId="1552A6BE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6B66D4">
              <w:rPr>
                <w:rFonts w:ascii="Book Antiqua" w:hAnsi="Book Antiqua"/>
                <w:noProof/>
              </w:rPr>
              <w:t>Sugimoto</w:t>
            </w:r>
            <w:r w:rsidR="00A31275" w:rsidRPr="006B66D4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[118]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9CDCD7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74FC93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4RCTs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AE6EFEF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2731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88FA36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73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97D735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2.7%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CBE121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2733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2C9D02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49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3435E6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1.80%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A89876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0.67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91BB60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0.47–0.96</w:t>
            </w:r>
          </w:p>
        </w:tc>
      </w:tr>
      <w:tr w:rsidR="00ED56AC" w:rsidRPr="006B66D4" w14:paraId="055B1D0B" w14:textId="77777777" w:rsidTr="00CC4E9D">
        <w:trPr>
          <w:trHeight w:val="278"/>
        </w:trPr>
        <w:tc>
          <w:tcPr>
            <w:tcW w:w="1732" w:type="dxa"/>
            <w:shd w:val="clear" w:color="auto" w:fill="auto"/>
            <w:vAlign w:val="bottom"/>
            <w:hideMark/>
          </w:tcPr>
          <w:p w14:paraId="699BD59D" w14:textId="0775C573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6B66D4">
              <w:rPr>
                <w:rFonts w:ascii="Book Antiqua" w:hAnsi="Book Antiqua"/>
                <w:noProof/>
              </w:rPr>
              <w:t>Sugano</w:t>
            </w:r>
            <w:r w:rsidR="00A31275"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[119]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1A5EC4A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ADB4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AA73B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16301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14:paraId="27259C7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316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68F0D74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1.90%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807CC9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14805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14:paraId="2E4026B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535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6E1A833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3.60%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0A28A010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0.46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5391399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0.39-0.55</w:t>
            </w:r>
          </w:p>
        </w:tc>
      </w:tr>
      <w:tr w:rsidR="00ED56AC" w:rsidRPr="006B66D4" w14:paraId="63B3C721" w14:textId="77777777" w:rsidTr="00CC4E9D">
        <w:trPr>
          <w:trHeight w:val="278"/>
        </w:trPr>
        <w:tc>
          <w:tcPr>
            <w:tcW w:w="1732" w:type="dxa"/>
            <w:shd w:val="clear" w:color="auto" w:fill="auto"/>
            <w:vAlign w:val="bottom"/>
            <w:hideMark/>
          </w:tcPr>
          <w:p w14:paraId="1375D18B" w14:textId="2B07BD9C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noProof/>
              </w:rPr>
              <w:t>Doorakkers</w:t>
            </w:r>
            <w:r w:rsidR="00A31275" w:rsidRPr="006B66D4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[120]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29F46AD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43797" w14:textId="57404FC4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8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Cohort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C56224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12899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14:paraId="7B52C11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119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30C66A2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0.90%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E3D328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18654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14:paraId="2D286FB6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208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03526C3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1.10%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0C0E3E5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0.46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1979761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0.32-0.66</w:t>
            </w:r>
          </w:p>
        </w:tc>
      </w:tr>
      <w:tr w:rsidR="00ED56AC" w:rsidRPr="006B66D4" w14:paraId="29845164" w14:textId="77777777" w:rsidTr="00CC4E9D">
        <w:trPr>
          <w:trHeight w:val="278"/>
        </w:trPr>
        <w:tc>
          <w:tcPr>
            <w:tcW w:w="1732" w:type="dxa"/>
            <w:shd w:val="clear" w:color="auto" w:fill="auto"/>
            <w:vAlign w:val="bottom"/>
            <w:hideMark/>
          </w:tcPr>
          <w:p w14:paraId="02EB20D6" w14:textId="4B61FE6A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noProof/>
              </w:rPr>
              <w:t>Chen</w:t>
            </w:r>
            <w:r w:rsidR="00A31275" w:rsidRPr="006B66D4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[121]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14:paraId="1157537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9A5A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8RCTs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C56CC1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3992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14:paraId="76EA2DEF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74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10F1138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1.90%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87C717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3962</w:t>
            </w:r>
          </w:p>
        </w:tc>
        <w:tc>
          <w:tcPr>
            <w:tcW w:w="825" w:type="dxa"/>
            <w:shd w:val="clear" w:color="auto" w:fill="auto"/>
            <w:vAlign w:val="bottom"/>
            <w:hideMark/>
          </w:tcPr>
          <w:p w14:paraId="72ED800A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116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14:paraId="1C55F2C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2.90%</w:t>
            </w:r>
          </w:p>
        </w:tc>
        <w:tc>
          <w:tcPr>
            <w:tcW w:w="877" w:type="dxa"/>
            <w:shd w:val="clear" w:color="auto" w:fill="auto"/>
            <w:vAlign w:val="bottom"/>
            <w:hideMark/>
          </w:tcPr>
          <w:p w14:paraId="28505CF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0.64</w:t>
            </w:r>
          </w:p>
        </w:tc>
        <w:tc>
          <w:tcPr>
            <w:tcW w:w="1118" w:type="dxa"/>
            <w:shd w:val="clear" w:color="auto" w:fill="auto"/>
            <w:vAlign w:val="bottom"/>
            <w:hideMark/>
          </w:tcPr>
          <w:p w14:paraId="2E0C50CB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0.48-0.85</w:t>
            </w:r>
          </w:p>
        </w:tc>
      </w:tr>
      <w:tr w:rsidR="00ED56AC" w:rsidRPr="006B66D4" w14:paraId="27644616" w14:textId="77777777" w:rsidTr="00CC4E9D">
        <w:trPr>
          <w:trHeight w:val="278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333468" w14:textId="1A0391C6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noProof/>
              </w:rPr>
              <w:t>Ford</w:t>
            </w:r>
            <w:r w:rsidR="00A31275" w:rsidRPr="006B66D4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[104]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6E53C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908C2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6RCTs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5E6B7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3294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4EB61C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51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AD3B3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1.60%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C6A903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3203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4EE315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76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26A745E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2.40%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FF2EE2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0.66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B6944D" w14:textId="77777777" w:rsidR="00ED56AC" w:rsidRPr="006B66D4" w:rsidRDefault="00ED56AC" w:rsidP="006B66D4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0.46-0.95</w:t>
            </w:r>
          </w:p>
        </w:tc>
      </w:tr>
    </w:tbl>
    <w:p w14:paraId="4CE17410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02E5AE4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D617E79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03DB0C9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9B40C82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B509C16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E80CF0F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E944ED5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4AA14028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7272543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CD2FF1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1B4F7A9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68DD054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97E20B9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6BA3CDD" w14:textId="77777777" w:rsidR="00ED56AC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51BDB417" w14:textId="093C91E8" w:rsidR="00834F9D" w:rsidRPr="006B66D4" w:rsidRDefault="00834F9D" w:rsidP="006B66D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6B66D4">
        <w:rPr>
          <w:rFonts w:ascii="Book Antiqua" w:eastAsia="Book Antiqua" w:hAnsi="Book Antiqua" w:cs="Book Antiqua"/>
          <w:color w:val="000000"/>
        </w:rPr>
        <w:t>RR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r</w:t>
      </w:r>
      <w:r w:rsidRPr="006B66D4">
        <w:rPr>
          <w:rFonts w:ascii="Book Antiqua" w:eastAsia="Book Antiqua" w:hAnsi="Book Antiqua" w:cs="Book Antiqua"/>
          <w:color w:val="000000"/>
        </w:rPr>
        <w:t>isk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ratio;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OR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o</w:t>
      </w:r>
      <w:r w:rsidRPr="006B66D4">
        <w:rPr>
          <w:rFonts w:ascii="Book Antiqua" w:eastAsia="Book Antiqua" w:hAnsi="Book Antiqua" w:cs="Book Antiqua"/>
          <w:color w:val="000000"/>
        </w:rPr>
        <w:t>dds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ratio;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95%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95%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confidence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interval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.</w:t>
      </w:r>
    </w:p>
    <w:p w14:paraId="75B2ACF8" w14:textId="08DF7443" w:rsidR="00834F9D" w:rsidRPr="006B66D4" w:rsidRDefault="00ED56AC" w:rsidP="006B66D4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6B66D4">
        <w:rPr>
          <w:rFonts w:ascii="Book Antiqua" w:hAnsi="Book Antiqua" w:cs="Book Antiqua"/>
          <w:color w:val="000000"/>
          <w:lang w:eastAsia="zh-CN"/>
        </w:rPr>
        <w:br w:type="page"/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hAnsi="Book Antiqua" w:cs="Book Antiqua"/>
          <w:b/>
          <w:bCs/>
          <w:color w:val="000000"/>
          <w:lang w:eastAsia="zh-CN"/>
        </w:rPr>
        <w:t>3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0738D">
        <w:rPr>
          <w:rFonts w:ascii="Book Antiqua" w:eastAsia="Book Antiqua" w:hAnsi="Book Antiqua" w:cs="Book Antiqua"/>
          <w:b/>
          <w:bCs/>
          <w:color w:val="000000"/>
        </w:rPr>
        <w:t>on</w:t>
      </w:r>
      <w:r w:rsidR="00B0738D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microbiota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alteration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31275" w:rsidRPr="006B66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4F9D" w:rsidRPr="006B66D4">
        <w:rPr>
          <w:rFonts w:ascii="Book Antiqua" w:eastAsia="Book Antiqua" w:hAnsi="Book Antiqua" w:cs="Book Antiqua"/>
          <w:b/>
          <w:bCs/>
          <w:color w:val="000000"/>
        </w:rPr>
        <w:t>eradication</w:t>
      </w:r>
    </w:p>
    <w:tbl>
      <w:tblPr>
        <w:tblpPr w:leftFromText="180" w:rightFromText="180" w:vertAnchor="text" w:horzAnchor="page" w:tblpX="488" w:tblpY="177"/>
        <w:tblW w:w="14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876"/>
        <w:gridCol w:w="1817"/>
        <w:gridCol w:w="1134"/>
        <w:gridCol w:w="1985"/>
        <w:gridCol w:w="1275"/>
        <w:gridCol w:w="1276"/>
        <w:gridCol w:w="4536"/>
        <w:gridCol w:w="51"/>
      </w:tblGrid>
      <w:tr w:rsidR="00ED56AC" w:rsidRPr="006B66D4" w14:paraId="5096574C" w14:textId="77777777" w:rsidTr="00CC4E9D">
        <w:trPr>
          <w:trHeight w:val="555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A565" w14:textId="77777777" w:rsidR="00ED56AC" w:rsidRPr="006B66D4" w:rsidRDefault="00ED56AC" w:rsidP="006B66D4">
            <w:pPr>
              <w:spacing w:line="360" w:lineRule="auto"/>
              <w:ind w:firstLineChars="100" w:firstLine="241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Ref.</w:t>
            </w:r>
          </w:p>
          <w:p w14:paraId="14B004E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923BB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Year</w:t>
            </w:r>
          </w:p>
          <w:p w14:paraId="3C9C828B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DE85" w14:textId="4844238C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Total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subjects</w:t>
            </w:r>
          </w:p>
          <w:p w14:paraId="158D6DDC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46B8" w14:textId="264E2C09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Follow-up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time</w:t>
            </w:r>
          </w:p>
          <w:p w14:paraId="6AF1EAB7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661A5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Age</w:t>
            </w:r>
          </w:p>
          <w:p w14:paraId="1E9CD7D3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1=Adults</w:t>
            </w:r>
          </w:p>
          <w:p w14:paraId="02108E2D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2=Children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03A0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Regimen</w:t>
            </w:r>
          </w:p>
          <w:p w14:paraId="1D370292" w14:textId="14D6CB64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1=TT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for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7-14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d</w:t>
            </w:r>
          </w:p>
          <w:p w14:paraId="626A65AA" w14:textId="33093831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2=QT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for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10-14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B27AA" w14:textId="1972E8F6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Study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group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D76BA" w14:textId="3F902DD5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  <w:r w:rsidRPr="006B66D4">
              <w:rPr>
                <w:rFonts w:ascii="Book Antiqua" w:hAnsi="Book Antiqua"/>
                <w:b/>
                <w:color w:val="000000"/>
              </w:rPr>
              <w:t>Main</w:t>
            </w:r>
            <w:r w:rsidR="00A31275" w:rsidRPr="006B66D4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b/>
                <w:color w:val="000000"/>
              </w:rPr>
              <w:t>outcomes</w:t>
            </w:r>
          </w:p>
          <w:p w14:paraId="3180B2D6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797C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  <w:tr w:rsidR="00ED56AC" w:rsidRPr="006B66D4" w14:paraId="63726660" w14:textId="77777777" w:rsidTr="00CC4E9D">
        <w:trPr>
          <w:trHeight w:val="278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FE2DD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F137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AE4F8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EDA08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F39DF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C1F77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FF105" w14:textId="77777777" w:rsidR="00ED56AC" w:rsidRPr="006B66D4" w:rsidRDefault="00ED56AC" w:rsidP="006B66D4">
            <w:pPr>
              <w:widowControl w:val="0"/>
              <w:spacing w:line="360" w:lineRule="auto"/>
              <w:ind w:firstLineChars="200" w:firstLine="480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HEG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E3006" w14:textId="2A92D51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bookmarkStart w:id="5" w:name="OLE_LINK324"/>
            <w:bookmarkStart w:id="6" w:name="OLE_LINK325"/>
            <w:r w:rsidRPr="006B66D4">
              <w:rPr>
                <w:rFonts w:ascii="Book Antiqua" w:hAnsi="Book Antiqua"/>
                <w:i/>
                <w:iCs/>
                <w:color w:val="000000"/>
              </w:rPr>
              <w:t>H.</w:t>
            </w:r>
            <w:r w:rsidR="00A31275" w:rsidRPr="006B66D4">
              <w:rPr>
                <w:rFonts w:ascii="Book Antiqua" w:hAnsi="Book Antiqua"/>
                <w:i/>
                <w:iCs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iCs/>
                <w:color w:val="000000"/>
              </w:rPr>
              <w:t>pylori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bookmarkEnd w:id="5"/>
            <w:bookmarkEnd w:id="6"/>
            <w:r w:rsidRPr="006B66D4">
              <w:rPr>
                <w:rFonts w:ascii="Book Antiqua" w:hAnsi="Book Antiqua"/>
                <w:color w:val="000000"/>
              </w:rPr>
              <w:t>(-)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51C8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4A31E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 xml:space="preserve">　</w:t>
            </w:r>
          </w:p>
        </w:tc>
      </w:tr>
      <w:tr w:rsidR="00ED56AC" w:rsidRPr="006B66D4" w14:paraId="19F6FDF3" w14:textId="77777777" w:rsidTr="00ED56AC">
        <w:trPr>
          <w:gridAfter w:val="1"/>
          <w:wAfter w:w="51" w:type="dxa"/>
          <w:trHeight w:val="278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E5EB9" w14:textId="57F55982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Li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[93]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49DA0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2017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FC25C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33</w: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04F51" w14:textId="514215DC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Day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week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F8EB3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22C50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AD740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07216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5ACE8" w14:textId="3E34093F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Bacterial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diversity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increased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relative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abundance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of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iCs/>
                <w:color w:val="000000"/>
              </w:rPr>
              <w:t>Helicobacter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decreased,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while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relative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abundance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of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other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phyla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increased</w:t>
            </w:r>
          </w:p>
        </w:tc>
      </w:tr>
      <w:tr w:rsidR="00ED56AC" w:rsidRPr="006B66D4" w14:paraId="28C5B43E" w14:textId="77777777" w:rsidTr="00ED56AC">
        <w:trPr>
          <w:gridAfter w:val="1"/>
          <w:wAfter w:w="51" w:type="dxa"/>
          <w:trHeight w:val="368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91990" w14:textId="5B1525C6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Serrano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[99]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6B53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2019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029F8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16</w:t>
            </w:r>
          </w:p>
        </w:tc>
        <w:tc>
          <w:tcPr>
            <w:tcW w:w="18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C844" w14:textId="5E0D2D5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Day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month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A2E2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E8B32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EE7DE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D5F0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92B10" w14:textId="6D538EE6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Bacterial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diversity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increased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structures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of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uninfected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group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were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restored</w:t>
            </w:r>
          </w:p>
        </w:tc>
      </w:tr>
      <w:tr w:rsidR="00ED56AC" w:rsidRPr="006B66D4" w14:paraId="15E3558B" w14:textId="77777777" w:rsidTr="00ED56AC">
        <w:trPr>
          <w:gridAfter w:val="1"/>
          <w:wAfter w:w="51" w:type="dxa"/>
          <w:trHeight w:val="278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0878A" w14:textId="0F9F941B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Guo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[98]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C8AE2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6B66D4">
              <w:rPr>
                <w:rFonts w:ascii="Book Antiqua" w:hAnsi="Book Antiqua"/>
                <w:color w:val="000000"/>
              </w:rPr>
              <w:t>20</w:t>
            </w:r>
            <w:r w:rsidRPr="006B66D4">
              <w:rPr>
                <w:rFonts w:ascii="Book Antiqua" w:hAnsi="Book Antiqua"/>
                <w:color w:val="000000"/>
                <w:lang w:eastAsia="zh-CN"/>
              </w:rPr>
              <w:t>20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8BA1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164</w:t>
            </w:r>
          </w:p>
        </w:tc>
        <w:tc>
          <w:tcPr>
            <w:tcW w:w="18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81B30" w14:textId="2C380F92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Day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month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D808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76B5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DF0E6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115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F90E7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49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6D697" w14:textId="399E05AA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Bacterial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diversity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returned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to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level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of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control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group.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structure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of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bacteria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was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different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after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treatment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compared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to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control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group.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Microbiota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functional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capacities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were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changed</w:t>
            </w:r>
          </w:p>
        </w:tc>
      </w:tr>
      <w:tr w:rsidR="00ED56AC" w:rsidRPr="006B66D4" w14:paraId="561396EC" w14:textId="77777777" w:rsidTr="00ED56AC">
        <w:trPr>
          <w:gridAfter w:val="1"/>
          <w:wAfter w:w="51" w:type="dxa"/>
          <w:trHeight w:val="278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5848C" w14:textId="10605C1F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[86]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BA8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2019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30524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17</w:t>
            </w:r>
          </w:p>
        </w:tc>
        <w:tc>
          <w:tcPr>
            <w:tcW w:w="18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91B16" w14:textId="3ED72F9C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Weeks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0,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6,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26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0C8C7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32D1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E86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ACD4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03310" w14:textId="7E4C2B30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Bacterial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diversity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increased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structure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microbiota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functional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capacities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were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changed</w:t>
            </w:r>
          </w:p>
        </w:tc>
      </w:tr>
      <w:tr w:rsidR="00ED56AC" w:rsidRPr="006B66D4" w14:paraId="39B3D16C" w14:textId="77777777" w:rsidTr="00ED56AC">
        <w:trPr>
          <w:gridAfter w:val="1"/>
          <w:wAfter w:w="51" w:type="dxa"/>
          <w:trHeight w:val="278"/>
        </w:trPr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1B8B8" w14:textId="54B7E7FC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Miao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[82]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854A5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2020</w:t>
            </w: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403B3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55</w:t>
            </w:r>
          </w:p>
        </w:tc>
        <w:tc>
          <w:tcPr>
            <w:tcW w:w="1817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EC7FD" w14:textId="6D26BE38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Day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week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B0635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9FC2B" w14:textId="20B03904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1,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2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STP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BBA16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ECE3C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AB161" w14:textId="4B21C7DF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Diversity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was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similar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compared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to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control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group.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The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bacterial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structure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became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close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to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controls</w:t>
            </w:r>
          </w:p>
        </w:tc>
      </w:tr>
      <w:tr w:rsidR="00ED56AC" w:rsidRPr="006B66D4" w14:paraId="1A3C0E25" w14:textId="77777777" w:rsidTr="00ED56AC">
        <w:trPr>
          <w:gridAfter w:val="1"/>
          <w:wAfter w:w="51" w:type="dxa"/>
          <w:trHeight w:val="278"/>
        </w:trPr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5E763" w14:textId="7C897931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Sung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et</w:t>
            </w:r>
            <w:r w:rsidR="00A31275" w:rsidRPr="006B66D4">
              <w:rPr>
                <w:rFonts w:ascii="Book Antiqua" w:hAnsi="Book Antiqua"/>
                <w:i/>
                <w:noProof/>
                <w:lang w:eastAsia="zh-CN"/>
              </w:rPr>
              <w:t xml:space="preserve"> </w:t>
            </w:r>
            <w:r w:rsidRPr="006B66D4">
              <w:rPr>
                <w:rFonts w:ascii="Book Antiqua" w:hAnsi="Book Antiqua"/>
                <w:i/>
                <w:noProof/>
                <w:lang w:eastAsia="zh-CN"/>
              </w:rPr>
              <w:t>al</w:t>
            </w:r>
            <w:r w:rsidRPr="006B66D4">
              <w:rPr>
                <w:rFonts w:ascii="Book Antiqua" w:hAnsi="Book Antiqua"/>
                <w:noProof/>
                <w:vertAlign w:val="superscript"/>
                <w:lang w:eastAsia="zh-CN"/>
              </w:rPr>
              <w:t>[35]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AA1EC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2020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2B639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102</w:t>
            </w: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57A3A" w14:textId="404DFDA4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Day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0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1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year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EF4E3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57F02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641B3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102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33EED" w14:textId="7777777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NA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1EE33" w14:textId="69FDA487" w:rsidR="00ED56AC" w:rsidRPr="006B66D4" w:rsidRDefault="00ED56AC" w:rsidP="006B66D4">
            <w:pPr>
              <w:widowControl w:val="0"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6B66D4">
              <w:rPr>
                <w:rFonts w:ascii="Book Antiqua" w:hAnsi="Book Antiqua"/>
                <w:color w:val="000000"/>
              </w:rPr>
              <w:t>Bacterial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diversity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increased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and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structure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was</w:t>
            </w:r>
            <w:r w:rsidR="00A31275" w:rsidRPr="006B66D4">
              <w:rPr>
                <w:rFonts w:ascii="Book Antiqua" w:hAnsi="Book Antiqua"/>
                <w:color w:val="000000"/>
              </w:rPr>
              <w:t xml:space="preserve"> </w:t>
            </w:r>
            <w:r w:rsidRPr="006B66D4">
              <w:rPr>
                <w:rFonts w:ascii="Book Antiqua" w:hAnsi="Book Antiqua"/>
                <w:color w:val="000000"/>
              </w:rPr>
              <w:t>changed</w:t>
            </w:r>
          </w:p>
        </w:tc>
      </w:tr>
    </w:tbl>
    <w:p w14:paraId="0CF75F69" w14:textId="2ADFA785" w:rsidR="00834F9D" w:rsidRPr="006B66D4" w:rsidRDefault="00834F9D" w:rsidP="006B66D4">
      <w:pPr>
        <w:spacing w:line="360" w:lineRule="auto"/>
        <w:jc w:val="both"/>
        <w:rPr>
          <w:rFonts w:ascii="Book Antiqua" w:hAnsi="Book Antiqua"/>
          <w:lang w:eastAsia="zh-CN"/>
        </w:rPr>
      </w:pPr>
      <w:r w:rsidRPr="006B66D4">
        <w:rPr>
          <w:rFonts w:ascii="Book Antiqua" w:eastAsia="Book Antiqua" w:hAnsi="Book Antiqua" w:cs="Book Antiqua"/>
          <w:color w:val="000000"/>
        </w:rPr>
        <w:t>HEG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="006B66D4" w:rsidRPr="006B66D4">
        <w:rPr>
          <w:rFonts w:ascii="Book Antiqua" w:hAnsi="Book Antiqua"/>
          <w:i/>
          <w:iCs/>
          <w:color w:val="000000"/>
          <w:lang w:eastAsia="zh-CN"/>
        </w:rPr>
        <w:t>Helicobacter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31275" w:rsidRPr="006B66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eradication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group;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="00ED56AC" w:rsidRPr="006B66D4">
        <w:rPr>
          <w:rFonts w:ascii="Book Antiqua" w:hAnsi="Book Antiqua"/>
          <w:i/>
          <w:iCs/>
          <w:color w:val="000000"/>
        </w:rPr>
        <w:t>H.</w:t>
      </w:r>
      <w:r w:rsidR="00A31275" w:rsidRPr="006B66D4">
        <w:rPr>
          <w:rFonts w:ascii="Book Antiqua" w:hAnsi="Book Antiqua"/>
          <w:i/>
          <w:iCs/>
          <w:color w:val="000000"/>
        </w:rPr>
        <w:t xml:space="preserve"> </w:t>
      </w:r>
      <w:r w:rsidR="00ED56AC" w:rsidRPr="006B66D4">
        <w:rPr>
          <w:rFonts w:ascii="Book Antiqua" w:hAnsi="Book Antiqua"/>
          <w:i/>
          <w:iCs/>
          <w:color w:val="000000"/>
        </w:rPr>
        <w:t>pylori</w:t>
      </w:r>
      <w:r w:rsidR="00ED56AC" w:rsidRPr="006B66D4">
        <w:rPr>
          <w:rFonts w:ascii="Book Antiqua" w:hAnsi="Book Antiqua"/>
          <w:iCs/>
          <w:color w:val="000000"/>
          <w:lang w:eastAsia="zh-CN"/>
        </w:rPr>
        <w:t>:</w:t>
      </w:r>
      <w:r w:rsidR="00A31275" w:rsidRPr="006B66D4">
        <w:rPr>
          <w:rFonts w:ascii="Book Antiqua" w:hAnsi="Book Antiqua"/>
          <w:iCs/>
          <w:color w:val="000000"/>
          <w:lang w:eastAsia="zh-CN"/>
        </w:rPr>
        <w:t xml:space="preserve"> </w:t>
      </w:r>
      <w:r w:rsidR="00ED56AC" w:rsidRPr="006B66D4">
        <w:rPr>
          <w:rFonts w:ascii="Book Antiqua" w:hAnsi="Book Antiqua"/>
          <w:i/>
          <w:iCs/>
          <w:color w:val="000000"/>
          <w:lang w:eastAsia="zh-CN"/>
        </w:rPr>
        <w:t>Helicobacter</w:t>
      </w:r>
      <w:r w:rsidR="00A31275" w:rsidRPr="006B66D4">
        <w:rPr>
          <w:rFonts w:ascii="Book Antiqua" w:hAnsi="Book Antiqua"/>
          <w:i/>
          <w:iCs/>
          <w:color w:val="000000"/>
          <w:lang w:eastAsia="zh-CN"/>
        </w:rPr>
        <w:t xml:space="preserve"> </w:t>
      </w:r>
      <w:r w:rsidR="00ED56AC" w:rsidRPr="006B66D4">
        <w:rPr>
          <w:rFonts w:ascii="Book Antiqua" w:hAnsi="Book Antiqua"/>
          <w:i/>
          <w:iCs/>
          <w:color w:val="000000"/>
          <w:lang w:eastAsia="zh-CN"/>
        </w:rPr>
        <w:t>pylori</w:t>
      </w:r>
      <w:r w:rsidR="00ED56AC" w:rsidRPr="006B66D4">
        <w:rPr>
          <w:rFonts w:ascii="Book Antiqua" w:hAnsi="Book Antiqua"/>
          <w:iCs/>
          <w:color w:val="000000"/>
          <w:lang w:eastAsia="zh-CN"/>
        </w:rPr>
        <w:t>;</w:t>
      </w:r>
      <w:r w:rsidR="00A31275" w:rsidRPr="006B66D4">
        <w:rPr>
          <w:rFonts w:ascii="Book Antiqua" w:hAnsi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NA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n</w:t>
      </w:r>
      <w:r w:rsidRPr="006B66D4">
        <w:rPr>
          <w:rFonts w:ascii="Book Antiqua" w:eastAsia="Book Antiqua" w:hAnsi="Book Antiqua" w:cs="Book Antiqua"/>
          <w:color w:val="000000"/>
        </w:rPr>
        <w:t>ot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applicable;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QT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q</w:t>
      </w:r>
      <w:r w:rsidRPr="006B66D4">
        <w:rPr>
          <w:rFonts w:ascii="Book Antiqua" w:eastAsia="Book Antiqua" w:hAnsi="Book Antiqua" w:cs="Book Antiqua"/>
          <w:color w:val="000000"/>
        </w:rPr>
        <w:t>uadruple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TT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t</w:t>
      </w:r>
      <w:r w:rsidRPr="006B66D4">
        <w:rPr>
          <w:rFonts w:ascii="Book Antiqua" w:eastAsia="Book Antiqua" w:hAnsi="Book Antiqua" w:cs="Book Antiqua"/>
          <w:color w:val="000000"/>
        </w:rPr>
        <w:t>riple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therapy;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STP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:</w:t>
      </w:r>
      <w:r w:rsidR="00A31275" w:rsidRPr="006B66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6B66D4">
        <w:rPr>
          <w:rFonts w:ascii="Book Antiqua" w:eastAsia="Book Antiqua" w:hAnsi="Book Antiqua" w:cs="Book Antiqua"/>
          <w:caps/>
          <w:color w:val="000000"/>
        </w:rPr>
        <w:t>s</w:t>
      </w:r>
      <w:r w:rsidRPr="006B66D4">
        <w:rPr>
          <w:rFonts w:ascii="Book Antiqua" w:eastAsia="Book Antiqua" w:hAnsi="Book Antiqua" w:cs="Book Antiqua"/>
          <w:color w:val="000000"/>
        </w:rPr>
        <w:t>equential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therapy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with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proton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pump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inhibitor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an</w:t>
      </w:r>
      <w:bookmarkStart w:id="7" w:name="_GoBack"/>
      <w:bookmarkEnd w:id="7"/>
      <w:r w:rsidRPr="006B66D4">
        <w:rPr>
          <w:rFonts w:ascii="Book Antiqua" w:eastAsia="Book Antiqua" w:hAnsi="Book Antiqua" w:cs="Book Antiqua"/>
          <w:color w:val="000000"/>
        </w:rPr>
        <w:t>d</w:t>
      </w:r>
      <w:r w:rsidR="00A31275" w:rsidRPr="006B66D4">
        <w:rPr>
          <w:rFonts w:ascii="Book Antiqua" w:eastAsia="Book Antiqua" w:hAnsi="Book Antiqua" w:cs="Book Antiqua"/>
          <w:color w:val="000000"/>
        </w:rPr>
        <w:t xml:space="preserve"> </w:t>
      </w:r>
      <w:r w:rsidRPr="006B66D4">
        <w:rPr>
          <w:rFonts w:ascii="Book Antiqua" w:eastAsia="Book Antiqua" w:hAnsi="Book Antiqua" w:cs="Book Antiqua"/>
          <w:color w:val="000000"/>
        </w:rPr>
        <w:t>amoxicillin</w:t>
      </w:r>
      <w:r w:rsidR="00ED56AC" w:rsidRPr="006B66D4">
        <w:rPr>
          <w:rFonts w:ascii="Book Antiqua" w:hAnsi="Book Antiqua" w:cs="Book Antiqua"/>
          <w:color w:val="000000"/>
          <w:lang w:eastAsia="zh-CN"/>
        </w:rPr>
        <w:t>.</w:t>
      </w:r>
    </w:p>
    <w:sectPr w:rsidR="00834F9D" w:rsidRPr="006B66D4" w:rsidSect="00ED56AC">
      <w:pgSz w:w="16840" w:h="15842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259E" w14:textId="77777777" w:rsidR="003C1668" w:rsidRDefault="003C1668" w:rsidP="00834F9D">
      <w:r>
        <w:separator/>
      </w:r>
    </w:p>
  </w:endnote>
  <w:endnote w:type="continuationSeparator" w:id="0">
    <w:p w14:paraId="033EAB7E" w14:textId="77777777" w:rsidR="003C1668" w:rsidRDefault="003C1668" w:rsidP="008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0511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32FC3E1" w14:textId="77777777" w:rsidR="00CC4E9D" w:rsidRPr="00ED56AC" w:rsidRDefault="00CC4E9D" w:rsidP="00ED56AC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D56A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B7F0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44</w:t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D56A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DB7F0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45</w:t>
            </w:r>
            <w:r w:rsidRPr="00ED56A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38ED" w14:textId="77777777" w:rsidR="00CC4E9D" w:rsidRDefault="00CC4E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803AA" w14:textId="77777777" w:rsidR="003C1668" w:rsidRDefault="003C1668" w:rsidP="00834F9D">
      <w:r>
        <w:separator/>
      </w:r>
    </w:p>
  </w:footnote>
  <w:footnote w:type="continuationSeparator" w:id="0">
    <w:p w14:paraId="04D47A55" w14:textId="77777777" w:rsidR="003C1668" w:rsidRDefault="003C1668" w:rsidP="0083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4EA7"/>
    <w:rsid w:val="00177FAA"/>
    <w:rsid w:val="00191E2D"/>
    <w:rsid w:val="003C1668"/>
    <w:rsid w:val="00404E74"/>
    <w:rsid w:val="004E4762"/>
    <w:rsid w:val="00516753"/>
    <w:rsid w:val="006B66D4"/>
    <w:rsid w:val="00820F51"/>
    <w:rsid w:val="00834F9D"/>
    <w:rsid w:val="008F21C8"/>
    <w:rsid w:val="009201A6"/>
    <w:rsid w:val="00A31275"/>
    <w:rsid w:val="00A77B3E"/>
    <w:rsid w:val="00B0738D"/>
    <w:rsid w:val="00CA2A55"/>
    <w:rsid w:val="00CC4E9D"/>
    <w:rsid w:val="00DB7F07"/>
    <w:rsid w:val="00E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02CD9"/>
  <w15:docId w15:val="{78C8FC74-61EF-406D-ACB7-4E9F9C7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4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4F9D"/>
    <w:rPr>
      <w:sz w:val="18"/>
      <w:szCs w:val="18"/>
    </w:rPr>
  </w:style>
  <w:style w:type="paragraph" w:styleId="a4">
    <w:name w:val="footer"/>
    <w:basedOn w:val="a"/>
    <w:link w:val="Char0"/>
    <w:uiPriority w:val="99"/>
    <w:rsid w:val="00834F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4F9D"/>
    <w:rPr>
      <w:sz w:val="18"/>
      <w:szCs w:val="18"/>
    </w:rPr>
  </w:style>
  <w:style w:type="paragraph" w:styleId="a5">
    <w:name w:val="Balloon Text"/>
    <w:basedOn w:val="a"/>
    <w:link w:val="Char1"/>
    <w:rsid w:val="00834F9D"/>
    <w:rPr>
      <w:sz w:val="18"/>
      <w:szCs w:val="18"/>
    </w:rPr>
  </w:style>
  <w:style w:type="character" w:customStyle="1" w:styleId="Char1">
    <w:name w:val="批注框文本 Char"/>
    <w:basedOn w:val="a0"/>
    <w:link w:val="a5"/>
    <w:rsid w:val="00834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12450</Words>
  <Characters>70965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3</cp:revision>
  <dcterms:created xsi:type="dcterms:W3CDTF">2021-07-25T23:31:00Z</dcterms:created>
  <dcterms:modified xsi:type="dcterms:W3CDTF">2021-07-25T23:36:00Z</dcterms:modified>
</cp:coreProperties>
</file>