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25D17"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t xml:space="preserve">Name of Journal: </w:t>
      </w:r>
      <w:r w:rsidRPr="004476E8">
        <w:rPr>
          <w:rFonts w:ascii="Book Antiqua" w:eastAsia="Book Antiqua" w:hAnsi="Book Antiqua" w:cs="Book Antiqua"/>
          <w:i/>
          <w:color w:val="000000"/>
        </w:rPr>
        <w:t>World Journal of Clinical Cases</w:t>
      </w:r>
    </w:p>
    <w:p w14:paraId="6DCA1C89"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t xml:space="preserve">Manuscript NO: </w:t>
      </w:r>
      <w:r w:rsidRPr="004476E8">
        <w:rPr>
          <w:rFonts w:ascii="Book Antiqua" w:eastAsia="Book Antiqua" w:hAnsi="Book Antiqua" w:cs="Book Antiqua"/>
          <w:color w:val="000000"/>
        </w:rPr>
        <w:t>67069</w:t>
      </w:r>
    </w:p>
    <w:p w14:paraId="7DB5A429"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t xml:space="preserve">Manuscript Type: </w:t>
      </w:r>
      <w:r w:rsidRPr="004476E8">
        <w:rPr>
          <w:rFonts w:ascii="Book Antiqua" w:eastAsia="Book Antiqua" w:hAnsi="Book Antiqua" w:cs="Book Antiqua"/>
          <w:color w:val="000000"/>
        </w:rPr>
        <w:t>MINIREVIEWS</w:t>
      </w:r>
    </w:p>
    <w:p w14:paraId="3C67A46B" w14:textId="77777777" w:rsidR="00A77B3E" w:rsidRPr="004476E8" w:rsidRDefault="00A77B3E" w:rsidP="00E376EB">
      <w:pPr>
        <w:spacing w:line="360" w:lineRule="auto"/>
        <w:jc w:val="both"/>
        <w:rPr>
          <w:rFonts w:ascii="Book Antiqua" w:hAnsi="Book Antiqua"/>
        </w:rPr>
      </w:pPr>
    </w:p>
    <w:p w14:paraId="6F1B6985" w14:textId="77777777" w:rsidR="00A77B3E" w:rsidRPr="004476E8" w:rsidRDefault="002E04C2" w:rsidP="00E376EB">
      <w:pPr>
        <w:spacing w:line="360" w:lineRule="auto"/>
        <w:jc w:val="both"/>
        <w:rPr>
          <w:rFonts w:ascii="Book Antiqua" w:hAnsi="Book Antiqua"/>
        </w:rPr>
      </w:pPr>
      <w:r w:rsidRPr="004476E8">
        <w:rPr>
          <w:rFonts w:ascii="Book Antiqua" w:hAnsi="Book Antiqua" w:cs="Book Antiqua"/>
          <w:b/>
          <w:bCs/>
          <w:color w:val="000000"/>
          <w:lang w:eastAsia="zh-CN"/>
        </w:rPr>
        <w:t>P</w:t>
      </w:r>
      <w:r w:rsidRPr="004476E8">
        <w:rPr>
          <w:rFonts w:ascii="Book Antiqua" w:eastAsia="Book Antiqua" w:hAnsi="Book Antiqua" w:cs="Book Antiqua"/>
          <w:b/>
          <w:bCs/>
          <w:color w:val="000000"/>
        </w:rPr>
        <w:t>ros and cons of continuous glucose monitoring in the intensive care unit</w:t>
      </w:r>
    </w:p>
    <w:p w14:paraId="09AC0C8E" w14:textId="77777777" w:rsidR="00A77B3E" w:rsidRPr="004476E8" w:rsidRDefault="00A77B3E" w:rsidP="00E376EB">
      <w:pPr>
        <w:spacing w:line="360" w:lineRule="auto"/>
        <w:jc w:val="both"/>
        <w:rPr>
          <w:rFonts w:ascii="Book Antiqua" w:hAnsi="Book Antiqua"/>
        </w:rPr>
      </w:pPr>
    </w:p>
    <w:p w14:paraId="286A532B" w14:textId="77777777" w:rsidR="00A77B3E" w:rsidRPr="004476E8" w:rsidRDefault="00AE4D5F" w:rsidP="00E376EB">
      <w:pPr>
        <w:spacing w:line="360" w:lineRule="auto"/>
        <w:jc w:val="both"/>
        <w:rPr>
          <w:rFonts w:ascii="Book Antiqua" w:hAnsi="Book Antiqua"/>
        </w:rPr>
      </w:pPr>
      <w:r w:rsidRPr="004476E8">
        <w:rPr>
          <w:rFonts w:ascii="Book Antiqua" w:hAnsi="Book Antiqua" w:cs="Book Antiqua" w:hint="eastAsia"/>
          <w:color w:val="000000"/>
          <w:lang w:eastAsia="zh-CN"/>
        </w:rPr>
        <w:t xml:space="preserve">Sun MT </w:t>
      </w:r>
      <w:r w:rsidRPr="004476E8">
        <w:rPr>
          <w:rFonts w:ascii="Book Antiqua" w:hAnsi="Book Antiqua" w:cs="Book Antiqua" w:hint="eastAsia"/>
          <w:i/>
          <w:color w:val="000000"/>
          <w:lang w:eastAsia="zh-CN"/>
        </w:rPr>
        <w:t>et al</w:t>
      </w:r>
      <w:r w:rsidRPr="004476E8">
        <w:rPr>
          <w:rFonts w:ascii="Book Antiqua" w:hAnsi="Book Antiqua" w:cs="Book Antiqua" w:hint="eastAsia"/>
          <w:color w:val="000000"/>
          <w:lang w:eastAsia="zh-CN"/>
        </w:rPr>
        <w:t xml:space="preserve">. </w:t>
      </w:r>
      <w:r w:rsidR="00FD7F95" w:rsidRPr="004476E8">
        <w:rPr>
          <w:rFonts w:ascii="Book Antiqua" w:eastAsia="Book Antiqua" w:hAnsi="Book Antiqua" w:cs="Book Antiqua"/>
          <w:color w:val="000000"/>
        </w:rPr>
        <w:t xml:space="preserve">Continuous </w:t>
      </w:r>
      <w:r w:rsidRPr="004476E8">
        <w:rPr>
          <w:rFonts w:ascii="Book Antiqua" w:hAnsi="Book Antiqua" w:cs="Book Antiqua" w:hint="eastAsia"/>
          <w:color w:val="000000"/>
          <w:lang w:eastAsia="zh-CN"/>
        </w:rPr>
        <w:t>g</w:t>
      </w:r>
      <w:r w:rsidR="00FD7F95" w:rsidRPr="004476E8">
        <w:rPr>
          <w:rFonts w:ascii="Book Antiqua" w:eastAsia="Book Antiqua" w:hAnsi="Book Antiqua" w:cs="Book Antiqua"/>
          <w:color w:val="000000"/>
        </w:rPr>
        <w:t xml:space="preserve">lucose </w:t>
      </w:r>
      <w:r w:rsidRPr="004476E8">
        <w:rPr>
          <w:rFonts w:ascii="Book Antiqua" w:hAnsi="Book Antiqua" w:cs="Book Antiqua" w:hint="eastAsia"/>
          <w:color w:val="000000"/>
          <w:lang w:eastAsia="zh-CN"/>
        </w:rPr>
        <w:t>m</w:t>
      </w:r>
      <w:r w:rsidR="00FD7F95" w:rsidRPr="004476E8">
        <w:rPr>
          <w:rFonts w:ascii="Book Antiqua" w:eastAsia="Book Antiqua" w:hAnsi="Book Antiqua" w:cs="Book Antiqua"/>
          <w:color w:val="000000"/>
        </w:rPr>
        <w:t xml:space="preserve">onitor in </w:t>
      </w:r>
      <w:r w:rsidRPr="004476E8">
        <w:rPr>
          <w:rFonts w:ascii="Book Antiqua" w:hAnsi="Book Antiqua" w:cs="Book Antiqua" w:hint="eastAsia"/>
          <w:color w:val="000000"/>
          <w:lang w:eastAsia="zh-CN"/>
        </w:rPr>
        <w:t>c</w:t>
      </w:r>
      <w:r w:rsidR="00FD7F95" w:rsidRPr="004476E8">
        <w:rPr>
          <w:rFonts w:ascii="Book Antiqua" w:eastAsia="Book Antiqua" w:hAnsi="Book Antiqua" w:cs="Book Antiqua"/>
          <w:color w:val="000000"/>
        </w:rPr>
        <w:t xml:space="preserve">ritical </w:t>
      </w:r>
      <w:r w:rsidRPr="004476E8">
        <w:rPr>
          <w:rFonts w:ascii="Book Antiqua" w:hAnsi="Book Antiqua" w:cs="Book Antiqua" w:hint="eastAsia"/>
          <w:color w:val="000000"/>
          <w:lang w:eastAsia="zh-CN"/>
        </w:rPr>
        <w:t>c</w:t>
      </w:r>
      <w:r w:rsidR="00FD7F95" w:rsidRPr="004476E8">
        <w:rPr>
          <w:rFonts w:ascii="Book Antiqua" w:eastAsia="Book Antiqua" w:hAnsi="Book Antiqua" w:cs="Book Antiqua"/>
          <w:color w:val="000000"/>
        </w:rPr>
        <w:t>are</w:t>
      </w:r>
    </w:p>
    <w:p w14:paraId="12055936" w14:textId="77777777" w:rsidR="00A77B3E" w:rsidRPr="004476E8" w:rsidRDefault="00A77B3E" w:rsidP="00E376EB">
      <w:pPr>
        <w:spacing w:line="360" w:lineRule="auto"/>
        <w:jc w:val="both"/>
        <w:rPr>
          <w:rFonts w:ascii="Book Antiqua" w:hAnsi="Book Antiqua"/>
        </w:rPr>
      </w:pPr>
    </w:p>
    <w:p w14:paraId="723C361E"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color w:val="000000"/>
        </w:rPr>
        <w:t>Ming-Tsung Sun, I-Cheng Li, Wei-Shiang Lin, Gen-Min Lin</w:t>
      </w:r>
    </w:p>
    <w:p w14:paraId="0AF5245F" w14:textId="77777777" w:rsidR="00A77B3E" w:rsidRPr="004476E8" w:rsidRDefault="00A77B3E" w:rsidP="00E376EB">
      <w:pPr>
        <w:spacing w:line="360" w:lineRule="auto"/>
        <w:jc w:val="both"/>
        <w:rPr>
          <w:rFonts w:ascii="Book Antiqua" w:hAnsi="Book Antiqua"/>
        </w:rPr>
      </w:pPr>
    </w:p>
    <w:p w14:paraId="79811392" w14:textId="361F94C1" w:rsidR="00A77B3E" w:rsidRPr="004476E8" w:rsidRDefault="00AE4D5F" w:rsidP="00E376EB">
      <w:pPr>
        <w:spacing w:line="360" w:lineRule="auto"/>
        <w:jc w:val="both"/>
        <w:rPr>
          <w:rFonts w:ascii="Book Antiqua" w:hAnsi="Book Antiqua"/>
        </w:rPr>
      </w:pPr>
      <w:r w:rsidRPr="004476E8">
        <w:rPr>
          <w:rFonts w:ascii="Book Antiqua" w:eastAsia="Book Antiqua" w:hAnsi="Book Antiqua" w:cs="Book Antiqua"/>
          <w:b/>
          <w:bCs/>
          <w:color w:val="000000"/>
        </w:rPr>
        <w:t xml:space="preserve">Ming-Tsung Sun, </w:t>
      </w:r>
      <w:r w:rsidR="00FD7F95" w:rsidRPr="004476E8">
        <w:rPr>
          <w:rFonts w:ascii="Book Antiqua" w:eastAsia="Book Antiqua" w:hAnsi="Book Antiqua" w:cs="Book Antiqua"/>
          <w:b/>
          <w:bCs/>
          <w:color w:val="000000"/>
        </w:rPr>
        <w:t xml:space="preserve">I-Cheng Li, </w:t>
      </w:r>
      <w:r w:rsidRPr="004476E8">
        <w:rPr>
          <w:rFonts w:ascii="Book Antiqua" w:eastAsia="Book Antiqua" w:hAnsi="Book Antiqua" w:cs="Book Antiqua"/>
          <w:b/>
          <w:bCs/>
          <w:color w:val="000000"/>
        </w:rPr>
        <w:t xml:space="preserve">Gen-Min Lin, </w:t>
      </w:r>
      <w:bookmarkStart w:id="0" w:name="OLE_LINK7"/>
      <w:r w:rsidR="00621AFE" w:rsidRPr="004476E8">
        <w:rPr>
          <w:rFonts w:ascii="Book Antiqua" w:eastAsia="Book Antiqua" w:hAnsi="Book Antiqua" w:cs="Book Antiqua"/>
          <w:color w:val="000000"/>
        </w:rPr>
        <w:t>Department of</w:t>
      </w:r>
      <w:bookmarkEnd w:id="0"/>
      <w:r w:rsidR="00621AFE" w:rsidRPr="004476E8">
        <w:rPr>
          <w:rFonts w:ascii="Book Antiqua" w:eastAsia="Book Antiqua" w:hAnsi="Book Antiqua" w:cs="Book Antiqua"/>
          <w:b/>
          <w:bCs/>
          <w:color w:val="000000"/>
        </w:rPr>
        <w:t xml:space="preserve"> </w:t>
      </w:r>
      <w:r w:rsidR="00FD7F95" w:rsidRPr="004476E8">
        <w:rPr>
          <w:rFonts w:ascii="Book Antiqua" w:eastAsia="Book Antiqua" w:hAnsi="Book Antiqua" w:cs="Book Antiqua"/>
          <w:color w:val="000000"/>
        </w:rPr>
        <w:t>Medicine, Hualien Armed Forces General Hospital, Hualien 971, Taiwan</w:t>
      </w:r>
    </w:p>
    <w:p w14:paraId="67D8B7AE" w14:textId="77777777" w:rsidR="00A77B3E" w:rsidRPr="004476E8" w:rsidRDefault="00A77B3E" w:rsidP="00E376EB">
      <w:pPr>
        <w:spacing w:line="360" w:lineRule="auto"/>
        <w:jc w:val="both"/>
        <w:rPr>
          <w:rFonts w:ascii="Book Antiqua" w:hAnsi="Book Antiqua"/>
        </w:rPr>
      </w:pPr>
    </w:p>
    <w:p w14:paraId="000B80EE" w14:textId="263C383B"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bCs/>
          <w:color w:val="000000"/>
        </w:rPr>
        <w:t xml:space="preserve">Wei-Shiang Lin, </w:t>
      </w:r>
      <w:r w:rsidR="00621AFE" w:rsidRPr="004476E8">
        <w:rPr>
          <w:rFonts w:ascii="Book Antiqua" w:eastAsia="Book Antiqua" w:hAnsi="Book Antiqua" w:cs="Book Antiqua"/>
          <w:color w:val="000000"/>
        </w:rPr>
        <w:t xml:space="preserve">Department of </w:t>
      </w:r>
      <w:r w:rsidRPr="004476E8">
        <w:rPr>
          <w:rFonts w:ascii="Book Antiqua" w:eastAsia="Book Antiqua" w:hAnsi="Book Antiqua" w:cs="Book Antiqua"/>
          <w:color w:val="000000"/>
        </w:rPr>
        <w:t>Medicine, Tri-Service General Hospital, Taipei 114, Taiwan</w:t>
      </w:r>
    </w:p>
    <w:p w14:paraId="545DE175" w14:textId="77777777" w:rsidR="00A77B3E" w:rsidRPr="004476E8" w:rsidRDefault="00A77B3E" w:rsidP="00E376EB">
      <w:pPr>
        <w:spacing w:line="360" w:lineRule="auto"/>
        <w:jc w:val="both"/>
        <w:rPr>
          <w:rFonts w:ascii="Book Antiqua" w:hAnsi="Book Antiqua"/>
        </w:rPr>
      </w:pPr>
    </w:p>
    <w:p w14:paraId="309F2BC9"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bCs/>
          <w:color w:val="000000"/>
        </w:rPr>
        <w:t xml:space="preserve">Author contributions: </w:t>
      </w:r>
      <w:r w:rsidRPr="004476E8">
        <w:rPr>
          <w:rFonts w:ascii="Book Antiqua" w:eastAsia="Book Antiqua" w:hAnsi="Book Antiqua" w:cs="Book Antiqua"/>
          <w:color w:val="000000"/>
        </w:rPr>
        <w:t>Sun MT wrote and drafted the article; Li IC and Lin WS</w:t>
      </w:r>
      <w:r w:rsidRPr="004476E8">
        <w:rPr>
          <w:rFonts w:ascii="Book Antiqua" w:eastAsia="Book Antiqua" w:hAnsi="Book Antiqua" w:cs="Book Antiqua"/>
          <w:b/>
          <w:bCs/>
          <w:color w:val="000000"/>
        </w:rPr>
        <w:t xml:space="preserve"> </w:t>
      </w:r>
      <w:r w:rsidRPr="004476E8">
        <w:rPr>
          <w:rFonts w:ascii="Book Antiqua" w:eastAsia="Book Antiqua" w:hAnsi="Book Antiqua" w:cs="Book Antiqua"/>
          <w:color w:val="000000"/>
        </w:rPr>
        <w:t>made critical revisions related to important intellectual content of the article; Lin GM contributed to conception the study; all authors provided approval of the final version of the article to be published.</w:t>
      </w:r>
    </w:p>
    <w:p w14:paraId="655F7CCF" w14:textId="77777777" w:rsidR="00A77B3E" w:rsidRPr="004476E8" w:rsidRDefault="00A77B3E" w:rsidP="00E376EB">
      <w:pPr>
        <w:spacing w:line="360" w:lineRule="auto"/>
        <w:jc w:val="both"/>
        <w:rPr>
          <w:rFonts w:ascii="Book Antiqua" w:hAnsi="Book Antiqua"/>
        </w:rPr>
      </w:pPr>
    </w:p>
    <w:p w14:paraId="1B43F348" w14:textId="69C257EC"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bCs/>
          <w:color w:val="000000"/>
        </w:rPr>
        <w:t xml:space="preserve">Corresponding author: Gen-Min Lin, FAHA, MD, PhD, Adjunct Professor, Chief Doctor, </w:t>
      </w:r>
      <w:r w:rsidR="00621AFE" w:rsidRPr="004476E8">
        <w:rPr>
          <w:rFonts w:ascii="Book Antiqua" w:eastAsia="Book Antiqua" w:hAnsi="Book Antiqua" w:cs="Book Antiqua"/>
          <w:color w:val="000000"/>
        </w:rPr>
        <w:t xml:space="preserve">Department of </w:t>
      </w:r>
      <w:r w:rsidRPr="004476E8">
        <w:rPr>
          <w:rFonts w:ascii="Book Antiqua" w:eastAsia="Book Antiqua" w:hAnsi="Book Antiqua" w:cs="Book Antiqua"/>
          <w:color w:val="000000"/>
        </w:rPr>
        <w:t>Medicine, Hualien Armed Forces General Hospital, No. 100</w:t>
      </w:r>
      <w:r w:rsidR="00AE4D5F" w:rsidRPr="004476E8">
        <w:rPr>
          <w:rFonts w:ascii="Book Antiqua" w:hAnsi="Book Antiqua" w:cs="Book Antiqua" w:hint="eastAsia"/>
          <w:color w:val="000000"/>
          <w:lang w:eastAsia="zh-CN"/>
        </w:rPr>
        <w:t xml:space="preserve"> </w:t>
      </w:r>
      <w:r w:rsidRPr="004476E8">
        <w:rPr>
          <w:rFonts w:ascii="Book Antiqua" w:eastAsia="Book Antiqua" w:hAnsi="Book Antiqua" w:cs="Book Antiqua"/>
          <w:color w:val="000000"/>
        </w:rPr>
        <w:t>Jinfeng St</w:t>
      </w:r>
      <w:r w:rsidR="00AE4D5F" w:rsidRPr="004476E8">
        <w:rPr>
          <w:rFonts w:ascii="Book Antiqua" w:hAnsi="Book Antiqua" w:cs="Book Antiqua" w:hint="eastAsia"/>
          <w:color w:val="000000"/>
          <w:lang w:eastAsia="zh-CN"/>
        </w:rPr>
        <w:t>reet</w:t>
      </w:r>
      <w:r w:rsidRPr="004476E8">
        <w:rPr>
          <w:rFonts w:ascii="Book Antiqua" w:eastAsia="Book Antiqua" w:hAnsi="Book Antiqua" w:cs="Book Antiqua"/>
          <w:color w:val="000000"/>
        </w:rPr>
        <w:t xml:space="preserve">, </w:t>
      </w:r>
      <w:r w:rsidR="00AE4D5F" w:rsidRPr="004476E8">
        <w:rPr>
          <w:rFonts w:ascii="Book Antiqua" w:eastAsia="Book Antiqua" w:hAnsi="Book Antiqua" w:cs="Book Antiqua"/>
          <w:color w:val="000000"/>
        </w:rPr>
        <w:t>Hualien 971, Taiwan</w:t>
      </w:r>
      <w:r w:rsidRPr="004476E8">
        <w:rPr>
          <w:rFonts w:ascii="Book Antiqua" w:eastAsia="Book Antiqua" w:hAnsi="Book Antiqua" w:cs="Book Antiqua"/>
          <w:color w:val="000000"/>
        </w:rPr>
        <w:t>. farmer507@yahoo.com.tw</w:t>
      </w:r>
    </w:p>
    <w:p w14:paraId="18D8E215" w14:textId="77777777" w:rsidR="00A77B3E" w:rsidRPr="004476E8" w:rsidRDefault="00A77B3E" w:rsidP="00E376EB">
      <w:pPr>
        <w:spacing w:line="360" w:lineRule="auto"/>
        <w:jc w:val="both"/>
        <w:rPr>
          <w:rFonts w:ascii="Book Antiqua" w:hAnsi="Book Antiqua"/>
        </w:rPr>
      </w:pPr>
    </w:p>
    <w:p w14:paraId="5365F9B3"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bCs/>
          <w:color w:val="000000"/>
        </w:rPr>
        <w:t xml:space="preserve">Received: </w:t>
      </w:r>
      <w:r w:rsidRPr="004476E8">
        <w:rPr>
          <w:rFonts w:ascii="Book Antiqua" w:eastAsia="Book Antiqua" w:hAnsi="Book Antiqua" w:cs="Book Antiqua"/>
          <w:color w:val="000000"/>
        </w:rPr>
        <w:t>April 14, 2021</w:t>
      </w:r>
    </w:p>
    <w:p w14:paraId="0A29191A" w14:textId="77777777" w:rsidR="00A77B3E" w:rsidRPr="004476E8" w:rsidRDefault="00FD7F95" w:rsidP="00E376EB">
      <w:pPr>
        <w:spacing w:line="360" w:lineRule="auto"/>
        <w:jc w:val="both"/>
        <w:rPr>
          <w:rFonts w:ascii="Book Antiqua" w:hAnsi="Book Antiqua"/>
          <w:lang w:eastAsia="zh-CN"/>
        </w:rPr>
      </w:pPr>
      <w:r w:rsidRPr="004476E8">
        <w:rPr>
          <w:rFonts w:ascii="Book Antiqua" w:eastAsia="Book Antiqua" w:hAnsi="Book Antiqua" w:cs="Book Antiqua"/>
          <w:b/>
          <w:bCs/>
          <w:color w:val="000000"/>
        </w:rPr>
        <w:t>Revised:</w:t>
      </w:r>
      <w:r w:rsidRPr="004476E8">
        <w:rPr>
          <w:rFonts w:ascii="Book Antiqua" w:eastAsia="Book Antiqua" w:hAnsi="Book Antiqua" w:cs="Book Antiqua"/>
          <w:bCs/>
          <w:color w:val="000000"/>
        </w:rPr>
        <w:t xml:space="preserve"> </w:t>
      </w:r>
      <w:r w:rsidR="00D83BC0" w:rsidRPr="004476E8">
        <w:rPr>
          <w:rFonts w:ascii="Book Antiqua" w:hAnsi="Book Antiqua" w:cs="Book Antiqua" w:hint="eastAsia"/>
          <w:bCs/>
          <w:color w:val="000000"/>
          <w:lang w:eastAsia="zh-CN"/>
        </w:rPr>
        <w:t>June 19, 2021</w:t>
      </w:r>
    </w:p>
    <w:p w14:paraId="65B4C273" w14:textId="6BA29606"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bCs/>
          <w:color w:val="000000"/>
        </w:rPr>
        <w:t xml:space="preserve">Accepted: </w:t>
      </w:r>
      <w:bookmarkStart w:id="1" w:name="OLE_LINK15"/>
      <w:bookmarkStart w:id="2" w:name="OLE_LINK33"/>
      <w:bookmarkStart w:id="3" w:name="OLE_LINK48"/>
      <w:r w:rsidR="00621AFE" w:rsidRPr="004476E8">
        <w:rPr>
          <w:rFonts w:ascii="Book Antiqua" w:eastAsia="宋体" w:hAnsi="Book Antiqua" w:hint="eastAsia"/>
          <w:color w:val="000000" w:themeColor="text1"/>
        </w:rPr>
        <w:t>Au</w:t>
      </w:r>
      <w:r w:rsidR="00621AFE" w:rsidRPr="004476E8">
        <w:rPr>
          <w:rFonts w:ascii="Book Antiqua" w:eastAsia="宋体" w:hAnsi="Book Antiqua"/>
          <w:color w:val="000000" w:themeColor="text1"/>
        </w:rPr>
        <w:t>gust 30, 2021</w:t>
      </w:r>
      <w:bookmarkEnd w:id="1"/>
      <w:bookmarkEnd w:id="2"/>
      <w:bookmarkEnd w:id="3"/>
    </w:p>
    <w:p w14:paraId="6294A4F8" w14:textId="0B2114FF"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bCs/>
          <w:color w:val="000000"/>
        </w:rPr>
        <w:t xml:space="preserve">Published online: </w:t>
      </w:r>
      <w:r w:rsidR="003F5887" w:rsidRPr="004476E8">
        <w:rPr>
          <w:rFonts w:ascii="Book Antiqua" w:hAnsi="Book Antiqua"/>
          <w:color w:val="000000"/>
          <w:shd w:val="clear" w:color="auto" w:fill="FFFFFF"/>
        </w:rPr>
        <w:t>October 16</w:t>
      </w:r>
      <w:r w:rsidR="003F5887" w:rsidRPr="004476E8">
        <w:rPr>
          <w:rFonts w:ascii="Book Antiqua" w:hAnsi="Book Antiqua" w:hint="eastAsia"/>
          <w:color w:val="000000"/>
          <w:shd w:val="clear" w:color="auto" w:fill="FFFFFF"/>
          <w:lang w:eastAsia="zh-CN"/>
        </w:rPr>
        <w:t>, 2021</w:t>
      </w:r>
    </w:p>
    <w:p w14:paraId="7B89AD36" w14:textId="77777777" w:rsidR="00A77B3E" w:rsidRPr="004476E8" w:rsidRDefault="00A77B3E" w:rsidP="00E376EB">
      <w:pPr>
        <w:spacing w:line="360" w:lineRule="auto"/>
        <w:jc w:val="both"/>
        <w:rPr>
          <w:rFonts w:ascii="Book Antiqua" w:hAnsi="Book Antiqua"/>
        </w:rPr>
        <w:sectPr w:rsidR="00A77B3E" w:rsidRPr="004476E8">
          <w:footerReference w:type="default" r:id="rId6"/>
          <w:pgSz w:w="12240" w:h="15840"/>
          <w:pgMar w:top="1440" w:right="1440" w:bottom="1440" w:left="1440" w:header="720" w:footer="720" w:gutter="0"/>
          <w:cols w:space="720"/>
          <w:docGrid w:linePitch="360"/>
        </w:sectPr>
      </w:pPr>
    </w:p>
    <w:p w14:paraId="6BC6D8C4"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lastRenderedPageBreak/>
        <w:t>Abstract</w:t>
      </w:r>
    </w:p>
    <w:p w14:paraId="4676C3A0"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color w:val="000000"/>
        </w:rPr>
        <w:t>Diabetes mellitus affects people worldwide, and management of its acute complications or treatment-related adverse events is particularly important in critically ill patients. Previous reports have confirmed that hyperglycemia can increase the risk of mortality in patients cared in the intensive care unit (ICU). In addition, severe and multiple hypoglycemia increases the risk of mortality when using insulin or intensive antidiabetic therapy. The innovation of continuous glucose monitoring (CGM) may help to alert medical caregivers with regard to the development of hyperglycemia and hypoglycemia, which may decrease the potential complications in patients in the ICU. The major limitation of CGM is the measurement of interstitial glucose levels rather than real-time blood glucose levels; thus, there will be a delay in the treatment of hyperglycemia and hypoglycemia in patients. Recently, the European Union approved a state-of-art artificial intelligence directed loop system coordinated by CGM and a continuous insulin pump for diabetes control, which may provide a practical way to prevent acute adverse glycemic events related to antidiabetic therapy in critically ill patients. In this mini-review paper, we describe the application of CGM to patients in the ICU and summarize the pros and cons of CGM.</w:t>
      </w:r>
    </w:p>
    <w:p w14:paraId="553BA4AB" w14:textId="77777777" w:rsidR="00A77B3E" w:rsidRPr="004476E8" w:rsidRDefault="00A77B3E" w:rsidP="00E376EB">
      <w:pPr>
        <w:spacing w:line="360" w:lineRule="auto"/>
        <w:jc w:val="both"/>
        <w:rPr>
          <w:rFonts w:ascii="Book Antiqua" w:hAnsi="Book Antiqua"/>
        </w:rPr>
      </w:pPr>
    </w:p>
    <w:p w14:paraId="6C292243" w14:textId="77777777" w:rsidR="00A77B3E" w:rsidRPr="004476E8" w:rsidRDefault="00FD7F95" w:rsidP="00E376EB">
      <w:pPr>
        <w:spacing w:line="360" w:lineRule="auto"/>
        <w:jc w:val="both"/>
        <w:rPr>
          <w:rFonts w:ascii="Book Antiqua" w:hAnsi="Book Antiqua"/>
          <w:lang w:eastAsia="zh-CN"/>
        </w:rPr>
      </w:pPr>
      <w:r w:rsidRPr="004476E8">
        <w:rPr>
          <w:rFonts w:ascii="Book Antiqua" w:eastAsia="Book Antiqua" w:hAnsi="Book Antiqua" w:cs="Book Antiqua"/>
          <w:b/>
          <w:bCs/>
          <w:color w:val="000000"/>
        </w:rPr>
        <w:t xml:space="preserve">Key Words: </w:t>
      </w:r>
      <w:r w:rsidR="00502BEC" w:rsidRPr="004476E8">
        <w:rPr>
          <w:rFonts w:ascii="Book Antiqua" w:hAnsi="Book Antiqua" w:cs="Book Antiqua" w:hint="eastAsia"/>
          <w:color w:val="000000"/>
          <w:lang w:eastAsia="zh-CN"/>
        </w:rPr>
        <w:t>C</w:t>
      </w:r>
      <w:r w:rsidRPr="004476E8">
        <w:rPr>
          <w:rFonts w:ascii="Book Antiqua" w:eastAsia="Book Antiqua" w:hAnsi="Book Antiqua" w:cs="Book Antiqua"/>
          <w:color w:val="000000"/>
        </w:rPr>
        <w:t xml:space="preserve">ontinuous glucose monitor; </w:t>
      </w:r>
      <w:r w:rsidR="00502BEC" w:rsidRPr="004476E8">
        <w:rPr>
          <w:rFonts w:ascii="Book Antiqua" w:hAnsi="Book Antiqua" w:cs="Book Antiqua" w:hint="eastAsia"/>
          <w:color w:val="000000"/>
          <w:lang w:eastAsia="zh-CN"/>
        </w:rPr>
        <w:t>D</w:t>
      </w:r>
      <w:r w:rsidRPr="004476E8">
        <w:rPr>
          <w:rFonts w:ascii="Book Antiqua" w:eastAsia="Book Antiqua" w:hAnsi="Book Antiqua" w:cs="Book Antiqua"/>
          <w:color w:val="000000"/>
        </w:rPr>
        <w:t xml:space="preserve">iabetes; </w:t>
      </w:r>
      <w:r w:rsidR="00502BEC" w:rsidRPr="004476E8">
        <w:rPr>
          <w:rFonts w:ascii="Book Antiqua" w:hAnsi="Book Antiqua" w:cs="Book Antiqua" w:hint="eastAsia"/>
          <w:color w:val="000000"/>
          <w:lang w:eastAsia="zh-CN"/>
        </w:rPr>
        <w:t>I</w:t>
      </w:r>
      <w:r w:rsidRPr="004476E8">
        <w:rPr>
          <w:rFonts w:ascii="Book Antiqua" w:eastAsia="Book Antiqua" w:hAnsi="Book Antiqua" w:cs="Book Antiqua"/>
          <w:color w:val="000000"/>
        </w:rPr>
        <w:t xml:space="preserve">nsulin; </w:t>
      </w:r>
      <w:r w:rsidR="00502BEC" w:rsidRPr="004476E8">
        <w:rPr>
          <w:rFonts w:ascii="Book Antiqua" w:hAnsi="Book Antiqua" w:cs="Book Antiqua" w:hint="eastAsia"/>
          <w:color w:val="000000"/>
          <w:lang w:eastAsia="zh-CN"/>
        </w:rPr>
        <w:t>I</w:t>
      </w:r>
      <w:r w:rsidRPr="004476E8">
        <w:rPr>
          <w:rFonts w:ascii="Book Antiqua" w:eastAsia="Book Antiqua" w:hAnsi="Book Antiqua" w:cs="Book Antiqua"/>
          <w:color w:val="000000"/>
        </w:rPr>
        <w:t>ntensive care unit</w:t>
      </w:r>
      <w:r w:rsidR="00502BEC" w:rsidRPr="004476E8">
        <w:rPr>
          <w:rFonts w:ascii="Book Antiqua" w:hAnsi="Book Antiqua" w:cs="Book Antiqua" w:hint="eastAsia"/>
          <w:color w:val="000000"/>
          <w:lang w:eastAsia="zh-CN"/>
        </w:rPr>
        <w:t>; H</w:t>
      </w:r>
      <w:r w:rsidR="00502BEC" w:rsidRPr="004476E8">
        <w:rPr>
          <w:rFonts w:ascii="Book Antiqua" w:hAnsi="Book Antiqua" w:cs="Book Antiqua"/>
          <w:color w:val="000000"/>
          <w:lang w:eastAsia="zh-CN"/>
        </w:rPr>
        <w:t>ypoglycemia</w:t>
      </w:r>
    </w:p>
    <w:p w14:paraId="7CD776FB" w14:textId="77777777" w:rsidR="00DD7077" w:rsidRPr="004476E8" w:rsidRDefault="00DD7077" w:rsidP="00DD7077">
      <w:pPr>
        <w:spacing w:line="360" w:lineRule="auto"/>
        <w:jc w:val="both"/>
        <w:rPr>
          <w:lang w:eastAsia="zh-CN"/>
        </w:rPr>
      </w:pPr>
    </w:p>
    <w:p w14:paraId="70FC7E15" w14:textId="77777777" w:rsidR="00DD7077" w:rsidRPr="004476E8" w:rsidRDefault="00DD7077" w:rsidP="00DD7077">
      <w:pPr>
        <w:spacing w:line="360" w:lineRule="auto"/>
        <w:jc w:val="both"/>
        <w:rPr>
          <w:rFonts w:ascii="Book Antiqua" w:eastAsia="Book Antiqua" w:hAnsi="Book Antiqua" w:cs="Book Antiqua"/>
          <w:color w:val="000000"/>
        </w:rPr>
      </w:pPr>
      <w:r w:rsidRPr="004476E8">
        <w:rPr>
          <w:rFonts w:ascii="Book Antiqua" w:eastAsia="Book Antiqua" w:hAnsi="Book Antiqua" w:cs="Book Antiqua" w:hint="eastAsia"/>
          <w:b/>
          <w:color w:val="000000"/>
        </w:rPr>
        <w:t>©</w:t>
      </w:r>
      <w:r w:rsidRPr="004476E8">
        <w:rPr>
          <w:rFonts w:ascii="Book Antiqua" w:eastAsia="Book Antiqua" w:hAnsi="Book Antiqua" w:cs="Book Antiqua"/>
          <w:b/>
          <w:color w:val="000000"/>
        </w:rPr>
        <w:t>The</w:t>
      </w:r>
      <w:r w:rsidRPr="004476E8">
        <w:rPr>
          <w:rFonts w:ascii="Book Antiqua" w:eastAsia="Book Antiqua" w:hAnsi="Book Antiqua" w:cs="Book Antiqua"/>
          <w:color w:val="000000"/>
        </w:rPr>
        <w:t xml:space="preserve"> </w:t>
      </w:r>
      <w:r w:rsidRPr="004476E8">
        <w:rPr>
          <w:rFonts w:ascii="Book Antiqua" w:eastAsia="Book Antiqua" w:hAnsi="Book Antiqua" w:cs="Book Antiqua"/>
          <w:b/>
          <w:color w:val="000000"/>
        </w:rPr>
        <w:t xml:space="preserve">Author(s) 2021. </w:t>
      </w:r>
      <w:r w:rsidRPr="004476E8">
        <w:rPr>
          <w:rFonts w:ascii="Book Antiqua" w:eastAsia="Book Antiqua" w:hAnsi="Book Antiqua" w:cs="Book Antiqua"/>
          <w:color w:val="000000"/>
        </w:rPr>
        <w:t xml:space="preserve">Published by Baishideng Publishing Group Inc. All rights reserved. </w:t>
      </w:r>
    </w:p>
    <w:p w14:paraId="217DD20F" w14:textId="77777777" w:rsidR="00DD7077" w:rsidRPr="004476E8" w:rsidRDefault="00DD7077" w:rsidP="00DD7077">
      <w:pPr>
        <w:spacing w:line="360" w:lineRule="auto"/>
        <w:jc w:val="both"/>
        <w:rPr>
          <w:lang w:eastAsia="zh-CN"/>
        </w:rPr>
      </w:pPr>
    </w:p>
    <w:p w14:paraId="515B7AF4" w14:textId="7AE1A89A" w:rsidR="002C65A9" w:rsidRDefault="00DD7077" w:rsidP="00DD7077">
      <w:pPr>
        <w:spacing w:line="360" w:lineRule="auto"/>
        <w:jc w:val="both"/>
        <w:rPr>
          <w:rFonts w:ascii="Book Antiqua" w:eastAsia="Book Antiqua" w:hAnsi="Book Antiqua" w:cs="Book Antiqua"/>
          <w:color w:val="000000"/>
        </w:rPr>
      </w:pPr>
      <w:r w:rsidRPr="004476E8">
        <w:rPr>
          <w:rFonts w:ascii="Book Antiqua" w:hAnsi="Book Antiqua" w:cs="Book Antiqua" w:hint="eastAsia"/>
          <w:b/>
          <w:color w:val="000000"/>
          <w:lang w:eastAsia="zh-CN"/>
        </w:rPr>
        <w:t>Citation:</w:t>
      </w:r>
      <w:r w:rsidRPr="004476E8">
        <w:rPr>
          <w:rFonts w:ascii="Book Antiqua" w:hAnsi="Book Antiqua" w:cs="Book Antiqua" w:hint="eastAsia"/>
          <w:color w:val="000000"/>
          <w:lang w:eastAsia="zh-CN"/>
        </w:rPr>
        <w:t xml:space="preserve"> </w:t>
      </w:r>
      <w:r w:rsidR="00FD7F95" w:rsidRPr="004476E8">
        <w:rPr>
          <w:rFonts w:ascii="Book Antiqua" w:eastAsia="Book Antiqua" w:hAnsi="Book Antiqua" w:cs="Book Antiqua"/>
          <w:color w:val="000000"/>
        </w:rPr>
        <w:t xml:space="preserve">Sun MT, Li IC, Lin WS, Lin GM. </w:t>
      </w:r>
      <w:r w:rsidR="00AE4D5F" w:rsidRPr="004476E8">
        <w:rPr>
          <w:rFonts w:ascii="Book Antiqua" w:eastAsia="Book Antiqua" w:hAnsi="Book Antiqua" w:cs="Book Antiqua"/>
          <w:color w:val="000000"/>
        </w:rPr>
        <w:t>Pros and cons of continuous glucose monitoring in the intensive care unit</w:t>
      </w:r>
      <w:r w:rsidR="00FD7F95" w:rsidRPr="004476E8">
        <w:rPr>
          <w:rFonts w:ascii="Book Antiqua" w:eastAsia="Book Antiqua" w:hAnsi="Book Antiqua" w:cs="Book Antiqua"/>
          <w:color w:val="000000"/>
        </w:rPr>
        <w:t xml:space="preserve">. </w:t>
      </w:r>
      <w:r w:rsidR="00FD7F95" w:rsidRPr="004476E8">
        <w:rPr>
          <w:rFonts w:ascii="Book Antiqua" w:eastAsia="Book Antiqua" w:hAnsi="Book Antiqua" w:cs="Book Antiqua"/>
          <w:i/>
          <w:iCs/>
          <w:color w:val="000000"/>
        </w:rPr>
        <w:t>World J Clin Cases</w:t>
      </w:r>
      <w:r w:rsidR="00FD7F95" w:rsidRPr="004476E8">
        <w:rPr>
          <w:rFonts w:ascii="Book Antiqua" w:eastAsia="Book Antiqua" w:hAnsi="Book Antiqua" w:cs="Book Antiqua"/>
          <w:color w:val="000000"/>
        </w:rPr>
        <w:t xml:space="preserve"> 2021; </w:t>
      </w:r>
      <w:r w:rsidR="003F5887" w:rsidRPr="004476E8">
        <w:rPr>
          <w:rFonts w:ascii="Book Antiqua" w:eastAsia="Book Antiqua" w:hAnsi="Book Antiqua" w:cs="Book Antiqua"/>
          <w:color w:val="000000"/>
        </w:rPr>
        <w:t xml:space="preserve">9(29): </w:t>
      </w:r>
      <w:r w:rsidR="002C65A9" w:rsidRPr="002C65A9">
        <w:rPr>
          <w:rFonts w:ascii="Book Antiqua" w:eastAsia="Book Antiqua" w:hAnsi="Book Antiqua" w:cs="Book Antiqua"/>
          <w:color w:val="000000"/>
        </w:rPr>
        <w:t>8666-8670</w:t>
      </w:r>
    </w:p>
    <w:p w14:paraId="444E6E5A" w14:textId="7DA0C35F" w:rsidR="002C65A9" w:rsidRDefault="003F5887" w:rsidP="00DD7077">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URL: https://www.wjgnet.com/2307-8960/full/v9/i29/</w:t>
      </w:r>
      <w:r w:rsidR="002C65A9" w:rsidRPr="002C65A9">
        <w:rPr>
          <w:rFonts w:ascii="Book Antiqua" w:eastAsia="Book Antiqua" w:hAnsi="Book Antiqua" w:cs="Book Antiqua"/>
          <w:color w:val="000000"/>
        </w:rPr>
        <w:t>8666</w:t>
      </w:r>
      <w:r w:rsidRPr="004476E8">
        <w:rPr>
          <w:rFonts w:ascii="Book Antiqua" w:eastAsia="Book Antiqua" w:hAnsi="Book Antiqua" w:cs="Book Antiqua"/>
          <w:color w:val="000000"/>
        </w:rPr>
        <w:t xml:space="preserve">.htm </w:t>
      </w:r>
    </w:p>
    <w:p w14:paraId="06733979" w14:textId="54DC94DB" w:rsidR="00A77B3E" w:rsidRPr="004476E8" w:rsidRDefault="003F5887" w:rsidP="00DD7077">
      <w:pPr>
        <w:spacing w:line="360" w:lineRule="auto"/>
        <w:jc w:val="both"/>
        <w:rPr>
          <w:rFonts w:ascii="Book Antiqua" w:hAnsi="Book Antiqua"/>
        </w:rPr>
      </w:pPr>
      <w:r w:rsidRPr="004476E8">
        <w:rPr>
          <w:rFonts w:ascii="Book Antiqua" w:eastAsia="Book Antiqua" w:hAnsi="Book Antiqua" w:cs="Book Antiqua"/>
          <w:color w:val="000000"/>
        </w:rPr>
        <w:t>DOI: https://dx.doi.org/10.12998/wjcc.v9.i29.</w:t>
      </w:r>
      <w:r w:rsidR="002C65A9" w:rsidRPr="002C65A9">
        <w:rPr>
          <w:rFonts w:ascii="Book Antiqua" w:eastAsia="Book Antiqua" w:hAnsi="Book Antiqua" w:cs="Book Antiqua"/>
          <w:color w:val="000000"/>
        </w:rPr>
        <w:t>8666</w:t>
      </w:r>
    </w:p>
    <w:p w14:paraId="0D70783B" w14:textId="77777777" w:rsidR="00A77B3E" w:rsidRPr="004476E8" w:rsidRDefault="00A77B3E" w:rsidP="00E376EB">
      <w:pPr>
        <w:spacing w:line="360" w:lineRule="auto"/>
        <w:jc w:val="both"/>
        <w:rPr>
          <w:rFonts w:ascii="Book Antiqua" w:hAnsi="Book Antiqua"/>
        </w:rPr>
      </w:pPr>
    </w:p>
    <w:p w14:paraId="2EC120EC"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bCs/>
          <w:color w:val="000000"/>
        </w:rPr>
        <w:lastRenderedPageBreak/>
        <w:t xml:space="preserve">Core Tip: </w:t>
      </w:r>
      <w:r w:rsidR="005F0C46" w:rsidRPr="004476E8">
        <w:rPr>
          <w:rFonts w:ascii="Book Antiqua" w:eastAsia="Book Antiqua" w:hAnsi="Book Antiqua" w:cs="Book Antiqua"/>
          <w:color w:val="000000"/>
        </w:rPr>
        <w:t>M</w:t>
      </w:r>
      <w:r w:rsidRPr="004476E8">
        <w:rPr>
          <w:rFonts w:ascii="Book Antiqua" w:eastAsia="Book Antiqua" w:hAnsi="Book Antiqua" w:cs="Book Antiqua"/>
          <w:color w:val="000000"/>
        </w:rPr>
        <w:t xml:space="preserve">anagement of </w:t>
      </w:r>
      <w:r w:rsidR="005F0C46" w:rsidRPr="004476E8">
        <w:rPr>
          <w:rFonts w:ascii="Book Antiqua" w:eastAsia="PMingLiU" w:hAnsi="Book Antiqua" w:cs="Book Antiqua"/>
          <w:color w:val="000000"/>
          <w:lang w:eastAsia="zh-TW"/>
        </w:rPr>
        <w:t>d</w:t>
      </w:r>
      <w:r w:rsidR="005F0C46" w:rsidRPr="004476E8">
        <w:rPr>
          <w:rFonts w:ascii="Book Antiqua" w:eastAsia="Book Antiqua" w:hAnsi="Book Antiqua" w:cs="Book Antiqua"/>
          <w:color w:val="000000"/>
        </w:rPr>
        <w:t xml:space="preserve">iabetes mellitus induced </w:t>
      </w:r>
      <w:r w:rsidRPr="004476E8">
        <w:rPr>
          <w:rFonts w:ascii="Book Antiqua" w:eastAsia="Book Antiqua" w:hAnsi="Book Antiqua" w:cs="Book Antiqua"/>
          <w:color w:val="000000"/>
        </w:rPr>
        <w:t>acute complications or treatment-related adverse events is particularly important in critically ill patients. The innovation of continuous glucose monitoring (CGM) help</w:t>
      </w:r>
      <w:r w:rsidR="005F0C46" w:rsidRPr="004476E8">
        <w:rPr>
          <w:rFonts w:ascii="Book Antiqua" w:eastAsia="Book Antiqua" w:hAnsi="Book Antiqua" w:cs="Book Antiqua"/>
          <w:color w:val="000000"/>
        </w:rPr>
        <w:t>s</w:t>
      </w:r>
      <w:r w:rsidRPr="004476E8">
        <w:rPr>
          <w:rFonts w:ascii="Book Antiqua" w:eastAsia="Book Antiqua" w:hAnsi="Book Antiqua" w:cs="Book Antiqua"/>
          <w:color w:val="000000"/>
        </w:rPr>
        <w:t xml:space="preserve"> medical </w:t>
      </w:r>
      <w:r w:rsidR="005F0C46" w:rsidRPr="004476E8">
        <w:rPr>
          <w:rFonts w:ascii="Book Antiqua" w:eastAsia="Book Antiqua" w:hAnsi="Book Antiqua" w:cs="Book Antiqua"/>
          <w:color w:val="000000"/>
        </w:rPr>
        <w:t>staffs</w:t>
      </w:r>
      <w:r w:rsidRPr="004476E8">
        <w:rPr>
          <w:rFonts w:ascii="Book Antiqua" w:eastAsia="Book Antiqua" w:hAnsi="Book Antiqua" w:cs="Book Antiqua"/>
          <w:color w:val="000000"/>
        </w:rPr>
        <w:t xml:space="preserve"> </w:t>
      </w:r>
      <w:r w:rsidR="005F0C46" w:rsidRPr="004476E8">
        <w:rPr>
          <w:rFonts w:ascii="Book Antiqua" w:eastAsia="Book Antiqua" w:hAnsi="Book Antiqua" w:cs="Book Antiqua"/>
          <w:color w:val="000000"/>
        </w:rPr>
        <w:t xml:space="preserve">to alert </w:t>
      </w:r>
      <w:r w:rsidRPr="004476E8">
        <w:rPr>
          <w:rFonts w:ascii="Book Antiqua" w:eastAsia="Book Antiqua" w:hAnsi="Book Antiqua" w:cs="Book Antiqua"/>
          <w:color w:val="000000"/>
        </w:rPr>
        <w:t xml:space="preserve">the emergence hyperglycemia and hypoglycemia, which may decrease potential complications in patients in </w:t>
      </w:r>
      <w:r w:rsidR="001926AA" w:rsidRPr="004476E8">
        <w:rPr>
          <w:rFonts w:ascii="Book Antiqua" w:eastAsia="Book Antiqua" w:hAnsi="Book Antiqua" w:cs="Book Antiqua"/>
          <w:color w:val="000000"/>
        </w:rPr>
        <w:t>intensive care unit</w:t>
      </w:r>
      <w:r w:rsidRPr="004476E8">
        <w:rPr>
          <w:rFonts w:ascii="Book Antiqua" w:eastAsia="Book Antiqua" w:hAnsi="Book Antiqua" w:cs="Book Antiqua"/>
          <w:color w:val="000000"/>
        </w:rPr>
        <w:t xml:space="preserve">. The major limitation of CGM is the measurement of interstitial glucose levels rather than the real-time blood glucose levels; thus, there will be a time gap in the appropriate treatment of hyperglycemia and hypoglycemia in patients. </w:t>
      </w:r>
      <w:r w:rsidR="005F0C46" w:rsidRPr="004476E8">
        <w:rPr>
          <w:rFonts w:ascii="Book Antiqua" w:eastAsia="Book Antiqua" w:hAnsi="Book Antiqua" w:cs="Book Antiqua"/>
          <w:color w:val="000000"/>
        </w:rPr>
        <w:t>T</w:t>
      </w:r>
      <w:r w:rsidRPr="004476E8">
        <w:rPr>
          <w:rFonts w:ascii="Book Antiqua" w:eastAsia="Book Antiqua" w:hAnsi="Book Antiqua" w:cs="Book Antiqua"/>
          <w:color w:val="000000"/>
        </w:rPr>
        <w:t xml:space="preserve">he European Union approved a state-of-art artificial intelligence directed loop system coordinated by CGM and a continuous insulin pump for diabetes control, </w:t>
      </w:r>
      <w:r w:rsidR="005F0C46" w:rsidRPr="004476E8">
        <w:rPr>
          <w:rFonts w:ascii="Book Antiqua" w:eastAsia="Book Antiqua" w:hAnsi="Book Antiqua" w:cs="Book Antiqua"/>
          <w:color w:val="000000"/>
        </w:rPr>
        <w:t>providing</w:t>
      </w:r>
      <w:r w:rsidRPr="004476E8">
        <w:rPr>
          <w:rFonts w:ascii="Book Antiqua" w:eastAsia="Book Antiqua" w:hAnsi="Book Antiqua" w:cs="Book Antiqua"/>
          <w:color w:val="000000"/>
        </w:rPr>
        <w:t xml:space="preserve"> a practical way to prevent acute adverse glycemic events related to antidiabetic therapy in critically ill patients.</w:t>
      </w:r>
    </w:p>
    <w:p w14:paraId="4218BBC2" w14:textId="77777777" w:rsidR="00A77B3E" w:rsidRPr="004476E8" w:rsidRDefault="00A77B3E" w:rsidP="00E376EB">
      <w:pPr>
        <w:spacing w:line="360" w:lineRule="auto"/>
        <w:jc w:val="both"/>
        <w:rPr>
          <w:rFonts w:ascii="Book Antiqua" w:hAnsi="Book Antiqua"/>
          <w:lang w:eastAsia="zh-CN"/>
        </w:rPr>
      </w:pPr>
    </w:p>
    <w:p w14:paraId="49E7CC1B" w14:textId="77777777" w:rsidR="00AE4D5F" w:rsidRPr="004476E8" w:rsidRDefault="00AE4D5F" w:rsidP="00E376EB">
      <w:pPr>
        <w:spacing w:line="360" w:lineRule="auto"/>
        <w:jc w:val="both"/>
        <w:rPr>
          <w:rFonts w:ascii="Book Antiqua" w:hAnsi="Book Antiqua"/>
          <w:lang w:eastAsia="zh-CN"/>
        </w:rPr>
      </w:pPr>
    </w:p>
    <w:p w14:paraId="5C8DFE59" w14:textId="77777777" w:rsidR="00AE4D5F" w:rsidRPr="004476E8" w:rsidRDefault="00AE4D5F" w:rsidP="00E376EB">
      <w:pPr>
        <w:spacing w:line="360" w:lineRule="auto"/>
        <w:jc w:val="both"/>
        <w:rPr>
          <w:rFonts w:ascii="Book Antiqua" w:hAnsi="Book Antiqua"/>
          <w:lang w:eastAsia="zh-CN"/>
        </w:rPr>
      </w:pPr>
    </w:p>
    <w:p w14:paraId="4E6394AB"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aps/>
          <w:color w:val="000000"/>
          <w:u w:val="single"/>
        </w:rPr>
        <w:t>INTRODUCTION</w:t>
      </w:r>
    </w:p>
    <w:p w14:paraId="5D4B3305"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color w:val="000000"/>
        </w:rPr>
        <w:t>Diabetes mellitus (DM) affected 451 million people in 2017 and will increase to 693 million by 2045</w:t>
      </w:r>
      <w:r w:rsidRPr="004476E8">
        <w:rPr>
          <w:rFonts w:ascii="Book Antiqua" w:eastAsia="Book Antiqua" w:hAnsi="Book Antiqua" w:cs="Book Antiqua"/>
          <w:color w:val="000000"/>
          <w:vertAlign w:val="superscript"/>
        </w:rPr>
        <w:t>[1]</w:t>
      </w:r>
      <w:r w:rsidRPr="004476E8">
        <w:rPr>
          <w:rFonts w:ascii="Book Antiqua" w:eastAsia="Book Antiqua" w:hAnsi="Book Antiqua" w:cs="Book Antiqua"/>
          <w:color w:val="000000"/>
        </w:rPr>
        <w:t>. Chronic hyperglycemia can lead to a high risk of DM complications. In contrast, interventions for DM may result in an episode of severe hypoglycemia, particularly with intensive treatments</w:t>
      </w:r>
      <w:r w:rsidRPr="004476E8">
        <w:rPr>
          <w:rFonts w:ascii="Book Antiqua" w:eastAsia="Book Antiqua" w:hAnsi="Book Antiqua" w:cs="Book Antiqua"/>
          <w:color w:val="000000"/>
          <w:vertAlign w:val="superscript"/>
        </w:rPr>
        <w:t>[2]</w:t>
      </w:r>
      <w:r w:rsidRPr="004476E8">
        <w:rPr>
          <w:rFonts w:ascii="Book Antiqua" w:eastAsia="Book Antiqua" w:hAnsi="Book Antiqua" w:cs="Book Antiqua"/>
          <w:color w:val="000000"/>
        </w:rPr>
        <w:t>. In addition, glucose deviations are related to oxidative stress, which increases the risk of complications</w:t>
      </w:r>
      <w:r w:rsidRPr="004476E8">
        <w:rPr>
          <w:rFonts w:ascii="Book Antiqua" w:eastAsia="Book Antiqua" w:hAnsi="Book Antiqua" w:cs="Book Antiqua"/>
          <w:color w:val="000000"/>
          <w:vertAlign w:val="superscript"/>
        </w:rPr>
        <w:t>[3]</w:t>
      </w:r>
      <w:r w:rsidRPr="004476E8">
        <w:rPr>
          <w:rFonts w:ascii="Book Antiqua" w:eastAsia="Book Antiqua" w:hAnsi="Book Antiqua" w:cs="Book Antiqua"/>
          <w:color w:val="000000"/>
        </w:rPr>
        <w:t xml:space="preserve"> especially in critically ill patients</w:t>
      </w:r>
      <w:r w:rsidRPr="004476E8">
        <w:rPr>
          <w:rFonts w:ascii="Book Antiqua" w:eastAsia="Book Antiqua" w:hAnsi="Book Antiqua" w:cs="Book Antiqua"/>
          <w:color w:val="000000"/>
          <w:vertAlign w:val="superscript"/>
        </w:rPr>
        <w:t>[4–6]</w:t>
      </w:r>
      <w:r w:rsidRPr="004476E8">
        <w:rPr>
          <w:rFonts w:ascii="Book Antiqua" w:eastAsia="Book Antiqua" w:hAnsi="Book Antiqua" w:cs="Book Antiqua"/>
          <w:color w:val="000000"/>
        </w:rPr>
        <w:t xml:space="preserve">, highlighting the issue of balancing blood glucose. The best way to control DM is to know the immediate level of blood glucose in an affected individual to prevent sustained hyperglycemia, incident hypoglycemia, or glucose changes. Currently, measurements of fingerstick blood glucose and HbA1c are widely applied. HbA1C is mainly used to detect the mean blood glucose in the past 3 to 4 mo. However, there were disadvantages when using these two methods. Fingerstick blood glucose can detect only one instant blood glucose; therefore, it does not represent long term day-to-week blood glucose levels. Although the HbA1c level represents the mean blood glucose in the past 3 mo, it does not reflect the fluctuations of blood glucose. To solve </w:t>
      </w:r>
      <w:r w:rsidRPr="004476E8">
        <w:rPr>
          <w:rFonts w:ascii="Book Antiqua" w:eastAsia="Book Antiqua" w:hAnsi="Book Antiqua" w:cs="Book Antiqua"/>
          <w:color w:val="000000"/>
        </w:rPr>
        <w:lastRenderedPageBreak/>
        <w:t>these shortcomings, a continuous glucose monitor (CGM) is a device developed to monitor interstitial glucose levels by a mini-invasive subcutaneous sensor</w:t>
      </w:r>
      <w:r w:rsidRPr="004476E8">
        <w:rPr>
          <w:rFonts w:ascii="Book Antiqua" w:eastAsia="Book Antiqua" w:hAnsi="Book Antiqua" w:cs="Book Antiqua"/>
          <w:color w:val="000000"/>
          <w:vertAlign w:val="superscript"/>
        </w:rPr>
        <w:t>[7]</w:t>
      </w:r>
      <w:r w:rsidRPr="004476E8">
        <w:rPr>
          <w:rFonts w:ascii="Book Antiqua" w:eastAsia="Book Antiqua" w:hAnsi="Book Antiqua" w:cs="Book Antiqua"/>
          <w:color w:val="000000"/>
        </w:rPr>
        <w:t>.</w:t>
      </w:r>
    </w:p>
    <w:p w14:paraId="28F12AEC" w14:textId="77777777" w:rsidR="00A77B3E" w:rsidRPr="004476E8" w:rsidRDefault="00FD7F95" w:rsidP="009661D7">
      <w:pPr>
        <w:spacing w:line="360" w:lineRule="auto"/>
        <w:ind w:firstLineChars="100" w:firstLine="240"/>
        <w:jc w:val="both"/>
        <w:rPr>
          <w:rFonts w:ascii="Book Antiqua" w:hAnsi="Book Antiqua"/>
        </w:rPr>
      </w:pPr>
      <w:r w:rsidRPr="004476E8">
        <w:rPr>
          <w:rFonts w:ascii="Book Antiqua" w:eastAsia="Book Antiqua" w:hAnsi="Book Antiqua" w:cs="Book Antiqua"/>
          <w:color w:val="000000"/>
        </w:rPr>
        <w:t xml:space="preserve">CGM has two styles: </w:t>
      </w:r>
      <w:r w:rsidR="000124AE" w:rsidRPr="004476E8">
        <w:rPr>
          <w:rFonts w:ascii="Book Antiqua" w:hAnsi="Book Antiqua" w:cs="Book Antiqua" w:hint="eastAsia"/>
          <w:color w:val="000000"/>
          <w:lang w:eastAsia="zh-CN"/>
        </w:rPr>
        <w:t>P</w:t>
      </w:r>
      <w:r w:rsidRPr="004476E8">
        <w:rPr>
          <w:rFonts w:ascii="Book Antiqua" w:eastAsia="Book Antiqua" w:hAnsi="Book Antiqua" w:cs="Book Antiqua"/>
          <w:color w:val="000000"/>
        </w:rPr>
        <w:t>rofessional CGM (retrospective) and real-time CGM (RT-CGM). The main manufacturers, including Medtronic Guardian Connect, Dexcom G5/G6, and Abbott Freestyle Libre, have developed their CGM products for the market. Medtronic 630G and 670G can be integrated with an insulin pump, which requires at least two fingerstick calibrations per day. In contrast, the Dexcom and Abbott products are factory settings and do not need self-calibration. The Abbott Freestyle Libre is a flash glucose monitoring system belonging to a kind of retrospective CGM device that cannot provide real-time glucose levels. The mean absolute relative difference (MARD) defines the average of the absolute error between all CGM values and matched reference values</w:t>
      </w:r>
      <w:r w:rsidRPr="004476E8">
        <w:rPr>
          <w:rFonts w:ascii="Book Antiqua" w:eastAsia="Book Antiqua" w:hAnsi="Book Antiqua" w:cs="Book Antiqua"/>
          <w:color w:val="000000"/>
          <w:vertAlign w:val="superscript"/>
        </w:rPr>
        <w:t>[8]</w:t>
      </w:r>
      <w:r w:rsidRPr="004476E8">
        <w:rPr>
          <w:rFonts w:ascii="Book Antiqua" w:eastAsia="Book Antiqua" w:hAnsi="Book Antiqua" w:cs="Book Antiqua"/>
          <w:color w:val="000000"/>
        </w:rPr>
        <w:t>, and a lower number means better accuracy. The MARDs of all of these devices are less than 10%. Since 2013, most professional CGMs have been used in outpatients, aimed at monitoring the glucose level without an alert below or beyond the cautious limits (blinded). A comprehensive reading of the interstitial glucose concentration data from the diabetic examinees was retrospectively performed in the hospital. According to the retrospective data from the professional CGM, the physicians would prescribe or make adjustments for the dosage or times that antidiabetic medications are given and lifestyle modifications, including diet and exercise, for the examinees. Thanks to an improvement in biotechnology of artificial intelligence and wearable devices in the last 4 years, RT-CGM has been developed and widely used in outpatients or inpatients with instant alerts (nonblinded).</w:t>
      </w:r>
    </w:p>
    <w:p w14:paraId="47086CFC" w14:textId="77777777" w:rsidR="00A77B3E" w:rsidRPr="004476E8" w:rsidRDefault="00FD7F95" w:rsidP="000124AE">
      <w:pPr>
        <w:spacing w:line="360" w:lineRule="auto"/>
        <w:ind w:firstLineChars="100" w:firstLine="240"/>
        <w:jc w:val="both"/>
        <w:rPr>
          <w:rFonts w:ascii="Book Antiqua" w:hAnsi="Book Antiqua"/>
        </w:rPr>
      </w:pPr>
      <w:r w:rsidRPr="004476E8">
        <w:rPr>
          <w:rFonts w:ascii="Book Antiqua" w:eastAsia="Book Antiqua" w:hAnsi="Book Antiqua" w:cs="Book Antiqua"/>
          <w:color w:val="000000"/>
        </w:rPr>
        <w:t xml:space="preserve">The RT-CGM system is mainly comprised of 3 components: </w:t>
      </w:r>
      <w:r w:rsidR="000124AE" w:rsidRPr="004476E8">
        <w:rPr>
          <w:rFonts w:ascii="Book Antiqua" w:hAnsi="Book Antiqua" w:cs="Book Antiqua" w:hint="eastAsia"/>
          <w:color w:val="000000"/>
          <w:lang w:eastAsia="zh-CN"/>
        </w:rPr>
        <w:t>T</w:t>
      </w:r>
      <w:r w:rsidRPr="004476E8">
        <w:rPr>
          <w:rFonts w:ascii="Book Antiqua" w:eastAsia="Book Antiqua" w:hAnsi="Book Antiqua" w:cs="Book Antiqua"/>
          <w:color w:val="000000"/>
        </w:rPr>
        <w:t xml:space="preserve">he biosensor, transmitter and monitor (Figure 1). The biosensor is a tiny cannula penetrating the skin to obtain glucose levels in interstitial fluid. The biosensor must be changed every 7-14 d, and some biosensors can be used for a maximum of 90 d (Senseonics Eversense). The transmitter of RT-CGM is a small, coin-like, and reusable device that is connected to the biosensor to send the measured data of interstitial glucose levels wirelessly. Finally, the monitor receives the wireless real-time interstitial glucose signal. Some monitors can be </w:t>
      </w:r>
      <w:r w:rsidRPr="004476E8">
        <w:rPr>
          <w:rFonts w:ascii="Book Antiqua" w:eastAsia="Book Antiqua" w:hAnsi="Book Antiqua" w:cs="Book Antiqua"/>
          <w:color w:val="000000"/>
        </w:rPr>
        <w:lastRenderedPageBreak/>
        <w:t>applied to a smartphone so that patients can bring their own smartphone every time. The monitor can show real-time glucose levels and provide feedback in time when the interstitial glucose level is too high or too low. The smartphone can also send glucose readings to the cloud, and the medical staff can access the data and give advice to the outpatient clinic instantly. Finally, the large amount of data of glucose levels can be analyzed to produce an output that combines the glucose readings and suggested medications, diet and exercise amount through the cloud system.</w:t>
      </w:r>
    </w:p>
    <w:p w14:paraId="2949E3CD" w14:textId="77777777" w:rsidR="00A77B3E" w:rsidRPr="004476E8" w:rsidRDefault="00A77B3E" w:rsidP="00E376EB">
      <w:pPr>
        <w:spacing w:line="360" w:lineRule="auto"/>
        <w:jc w:val="both"/>
        <w:rPr>
          <w:rFonts w:ascii="Book Antiqua" w:hAnsi="Book Antiqua"/>
        </w:rPr>
      </w:pPr>
    </w:p>
    <w:p w14:paraId="12B50AAA" w14:textId="77777777" w:rsidR="00A77B3E" w:rsidRPr="004476E8" w:rsidRDefault="00FD7F95" w:rsidP="00E376EB">
      <w:pPr>
        <w:spacing w:line="360" w:lineRule="auto"/>
        <w:jc w:val="both"/>
        <w:rPr>
          <w:rFonts w:ascii="Book Antiqua" w:hAnsi="Book Antiqua"/>
          <w:u w:val="single"/>
        </w:rPr>
      </w:pPr>
      <w:r w:rsidRPr="004476E8">
        <w:rPr>
          <w:rFonts w:ascii="Book Antiqua" w:eastAsia="Book Antiqua" w:hAnsi="Book Antiqua" w:cs="Book Antiqua"/>
          <w:b/>
          <w:bCs/>
          <w:color w:val="000000"/>
          <w:u w:val="single"/>
        </w:rPr>
        <w:t>PROS OF CGM IN ICU</w:t>
      </w:r>
    </w:p>
    <w:p w14:paraId="4666D168"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color w:val="000000"/>
        </w:rPr>
        <w:t>RT-CGM was first applied in the intensive care unit (ICU) in 2003</w:t>
      </w:r>
      <w:r w:rsidRPr="004476E8">
        <w:rPr>
          <w:rFonts w:ascii="Book Antiqua" w:eastAsia="Book Antiqua" w:hAnsi="Book Antiqua" w:cs="Book Antiqua"/>
          <w:color w:val="000000"/>
          <w:vertAlign w:val="superscript"/>
        </w:rPr>
        <w:t>[9],</w:t>
      </w:r>
      <w:r w:rsidRPr="004476E8">
        <w:rPr>
          <w:rFonts w:ascii="Book Antiqua" w:eastAsia="Book Antiqua" w:hAnsi="Book Antiqua" w:cs="Book Antiqua"/>
          <w:color w:val="000000"/>
        </w:rPr>
        <w:t xml:space="preserve"> and an error grid analysis showed that 60</w:t>
      </w:r>
      <w:r w:rsidR="000124AE" w:rsidRPr="004476E8">
        <w:rPr>
          <w:rFonts w:ascii="Book Antiqua" w:eastAsia="Book Antiqua" w:hAnsi="Book Antiqua" w:cs="Book Antiqua"/>
          <w:color w:val="000000"/>
        </w:rPr>
        <w:t>%</w:t>
      </w:r>
      <w:r w:rsidRPr="004476E8">
        <w:rPr>
          <w:rFonts w:ascii="Book Antiqua" w:eastAsia="Book Antiqua" w:hAnsi="Book Antiqua" w:cs="Book Antiqua"/>
          <w:color w:val="000000"/>
        </w:rPr>
        <w:t>-70% of the interstitial glucose levels obtained from the RT-CGM were clinically accurate and defined by a deviation of arterial blood glucose level &lt;</w:t>
      </w:r>
      <w:r w:rsidR="000124AE" w:rsidRPr="004476E8">
        <w:rPr>
          <w:rFonts w:ascii="Book Antiqua" w:hAnsi="Book Antiqua" w:cs="Book Antiqua" w:hint="eastAsia"/>
          <w:color w:val="000000"/>
          <w:lang w:eastAsia="zh-CN"/>
        </w:rPr>
        <w:t xml:space="preserve"> </w:t>
      </w:r>
      <w:r w:rsidRPr="004476E8">
        <w:rPr>
          <w:rFonts w:ascii="Book Antiqua" w:eastAsia="Book Antiqua" w:hAnsi="Book Antiqua" w:cs="Book Antiqua"/>
          <w:color w:val="000000"/>
        </w:rPr>
        <w:t>20% using the glucometer</w:t>
      </w:r>
      <w:r w:rsidRPr="004476E8">
        <w:rPr>
          <w:rFonts w:ascii="Book Antiqua" w:eastAsia="Book Antiqua" w:hAnsi="Book Antiqua" w:cs="Book Antiqua"/>
          <w:color w:val="000000"/>
          <w:vertAlign w:val="superscript"/>
        </w:rPr>
        <w:t>[9]</w:t>
      </w:r>
      <w:r w:rsidRPr="004476E8">
        <w:rPr>
          <w:rFonts w:ascii="Book Antiqua" w:eastAsia="Book Antiqua" w:hAnsi="Book Antiqua" w:cs="Book Antiqua"/>
          <w:color w:val="000000"/>
        </w:rPr>
        <w:t>. According to the current evidence, tight glucose control can lower the risk of postoperative infection rates, short-term mortality and length of ICU stay in patients undergoing a major operation in the surgical ICU; however, it may also increase the risk of hypoglycemic episodes</w:t>
      </w:r>
      <w:r w:rsidRPr="004476E8">
        <w:rPr>
          <w:rFonts w:ascii="Book Antiqua" w:eastAsia="Book Antiqua" w:hAnsi="Book Antiqua" w:cs="Book Antiqua"/>
          <w:color w:val="000000"/>
          <w:vertAlign w:val="superscript"/>
        </w:rPr>
        <w:t>[10,11]</w:t>
      </w:r>
      <w:r w:rsidRPr="004476E8">
        <w:rPr>
          <w:rFonts w:ascii="Book Antiqua" w:eastAsia="Book Antiqua" w:hAnsi="Book Antiqua" w:cs="Book Antiqua"/>
          <w:color w:val="000000"/>
        </w:rPr>
        <w:t>. In addition, a previous review study reported that 22.4% of patients on tight glucose control experienced at least one hypoglycemic episode, defined as a blood glucose level less than 82 mg/dL, and more severe hypoglycemia events were associated with a higher risk of in-hospital mortality</w:t>
      </w:r>
      <w:r w:rsidRPr="004476E8">
        <w:rPr>
          <w:rFonts w:ascii="Book Antiqua" w:eastAsia="Book Antiqua" w:hAnsi="Book Antiqua" w:cs="Book Antiqua"/>
          <w:color w:val="000000"/>
          <w:vertAlign w:val="superscript"/>
        </w:rPr>
        <w:t>[12]</w:t>
      </w:r>
      <w:r w:rsidRPr="004476E8">
        <w:rPr>
          <w:rFonts w:ascii="Book Antiqua" w:eastAsia="Book Antiqua" w:hAnsi="Book Antiqua" w:cs="Book Antiqua"/>
          <w:color w:val="000000"/>
        </w:rPr>
        <w:t>. Another study also confirmed that the consequences of multiple hypoglycemic episodes were associated with a higher 90</w:t>
      </w:r>
      <w:r w:rsidR="000124AE" w:rsidRPr="004476E8">
        <w:rPr>
          <w:rFonts w:ascii="Book Antiqua" w:hAnsi="Book Antiqua" w:cs="Book Antiqua" w:hint="eastAsia"/>
          <w:color w:val="000000"/>
          <w:lang w:eastAsia="zh-CN"/>
        </w:rPr>
        <w:t xml:space="preserve"> d</w:t>
      </w:r>
      <w:r w:rsidRPr="004476E8">
        <w:rPr>
          <w:rFonts w:ascii="Book Antiqua" w:eastAsia="Book Antiqua" w:hAnsi="Book Antiqua" w:cs="Book Antiqua"/>
          <w:color w:val="000000"/>
        </w:rPr>
        <w:t xml:space="preserve"> mortality in patients in the ICU</w:t>
      </w:r>
      <w:r w:rsidRPr="004476E8">
        <w:rPr>
          <w:rFonts w:ascii="Book Antiqua" w:eastAsia="Book Antiqua" w:hAnsi="Book Antiqua" w:cs="Book Antiqua"/>
          <w:color w:val="000000"/>
          <w:vertAlign w:val="superscript"/>
        </w:rPr>
        <w:t>[13]</w:t>
      </w:r>
      <w:r w:rsidRPr="004476E8">
        <w:rPr>
          <w:rFonts w:ascii="Book Antiqua" w:eastAsia="Book Antiqua" w:hAnsi="Book Antiqua" w:cs="Book Antiqua"/>
          <w:color w:val="000000"/>
        </w:rPr>
        <w:t>. Hypoglycemic events are commonly observed in the ICU, not merely in patients on antidiabetic therapy but also in those with a fasting status, severe sepsis or hepatic failure. The RT-CGM was found to reduce the absolute risk of severe hypoglycemia by 9.9% in critically ill patients under mechanical ventilation and continuous insulin infusion therapy</w:t>
      </w:r>
      <w:r w:rsidRPr="004476E8">
        <w:rPr>
          <w:rFonts w:ascii="Book Antiqua" w:eastAsia="Book Antiqua" w:hAnsi="Book Antiqua" w:cs="Book Antiqua"/>
          <w:color w:val="000000"/>
          <w:vertAlign w:val="superscript"/>
        </w:rPr>
        <w:t>[14]</w:t>
      </w:r>
      <w:r w:rsidRPr="004476E8">
        <w:rPr>
          <w:rFonts w:ascii="Book Antiqua" w:eastAsia="Book Antiqua" w:hAnsi="Book Antiqua" w:cs="Book Antiqua"/>
          <w:color w:val="000000"/>
        </w:rPr>
        <w:t>. Moreover, several studies have uncovered that having a greater glycemic variability of patients in the ICU was associated with a higher risk of in-hospital mortality independent of the mean level of blood glucose and incident hypoglycemia</w:t>
      </w:r>
      <w:r w:rsidRPr="004476E8">
        <w:rPr>
          <w:rFonts w:ascii="Book Antiqua" w:eastAsia="Book Antiqua" w:hAnsi="Book Antiqua" w:cs="Book Antiqua"/>
          <w:color w:val="000000"/>
          <w:vertAlign w:val="superscript"/>
        </w:rPr>
        <w:t>[6,15]</w:t>
      </w:r>
      <w:r w:rsidRPr="004476E8">
        <w:rPr>
          <w:rFonts w:ascii="Book Antiqua" w:eastAsia="Book Antiqua" w:hAnsi="Book Antiqua" w:cs="Book Antiqua"/>
          <w:color w:val="000000"/>
        </w:rPr>
        <w:t xml:space="preserve">. Therefore, frequent monitoring of blood glucose levels is very </w:t>
      </w:r>
      <w:r w:rsidRPr="004476E8">
        <w:rPr>
          <w:rFonts w:ascii="Book Antiqua" w:eastAsia="Book Antiqua" w:hAnsi="Book Antiqua" w:cs="Book Antiqua"/>
          <w:color w:val="000000"/>
        </w:rPr>
        <w:lastRenderedPageBreak/>
        <w:t>important in critically ill patients in the ICU; however, it is time-consuming and labor-intensive, especially in those with acute severe complications related to diabetes, such as diabetic ketoacidosis or hyperglycemic hyperosmotic syndrome. In these situations, the frequency of testing for blood glucose level is performed every 1-2 h. CGM provides an alternative method to estimate the subcutaneous interstitial glucose levels, which correlate well with the blood glucose levels and decrease the workload of ICU members due to the calibration only obtained 2-3 times per day. Another advantage of using a CGM is that if patients who need frequent monitoring of blood glucose levels are highly contagious, the risk of infectious microbial transmission to medical staff in the ICU might increase. Using CGM can decrease the caregiver’s time of contact with the patient and thus reduce the risk of infection, particularly in the COVID-19 pandemic</w:t>
      </w:r>
      <w:r w:rsidRPr="004476E8">
        <w:rPr>
          <w:rFonts w:ascii="Book Antiqua" w:eastAsia="Book Antiqua" w:hAnsi="Book Antiqua" w:cs="Book Antiqua"/>
          <w:color w:val="000000"/>
          <w:vertAlign w:val="superscript"/>
        </w:rPr>
        <w:t>[16]</w:t>
      </w:r>
      <w:r w:rsidRPr="004476E8">
        <w:rPr>
          <w:rFonts w:ascii="Book Antiqua" w:eastAsia="Book Antiqua" w:hAnsi="Book Antiqua" w:cs="Book Antiqua"/>
          <w:color w:val="000000"/>
        </w:rPr>
        <w:t>.</w:t>
      </w:r>
    </w:p>
    <w:p w14:paraId="717C5EB7" w14:textId="77777777" w:rsidR="00A77B3E" w:rsidRPr="004476E8" w:rsidRDefault="00A77B3E" w:rsidP="00E376EB">
      <w:pPr>
        <w:spacing w:line="360" w:lineRule="auto"/>
        <w:jc w:val="both"/>
        <w:rPr>
          <w:rFonts w:ascii="Book Antiqua" w:hAnsi="Book Antiqua"/>
        </w:rPr>
      </w:pPr>
    </w:p>
    <w:p w14:paraId="4B4A8DD0" w14:textId="77777777" w:rsidR="00A77B3E" w:rsidRPr="004476E8" w:rsidRDefault="00FD7F95" w:rsidP="00E376EB">
      <w:pPr>
        <w:spacing w:line="360" w:lineRule="auto"/>
        <w:jc w:val="both"/>
        <w:rPr>
          <w:rFonts w:ascii="Book Antiqua" w:hAnsi="Book Antiqua"/>
          <w:u w:val="single"/>
        </w:rPr>
      </w:pPr>
      <w:r w:rsidRPr="004476E8">
        <w:rPr>
          <w:rFonts w:ascii="Book Antiqua" w:eastAsia="Book Antiqua" w:hAnsi="Book Antiqua" w:cs="Book Antiqua"/>
          <w:b/>
          <w:bCs/>
          <w:color w:val="000000"/>
          <w:u w:val="single"/>
        </w:rPr>
        <w:t>CONS OF CGM IN THE ICU</w:t>
      </w:r>
    </w:p>
    <w:p w14:paraId="062F3DCE"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color w:val="000000"/>
        </w:rPr>
        <w:t>Although severe hypoglycemic episodes can be reduced by using RT-CGM, it may not improve glycemic control (time above range or time in range) compared with intensive insulin therapy following the guidance of an algorithm</w:t>
      </w:r>
      <w:r w:rsidRPr="004476E8">
        <w:rPr>
          <w:rFonts w:ascii="Book Antiqua" w:eastAsia="Book Antiqua" w:hAnsi="Book Antiqua" w:cs="Book Antiqua"/>
          <w:color w:val="000000"/>
          <w:vertAlign w:val="superscript"/>
        </w:rPr>
        <w:t>[14,16,17]</w:t>
      </w:r>
      <w:r w:rsidRPr="004476E8">
        <w:rPr>
          <w:rFonts w:ascii="Book Antiqua" w:eastAsia="Book Antiqua" w:hAnsi="Book Antiqua" w:cs="Book Antiqua"/>
          <w:color w:val="000000"/>
        </w:rPr>
        <w:t>. Additionally, artificial intelligence can analyze the glucose level readings, medications and food automatically and predict mortality</w:t>
      </w:r>
      <w:r w:rsidRPr="004476E8">
        <w:rPr>
          <w:rFonts w:ascii="Book Antiqua" w:eastAsia="Book Antiqua" w:hAnsi="Book Antiqua" w:cs="Book Antiqua"/>
          <w:color w:val="000000"/>
          <w:vertAlign w:val="superscript"/>
        </w:rPr>
        <w:t>[18]</w:t>
      </w:r>
      <w:r w:rsidRPr="004476E8">
        <w:rPr>
          <w:rFonts w:ascii="Book Antiqua" w:eastAsia="Book Antiqua" w:hAnsi="Book Antiqua" w:cs="Book Antiqua"/>
          <w:color w:val="000000"/>
        </w:rPr>
        <w:t>. Recently, many closed-loop systems of integrated CGM and automated insulin delivery</w:t>
      </w:r>
      <w:r w:rsidR="000124AE" w:rsidRPr="004476E8">
        <w:rPr>
          <w:rFonts w:ascii="Book Antiqua" w:hAnsi="Book Antiqua" w:cs="Book Antiqua" w:hint="eastAsia"/>
          <w:color w:val="000000"/>
          <w:lang w:eastAsia="zh-CN"/>
        </w:rPr>
        <w:t xml:space="preserve"> </w:t>
      </w:r>
      <w:r w:rsidRPr="004476E8">
        <w:rPr>
          <w:rFonts w:ascii="Book Antiqua" w:eastAsia="Book Antiqua" w:hAnsi="Book Antiqua" w:cs="Book Antiqua"/>
          <w:color w:val="000000"/>
        </w:rPr>
        <w:t>have been investigated and approved for specific groups of people</w:t>
      </w:r>
      <w:r w:rsidRPr="004476E8">
        <w:rPr>
          <w:rFonts w:ascii="Book Antiqua" w:eastAsia="Book Antiqua" w:hAnsi="Book Antiqua" w:cs="Book Antiqua"/>
          <w:color w:val="000000"/>
          <w:vertAlign w:val="superscript"/>
        </w:rPr>
        <w:t>[19]</w:t>
      </w:r>
      <w:r w:rsidRPr="004476E8">
        <w:rPr>
          <w:rFonts w:ascii="Book Antiqua" w:eastAsia="Book Antiqua" w:hAnsi="Book Antiqua" w:cs="Book Antiqua"/>
          <w:color w:val="000000"/>
        </w:rPr>
        <w:t>. Few major disadvantages of applying CGM to patients in the ICU are noted. First, the transportation of glucose from the blood to the subcutaneous interstitium takes 15-20 min</w:t>
      </w:r>
      <w:r w:rsidRPr="004476E8">
        <w:rPr>
          <w:rFonts w:ascii="Book Antiqua" w:eastAsia="Book Antiqua" w:hAnsi="Book Antiqua" w:cs="Book Antiqua"/>
          <w:color w:val="000000"/>
          <w:vertAlign w:val="superscript"/>
        </w:rPr>
        <w:t>[7]</w:t>
      </w:r>
      <w:r w:rsidRPr="004476E8">
        <w:rPr>
          <w:rFonts w:ascii="Book Antiqua" w:eastAsia="Book Antiqua" w:hAnsi="Book Antiqua" w:cs="Book Antiqua"/>
          <w:color w:val="000000"/>
        </w:rPr>
        <w:t xml:space="preserve">. The lag time should be taken into account if the levels of glucose highly fluctuate. Second, the lifespan of the biosensors is relatively short, approximately 7 d. Third, CGM needs calibration by fingerstick glucose, which is usually 2-3 times per day. Fourth, the timing of calibrations should be avoided after eating as the blood glucose level increases sharply and might not be increased in parallel to the glucose level in the interstitial fluid at the same time. Fifth, the readings for glucose levels are limited. For instance, the range of glucose levels can be merely within 40-400 mg/dL in Medtronic devices, which limits the surveillance range in critically ill patients. Finally, </w:t>
      </w:r>
      <w:r w:rsidRPr="004476E8">
        <w:rPr>
          <w:rFonts w:ascii="Book Antiqua" w:eastAsia="Book Antiqua" w:hAnsi="Book Antiqua" w:cs="Book Antiqua"/>
          <w:color w:val="000000"/>
        </w:rPr>
        <w:lastRenderedPageBreak/>
        <w:t>there is still a lack of adequate evidence for the correlation of glucose levels between the blood and interstitial fluids in patients with severe generalized edema, such as those with hypoalbuminemia and hepatic failure.</w:t>
      </w:r>
    </w:p>
    <w:p w14:paraId="5D62C81F" w14:textId="77777777" w:rsidR="00A77B3E" w:rsidRPr="004476E8" w:rsidRDefault="00A77B3E" w:rsidP="00E376EB">
      <w:pPr>
        <w:spacing w:line="360" w:lineRule="auto"/>
        <w:jc w:val="both"/>
        <w:rPr>
          <w:rFonts w:ascii="Book Antiqua" w:hAnsi="Book Antiqua"/>
        </w:rPr>
      </w:pPr>
    </w:p>
    <w:p w14:paraId="31A4479F"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aps/>
          <w:color w:val="000000"/>
          <w:u w:val="single"/>
        </w:rPr>
        <w:t>CONCLUSION</w:t>
      </w:r>
    </w:p>
    <w:p w14:paraId="065C69FE"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color w:val="000000"/>
        </w:rPr>
        <w:t>According to the latest evidence, using RT-CGM to monitor the interstitial glucose levels can reduce severe hypoglycemic events and may improve glycemic variability for patients cared for in the ICU. Whether these advantages of RT-CGM can decrease the risk of overall mortality in critically ill patients requires further investigation. In the COVID-19 pandemic, RT-CGM provides an alternative way to monitor the blood glucose levels of patients in need of care and reduce the ICU caregivers’ risk of infections due to the reduction in frequent contact with the affected patient merely for blood glucose testing. In the future, noninvasive and low-cost CGM may become more convenient in the ICU or outpatient use</w:t>
      </w:r>
      <w:r w:rsidRPr="004476E8">
        <w:rPr>
          <w:rFonts w:ascii="Book Antiqua" w:eastAsia="Book Antiqua" w:hAnsi="Book Antiqua" w:cs="Book Antiqua"/>
          <w:color w:val="000000"/>
          <w:vertAlign w:val="superscript"/>
        </w:rPr>
        <w:t>[20]</w:t>
      </w:r>
      <w:r w:rsidRPr="004476E8">
        <w:rPr>
          <w:rFonts w:ascii="Book Antiqua" w:eastAsia="Book Antiqua" w:hAnsi="Book Antiqua" w:cs="Book Antiqua"/>
          <w:color w:val="000000"/>
        </w:rPr>
        <w:t>.</w:t>
      </w:r>
    </w:p>
    <w:p w14:paraId="225AF6D6" w14:textId="77777777" w:rsidR="00A77B3E" w:rsidRPr="004476E8" w:rsidRDefault="00A77B3E" w:rsidP="00E376EB">
      <w:pPr>
        <w:spacing w:line="360" w:lineRule="auto"/>
        <w:jc w:val="both"/>
        <w:rPr>
          <w:rFonts w:ascii="Book Antiqua" w:hAnsi="Book Antiqua"/>
        </w:rPr>
      </w:pPr>
    </w:p>
    <w:p w14:paraId="16BC471D"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t>REFERENCES</w:t>
      </w:r>
    </w:p>
    <w:p w14:paraId="5000CF11" w14:textId="77777777" w:rsidR="00D164CC" w:rsidRPr="004476E8" w:rsidRDefault="00D164CC" w:rsidP="00D164CC">
      <w:pPr>
        <w:spacing w:line="360" w:lineRule="auto"/>
        <w:jc w:val="both"/>
        <w:rPr>
          <w:rFonts w:ascii="Book Antiqua" w:eastAsia="Book Antiqua" w:hAnsi="Book Antiqua" w:cs="Book Antiqua"/>
          <w:color w:val="000000"/>
        </w:rPr>
      </w:pPr>
      <w:bookmarkStart w:id="4" w:name="OLE_LINK6"/>
      <w:r w:rsidRPr="004476E8">
        <w:rPr>
          <w:rFonts w:ascii="Book Antiqua" w:eastAsia="Book Antiqua" w:hAnsi="Book Antiqua" w:cs="Book Antiqua"/>
          <w:color w:val="000000"/>
        </w:rPr>
        <w:t xml:space="preserve">1 </w:t>
      </w:r>
      <w:r w:rsidRPr="004476E8">
        <w:rPr>
          <w:rFonts w:ascii="Book Antiqua" w:eastAsia="Book Antiqua" w:hAnsi="Book Antiqua" w:cs="Book Antiqua"/>
          <w:b/>
          <w:bCs/>
          <w:color w:val="000000"/>
        </w:rPr>
        <w:t>Lin X</w:t>
      </w:r>
      <w:r w:rsidRPr="004476E8">
        <w:rPr>
          <w:rFonts w:ascii="Book Antiqua" w:eastAsia="Book Antiqua" w:hAnsi="Book Antiqua" w:cs="Book Antiqua"/>
          <w:color w:val="000000"/>
        </w:rPr>
        <w:t xml:space="preserve">, Xu Y, Pan X, Xu J, Ding Y, Sun X, Song X, Ren Y, Shan PF. Global, regional, and national burden and trend of diabetes in 195 countries and territories: an analysis from 1990 to 2025. </w:t>
      </w:r>
      <w:r w:rsidRPr="004476E8">
        <w:rPr>
          <w:rFonts w:ascii="Book Antiqua" w:eastAsia="Book Antiqua" w:hAnsi="Book Antiqua" w:cs="Book Antiqua"/>
          <w:i/>
          <w:iCs/>
          <w:color w:val="000000"/>
        </w:rPr>
        <w:t>Sci Rep</w:t>
      </w:r>
      <w:r w:rsidRPr="004476E8">
        <w:rPr>
          <w:rFonts w:ascii="Book Antiqua" w:eastAsia="Book Antiqua" w:hAnsi="Book Antiqua" w:cs="Book Antiqua"/>
          <w:color w:val="000000"/>
        </w:rPr>
        <w:t xml:space="preserve"> 2020; </w:t>
      </w:r>
      <w:r w:rsidRPr="004476E8">
        <w:rPr>
          <w:rFonts w:ascii="Book Antiqua" w:eastAsia="Book Antiqua" w:hAnsi="Book Antiqua" w:cs="Book Antiqua"/>
          <w:b/>
          <w:bCs/>
          <w:color w:val="000000"/>
        </w:rPr>
        <w:t>10</w:t>
      </w:r>
      <w:r w:rsidRPr="004476E8">
        <w:rPr>
          <w:rFonts w:ascii="Book Antiqua" w:eastAsia="Book Antiqua" w:hAnsi="Book Antiqua" w:cs="Book Antiqua"/>
          <w:color w:val="000000"/>
        </w:rPr>
        <w:t>: 14790 [PMID: 32901098 DOI: 10.1038/s41598-020-71908-9]</w:t>
      </w:r>
    </w:p>
    <w:p w14:paraId="4A14AD78"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2</w:t>
      </w:r>
      <w:r w:rsidRPr="004476E8">
        <w:rPr>
          <w:rFonts w:ascii="Book Antiqua" w:hAnsi="Book Antiqua" w:cs="Book Antiqua" w:hint="eastAsia"/>
          <w:color w:val="000000"/>
          <w:lang w:eastAsia="zh-CN"/>
        </w:rPr>
        <w:t xml:space="preserve"> </w:t>
      </w:r>
      <w:r w:rsidRPr="004476E8">
        <w:rPr>
          <w:rFonts w:ascii="Book Antiqua" w:eastAsia="Book Antiqua" w:hAnsi="Book Antiqua" w:cs="Book Antiqua"/>
          <w:color w:val="000000"/>
        </w:rPr>
        <w:t xml:space="preserve">Hypoglycemia in the Diabetes Control and Complications Trial. The Diabetes Control and Complications Trial Research Group. </w:t>
      </w:r>
      <w:r w:rsidRPr="004476E8">
        <w:rPr>
          <w:rFonts w:ascii="Book Antiqua" w:eastAsia="Book Antiqua" w:hAnsi="Book Antiqua" w:cs="Book Antiqua"/>
          <w:i/>
          <w:iCs/>
          <w:color w:val="000000"/>
        </w:rPr>
        <w:t>Diabetes</w:t>
      </w:r>
      <w:r w:rsidRPr="004476E8">
        <w:rPr>
          <w:rFonts w:ascii="Book Antiqua" w:eastAsia="Book Antiqua" w:hAnsi="Book Antiqua" w:cs="Book Antiqua"/>
          <w:color w:val="000000"/>
        </w:rPr>
        <w:t xml:space="preserve"> 1997; </w:t>
      </w:r>
      <w:r w:rsidRPr="004476E8">
        <w:rPr>
          <w:rFonts w:ascii="Book Antiqua" w:eastAsia="Book Antiqua" w:hAnsi="Book Antiqua" w:cs="Book Antiqua"/>
          <w:b/>
          <w:bCs/>
          <w:color w:val="000000"/>
        </w:rPr>
        <w:t>46</w:t>
      </w:r>
      <w:r w:rsidRPr="004476E8">
        <w:rPr>
          <w:rFonts w:ascii="Book Antiqua" w:eastAsia="Book Antiqua" w:hAnsi="Book Antiqua" w:cs="Book Antiqua"/>
          <w:color w:val="000000"/>
        </w:rPr>
        <w:t>: 271-286 [PMID: 9000705 DOI: 10.2337/diab.46.2.271]</w:t>
      </w:r>
    </w:p>
    <w:p w14:paraId="164FBCD2"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3 </w:t>
      </w:r>
      <w:r w:rsidRPr="004476E8">
        <w:rPr>
          <w:rFonts w:ascii="Book Antiqua" w:eastAsia="Book Antiqua" w:hAnsi="Book Antiqua" w:cs="Book Antiqua"/>
          <w:b/>
          <w:bCs/>
          <w:color w:val="000000"/>
        </w:rPr>
        <w:t>Monnier L</w:t>
      </w:r>
      <w:r w:rsidRPr="004476E8">
        <w:rPr>
          <w:rFonts w:ascii="Book Antiqua" w:eastAsia="Book Antiqua" w:hAnsi="Book Antiqua" w:cs="Book Antiqua"/>
          <w:color w:val="000000"/>
        </w:rPr>
        <w:t xml:space="preserve">, Colette C. Glycemic variability: should we and can we prevent it? </w:t>
      </w:r>
      <w:r w:rsidRPr="004476E8">
        <w:rPr>
          <w:rFonts w:ascii="Book Antiqua" w:eastAsia="Book Antiqua" w:hAnsi="Book Antiqua" w:cs="Book Antiqua"/>
          <w:i/>
          <w:iCs/>
          <w:color w:val="000000"/>
        </w:rPr>
        <w:t>Diabetes Care</w:t>
      </w:r>
      <w:r w:rsidRPr="004476E8">
        <w:rPr>
          <w:rFonts w:ascii="Book Antiqua" w:eastAsia="Book Antiqua" w:hAnsi="Book Antiqua" w:cs="Book Antiqua"/>
          <w:color w:val="000000"/>
        </w:rPr>
        <w:t xml:space="preserve"> 2008; </w:t>
      </w:r>
      <w:r w:rsidRPr="004476E8">
        <w:rPr>
          <w:rFonts w:ascii="Book Antiqua" w:eastAsia="Book Antiqua" w:hAnsi="Book Antiqua" w:cs="Book Antiqua"/>
          <w:b/>
          <w:bCs/>
          <w:color w:val="000000"/>
        </w:rPr>
        <w:t>31 Suppl 2</w:t>
      </w:r>
      <w:r w:rsidRPr="004476E8">
        <w:rPr>
          <w:rFonts w:ascii="Book Antiqua" w:eastAsia="Book Antiqua" w:hAnsi="Book Antiqua" w:cs="Book Antiqua"/>
          <w:color w:val="000000"/>
        </w:rPr>
        <w:t>: S150-S154 [PMID: 18227477 DOI: 10.2337/dc08-s241]</w:t>
      </w:r>
    </w:p>
    <w:p w14:paraId="0C0B912B"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4 </w:t>
      </w:r>
      <w:r w:rsidRPr="004476E8">
        <w:rPr>
          <w:rFonts w:ascii="Book Antiqua" w:eastAsia="Book Antiqua" w:hAnsi="Book Antiqua" w:cs="Book Antiqua"/>
          <w:b/>
          <w:bCs/>
          <w:color w:val="000000"/>
        </w:rPr>
        <w:t>Meynaar IA</w:t>
      </w:r>
      <w:r w:rsidRPr="004476E8">
        <w:rPr>
          <w:rFonts w:ascii="Book Antiqua" w:eastAsia="Book Antiqua" w:hAnsi="Book Antiqua" w:cs="Book Antiqua"/>
          <w:color w:val="000000"/>
        </w:rPr>
        <w:t xml:space="preserve">, Eslami S, Abu-Hanna A, van der Voort P, de Lange DW, de Keizer N. Blood glucose amplitude variability as predictor for mortality in surgical and medical intensive care unit patients: a multicenter cohort study. </w:t>
      </w:r>
      <w:r w:rsidRPr="004476E8">
        <w:rPr>
          <w:rFonts w:ascii="Book Antiqua" w:eastAsia="Book Antiqua" w:hAnsi="Book Antiqua" w:cs="Book Antiqua"/>
          <w:i/>
          <w:iCs/>
          <w:color w:val="000000"/>
        </w:rPr>
        <w:t>J Crit Care</w:t>
      </w:r>
      <w:r w:rsidRPr="004476E8">
        <w:rPr>
          <w:rFonts w:ascii="Book Antiqua" w:eastAsia="Book Antiqua" w:hAnsi="Book Antiqua" w:cs="Book Antiqua"/>
          <w:color w:val="000000"/>
        </w:rPr>
        <w:t xml:space="preserve"> 2012; </w:t>
      </w:r>
      <w:r w:rsidRPr="004476E8">
        <w:rPr>
          <w:rFonts w:ascii="Book Antiqua" w:eastAsia="Book Antiqua" w:hAnsi="Book Antiqua" w:cs="Book Antiqua"/>
          <w:b/>
          <w:bCs/>
          <w:color w:val="000000"/>
        </w:rPr>
        <w:t>27</w:t>
      </w:r>
      <w:r w:rsidRPr="004476E8">
        <w:rPr>
          <w:rFonts w:ascii="Book Antiqua" w:eastAsia="Book Antiqua" w:hAnsi="Book Antiqua" w:cs="Book Antiqua"/>
          <w:color w:val="000000"/>
        </w:rPr>
        <w:t>: 119-124 [PMID: 22227079 DOI: 10.1016/j.jcrc.2011.11.004]</w:t>
      </w:r>
    </w:p>
    <w:p w14:paraId="32CCE009"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lastRenderedPageBreak/>
        <w:t xml:space="preserve">5 </w:t>
      </w:r>
      <w:r w:rsidRPr="004476E8">
        <w:rPr>
          <w:rFonts w:ascii="Book Antiqua" w:eastAsia="Book Antiqua" w:hAnsi="Book Antiqua" w:cs="Book Antiqua"/>
          <w:b/>
          <w:bCs/>
          <w:color w:val="000000"/>
        </w:rPr>
        <w:t>Ali NA</w:t>
      </w:r>
      <w:r w:rsidRPr="004476E8">
        <w:rPr>
          <w:rFonts w:ascii="Book Antiqua" w:eastAsia="Book Antiqua" w:hAnsi="Book Antiqua" w:cs="Book Antiqua"/>
          <w:color w:val="000000"/>
        </w:rPr>
        <w:t xml:space="preserve">, O'Brien JM Jr, Dungan K, Phillips G, Marsh CB, Lemeshow S, Connors AF Jr, Preiser JC. Glucose variability and mortality in patients with sepsis. </w:t>
      </w:r>
      <w:r w:rsidRPr="004476E8">
        <w:rPr>
          <w:rFonts w:ascii="Book Antiqua" w:eastAsia="Book Antiqua" w:hAnsi="Book Antiqua" w:cs="Book Antiqua"/>
          <w:i/>
          <w:iCs/>
          <w:color w:val="000000"/>
        </w:rPr>
        <w:t>Crit Care Med</w:t>
      </w:r>
      <w:r w:rsidRPr="004476E8">
        <w:rPr>
          <w:rFonts w:ascii="Book Antiqua" w:eastAsia="Book Antiqua" w:hAnsi="Book Antiqua" w:cs="Book Antiqua"/>
          <w:color w:val="000000"/>
        </w:rPr>
        <w:t xml:space="preserve"> 2008; </w:t>
      </w:r>
      <w:r w:rsidRPr="004476E8">
        <w:rPr>
          <w:rFonts w:ascii="Book Antiqua" w:eastAsia="Book Antiqua" w:hAnsi="Book Antiqua" w:cs="Book Antiqua"/>
          <w:b/>
          <w:bCs/>
          <w:color w:val="000000"/>
        </w:rPr>
        <w:t>36</w:t>
      </w:r>
      <w:r w:rsidRPr="004476E8">
        <w:rPr>
          <w:rFonts w:ascii="Book Antiqua" w:eastAsia="Book Antiqua" w:hAnsi="Book Antiqua" w:cs="Book Antiqua"/>
          <w:color w:val="000000"/>
        </w:rPr>
        <w:t>: 2316-2321 [PMID: 18596625 DOI: 10.1097/CCM.0b013e3181810378]</w:t>
      </w:r>
    </w:p>
    <w:p w14:paraId="78BB82B2"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6 </w:t>
      </w:r>
      <w:r w:rsidRPr="004476E8">
        <w:rPr>
          <w:rFonts w:ascii="Book Antiqua" w:eastAsia="Book Antiqua" w:hAnsi="Book Antiqua" w:cs="Book Antiqua"/>
          <w:b/>
          <w:bCs/>
          <w:color w:val="000000"/>
        </w:rPr>
        <w:t>Egi M</w:t>
      </w:r>
      <w:r w:rsidRPr="004476E8">
        <w:rPr>
          <w:rFonts w:ascii="Book Antiqua" w:eastAsia="Book Antiqua" w:hAnsi="Book Antiqua" w:cs="Book Antiqua"/>
          <w:color w:val="000000"/>
        </w:rPr>
        <w:t xml:space="preserve">, Bellomo R, Stachowski E, French CJ, Hart G. Variability of blood glucose concentration and short-term mortality in critically ill patients. </w:t>
      </w:r>
      <w:r w:rsidRPr="004476E8">
        <w:rPr>
          <w:rFonts w:ascii="Book Antiqua" w:eastAsia="Book Antiqua" w:hAnsi="Book Antiqua" w:cs="Book Antiqua"/>
          <w:i/>
          <w:iCs/>
          <w:color w:val="000000"/>
        </w:rPr>
        <w:t>Anesthesiology</w:t>
      </w:r>
      <w:r w:rsidRPr="004476E8">
        <w:rPr>
          <w:rFonts w:ascii="Book Antiqua" w:eastAsia="Book Antiqua" w:hAnsi="Book Antiqua" w:cs="Book Antiqua"/>
          <w:color w:val="000000"/>
        </w:rPr>
        <w:t xml:space="preserve"> 2006; </w:t>
      </w:r>
      <w:r w:rsidRPr="004476E8">
        <w:rPr>
          <w:rFonts w:ascii="Book Antiqua" w:eastAsia="Book Antiqua" w:hAnsi="Book Antiqua" w:cs="Book Antiqua"/>
          <w:b/>
          <w:bCs/>
          <w:color w:val="000000"/>
        </w:rPr>
        <w:t>105</w:t>
      </w:r>
      <w:r w:rsidRPr="004476E8">
        <w:rPr>
          <w:rFonts w:ascii="Book Antiqua" w:eastAsia="Book Antiqua" w:hAnsi="Book Antiqua" w:cs="Book Antiqua"/>
          <w:color w:val="000000"/>
        </w:rPr>
        <w:t>: 244-252 [PMID: 16871057 DOI: 10.1097/00000542-200608000-00006]</w:t>
      </w:r>
    </w:p>
    <w:p w14:paraId="4C91E72A"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7 </w:t>
      </w:r>
      <w:r w:rsidRPr="004476E8">
        <w:rPr>
          <w:rFonts w:ascii="Book Antiqua" w:eastAsia="Book Antiqua" w:hAnsi="Book Antiqua" w:cs="Book Antiqua"/>
          <w:b/>
          <w:bCs/>
          <w:color w:val="000000"/>
        </w:rPr>
        <w:t>Chen C</w:t>
      </w:r>
      <w:r w:rsidRPr="004476E8">
        <w:rPr>
          <w:rFonts w:ascii="Book Antiqua" w:eastAsia="Book Antiqua" w:hAnsi="Book Antiqua" w:cs="Book Antiqua"/>
          <w:color w:val="000000"/>
        </w:rPr>
        <w:t xml:space="preserve">, Zhao XL, Li ZH, Zhu ZG, Qian SH, Flewitt AJ. Current and Emerging Technology for Continuous Glucose Monitoring. </w:t>
      </w:r>
      <w:r w:rsidRPr="004476E8">
        <w:rPr>
          <w:rFonts w:ascii="Book Antiqua" w:eastAsia="Book Antiqua" w:hAnsi="Book Antiqua" w:cs="Book Antiqua"/>
          <w:i/>
          <w:iCs/>
          <w:color w:val="000000"/>
        </w:rPr>
        <w:t>Sensors (Basel)</w:t>
      </w:r>
      <w:r w:rsidRPr="004476E8">
        <w:rPr>
          <w:rFonts w:ascii="Book Antiqua" w:eastAsia="Book Antiqua" w:hAnsi="Book Antiqua" w:cs="Book Antiqua"/>
          <w:color w:val="000000"/>
        </w:rPr>
        <w:t xml:space="preserve"> 2017; </w:t>
      </w:r>
      <w:r w:rsidRPr="004476E8">
        <w:rPr>
          <w:rFonts w:ascii="Book Antiqua" w:eastAsia="Book Antiqua" w:hAnsi="Book Antiqua" w:cs="Book Antiqua"/>
          <w:b/>
          <w:bCs/>
          <w:color w:val="000000"/>
        </w:rPr>
        <w:t>17</w:t>
      </w:r>
      <w:r w:rsidRPr="004476E8">
        <w:rPr>
          <w:rFonts w:ascii="Book Antiqua" w:eastAsia="Book Antiqua" w:hAnsi="Book Antiqua" w:cs="Book Antiqua"/>
          <w:color w:val="000000"/>
        </w:rPr>
        <w:t xml:space="preserve"> [PMID: 28106820 DOI: 10.3390/s17010182]</w:t>
      </w:r>
    </w:p>
    <w:p w14:paraId="145E23E2"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8 </w:t>
      </w:r>
      <w:r w:rsidRPr="004476E8">
        <w:rPr>
          <w:rFonts w:ascii="Book Antiqua" w:eastAsia="Book Antiqua" w:hAnsi="Book Antiqua" w:cs="Book Antiqua"/>
          <w:b/>
          <w:bCs/>
          <w:color w:val="000000"/>
        </w:rPr>
        <w:t>Danne T</w:t>
      </w:r>
      <w:r w:rsidRPr="004476E8">
        <w:rPr>
          <w:rFonts w:ascii="Book Antiqua" w:eastAsia="Book Antiqua" w:hAnsi="Book Antiqua" w:cs="Book Antiqua"/>
          <w:color w:val="000000"/>
        </w:rPr>
        <w:t xml:space="preserve">, Nimri R, Battelino T, Bergenstal RM, Close KL, DeVries JH, Garg S, Heinemann L, Hirsch I, Amiel SA, Beck R, Bosi E, Buckingham B, Cobelli C, Dassau E, Doyle FJ 3rd, Heller S, Hovorka R, Jia W, Jones T, Kordonouri O, Kovatchev B, Kowalski A, Laffel L, Maahs D, Murphy HR, Nørgaard K, Parkin CG, Renard E, Saboo B, Scharf M, Tamborlane WV, Weinzimer SA, Phillip M. International Consensus on Use of Continuous Glucose Monitoring. </w:t>
      </w:r>
      <w:r w:rsidRPr="004476E8">
        <w:rPr>
          <w:rFonts w:ascii="Book Antiqua" w:eastAsia="Book Antiqua" w:hAnsi="Book Antiqua" w:cs="Book Antiqua"/>
          <w:i/>
          <w:iCs/>
          <w:color w:val="000000"/>
        </w:rPr>
        <w:t>Diabetes Care</w:t>
      </w:r>
      <w:r w:rsidRPr="004476E8">
        <w:rPr>
          <w:rFonts w:ascii="Book Antiqua" w:eastAsia="Book Antiqua" w:hAnsi="Book Antiqua" w:cs="Book Antiqua"/>
          <w:color w:val="000000"/>
        </w:rPr>
        <w:t xml:space="preserve"> 2017; </w:t>
      </w:r>
      <w:r w:rsidRPr="004476E8">
        <w:rPr>
          <w:rFonts w:ascii="Book Antiqua" w:eastAsia="Book Antiqua" w:hAnsi="Book Antiqua" w:cs="Book Antiqua"/>
          <w:b/>
          <w:bCs/>
          <w:color w:val="000000"/>
        </w:rPr>
        <w:t>40</w:t>
      </w:r>
      <w:r w:rsidRPr="004476E8">
        <w:rPr>
          <w:rFonts w:ascii="Book Antiqua" w:eastAsia="Book Antiqua" w:hAnsi="Book Antiqua" w:cs="Book Antiqua"/>
          <w:color w:val="000000"/>
        </w:rPr>
        <w:t>: 1631-1640 [PMID: 29162583 DOI: 10.2337/dc17-1600]</w:t>
      </w:r>
    </w:p>
    <w:p w14:paraId="7A933E9C"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9 </w:t>
      </w:r>
      <w:r w:rsidRPr="004476E8">
        <w:rPr>
          <w:rFonts w:ascii="Book Antiqua" w:eastAsia="Book Antiqua" w:hAnsi="Book Antiqua" w:cs="Book Antiqua"/>
          <w:b/>
          <w:bCs/>
          <w:color w:val="000000"/>
        </w:rPr>
        <w:t>Chee F</w:t>
      </w:r>
      <w:r w:rsidRPr="004476E8">
        <w:rPr>
          <w:rFonts w:ascii="Book Antiqua" w:eastAsia="Book Antiqua" w:hAnsi="Book Antiqua" w:cs="Book Antiqua"/>
          <w:color w:val="000000"/>
        </w:rPr>
        <w:t xml:space="preserve">, Fernando T, van Heerden PV. Closed-loop glucose control in critically ill patients using continuous glucose monitoring system (CGMS) in real time. </w:t>
      </w:r>
      <w:r w:rsidRPr="004476E8">
        <w:rPr>
          <w:rFonts w:ascii="Book Antiqua" w:eastAsia="Book Antiqua" w:hAnsi="Book Antiqua" w:cs="Book Antiqua"/>
          <w:i/>
          <w:iCs/>
          <w:color w:val="000000"/>
        </w:rPr>
        <w:t>IEEE Trans Inf Technol Biomed</w:t>
      </w:r>
      <w:r w:rsidRPr="004476E8">
        <w:rPr>
          <w:rFonts w:ascii="Book Antiqua" w:eastAsia="Book Antiqua" w:hAnsi="Book Antiqua" w:cs="Book Antiqua"/>
          <w:color w:val="000000"/>
        </w:rPr>
        <w:t xml:space="preserve"> 2003; </w:t>
      </w:r>
      <w:r w:rsidRPr="004476E8">
        <w:rPr>
          <w:rFonts w:ascii="Book Antiqua" w:eastAsia="Book Antiqua" w:hAnsi="Book Antiqua" w:cs="Book Antiqua"/>
          <w:b/>
          <w:bCs/>
          <w:color w:val="000000"/>
        </w:rPr>
        <w:t>7</w:t>
      </w:r>
      <w:r w:rsidRPr="004476E8">
        <w:rPr>
          <w:rFonts w:ascii="Book Antiqua" w:eastAsia="Book Antiqua" w:hAnsi="Book Antiqua" w:cs="Book Antiqua"/>
          <w:color w:val="000000"/>
        </w:rPr>
        <w:t>: 43-53 [PMID: 12670018 DOI: 10.1109/titb.2003.808509]</w:t>
      </w:r>
    </w:p>
    <w:p w14:paraId="7DD5D8A2"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10 </w:t>
      </w:r>
      <w:r w:rsidRPr="004476E8">
        <w:rPr>
          <w:rFonts w:ascii="Book Antiqua" w:eastAsia="Book Antiqua" w:hAnsi="Book Antiqua" w:cs="Book Antiqua"/>
          <w:b/>
          <w:bCs/>
          <w:color w:val="000000"/>
        </w:rPr>
        <w:t>Wang YY</w:t>
      </w:r>
      <w:r w:rsidRPr="004476E8">
        <w:rPr>
          <w:rFonts w:ascii="Book Antiqua" w:eastAsia="Book Antiqua" w:hAnsi="Book Antiqua" w:cs="Book Antiqua"/>
          <w:color w:val="000000"/>
        </w:rPr>
        <w:t xml:space="preserve">, Hu SF, Ying HM, Chen L, Li HL, Tian F, Zhou ZF. Postoperative tight glycemic control significantly reduces postoperative infection rates in patients undergoing surgery: a meta-analysis. </w:t>
      </w:r>
      <w:r w:rsidRPr="004476E8">
        <w:rPr>
          <w:rFonts w:ascii="Book Antiqua" w:eastAsia="Book Antiqua" w:hAnsi="Book Antiqua" w:cs="Book Antiqua"/>
          <w:i/>
          <w:iCs/>
          <w:color w:val="000000"/>
        </w:rPr>
        <w:t>BMC Endocr Disord</w:t>
      </w:r>
      <w:r w:rsidRPr="004476E8">
        <w:rPr>
          <w:rFonts w:ascii="Book Antiqua" w:eastAsia="Book Antiqua" w:hAnsi="Book Antiqua" w:cs="Book Antiqua"/>
          <w:color w:val="000000"/>
        </w:rPr>
        <w:t xml:space="preserve"> 2018; </w:t>
      </w:r>
      <w:r w:rsidRPr="004476E8">
        <w:rPr>
          <w:rFonts w:ascii="Book Antiqua" w:eastAsia="Book Antiqua" w:hAnsi="Book Antiqua" w:cs="Book Antiqua"/>
          <w:b/>
          <w:bCs/>
          <w:color w:val="000000"/>
        </w:rPr>
        <w:t>18</w:t>
      </w:r>
      <w:r w:rsidRPr="004476E8">
        <w:rPr>
          <w:rFonts w:ascii="Book Antiqua" w:eastAsia="Book Antiqua" w:hAnsi="Book Antiqua" w:cs="Book Antiqua"/>
          <w:color w:val="000000"/>
        </w:rPr>
        <w:t>: 42 [PMID: 29929558 DOI: 10.1186/s12902-018-0268-9]</w:t>
      </w:r>
    </w:p>
    <w:p w14:paraId="0FE4C9B2"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11 </w:t>
      </w:r>
      <w:r w:rsidRPr="004476E8">
        <w:rPr>
          <w:rFonts w:ascii="Book Antiqua" w:eastAsia="Book Antiqua" w:hAnsi="Book Antiqua" w:cs="Book Antiqua"/>
          <w:b/>
          <w:bCs/>
          <w:color w:val="000000"/>
        </w:rPr>
        <w:t>Clain J</w:t>
      </w:r>
      <w:r w:rsidRPr="004476E8">
        <w:rPr>
          <w:rFonts w:ascii="Book Antiqua" w:eastAsia="Book Antiqua" w:hAnsi="Book Antiqua" w:cs="Book Antiqua"/>
          <w:color w:val="000000"/>
        </w:rPr>
        <w:t xml:space="preserve">, Ramar K, Surani SR. Glucose control in critical care. </w:t>
      </w:r>
      <w:r w:rsidRPr="004476E8">
        <w:rPr>
          <w:rFonts w:ascii="Book Antiqua" w:eastAsia="Book Antiqua" w:hAnsi="Book Antiqua" w:cs="Book Antiqua"/>
          <w:i/>
          <w:iCs/>
          <w:color w:val="000000"/>
        </w:rPr>
        <w:t>World J Diabetes</w:t>
      </w:r>
      <w:r w:rsidRPr="004476E8">
        <w:rPr>
          <w:rFonts w:ascii="Book Antiqua" w:eastAsia="Book Antiqua" w:hAnsi="Book Antiqua" w:cs="Book Antiqua"/>
          <w:color w:val="000000"/>
        </w:rPr>
        <w:t xml:space="preserve"> 2015; </w:t>
      </w:r>
      <w:r w:rsidRPr="004476E8">
        <w:rPr>
          <w:rFonts w:ascii="Book Antiqua" w:eastAsia="Book Antiqua" w:hAnsi="Book Antiqua" w:cs="Book Antiqua"/>
          <w:b/>
          <w:bCs/>
          <w:color w:val="000000"/>
        </w:rPr>
        <w:t>6</w:t>
      </w:r>
      <w:r w:rsidRPr="004476E8">
        <w:rPr>
          <w:rFonts w:ascii="Book Antiqua" w:eastAsia="Book Antiqua" w:hAnsi="Book Antiqua" w:cs="Book Antiqua"/>
          <w:color w:val="000000"/>
        </w:rPr>
        <w:t>: 1082-1091 [PMID: 26265994 DOI: 10.4239/wjd.v6.i9.1082]</w:t>
      </w:r>
    </w:p>
    <w:p w14:paraId="571A7B78"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12 </w:t>
      </w:r>
      <w:r w:rsidRPr="004476E8">
        <w:rPr>
          <w:rFonts w:ascii="Book Antiqua" w:eastAsia="Book Antiqua" w:hAnsi="Book Antiqua" w:cs="Book Antiqua"/>
          <w:b/>
          <w:bCs/>
          <w:color w:val="000000"/>
        </w:rPr>
        <w:t>Egi M</w:t>
      </w:r>
      <w:r w:rsidRPr="004476E8">
        <w:rPr>
          <w:rFonts w:ascii="Book Antiqua" w:eastAsia="Book Antiqua" w:hAnsi="Book Antiqua" w:cs="Book Antiqua"/>
          <w:color w:val="000000"/>
        </w:rPr>
        <w:t xml:space="preserve">, Bellomo R, Stachowski E, French CJ, Hart GK, Taori G, Hegarty C, Bailey M. Hypoglycemia and outcome in critically ill patients. </w:t>
      </w:r>
      <w:r w:rsidRPr="004476E8">
        <w:rPr>
          <w:rFonts w:ascii="Book Antiqua" w:eastAsia="Book Antiqua" w:hAnsi="Book Antiqua" w:cs="Book Antiqua"/>
          <w:i/>
          <w:iCs/>
          <w:color w:val="000000"/>
        </w:rPr>
        <w:t>Mayo Clin Proc</w:t>
      </w:r>
      <w:r w:rsidRPr="004476E8">
        <w:rPr>
          <w:rFonts w:ascii="Book Antiqua" w:eastAsia="Book Antiqua" w:hAnsi="Book Antiqua" w:cs="Book Antiqua"/>
          <w:color w:val="000000"/>
        </w:rPr>
        <w:t xml:space="preserve"> 2010; </w:t>
      </w:r>
      <w:r w:rsidRPr="004476E8">
        <w:rPr>
          <w:rFonts w:ascii="Book Antiqua" w:eastAsia="Book Antiqua" w:hAnsi="Book Antiqua" w:cs="Book Antiqua"/>
          <w:b/>
          <w:bCs/>
          <w:color w:val="000000"/>
        </w:rPr>
        <w:t>85</w:t>
      </w:r>
      <w:r w:rsidRPr="004476E8">
        <w:rPr>
          <w:rFonts w:ascii="Book Antiqua" w:eastAsia="Book Antiqua" w:hAnsi="Book Antiqua" w:cs="Book Antiqua"/>
          <w:color w:val="000000"/>
        </w:rPr>
        <w:t>: 217-224 [PMID: 20176928 DOI: 10.4065/mcp.2009.0394]</w:t>
      </w:r>
    </w:p>
    <w:p w14:paraId="2DFF8136"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lastRenderedPageBreak/>
        <w:t xml:space="preserve">13 </w:t>
      </w:r>
      <w:r w:rsidRPr="004476E8">
        <w:rPr>
          <w:rFonts w:ascii="Book Antiqua" w:eastAsia="Book Antiqua" w:hAnsi="Book Antiqua" w:cs="Book Antiqua"/>
          <w:b/>
          <w:bCs/>
          <w:color w:val="000000"/>
        </w:rPr>
        <w:t>Kalfon P</w:t>
      </w:r>
      <w:r w:rsidRPr="004476E8">
        <w:rPr>
          <w:rFonts w:ascii="Book Antiqua" w:eastAsia="Book Antiqua" w:hAnsi="Book Antiqua" w:cs="Book Antiqua"/>
          <w:color w:val="000000"/>
        </w:rPr>
        <w:t xml:space="preserve">, Le Manach Y, Ichai C, Bréchot N, Cinotti R, Dequin PF, Riu-Poulenc B, Montravers P, Annane D, Dupont H, Sorine M, Riou B; CGAO-REA Study Group. Severe and multiple hypoglycemic episodes are associated with increased risk of death in ICU patients. </w:t>
      </w:r>
      <w:r w:rsidRPr="004476E8">
        <w:rPr>
          <w:rFonts w:ascii="Book Antiqua" w:eastAsia="Book Antiqua" w:hAnsi="Book Antiqua" w:cs="Book Antiqua"/>
          <w:i/>
          <w:iCs/>
          <w:color w:val="000000"/>
        </w:rPr>
        <w:t>Crit Care</w:t>
      </w:r>
      <w:r w:rsidRPr="004476E8">
        <w:rPr>
          <w:rFonts w:ascii="Book Antiqua" w:eastAsia="Book Antiqua" w:hAnsi="Book Antiqua" w:cs="Book Antiqua"/>
          <w:color w:val="000000"/>
        </w:rPr>
        <w:t xml:space="preserve"> 2015; </w:t>
      </w:r>
      <w:r w:rsidRPr="004476E8">
        <w:rPr>
          <w:rFonts w:ascii="Book Antiqua" w:eastAsia="Book Antiqua" w:hAnsi="Book Antiqua" w:cs="Book Antiqua"/>
          <w:b/>
          <w:bCs/>
          <w:color w:val="000000"/>
        </w:rPr>
        <w:t>19</w:t>
      </w:r>
      <w:r w:rsidRPr="004476E8">
        <w:rPr>
          <w:rFonts w:ascii="Book Antiqua" w:eastAsia="Book Antiqua" w:hAnsi="Book Antiqua" w:cs="Book Antiqua"/>
          <w:color w:val="000000"/>
        </w:rPr>
        <w:t>: 153 [PMID: 25888011 DOI: 10.1186/s13054-015-0851-7]</w:t>
      </w:r>
    </w:p>
    <w:p w14:paraId="3E0CCD8F"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14 </w:t>
      </w:r>
      <w:r w:rsidRPr="004476E8">
        <w:rPr>
          <w:rFonts w:ascii="Book Antiqua" w:eastAsia="Book Antiqua" w:hAnsi="Book Antiqua" w:cs="Book Antiqua"/>
          <w:b/>
          <w:bCs/>
          <w:color w:val="000000"/>
        </w:rPr>
        <w:t>Holzinger U</w:t>
      </w:r>
      <w:r w:rsidRPr="004476E8">
        <w:rPr>
          <w:rFonts w:ascii="Book Antiqua" w:eastAsia="Book Antiqua" w:hAnsi="Book Antiqua" w:cs="Book Antiqua"/>
          <w:color w:val="000000"/>
        </w:rPr>
        <w:t xml:space="preserve">, Warszawska J, Kitzberger R, Wewalka M, Miehsler W, Herkner H, Madl C. Real-time continuous glucose monitoring in critically ill patients: a prospective randomized trial. </w:t>
      </w:r>
      <w:r w:rsidRPr="004476E8">
        <w:rPr>
          <w:rFonts w:ascii="Book Antiqua" w:eastAsia="Book Antiqua" w:hAnsi="Book Antiqua" w:cs="Book Antiqua"/>
          <w:i/>
          <w:iCs/>
          <w:color w:val="000000"/>
        </w:rPr>
        <w:t>Diabetes Care</w:t>
      </w:r>
      <w:r w:rsidRPr="004476E8">
        <w:rPr>
          <w:rFonts w:ascii="Book Antiqua" w:eastAsia="Book Antiqua" w:hAnsi="Book Antiqua" w:cs="Book Antiqua"/>
          <w:color w:val="000000"/>
        </w:rPr>
        <w:t xml:space="preserve"> 2010; </w:t>
      </w:r>
      <w:r w:rsidRPr="004476E8">
        <w:rPr>
          <w:rFonts w:ascii="Book Antiqua" w:eastAsia="Book Antiqua" w:hAnsi="Book Antiqua" w:cs="Book Antiqua"/>
          <w:b/>
          <w:bCs/>
          <w:color w:val="000000"/>
        </w:rPr>
        <w:t>33</w:t>
      </w:r>
      <w:r w:rsidRPr="004476E8">
        <w:rPr>
          <w:rFonts w:ascii="Book Antiqua" w:eastAsia="Book Antiqua" w:hAnsi="Book Antiqua" w:cs="Book Antiqua"/>
          <w:color w:val="000000"/>
        </w:rPr>
        <w:t>: 467-472 [PMID: 20007948 DOI: 10.2337/dc09-1352]</w:t>
      </w:r>
    </w:p>
    <w:p w14:paraId="0C36B1BB"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15 </w:t>
      </w:r>
      <w:r w:rsidRPr="004476E8">
        <w:rPr>
          <w:rFonts w:ascii="Book Antiqua" w:eastAsia="Book Antiqua" w:hAnsi="Book Antiqua" w:cs="Book Antiqua"/>
          <w:b/>
          <w:bCs/>
          <w:color w:val="000000"/>
        </w:rPr>
        <w:t>Krinsley JS</w:t>
      </w:r>
      <w:r w:rsidRPr="004476E8">
        <w:rPr>
          <w:rFonts w:ascii="Book Antiqua" w:eastAsia="Book Antiqua" w:hAnsi="Book Antiqua" w:cs="Book Antiqua"/>
          <w:color w:val="000000"/>
        </w:rPr>
        <w:t xml:space="preserve">. Glycemic variability: a strong independent predictor of mortality in critically ill patients. </w:t>
      </w:r>
      <w:r w:rsidRPr="004476E8">
        <w:rPr>
          <w:rFonts w:ascii="Book Antiqua" w:eastAsia="Book Antiqua" w:hAnsi="Book Antiqua" w:cs="Book Antiqua"/>
          <w:i/>
          <w:iCs/>
          <w:color w:val="000000"/>
        </w:rPr>
        <w:t>Crit Care Med</w:t>
      </w:r>
      <w:r w:rsidRPr="004476E8">
        <w:rPr>
          <w:rFonts w:ascii="Book Antiqua" w:eastAsia="Book Antiqua" w:hAnsi="Book Antiqua" w:cs="Book Antiqua"/>
          <w:color w:val="000000"/>
        </w:rPr>
        <w:t xml:space="preserve"> 2008; </w:t>
      </w:r>
      <w:r w:rsidRPr="004476E8">
        <w:rPr>
          <w:rFonts w:ascii="Book Antiqua" w:eastAsia="Book Antiqua" w:hAnsi="Book Antiqua" w:cs="Book Antiqua"/>
          <w:b/>
          <w:bCs/>
          <w:color w:val="000000"/>
        </w:rPr>
        <w:t>36</w:t>
      </w:r>
      <w:r w:rsidRPr="004476E8">
        <w:rPr>
          <w:rFonts w:ascii="Book Antiqua" w:eastAsia="Book Antiqua" w:hAnsi="Book Antiqua" w:cs="Book Antiqua"/>
          <w:color w:val="000000"/>
        </w:rPr>
        <w:t>: 3008-3013 [PMID: 18824908 DOI: 10.1097/CCM.0b013e31818b38d2]</w:t>
      </w:r>
    </w:p>
    <w:p w14:paraId="294D110D"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16 </w:t>
      </w:r>
      <w:r w:rsidRPr="004476E8">
        <w:rPr>
          <w:rFonts w:ascii="Book Antiqua" w:eastAsia="Book Antiqua" w:hAnsi="Book Antiqua" w:cs="Book Antiqua"/>
          <w:b/>
          <w:bCs/>
          <w:color w:val="000000"/>
        </w:rPr>
        <w:t>Reutrakul S</w:t>
      </w:r>
      <w:r w:rsidRPr="004476E8">
        <w:rPr>
          <w:rFonts w:ascii="Book Antiqua" w:eastAsia="Book Antiqua" w:hAnsi="Book Antiqua" w:cs="Book Antiqua"/>
          <w:color w:val="000000"/>
        </w:rPr>
        <w:t xml:space="preserve">, Genco M, Salinas H, Sargis RM, Paul C, Eisenberg Y, Fang J, Caskey RN, Henkle S, Fatoorehchi S, Osta A, Srivastava P, Johnson A, Messmer SE, Barnes M, Pratuangtham S, Layden BT. Feasibility of Inpatient Continuous Glucose Monitoring During the COVID-19 Pandemic: Early Experience. </w:t>
      </w:r>
      <w:r w:rsidRPr="004476E8">
        <w:rPr>
          <w:rFonts w:ascii="Book Antiqua" w:eastAsia="Book Antiqua" w:hAnsi="Book Antiqua" w:cs="Book Antiqua"/>
          <w:i/>
          <w:iCs/>
          <w:color w:val="000000"/>
        </w:rPr>
        <w:t>Diabetes Care</w:t>
      </w:r>
      <w:r w:rsidRPr="004476E8">
        <w:rPr>
          <w:rFonts w:ascii="Book Antiqua" w:eastAsia="Book Antiqua" w:hAnsi="Book Antiqua" w:cs="Book Antiqua"/>
          <w:color w:val="000000"/>
        </w:rPr>
        <w:t xml:space="preserve"> 2020; </w:t>
      </w:r>
      <w:r w:rsidRPr="004476E8">
        <w:rPr>
          <w:rFonts w:ascii="Book Antiqua" w:eastAsia="Book Antiqua" w:hAnsi="Book Antiqua" w:cs="Book Antiqua"/>
          <w:b/>
          <w:bCs/>
          <w:color w:val="000000"/>
        </w:rPr>
        <w:t>43</w:t>
      </w:r>
      <w:r w:rsidRPr="004476E8">
        <w:rPr>
          <w:rFonts w:ascii="Book Antiqua" w:eastAsia="Book Antiqua" w:hAnsi="Book Antiqua" w:cs="Book Antiqua"/>
          <w:color w:val="000000"/>
        </w:rPr>
        <w:t>: e137-e138 [PMID: 32769129 DOI: 10.2337/dc20-1503]</w:t>
      </w:r>
    </w:p>
    <w:p w14:paraId="0C93E975"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17 </w:t>
      </w:r>
      <w:r w:rsidRPr="004476E8">
        <w:rPr>
          <w:rFonts w:ascii="Book Antiqua" w:eastAsia="Book Antiqua" w:hAnsi="Book Antiqua" w:cs="Book Antiqua"/>
          <w:b/>
          <w:bCs/>
          <w:color w:val="000000"/>
        </w:rPr>
        <w:t>De Block CE</w:t>
      </w:r>
      <w:r w:rsidRPr="004476E8">
        <w:rPr>
          <w:rFonts w:ascii="Book Antiqua" w:eastAsia="Book Antiqua" w:hAnsi="Book Antiqua" w:cs="Book Antiqua"/>
          <w:color w:val="000000"/>
        </w:rPr>
        <w:t xml:space="preserve">, Gios J, Verheyen N, Manuel-y-Keenoy B, Rogiers P, Jorens PG, Scuffi C, Van Gaal LF. Randomized Evaluation of Glycemic Control in the Medical Intensive Care Unit Using Real-Time Continuous Glucose Monitoring (REGIMEN Trial). </w:t>
      </w:r>
      <w:r w:rsidRPr="004476E8">
        <w:rPr>
          <w:rFonts w:ascii="Book Antiqua" w:eastAsia="Book Antiqua" w:hAnsi="Book Antiqua" w:cs="Book Antiqua"/>
          <w:i/>
          <w:iCs/>
          <w:color w:val="000000"/>
        </w:rPr>
        <w:t>Diabetes Technol Ther</w:t>
      </w:r>
      <w:r w:rsidRPr="004476E8">
        <w:rPr>
          <w:rFonts w:ascii="Book Antiqua" w:eastAsia="Book Antiqua" w:hAnsi="Book Antiqua" w:cs="Book Antiqua"/>
          <w:color w:val="000000"/>
        </w:rPr>
        <w:t xml:space="preserve"> 2015; </w:t>
      </w:r>
      <w:r w:rsidRPr="004476E8">
        <w:rPr>
          <w:rFonts w:ascii="Book Antiqua" w:eastAsia="Book Antiqua" w:hAnsi="Book Antiqua" w:cs="Book Antiqua"/>
          <w:b/>
          <w:bCs/>
          <w:color w:val="000000"/>
        </w:rPr>
        <w:t>17</w:t>
      </w:r>
      <w:r w:rsidRPr="004476E8">
        <w:rPr>
          <w:rFonts w:ascii="Book Antiqua" w:eastAsia="Book Antiqua" w:hAnsi="Book Antiqua" w:cs="Book Antiqua"/>
          <w:color w:val="000000"/>
        </w:rPr>
        <w:t>: 889-898 [PMID: 26305390 DOI: 10.1089/dia.2015.0151]</w:t>
      </w:r>
    </w:p>
    <w:p w14:paraId="216FD6CB"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18 </w:t>
      </w:r>
      <w:r w:rsidRPr="004476E8">
        <w:rPr>
          <w:rFonts w:ascii="Book Antiqua" w:eastAsia="Book Antiqua" w:hAnsi="Book Antiqua" w:cs="Book Antiqua"/>
          <w:b/>
          <w:bCs/>
          <w:color w:val="000000"/>
        </w:rPr>
        <w:t>Vettoretti M</w:t>
      </w:r>
      <w:r w:rsidRPr="004476E8">
        <w:rPr>
          <w:rFonts w:ascii="Book Antiqua" w:eastAsia="Book Antiqua" w:hAnsi="Book Antiqua" w:cs="Book Antiqua"/>
          <w:color w:val="000000"/>
        </w:rPr>
        <w:t xml:space="preserve">, Cappon G, Facchinetti A, Sparacino G. Advanced Diabetes Management Using Artificial Intelligence and Continuous Glucose Monitoring Sensors. </w:t>
      </w:r>
      <w:r w:rsidRPr="004476E8">
        <w:rPr>
          <w:rFonts w:ascii="Book Antiqua" w:eastAsia="Book Antiqua" w:hAnsi="Book Antiqua" w:cs="Book Antiqua"/>
          <w:i/>
          <w:iCs/>
          <w:color w:val="000000"/>
        </w:rPr>
        <w:t>Sensors (Basel)</w:t>
      </w:r>
      <w:r w:rsidRPr="004476E8">
        <w:rPr>
          <w:rFonts w:ascii="Book Antiqua" w:eastAsia="Book Antiqua" w:hAnsi="Book Antiqua" w:cs="Book Antiqua"/>
          <w:color w:val="000000"/>
        </w:rPr>
        <w:t xml:space="preserve"> 2020; </w:t>
      </w:r>
      <w:r w:rsidRPr="004476E8">
        <w:rPr>
          <w:rFonts w:ascii="Book Antiqua" w:eastAsia="Book Antiqua" w:hAnsi="Book Antiqua" w:cs="Book Antiqua"/>
          <w:b/>
          <w:bCs/>
          <w:color w:val="000000"/>
        </w:rPr>
        <w:t>20</w:t>
      </w:r>
      <w:r w:rsidRPr="004476E8">
        <w:rPr>
          <w:rFonts w:ascii="Book Antiqua" w:eastAsia="Book Antiqua" w:hAnsi="Book Antiqua" w:cs="Book Antiqua"/>
          <w:color w:val="000000"/>
        </w:rPr>
        <w:t xml:space="preserve"> [PMID: 32664432 DOI: 10.3390/s20143870]</w:t>
      </w:r>
    </w:p>
    <w:p w14:paraId="5A8FE071" w14:textId="77777777" w:rsidR="00D164CC" w:rsidRPr="004476E8" w:rsidRDefault="00D164CC" w:rsidP="00D164CC">
      <w:pPr>
        <w:spacing w:line="360" w:lineRule="auto"/>
        <w:jc w:val="both"/>
        <w:rPr>
          <w:rFonts w:ascii="Book Antiqua" w:eastAsia="Book Antiqua" w:hAnsi="Book Antiqua" w:cs="Book Antiqua"/>
          <w:color w:val="000000"/>
        </w:rPr>
      </w:pPr>
      <w:r w:rsidRPr="004476E8">
        <w:rPr>
          <w:rFonts w:ascii="Book Antiqua" w:eastAsia="Book Antiqua" w:hAnsi="Book Antiqua" w:cs="Book Antiqua"/>
          <w:color w:val="000000"/>
        </w:rPr>
        <w:t xml:space="preserve">19 </w:t>
      </w:r>
      <w:r w:rsidRPr="004476E8">
        <w:rPr>
          <w:rFonts w:ascii="Book Antiqua" w:eastAsia="Book Antiqua" w:hAnsi="Book Antiqua" w:cs="Book Antiqua"/>
          <w:b/>
          <w:bCs/>
          <w:color w:val="000000"/>
        </w:rPr>
        <w:t>Freckmann G</w:t>
      </w:r>
      <w:r w:rsidRPr="004476E8">
        <w:rPr>
          <w:rFonts w:ascii="Book Antiqua" w:eastAsia="Book Antiqua" w:hAnsi="Book Antiqua" w:cs="Book Antiqua"/>
          <w:color w:val="000000"/>
        </w:rPr>
        <w:t xml:space="preserve">, Link M, Kamecke U, Haug C, Baumgartner B, Weitgasser R. Performance and Usability of Three Systems for Continuous Glucose Monitoring in Direct Comparison. </w:t>
      </w:r>
      <w:r w:rsidRPr="004476E8">
        <w:rPr>
          <w:rFonts w:ascii="Book Antiqua" w:eastAsia="Book Antiqua" w:hAnsi="Book Antiqua" w:cs="Book Antiqua"/>
          <w:i/>
          <w:iCs/>
          <w:color w:val="000000"/>
        </w:rPr>
        <w:t>J Diabetes Sci Technol</w:t>
      </w:r>
      <w:r w:rsidRPr="004476E8">
        <w:rPr>
          <w:rFonts w:ascii="Book Antiqua" w:eastAsia="Book Antiqua" w:hAnsi="Book Antiqua" w:cs="Book Antiqua"/>
          <w:color w:val="000000"/>
        </w:rPr>
        <w:t xml:space="preserve"> 2019; </w:t>
      </w:r>
      <w:r w:rsidRPr="004476E8">
        <w:rPr>
          <w:rFonts w:ascii="Book Antiqua" w:eastAsia="Book Antiqua" w:hAnsi="Book Antiqua" w:cs="Book Antiqua"/>
          <w:b/>
          <w:bCs/>
          <w:color w:val="000000"/>
        </w:rPr>
        <w:t>13</w:t>
      </w:r>
      <w:r w:rsidRPr="004476E8">
        <w:rPr>
          <w:rFonts w:ascii="Book Antiqua" w:eastAsia="Book Antiqua" w:hAnsi="Book Antiqua" w:cs="Book Antiqua"/>
          <w:color w:val="000000"/>
        </w:rPr>
        <w:t>: 890-898 [PMID: 30730229 DOI: 10.1177/1932296819826965]</w:t>
      </w:r>
    </w:p>
    <w:p w14:paraId="5CA23FD1" w14:textId="77777777" w:rsidR="00A77B3E" w:rsidRPr="004476E8" w:rsidRDefault="00D164CC" w:rsidP="00E376EB">
      <w:pPr>
        <w:spacing w:line="360" w:lineRule="auto"/>
        <w:jc w:val="both"/>
        <w:rPr>
          <w:rFonts w:ascii="Book Antiqua" w:hAnsi="Book Antiqua"/>
        </w:rPr>
      </w:pPr>
      <w:r w:rsidRPr="004476E8">
        <w:rPr>
          <w:rFonts w:ascii="Book Antiqua" w:eastAsia="Book Antiqua" w:hAnsi="Book Antiqua" w:cs="Book Antiqua"/>
          <w:color w:val="000000"/>
        </w:rPr>
        <w:t xml:space="preserve">20 </w:t>
      </w:r>
      <w:r w:rsidRPr="004476E8">
        <w:rPr>
          <w:rFonts w:ascii="Book Antiqua" w:eastAsia="Book Antiqua" w:hAnsi="Book Antiqua" w:cs="Book Antiqua"/>
          <w:bCs/>
          <w:color w:val="000000"/>
        </w:rPr>
        <w:t>Noninvasive,</w:t>
      </w:r>
      <w:r w:rsidRPr="004476E8">
        <w:rPr>
          <w:rFonts w:ascii="Book Antiqua" w:eastAsia="Book Antiqua" w:hAnsi="Book Antiqua" w:cs="Book Antiqua"/>
          <w:color w:val="000000"/>
        </w:rPr>
        <w:t xml:space="preserve"> Low Cost CGM for Type 2 Diabetes Coming in US and EU [Internet]. </w:t>
      </w:r>
      <w:r w:rsidR="004F3A54" w:rsidRPr="004476E8">
        <w:rPr>
          <w:rFonts w:ascii="Book Antiqua" w:eastAsia="Book Antiqua" w:hAnsi="Book Antiqua" w:cs="Book Antiqua"/>
          <w:color w:val="000000"/>
        </w:rPr>
        <w:t>[cited 5</w:t>
      </w:r>
      <w:r w:rsidR="004F3A54" w:rsidRPr="004476E8">
        <w:rPr>
          <w:rFonts w:ascii="Book Antiqua" w:hAnsi="Book Antiqua" w:cs="Book Antiqua" w:hint="eastAsia"/>
          <w:color w:val="000000"/>
          <w:lang w:eastAsia="zh-CN"/>
        </w:rPr>
        <w:t xml:space="preserve"> </w:t>
      </w:r>
      <w:r w:rsidR="00B2785C" w:rsidRPr="004476E8">
        <w:rPr>
          <w:rFonts w:ascii="Book Antiqua" w:hAnsi="Book Antiqua" w:cs="Book Antiqua" w:hint="eastAsia"/>
          <w:color w:val="000000"/>
          <w:lang w:eastAsia="zh-CN"/>
        </w:rPr>
        <w:t xml:space="preserve">December </w:t>
      </w:r>
      <w:r w:rsidR="004F3A54" w:rsidRPr="004476E8">
        <w:rPr>
          <w:rFonts w:ascii="Book Antiqua" w:eastAsia="Book Antiqua" w:hAnsi="Book Antiqua" w:cs="Book Antiqua"/>
          <w:color w:val="000000"/>
        </w:rPr>
        <w:t>2020]</w:t>
      </w:r>
      <w:r w:rsidR="00B2785C" w:rsidRPr="004476E8">
        <w:rPr>
          <w:rFonts w:ascii="Book Antiqua" w:hAnsi="Book Antiqua" w:cs="Book Antiqua" w:hint="eastAsia"/>
          <w:color w:val="000000"/>
          <w:lang w:eastAsia="zh-CN"/>
        </w:rPr>
        <w:t xml:space="preserve">. </w:t>
      </w:r>
      <w:r w:rsidR="004F3A54" w:rsidRPr="004476E8">
        <w:rPr>
          <w:rFonts w:ascii="Book Antiqua" w:eastAsia="Book Antiqua" w:hAnsi="Book Antiqua" w:cs="Book Antiqua"/>
          <w:color w:val="000000"/>
        </w:rPr>
        <w:t xml:space="preserve">Available from: </w:t>
      </w:r>
      <w:r w:rsidR="004F3A54" w:rsidRPr="004476E8">
        <w:rPr>
          <w:rFonts w:ascii="Book Antiqua" w:eastAsia="Book Antiqua" w:hAnsi="Book Antiqua" w:cs="Book Antiqua"/>
          <w:color w:val="000000"/>
        </w:rPr>
        <w:lastRenderedPageBreak/>
        <w:t>https://www.medscape.com/viewarticle/941851?nlid=138558_4961&amp;src=WNL_mdplsnews_201204_mscpedit_card&amp;uac=252983MK&amp;spon=2&amp;impID=2716352&amp;faf=1#vp_2</w:t>
      </w:r>
    </w:p>
    <w:bookmarkEnd w:id="4"/>
    <w:p w14:paraId="57771CED" w14:textId="77777777" w:rsidR="00A77B3E" w:rsidRPr="004476E8" w:rsidRDefault="00A77B3E" w:rsidP="00E376EB">
      <w:pPr>
        <w:spacing w:line="360" w:lineRule="auto"/>
        <w:jc w:val="both"/>
        <w:rPr>
          <w:rFonts w:ascii="Book Antiqua" w:hAnsi="Book Antiqua"/>
        </w:rPr>
        <w:sectPr w:rsidR="00A77B3E" w:rsidRPr="004476E8">
          <w:pgSz w:w="12240" w:h="15840"/>
          <w:pgMar w:top="1440" w:right="1440" w:bottom="1440" w:left="1440" w:header="720" w:footer="720" w:gutter="0"/>
          <w:cols w:space="720"/>
          <w:docGrid w:linePitch="360"/>
        </w:sectPr>
      </w:pPr>
    </w:p>
    <w:p w14:paraId="0F9D8E70"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lastRenderedPageBreak/>
        <w:t>Footnotes</w:t>
      </w:r>
    </w:p>
    <w:p w14:paraId="2A6E061A"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bCs/>
          <w:color w:val="000000"/>
        </w:rPr>
        <w:t xml:space="preserve">Conflict-of-interest statement: </w:t>
      </w:r>
      <w:r w:rsidR="000124AE" w:rsidRPr="004476E8">
        <w:rPr>
          <w:rFonts w:ascii="Book Antiqua" w:hAnsi="Book Antiqua"/>
        </w:rPr>
        <w:t>There is no conflict of interest associated with any of</w:t>
      </w:r>
      <w:r w:rsidR="000124AE" w:rsidRPr="004476E8">
        <w:rPr>
          <w:rFonts w:ascii="Book Antiqua" w:hAnsi="Book Antiqua" w:hint="eastAsia"/>
          <w:lang w:eastAsia="zh-CN"/>
        </w:rPr>
        <w:t xml:space="preserve"> </w:t>
      </w:r>
      <w:r w:rsidR="000124AE" w:rsidRPr="004476E8">
        <w:rPr>
          <w:rFonts w:ascii="Book Antiqua" w:hAnsi="Book Antiqua"/>
        </w:rPr>
        <w:t>the senior author or other coauthors contributed their efforts in this manuscript.</w:t>
      </w:r>
    </w:p>
    <w:p w14:paraId="59ECDBC0" w14:textId="77777777" w:rsidR="00A77B3E" w:rsidRPr="004476E8" w:rsidRDefault="00A77B3E" w:rsidP="00E376EB">
      <w:pPr>
        <w:spacing w:line="360" w:lineRule="auto"/>
        <w:jc w:val="both"/>
        <w:rPr>
          <w:rFonts w:ascii="Book Antiqua" w:hAnsi="Book Antiqua"/>
        </w:rPr>
      </w:pPr>
    </w:p>
    <w:p w14:paraId="6EB73973"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bCs/>
          <w:color w:val="000000"/>
        </w:rPr>
        <w:t xml:space="preserve">Open-Access: </w:t>
      </w:r>
      <w:r w:rsidRPr="004476E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23F5C7" w14:textId="77777777" w:rsidR="00A77B3E" w:rsidRPr="004476E8" w:rsidRDefault="00A77B3E" w:rsidP="00E376EB">
      <w:pPr>
        <w:spacing w:line="360" w:lineRule="auto"/>
        <w:jc w:val="both"/>
        <w:rPr>
          <w:rFonts w:ascii="Book Antiqua" w:hAnsi="Book Antiqua"/>
        </w:rPr>
      </w:pPr>
    </w:p>
    <w:p w14:paraId="2C9896A8"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t xml:space="preserve">Manuscript source: </w:t>
      </w:r>
      <w:r w:rsidRPr="004476E8">
        <w:rPr>
          <w:rFonts w:ascii="Book Antiqua" w:eastAsia="Book Antiqua" w:hAnsi="Book Antiqua" w:cs="Book Antiqua"/>
          <w:color w:val="000000"/>
        </w:rPr>
        <w:t xml:space="preserve">Unsolicited </w:t>
      </w:r>
      <w:r w:rsidR="000124AE" w:rsidRPr="004476E8">
        <w:rPr>
          <w:rFonts w:ascii="Book Antiqua" w:hAnsi="Book Antiqua" w:cs="Book Antiqua" w:hint="eastAsia"/>
          <w:color w:val="000000"/>
          <w:lang w:eastAsia="zh-CN"/>
        </w:rPr>
        <w:t>m</w:t>
      </w:r>
      <w:r w:rsidRPr="004476E8">
        <w:rPr>
          <w:rFonts w:ascii="Book Antiqua" w:eastAsia="Book Antiqua" w:hAnsi="Book Antiqua" w:cs="Book Antiqua"/>
          <w:color w:val="000000"/>
        </w:rPr>
        <w:t>anuscript</w:t>
      </w:r>
    </w:p>
    <w:p w14:paraId="74D869D1" w14:textId="77777777" w:rsidR="00A77B3E" w:rsidRPr="004476E8" w:rsidRDefault="00A77B3E" w:rsidP="00E376EB">
      <w:pPr>
        <w:spacing w:line="360" w:lineRule="auto"/>
        <w:jc w:val="both"/>
        <w:rPr>
          <w:rFonts w:ascii="Book Antiqua" w:hAnsi="Book Antiqua"/>
        </w:rPr>
      </w:pPr>
    </w:p>
    <w:p w14:paraId="2D607F5F"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t xml:space="preserve">Peer-review started: </w:t>
      </w:r>
      <w:r w:rsidRPr="004476E8">
        <w:rPr>
          <w:rFonts w:ascii="Book Antiqua" w:eastAsia="Book Antiqua" w:hAnsi="Book Antiqua" w:cs="Book Antiqua"/>
          <w:color w:val="000000"/>
        </w:rPr>
        <w:t>April 14, 2021</w:t>
      </w:r>
    </w:p>
    <w:p w14:paraId="6A033082"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t xml:space="preserve">First decision: </w:t>
      </w:r>
      <w:r w:rsidRPr="004476E8">
        <w:rPr>
          <w:rFonts w:ascii="Book Antiqua" w:eastAsia="Book Antiqua" w:hAnsi="Book Antiqua" w:cs="Book Antiqua"/>
          <w:color w:val="000000"/>
        </w:rPr>
        <w:t>June 15, 2021</w:t>
      </w:r>
    </w:p>
    <w:p w14:paraId="1768D2A1" w14:textId="0B8254F8"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t xml:space="preserve">Article in press: </w:t>
      </w:r>
      <w:r w:rsidR="003F5887" w:rsidRPr="004476E8">
        <w:rPr>
          <w:rFonts w:ascii="Book Antiqua" w:eastAsia="宋体" w:hAnsi="Book Antiqua" w:hint="eastAsia"/>
          <w:color w:val="000000" w:themeColor="text1"/>
        </w:rPr>
        <w:t>Au</w:t>
      </w:r>
      <w:r w:rsidR="003F5887" w:rsidRPr="004476E8">
        <w:rPr>
          <w:rFonts w:ascii="Book Antiqua" w:eastAsia="宋体" w:hAnsi="Book Antiqua"/>
          <w:color w:val="000000" w:themeColor="text1"/>
        </w:rPr>
        <w:t>gust 30, 2021</w:t>
      </w:r>
    </w:p>
    <w:p w14:paraId="2B653771" w14:textId="77777777" w:rsidR="00A77B3E" w:rsidRPr="004476E8" w:rsidRDefault="00A77B3E" w:rsidP="00E376EB">
      <w:pPr>
        <w:spacing w:line="360" w:lineRule="auto"/>
        <w:jc w:val="both"/>
        <w:rPr>
          <w:rFonts w:ascii="Book Antiqua" w:hAnsi="Book Antiqua"/>
        </w:rPr>
      </w:pPr>
    </w:p>
    <w:p w14:paraId="650CB26E"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t xml:space="preserve">Specialty type: </w:t>
      </w:r>
      <w:r w:rsidR="000124AE" w:rsidRPr="004476E8">
        <w:rPr>
          <w:rFonts w:ascii="Book Antiqua" w:eastAsia="Book Antiqua" w:hAnsi="Book Antiqua" w:cs="Book Antiqua"/>
          <w:color w:val="000000"/>
        </w:rPr>
        <w:t>Medicine, research and experimental</w:t>
      </w:r>
    </w:p>
    <w:p w14:paraId="332611A2"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t xml:space="preserve">Country/Territory of origin: </w:t>
      </w:r>
      <w:r w:rsidRPr="004476E8">
        <w:rPr>
          <w:rFonts w:ascii="Book Antiqua" w:eastAsia="Book Antiqua" w:hAnsi="Book Antiqua" w:cs="Book Antiqua"/>
          <w:color w:val="000000"/>
        </w:rPr>
        <w:t>Taiwan</w:t>
      </w:r>
    </w:p>
    <w:p w14:paraId="567F4E5D"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b/>
          <w:color w:val="000000"/>
        </w:rPr>
        <w:t>Peer-review report’s scientific quality classification</w:t>
      </w:r>
    </w:p>
    <w:p w14:paraId="6CEE2FCE"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color w:val="000000"/>
        </w:rPr>
        <w:t>Grade A (Excellent): 0</w:t>
      </w:r>
    </w:p>
    <w:p w14:paraId="08ACF2DE"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color w:val="000000"/>
        </w:rPr>
        <w:t>Grade B (Very good): B</w:t>
      </w:r>
    </w:p>
    <w:p w14:paraId="6DEDDA08"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color w:val="000000"/>
        </w:rPr>
        <w:t>Grade C (Good): 0</w:t>
      </w:r>
    </w:p>
    <w:p w14:paraId="58D24543"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color w:val="000000"/>
        </w:rPr>
        <w:t>Grade D (Fair): 0</w:t>
      </w:r>
    </w:p>
    <w:p w14:paraId="15B80BF6" w14:textId="77777777" w:rsidR="00A77B3E" w:rsidRPr="004476E8" w:rsidRDefault="00FD7F95" w:rsidP="00E376EB">
      <w:pPr>
        <w:spacing w:line="360" w:lineRule="auto"/>
        <w:jc w:val="both"/>
        <w:rPr>
          <w:rFonts w:ascii="Book Antiqua" w:hAnsi="Book Antiqua"/>
        </w:rPr>
      </w:pPr>
      <w:r w:rsidRPr="004476E8">
        <w:rPr>
          <w:rFonts w:ascii="Book Antiqua" w:eastAsia="Book Antiqua" w:hAnsi="Book Antiqua" w:cs="Book Antiqua"/>
          <w:color w:val="000000"/>
        </w:rPr>
        <w:t>Grade E (Poor): 0</w:t>
      </w:r>
    </w:p>
    <w:p w14:paraId="50AF9011" w14:textId="77777777" w:rsidR="00A77B3E" w:rsidRPr="004476E8" w:rsidRDefault="00A77B3E" w:rsidP="00E376EB">
      <w:pPr>
        <w:spacing w:line="360" w:lineRule="auto"/>
        <w:jc w:val="both"/>
        <w:rPr>
          <w:rFonts w:ascii="Book Antiqua" w:hAnsi="Book Antiqua"/>
        </w:rPr>
      </w:pPr>
    </w:p>
    <w:p w14:paraId="7A36C2C0" w14:textId="7F7241EA" w:rsidR="00A77B3E" w:rsidRPr="004476E8" w:rsidRDefault="00FD7F95" w:rsidP="00E376EB">
      <w:pPr>
        <w:spacing w:line="360" w:lineRule="auto"/>
        <w:jc w:val="both"/>
        <w:rPr>
          <w:rFonts w:ascii="Book Antiqua" w:hAnsi="Book Antiqua"/>
        </w:rPr>
        <w:sectPr w:rsidR="00A77B3E" w:rsidRPr="004476E8">
          <w:pgSz w:w="12240" w:h="15840"/>
          <w:pgMar w:top="1440" w:right="1440" w:bottom="1440" w:left="1440" w:header="720" w:footer="720" w:gutter="0"/>
          <w:cols w:space="720"/>
          <w:docGrid w:linePitch="360"/>
        </w:sectPr>
      </w:pPr>
      <w:r w:rsidRPr="004476E8">
        <w:rPr>
          <w:rFonts w:ascii="Book Antiqua" w:eastAsia="Book Antiqua" w:hAnsi="Book Antiqua" w:cs="Book Antiqua"/>
          <w:b/>
          <w:color w:val="000000"/>
        </w:rPr>
        <w:t xml:space="preserve">P-Reviewer: </w:t>
      </w:r>
      <w:r w:rsidRPr="004476E8">
        <w:rPr>
          <w:rFonts w:ascii="Book Antiqua" w:eastAsia="Book Antiqua" w:hAnsi="Book Antiqua" w:cs="Book Antiqua"/>
          <w:color w:val="000000"/>
        </w:rPr>
        <w:t>Verma AK</w:t>
      </w:r>
      <w:r w:rsidRPr="004476E8">
        <w:rPr>
          <w:rFonts w:ascii="Book Antiqua" w:eastAsia="Book Antiqua" w:hAnsi="Book Antiqua" w:cs="Book Antiqua"/>
          <w:b/>
          <w:color w:val="000000"/>
        </w:rPr>
        <w:t xml:space="preserve"> S-Editor: </w:t>
      </w:r>
      <w:r w:rsidRPr="004476E8">
        <w:rPr>
          <w:rFonts w:ascii="Book Antiqua" w:eastAsia="Book Antiqua" w:hAnsi="Book Antiqua" w:cs="Book Antiqua"/>
          <w:color w:val="000000"/>
        </w:rPr>
        <w:t xml:space="preserve">Wang </w:t>
      </w:r>
      <w:r w:rsidR="000124AE" w:rsidRPr="004476E8">
        <w:rPr>
          <w:rFonts w:ascii="Book Antiqua" w:hAnsi="Book Antiqua" w:cs="Book Antiqua" w:hint="eastAsia"/>
          <w:color w:val="000000"/>
          <w:lang w:eastAsia="zh-CN"/>
        </w:rPr>
        <w:t>L</w:t>
      </w:r>
      <w:r w:rsidRPr="004476E8">
        <w:rPr>
          <w:rFonts w:ascii="Book Antiqua" w:eastAsia="Book Antiqua" w:hAnsi="Book Antiqua" w:cs="Book Antiqua"/>
          <w:color w:val="000000"/>
        </w:rPr>
        <w:t>L</w:t>
      </w:r>
      <w:r w:rsidR="00AE4D5F" w:rsidRPr="004476E8">
        <w:rPr>
          <w:rFonts w:ascii="Book Antiqua" w:eastAsia="Book Antiqua" w:hAnsi="Book Antiqua" w:cs="Book Antiqua"/>
          <w:b/>
          <w:color w:val="000000"/>
        </w:rPr>
        <w:t xml:space="preserve"> L-Editor:</w:t>
      </w:r>
      <w:r w:rsidR="003F5887" w:rsidRPr="004476E8">
        <w:rPr>
          <w:rFonts w:ascii="Book Antiqua" w:hAnsi="Book Antiqua" w:cs="Book Antiqua" w:hint="eastAsia"/>
          <w:b/>
          <w:color w:val="000000"/>
          <w:lang w:eastAsia="zh-CN"/>
        </w:rPr>
        <w:t xml:space="preserve"> </w:t>
      </w:r>
      <w:r w:rsidR="003F5887" w:rsidRPr="004476E8">
        <w:rPr>
          <w:rFonts w:ascii="Book Antiqua" w:hAnsi="Book Antiqua" w:cs="Book Antiqua" w:hint="eastAsia"/>
          <w:color w:val="000000"/>
          <w:lang w:eastAsia="zh-CN"/>
        </w:rPr>
        <w:t>A</w:t>
      </w:r>
      <w:r w:rsidR="003F5887" w:rsidRPr="004476E8">
        <w:rPr>
          <w:rFonts w:ascii="Book Antiqua" w:hAnsi="Book Antiqua" w:cs="Book Antiqua" w:hint="eastAsia"/>
          <w:b/>
          <w:color w:val="000000"/>
          <w:lang w:eastAsia="zh-CN"/>
        </w:rPr>
        <w:t xml:space="preserve"> </w:t>
      </w:r>
      <w:r w:rsidRPr="004476E8">
        <w:rPr>
          <w:rFonts w:ascii="Book Antiqua" w:eastAsia="Book Antiqua" w:hAnsi="Book Antiqua" w:cs="Book Antiqua"/>
          <w:b/>
          <w:color w:val="000000"/>
        </w:rPr>
        <w:t>P-Editor:</w:t>
      </w:r>
      <w:r w:rsidR="003F5887" w:rsidRPr="004476E8">
        <w:rPr>
          <w:rFonts w:ascii="Book Antiqua" w:hAnsi="Book Antiqua" w:cs="Book Antiqua" w:hint="eastAsia"/>
          <w:b/>
          <w:color w:val="000000"/>
          <w:lang w:eastAsia="zh-CN"/>
        </w:rPr>
        <w:t xml:space="preserve"> </w:t>
      </w:r>
      <w:r w:rsidR="003F5887" w:rsidRPr="004476E8">
        <w:rPr>
          <w:rFonts w:ascii="Book Antiqua" w:hAnsi="Book Antiqua" w:cs="Book Antiqua"/>
          <w:color w:val="000000"/>
          <w:lang w:eastAsia="zh-CN"/>
        </w:rPr>
        <w:t>Xing YX</w:t>
      </w:r>
      <w:r w:rsidRPr="004476E8">
        <w:rPr>
          <w:rFonts w:ascii="Book Antiqua" w:eastAsia="Book Antiqua" w:hAnsi="Book Antiqua" w:cs="Book Antiqua"/>
          <w:color w:val="000000"/>
        </w:rPr>
        <w:t xml:space="preserve"> </w:t>
      </w:r>
    </w:p>
    <w:p w14:paraId="21DA3324" w14:textId="77777777" w:rsidR="00A77B3E" w:rsidRPr="004476E8" w:rsidRDefault="00FD7F95" w:rsidP="00E376EB">
      <w:pPr>
        <w:spacing w:line="360" w:lineRule="auto"/>
        <w:jc w:val="both"/>
        <w:rPr>
          <w:rFonts w:ascii="Book Antiqua" w:hAnsi="Book Antiqua" w:cs="Book Antiqua"/>
          <w:b/>
          <w:color w:val="000000"/>
          <w:lang w:eastAsia="zh-CN"/>
        </w:rPr>
      </w:pPr>
      <w:r w:rsidRPr="004476E8">
        <w:rPr>
          <w:rFonts w:ascii="Book Antiqua" w:eastAsia="Book Antiqua" w:hAnsi="Book Antiqua" w:cs="Book Antiqua"/>
          <w:b/>
          <w:color w:val="000000"/>
        </w:rPr>
        <w:lastRenderedPageBreak/>
        <w:t>Figure Legends</w:t>
      </w:r>
    </w:p>
    <w:p w14:paraId="4AE8BB6D" w14:textId="77777777" w:rsidR="00FD6E71" w:rsidRPr="004476E8" w:rsidRDefault="00FD6E71" w:rsidP="00E376EB">
      <w:pPr>
        <w:spacing w:line="360" w:lineRule="auto"/>
        <w:jc w:val="both"/>
        <w:rPr>
          <w:rFonts w:ascii="Book Antiqua" w:hAnsi="Book Antiqua"/>
          <w:lang w:eastAsia="zh-CN"/>
        </w:rPr>
      </w:pPr>
      <w:r w:rsidRPr="004476E8">
        <w:rPr>
          <w:rFonts w:ascii="Book Antiqua" w:hAnsi="Book Antiqua"/>
          <w:noProof/>
          <w:lang w:eastAsia="zh-CN"/>
        </w:rPr>
        <w:drawing>
          <wp:inline distT="0" distB="0" distL="0" distR="0" wp14:anchorId="7E4DD4CD" wp14:editId="0AE9A8E6">
            <wp:extent cx="5943600" cy="4525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5CF.tmp"/>
                    <pic:cNvPicPr/>
                  </pic:nvPicPr>
                  <pic:blipFill>
                    <a:blip r:embed="rId7">
                      <a:extLst>
                        <a:ext uri="{28A0092B-C50C-407E-A947-70E740481C1C}">
                          <a14:useLocalDpi xmlns:a14="http://schemas.microsoft.com/office/drawing/2010/main" val="0"/>
                        </a:ext>
                      </a:extLst>
                    </a:blip>
                    <a:stretch>
                      <a:fillRect/>
                    </a:stretch>
                  </pic:blipFill>
                  <pic:spPr>
                    <a:xfrm>
                      <a:off x="0" y="0"/>
                      <a:ext cx="5943600" cy="4525010"/>
                    </a:xfrm>
                    <a:prstGeom prst="rect">
                      <a:avLst/>
                    </a:prstGeom>
                  </pic:spPr>
                </pic:pic>
              </a:graphicData>
            </a:graphic>
          </wp:inline>
        </w:drawing>
      </w:r>
    </w:p>
    <w:p w14:paraId="5D6B2C26" w14:textId="77777777" w:rsidR="00FD6E71" w:rsidRPr="004476E8" w:rsidRDefault="00FD7F95" w:rsidP="009661D7">
      <w:pPr>
        <w:spacing w:line="360" w:lineRule="auto"/>
        <w:jc w:val="both"/>
        <w:rPr>
          <w:rFonts w:ascii="Book Antiqua" w:hAnsi="Book Antiqua" w:cs="Book Antiqua"/>
          <w:b/>
          <w:color w:val="000000"/>
          <w:lang w:eastAsia="zh-CN"/>
        </w:rPr>
      </w:pPr>
      <w:r w:rsidRPr="004476E8">
        <w:rPr>
          <w:rFonts w:ascii="Book Antiqua" w:eastAsia="Book Antiqua" w:hAnsi="Book Antiqua" w:cs="Book Antiqua"/>
          <w:b/>
          <w:color w:val="000000"/>
        </w:rPr>
        <w:t>Figure 1</w:t>
      </w:r>
      <w:r w:rsidR="00FD6E71" w:rsidRPr="004476E8">
        <w:rPr>
          <w:rFonts w:ascii="Book Antiqua" w:hAnsi="Book Antiqua" w:cs="Book Antiqua"/>
          <w:b/>
          <w:color w:val="000000"/>
          <w:lang w:eastAsia="zh-CN"/>
        </w:rPr>
        <w:t xml:space="preserve"> </w:t>
      </w:r>
      <w:r w:rsidRPr="004476E8">
        <w:rPr>
          <w:rFonts w:ascii="Book Antiqua" w:eastAsia="Book Antiqua" w:hAnsi="Book Antiqua" w:cs="Book Antiqua"/>
          <w:b/>
          <w:color w:val="000000"/>
        </w:rPr>
        <w:t xml:space="preserve">Three </w:t>
      </w:r>
      <w:r w:rsidR="00FD6E71" w:rsidRPr="004476E8">
        <w:rPr>
          <w:rFonts w:ascii="Book Antiqua" w:hAnsi="Book Antiqua" w:cs="Book Antiqua"/>
          <w:b/>
          <w:color w:val="000000"/>
          <w:lang w:eastAsia="zh-CN"/>
        </w:rPr>
        <w:t>m</w:t>
      </w:r>
      <w:r w:rsidRPr="004476E8">
        <w:rPr>
          <w:rFonts w:ascii="Book Antiqua" w:eastAsia="Book Antiqua" w:hAnsi="Book Antiqua" w:cs="Book Antiqua"/>
          <w:b/>
          <w:color w:val="000000"/>
        </w:rPr>
        <w:t xml:space="preserve">ajor </w:t>
      </w:r>
      <w:r w:rsidR="00FD6E71" w:rsidRPr="004476E8">
        <w:rPr>
          <w:rFonts w:ascii="Book Antiqua" w:hAnsi="Book Antiqua" w:cs="Book Antiqua"/>
          <w:b/>
          <w:color w:val="000000"/>
          <w:lang w:eastAsia="zh-CN"/>
        </w:rPr>
        <w:t>c</w:t>
      </w:r>
      <w:r w:rsidRPr="004476E8">
        <w:rPr>
          <w:rFonts w:ascii="Book Antiqua" w:eastAsia="Book Antiqua" w:hAnsi="Book Antiqua" w:cs="Book Antiqua"/>
          <w:b/>
          <w:color w:val="000000"/>
        </w:rPr>
        <w:t xml:space="preserve">omponents of the </w:t>
      </w:r>
      <w:r w:rsidR="009661D7" w:rsidRPr="004476E8">
        <w:rPr>
          <w:rFonts w:ascii="Book Antiqua" w:eastAsia="Book Antiqua" w:hAnsi="Book Antiqua" w:cs="Book Antiqua"/>
          <w:b/>
          <w:color w:val="000000"/>
        </w:rPr>
        <w:t>real-time</w:t>
      </w:r>
      <w:r w:rsidR="009661D7" w:rsidRPr="004476E8">
        <w:rPr>
          <w:rFonts w:ascii="Book Antiqua" w:hAnsi="Book Antiqua" w:cs="Book Antiqua" w:hint="eastAsia"/>
          <w:b/>
          <w:color w:val="000000"/>
          <w:lang w:eastAsia="zh-CN"/>
        </w:rPr>
        <w:t xml:space="preserve"> </w:t>
      </w:r>
      <w:r w:rsidR="009661D7" w:rsidRPr="004476E8">
        <w:rPr>
          <w:rFonts w:ascii="Book Antiqua" w:eastAsia="Book Antiqua" w:hAnsi="Book Antiqua" w:cs="Book Antiqua"/>
          <w:b/>
          <w:color w:val="000000"/>
        </w:rPr>
        <w:t>continuous glucose monitor</w:t>
      </w:r>
      <w:r w:rsidR="00FD6E71" w:rsidRPr="004476E8">
        <w:rPr>
          <w:rFonts w:ascii="Book Antiqua" w:hAnsi="Book Antiqua" w:cs="Book Antiqua"/>
          <w:b/>
          <w:color w:val="000000"/>
          <w:lang w:eastAsia="zh-CN"/>
        </w:rPr>
        <w:t>.</w:t>
      </w:r>
    </w:p>
    <w:p w14:paraId="738988B1" w14:textId="7FE39076" w:rsidR="0008354E" w:rsidRPr="004476E8" w:rsidRDefault="0008354E">
      <w:pPr>
        <w:rPr>
          <w:rFonts w:ascii="Book Antiqua" w:hAnsi="Book Antiqua"/>
        </w:rPr>
      </w:pPr>
      <w:r w:rsidRPr="004476E8">
        <w:rPr>
          <w:rFonts w:ascii="Book Antiqua" w:hAnsi="Book Antiqua"/>
        </w:rPr>
        <w:br w:type="page"/>
      </w:r>
    </w:p>
    <w:p w14:paraId="5F19BCA0" w14:textId="77777777" w:rsidR="0008354E" w:rsidRPr="004476E8" w:rsidRDefault="0008354E" w:rsidP="0008354E">
      <w:pPr>
        <w:jc w:val="center"/>
        <w:rPr>
          <w:rFonts w:ascii="Book Antiqua" w:hAnsi="Book Antiqua"/>
          <w:lang w:eastAsia="zh-CN"/>
        </w:rPr>
      </w:pPr>
    </w:p>
    <w:p w14:paraId="796630AB" w14:textId="77777777" w:rsidR="0008354E" w:rsidRPr="004476E8" w:rsidRDefault="0008354E" w:rsidP="0008354E">
      <w:pPr>
        <w:jc w:val="center"/>
        <w:rPr>
          <w:rFonts w:ascii="Book Antiqua" w:hAnsi="Book Antiqua"/>
          <w:lang w:eastAsia="zh-CN"/>
        </w:rPr>
      </w:pPr>
    </w:p>
    <w:p w14:paraId="60661B90" w14:textId="77777777" w:rsidR="0008354E" w:rsidRPr="004476E8" w:rsidRDefault="0008354E" w:rsidP="0008354E">
      <w:pPr>
        <w:jc w:val="center"/>
        <w:rPr>
          <w:rFonts w:ascii="Book Antiqua" w:hAnsi="Book Antiqua"/>
          <w:lang w:eastAsia="zh-CN"/>
        </w:rPr>
      </w:pPr>
    </w:p>
    <w:p w14:paraId="483C3E80" w14:textId="77777777" w:rsidR="0008354E" w:rsidRPr="004476E8" w:rsidRDefault="0008354E" w:rsidP="0008354E">
      <w:pPr>
        <w:jc w:val="center"/>
        <w:rPr>
          <w:rFonts w:ascii="Book Antiqua" w:hAnsi="Book Antiqua"/>
          <w:lang w:eastAsia="zh-CN"/>
        </w:rPr>
      </w:pPr>
    </w:p>
    <w:p w14:paraId="4A369083" w14:textId="77777777" w:rsidR="0008354E" w:rsidRPr="004476E8" w:rsidRDefault="0008354E" w:rsidP="0008354E">
      <w:pPr>
        <w:jc w:val="center"/>
        <w:rPr>
          <w:rFonts w:ascii="Book Antiqua" w:hAnsi="Book Antiqua"/>
          <w:lang w:eastAsia="zh-CN"/>
        </w:rPr>
      </w:pPr>
    </w:p>
    <w:p w14:paraId="2A52CD87" w14:textId="77777777" w:rsidR="0008354E" w:rsidRPr="004476E8" w:rsidRDefault="0008354E" w:rsidP="0008354E">
      <w:pPr>
        <w:jc w:val="center"/>
        <w:rPr>
          <w:rFonts w:ascii="Book Antiqua" w:hAnsi="Book Antiqua"/>
          <w:lang w:eastAsia="zh-CN"/>
        </w:rPr>
      </w:pPr>
      <w:r w:rsidRPr="004476E8">
        <w:rPr>
          <w:rFonts w:ascii="Book Antiqua" w:hAnsi="Book Antiqua"/>
          <w:noProof/>
          <w:lang w:eastAsia="zh-CN"/>
        </w:rPr>
        <w:drawing>
          <wp:inline distT="0" distB="0" distL="0" distR="0" wp14:anchorId="17863582" wp14:editId="12BF676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5A38903" w14:textId="77777777" w:rsidR="0008354E" w:rsidRPr="004476E8" w:rsidRDefault="0008354E" w:rsidP="0008354E">
      <w:pPr>
        <w:jc w:val="center"/>
        <w:rPr>
          <w:rFonts w:ascii="Book Antiqua" w:hAnsi="Book Antiqua"/>
          <w:lang w:eastAsia="zh-CN"/>
        </w:rPr>
      </w:pPr>
    </w:p>
    <w:p w14:paraId="2DCC112E" w14:textId="77777777" w:rsidR="0008354E" w:rsidRPr="004476E8" w:rsidRDefault="0008354E" w:rsidP="0008354E">
      <w:pPr>
        <w:autoSpaceDE w:val="0"/>
        <w:autoSpaceDN w:val="0"/>
        <w:adjustRightInd w:val="0"/>
        <w:jc w:val="center"/>
        <w:rPr>
          <w:rFonts w:ascii="Book Antiqua" w:eastAsia="Garamond-Bold" w:hAnsi="Book Antiqua" w:cs="Garamond-Bold"/>
          <w:b/>
          <w:bCs/>
          <w:color w:val="000000"/>
          <w:sz w:val="28"/>
          <w:szCs w:val="28"/>
        </w:rPr>
      </w:pPr>
      <w:r w:rsidRPr="004476E8">
        <w:rPr>
          <w:rFonts w:ascii="Book Antiqua" w:eastAsia="TimesNewRomanPSMT" w:hAnsi="Book Antiqua" w:cs="TimesNewRomanPSMT"/>
          <w:color w:val="000000"/>
          <w:sz w:val="28"/>
          <w:szCs w:val="28"/>
        </w:rPr>
        <w:t xml:space="preserve">Published by </w:t>
      </w:r>
      <w:r w:rsidRPr="004476E8">
        <w:rPr>
          <w:rFonts w:ascii="Book Antiqua" w:eastAsia="Garamond-Bold" w:hAnsi="Book Antiqua" w:cs="Garamond-Bold"/>
          <w:b/>
          <w:bCs/>
          <w:color w:val="000000"/>
          <w:sz w:val="28"/>
          <w:szCs w:val="28"/>
        </w:rPr>
        <w:t>Baishideng Publishing Group Inc</w:t>
      </w:r>
    </w:p>
    <w:p w14:paraId="08BBEA6E" w14:textId="77777777" w:rsidR="0008354E" w:rsidRPr="004476E8" w:rsidRDefault="0008354E" w:rsidP="0008354E">
      <w:pPr>
        <w:autoSpaceDE w:val="0"/>
        <w:autoSpaceDN w:val="0"/>
        <w:adjustRightInd w:val="0"/>
        <w:jc w:val="center"/>
        <w:rPr>
          <w:rFonts w:ascii="Book Antiqua" w:eastAsia="TimesNewRomanPSMT" w:hAnsi="Book Antiqua" w:cs="Garamond"/>
          <w:color w:val="000000"/>
          <w:sz w:val="28"/>
          <w:szCs w:val="28"/>
        </w:rPr>
      </w:pPr>
      <w:r w:rsidRPr="004476E8">
        <w:rPr>
          <w:rFonts w:ascii="Book Antiqua" w:eastAsia="TimesNewRomanPSMT" w:hAnsi="Book Antiqua" w:cs="Garamond"/>
          <w:color w:val="000000"/>
          <w:sz w:val="28"/>
          <w:szCs w:val="28"/>
        </w:rPr>
        <w:t>7041 Koll Center Parkway, Suite 160, Pleasanton, CA 94566, USA</w:t>
      </w:r>
    </w:p>
    <w:p w14:paraId="2C1D33D6" w14:textId="77777777" w:rsidR="0008354E" w:rsidRPr="004476E8" w:rsidRDefault="0008354E" w:rsidP="0008354E">
      <w:pPr>
        <w:autoSpaceDE w:val="0"/>
        <w:autoSpaceDN w:val="0"/>
        <w:adjustRightInd w:val="0"/>
        <w:jc w:val="center"/>
        <w:rPr>
          <w:rFonts w:ascii="Book Antiqua" w:eastAsia="TimesNewRomanPSMT" w:hAnsi="Book Antiqua" w:cs="Garamond"/>
          <w:color w:val="000000"/>
          <w:sz w:val="28"/>
          <w:szCs w:val="28"/>
        </w:rPr>
      </w:pPr>
      <w:r w:rsidRPr="004476E8">
        <w:rPr>
          <w:rFonts w:ascii="Book Antiqua" w:eastAsia="Garamond-Bold" w:hAnsi="Book Antiqua" w:cs="Garamond-Bold"/>
          <w:b/>
          <w:bCs/>
          <w:color w:val="000000"/>
          <w:sz w:val="28"/>
          <w:szCs w:val="28"/>
        </w:rPr>
        <w:t xml:space="preserve">Telephone: </w:t>
      </w:r>
      <w:r w:rsidRPr="004476E8">
        <w:rPr>
          <w:rFonts w:ascii="Book Antiqua" w:eastAsia="TimesNewRomanPSMT" w:hAnsi="Book Antiqua" w:cs="Garamond"/>
          <w:color w:val="000000"/>
          <w:sz w:val="28"/>
          <w:szCs w:val="28"/>
        </w:rPr>
        <w:t>+1-925-3991568</w:t>
      </w:r>
    </w:p>
    <w:p w14:paraId="775A6338" w14:textId="77777777" w:rsidR="0008354E" w:rsidRPr="004476E8" w:rsidRDefault="0008354E" w:rsidP="0008354E">
      <w:pPr>
        <w:autoSpaceDE w:val="0"/>
        <w:autoSpaceDN w:val="0"/>
        <w:adjustRightInd w:val="0"/>
        <w:jc w:val="center"/>
        <w:rPr>
          <w:rFonts w:ascii="Book Antiqua" w:eastAsia="TimesNewRomanPSMT" w:hAnsi="Book Antiqua" w:cs="Garamond"/>
          <w:color w:val="D56400"/>
          <w:sz w:val="28"/>
          <w:szCs w:val="28"/>
        </w:rPr>
      </w:pPr>
      <w:r w:rsidRPr="004476E8">
        <w:rPr>
          <w:rFonts w:ascii="Book Antiqua" w:eastAsia="Garamond-Bold" w:hAnsi="Book Antiqua" w:cs="Garamond-Bold"/>
          <w:b/>
          <w:bCs/>
          <w:color w:val="000000"/>
          <w:sz w:val="28"/>
          <w:szCs w:val="28"/>
        </w:rPr>
        <w:t xml:space="preserve">E-mail: </w:t>
      </w:r>
      <w:r w:rsidRPr="004476E8">
        <w:rPr>
          <w:rFonts w:ascii="Book Antiqua" w:eastAsia="TimesNewRomanPSMT" w:hAnsi="Book Antiqua" w:cs="Garamond"/>
          <w:color w:val="D56400"/>
          <w:sz w:val="28"/>
          <w:szCs w:val="28"/>
        </w:rPr>
        <w:t>bpgoffice@wjgnet.com</w:t>
      </w:r>
    </w:p>
    <w:p w14:paraId="619D4A50" w14:textId="77777777" w:rsidR="0008354E" w:rsidRPr="004476E8" w:rsidRDefault="0008354E" w:rsidP="0008354E">
      <w:pPr>
        <w:autoSpaceDE w:val="0"/>
        <w:autoSpaceDN w:val="0"/>
        <w:adjustRightInd w:val="0"/>
        <w:jc w:val="center"/>
        <w:rPr>
          <w:rFonts w:ascii="Book Antiqua" w:eastAsia="TimesNewRomanPSMT" w:hAnsi="Book Antiqua" w:cs="Garamond"/>
          <w:color w:val="D56400"/>
          <w:sz w:val="28"/>
          <w:szCs w:val="28"/>
        </w:rPr>
      </w:pPr>
      <w:r w:rsidRPr="004476E8">
        <w:rPr>
          <w:rFonts w:ascii="Book Antiqua" w:eastAsia="Garamond-Bold" w:hAnsi="Book Antiqua" w:cs="Garamond-Bold"/>
          <w:b/>
          <w:bCs/>
          <w:color w:val="000000"/>
          <w:sz w:val="28"/>
          <w:szCs w:val="28"/>
        </w:rPr>
        <w:t xml:space="preserve">Help Desk: </w:t>
      </w:r>
      <w:r w:rsidRPr="004476E8">
        <w:rPr>
          <w:rFonts w:ascii="Book Antiqua" w:eastAsia="TimesNewRomanPSMT" w:hAnsi="Book Antiqua" w:cs="Garamond"/>
          <w:color w:val="D56400"/>
          <w:sz w:val="28"/>
          <w:szCs w:val="28"/>
        </w:rPr>
        <w:t>https://www.f6publishing.com/helpdesk</w:t>
      </w:r>
    </w:p>
    <w:p w14:paraId="6A38B959" w14:textId="77777777" w:rsidR="0008354E" w:rsidRPr="004476E8" w:rsidRDefault="0008354E" w:rsidP="0008354E">
      <w:pPr>
        <w:jc w:val="center"/>
        <w:rPr>
          <w:rFonts w:ascii="Book Antiqua" w:hAnsi="Book Antiqua"/>
          <w:lang w:eastAsia="zh-CN"/>
        </w:rPr>
      </w:pPr>
      <w:r w:rsidRPr="004476E8">
        <w:rPr>
          <w:rFonts w:ascii="Book Antiqua" w:eastAsia="TimesNewRomanPSMT" w:hAnsi="Book Antiqua" w:cs="Garamond"/>
          <w:color w:val="D56400"/>
          <w:sz w:val="28"/>
          <w:szCs w:val="28"/>
        </w:rPr>
        <w:t>https://www.wjgnet.com</w:t>
      </w:r>
    </w:p>
    <w:p w14:paraId="1D2B86D1" w14:textId="77777777" w:rsidR="0008354E" w:rsidRPr="004476E8" w:rsidRDefault="0008354E" w:rsidP="0008354E">
      <w:pPr>
        <w:jc w:val="center"/>
        <w:rPr>
          <w:rFonts w:ascii="Book Antiqua" w:hAnsi="Book Antiqua"/>
          <w:lang w:eastAsia="zh-CN"/>
        </w:rPr>
      </w:pPr>
    </w:p>
    <w:p w14:paraId="29DFC097" w14:textId="77777777" w:rsidR="0008354E" w:rsidRPr="004476E8" w:rsidRDefault="0008354E" w:rsidP="0008354E">
      <w:pPr>
        <w:jc w:val="center"/>
        <w:rPr>
          <w:rFonts w:ascii="Book Antiqua" w:hAnsi="Book Antiqua"/>
          <w:lang w:eastAsia="zh-CN"/>
        </w:rPr>
      </w:pPr>
    </w:p>
    <w:p w14:paraId="07EC3155" w14:textId="77777777" w:rsidR="0008354E" w:rsidRPr="004476E8" w:rsidRDefault="0008354E" w:rsidP="0008354E">
      <w:pPr>
        <w:jc w:val="center"/>
        <w:rPr>
          <w:rFonts w:ascii="Book Antiqua" w:hAnsi="Book Antiqua"/>
          <w:lang w:eastAsia="zh-CN"/>
        </w:rPr>
      </w:pPr>
    </w:p>
    <w:p w14:paraId="0B2D4081" w14:textId="77777777" w:rsidR="0008354E" w:rsidRPr="004476E8" w:rsidRDefault="0008354E" w:rsidP="0008354E">
      <w:pPr>
        <w:jc w:val="center"/>
        <w:rPr>
          <w:rFonts w:ascii="Book Antiqua" w:hAnsi="Book Antiqua"/>
          <w:lang w:eastAsia="zh-CN"/>
        </w:rPr>
      </w:pPr>
      <w:r w:rsidRPr="004476E8">
        <w:rPr>
          <w:rFonts w:ascii="Book Antiqua" w:hAnsi="Book Antiqua"/>
          <w:noProof/>
          <w:lang w:eastAsia="zh-CN"/>
        </w:rPr>
        <w:drawing>
          <wp:inline distT="0" distB="0" distL="0" distR="0" wp14:anchorId="53EE0C6B" wp14:editId="6E5F3B5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210584C" w14:textId="77777777" w:rsidR="0008354E" w:rsidRPr="004476E8" w:rsidRDefault="0008354E" w:rsidP="0008354E">
      <w:pPr>
        <w:jc w:val="center"/>
        <w:rPr>
          <w:rFonts w:ascii="Book Antiqua" w:hAnsi="Book Antiqua"/>
          <w:lang w:eastAsia="zh-CN"/>
        </w:rPr>
      </w:pPr>
    </w:p>
    <w:p w14:paraId="281847BC" w14:textId="77777777" w:rsidR="0008354E" w:rsidRPr="004476E8" w:rsidRDefault="0008354E" w:rsidP="0008354E">
      <w:pPr>
        <w:jc w:val="center"/>
        <w:rPr>
          <w:rFonts w:ascii="Book Antiqua" w:hAnsi="Book Antiqua"/>
          <w:lang w:eastAsia="zh-CN"/>
        </w:rPr>
      </w:pPr>
    </w:p>
    <w:p w14:paraId="4684AEE5" w14:textId="77777777" w:rsidR="0008354E" w:rsidRPr="004476E8" w:rsidRDefault="0008354E" w:rsidP="0008354E">
      <w:pPr>
        <w:jc w:val="center"/>
        <w:rPr>
          <w:rFonts w:ascii="Book Antiqua" w:hAnsi="Book Antiqua"/>
          <w:lang w:eastAsia="zh-CN"/>
        </w:rPr>
      </w:pPr>
    </w:p>
    <w:p w14:paraId="6B36587C" w14:textId="77777777" w:rsidR="0008354E" w:rsidRPr="004476E8" w:rsidRDefault="0008354E" w:rsidP="0008354E">
      <w:pPr>
        <w:jc w:val="center"/>
        <w:rPr>
          <w:rFonts w:ascii="Book Antiqua" w:hAnsi="Book Antiqua"/>
          <w:lang w:eastAsia="zh-CN"/>
        </w:rPr>
      </w:pPr>
    </w:p>
    <w:p w14:paraId="1EED9053" w14:textId="77777777" w:rsidR="0008354E" w:rsidRPr="004476E8" w:rsidRDefault="0008354E" w:rsidP="0008354E">
      <w:pPr>
        <w:jc w:val="center"/>
        <w:rPr>
          <w:rFonts w:ascii="Book Antiqua" w:hAnsi="Book Antiqua"/>
          <w:lang w:eastAsia="zh-CN"/>
        </w:rPr>
      </w:pPr>
    </w:p>
    <w:p w14:paraId="1AC67C9F" w14:textId="77777777" w:rsidR="0008354E" w:rsidRPr="004476E8" w:rsidRDefault="0008354E" w:rsidP="0008354E">
      <w:pPr>
        <w:jc w:val="center"/>
        <w:rPr>
          <w:rFonts w:ascii="Book Antiqua" w:hAnsi="Book Antiqua"/>
          <w:lang w:eastAsia="zh-CN"/>
        </w:rPr>
      </w:pPr>
    </w:p>
    <w:p w14:paraId="4BA7A9A4" w14:textId="77777777" w:rsidR="0008354E" w:rsidRPr="004476E8" w:rsidRDefault="0008354E" w:rsidP="0008354E">
      <w:pPr>
        <w:jc w:val="center"/>
        <w:rPr>
          <w:rFonts w:ascii="Book Antiqua" w:hAnsi="Book Antiqua"/>
          <w:lang w:eastAsia="zh-CN"/>
        </w:rPr>
      </w:pPr>
    </w:p>
    <w:p w14:paraId="7A23D629" w14:textId="77777777" w:rsidR="0008354E" w:rsidRPr="004476E8" w:rsidRDefault="0008354E" w:rsidP="0008354E">
      <w:pPr>
        <w:jc w:val="center"/>
        <w:rPr>
          <w:rFonts w:ascii="Book Antiqua" w:hAnsi="Book Antiqua"/>
          <w:lang w:eastAsia="zh-CN"/>
        </w:rPr>
      </w:pPr>
    </w:p>
    <w:p w14:paraId="4BDBDE14" w14:textId="77777777" w:rsidR="0008354E" w:rsidRPr="004476E8" w:rsidRDefault="0008354E" w:rsidP="0008354E">
      <w:pPr>
        <w:jc w:val="center"/>
        <w:rPr>
          <w:rFonts w:ascii="Book Antiqua" w:hAnsi="Book Antiqua"/>
          <w:lang w:eastAsia="zh-CN"/>
        </w:rPr>
      </w:pPr>
    </w:p>
    <w:p w14:paraId="4CE3706B" w14:textId="77777777" w:rsidR="0008354E" w:rsidRPr="004476E8" w:rsidRDefault="0008354E" w:rsidP="0008354E">
      <w:pPr>
        <w:jc w:val="right"/>
        <w:rPr>
          <w:rFonts w:ascii="Book Antiqua" w:hAnsi="Book Antiqua"/>
          <w:color w:val="000000" w:themeColor="text1"/>
          <w:lang w:eastAsia="zh-CN"/>
        </w:rPr>
      </w:pPr>
    </w:p>
    <w:p w14:paraId="4C5C99D4" w14:textId="77777777" w:rsidR="0008354E" w:rsidRPr="00763D22" w:rsidRDefault="0008354E" w:rsidP="0008354E">
      <w:pPr>
        <w:jc w:val="center"/>
        <w:rPr>
          <w:rFonts w:ascii="Book Antiqua" w:hAnsi="Book Antiqua"/>
          <w:color w:val="000000" w:themeColor="text1"/>
          <w:lang w:eastAsia="zh-CN"/>
        </w:rPr>
      </w:pPr>
      <w:r w:rsidRPr="004476E8">
        <w:rPr>
          <w:rFonts w:ascii="Book Antiqua" w:eastAsia="BookAntiqua-Bold" w:hAnsi="Book Antiqua" w:cs="BookAntiqua-Bold"/>
          <w:b/>
          <w:bCs/>
          <w:color w:val="000000" w:themeColor="text1"/>
        </w:rPr>
        <w:t>© 2021 Baishideng Publishing Group Inc. All rights reserved.</w:t>
      </w:r>
      <w:r w:rsidRPr="004476E8">
        <w:rPr>
          <w:rFonts w:ascii="Book Antiqua" w:hAnsi="Book Antiqua"/>
          <w:color w:val="000000" w:themeColor="text1"/>
          <w:lang w:eastAsia="zh-CN"/>
        </w:rPr>
        <w:fldChar w:fldCharType="begin"/>
      </w:r>
      <w:r w:rsidRPr="004476E8">
        <w:rPr>
          <w:rFonts w:ascii="Book Antiqua" w:hAnsi="Book Antiqua"/>
          <w:color w:val="000000" w:themeColor="text1"/>
          <w:lang w:eastAsia="zh-CN"/>
        </w:rPr>
        <w:instrText xml:space="preserve"> ADDIN EN.REFLIST </w:instrText>
      </w:r>
      <w:r w:rsidRPr="004476E8">
        <w:rPr>
          <w:rFonts w:ascii="Book Antiqua" w:hAnsi="Book Antiqua"/>
          <w:color w:val="000000" w:themeColor="text1"/>
          <w:lang w:eastAsia="zh-CN"/>
        </w:rPr>
        <w:fldChar w:fldCharType="end"/>
      </w:r>
    </w:p>
    <w:p w14:paraId="582A054A" w14:textId="77777777" w:rsidR="00A77B3E" w:rsidRPr="00E376EB" w:rsidRDefault="00A77B3E" w:rsidP="00E376EB">
      <w:pPr>
        <w:spacing w:line="360" w:lineRule="auto"/>
        <w:jc w:val="both"/>
        <w:rPr>
          <w:rFonts w:ascii="Book Antiqua" w:hAnsi="Book Antiqua"/>
        </w:rPr>
      </w:pPr>
    </w:p>
    <w:sectPr w:rsidR="00A77B3E" w:rsidRPr="00E376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A66EC" w14:textId="77777777" w:rsidR="00CC263A" w:rsidRDefault="00CC263A" w:rsidP="00E376EB">
      <w:r>
        <w:separator/>
      </w:r>
    </w:p>
  </w:endnote>
  <w:endnote w:type="continuationSeparator" w:id="0">
    <w:p w14:paraId="1B559C8E" w14:textId="77777777" w:rsidR="00CC263A" w:rsidRDefault="00CC263A" w:rsidP="00E3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3571" w14:textId="77777777" w:rsidR="00E376EB" w:rsidRPr="00E376EB" w:rsidRDefault="00E376EB" w:rsidP="00E376EB">
    <w:pPr>
      <w:pStyle w:val="a7"/>
      <w:jc w:val="right"/>
      <w:rPr>
        <w:rFonts w:ascii="Book Antiqua" w:hAnsi="Book Antiqua"/>
        <w:sz w:val="24"/>
        <w:szCs w:val="24"/>
      </w:rPr>
    </w:pPr>
    <w:r w:rsidRPr="00E376EB">
      <w:rPr>
        <w:rFonts w:ascii="Book Antiqua" w:hAnsi="Book Antiqua"/>
        <w:sz w:val="24"/>
        <w:szCs w:val="24"/>
      </w:rPr>
      <w:fldChar w:fldCharType="begin"/>
    </w:r>
    <w:r w:rsidRPr="00E376EB">
      <w:rPr>
        <w:rFonts w:ascii="Book Antiqua" w:hAnsi="Book Antiqua"/>
        <w:sz w:val="24"/>
        <w:szCs w:val="24"/>
      </w:rPr>
      <w:instrText xml:space="preserve"> PAGE  \* Arabic  \* MERGEFORMAT </w:instrText>
    </w:r>
    <w:r w:rsidRPr="00E376EB">
      <w:rPr>
        <w:rFonts w:ascii="Book Antiqua" w:hAnsi="Book Antiqua"/>
        <w:sz w:val="24"/>
        <w:szCs w:val="24"/>
      </w:rPr>
      <w:fldChar w:fldCharType="separate"/>
    </w:r>
    <w:r w:rsidR="003F5887">
      <w:rPr>
        <w:rFonts w:ascii="Book Antiqua" w:hAnsi="Book Antiqua"/>
        <w:noProof/>
        <w:sz w:val="24"/>
        <w:szCs w:val="24"/>
      </w:rPr>
      <w:t>12</w:t>
    </w:r>
    <w:r w:rsidRPr="00E376EB">
      <w:rPr>
        <w:rFonts w:ascii="Book Antiqua" w:hAnsi="Book Antiqua"/>
        <w:sz w:val="24"/>
        <w:szCs w:val="24"/>
      </w:rPr>
      <w:fldChar w:fldCharType="end"/>
    </w:r>
    <w:r w:rsidRPr="00E376EB">
      <w:rPr>
        <w:rFonts w:ascii="Book Antiqua" w:hAnsi="Book Antiqua"/>
        <w:sz w:val="24"/>
        <w:szCs w:val="24"/>
      </w:rPr>
      <w:t>/</w:t>
    </w:r>
    <w:r w:rsidRPr="00E376EB">
      <w:rPr>
        <w:rFonts w:ascii="Book Antiqua" w:hAnsi="Book Antiqua"/>
        <w:sz w:val="24"/>
        <w:szCs w:val="24"/>
      </w:rPr>
      <w:fldChar w:fldCharType="begin"/>
    </w:r>
    <w:r w:rsidRPr="00E376EB">
      <w:rPr>
        <w:rFonts w:ascii="Book Antiqua" w:hAnsi="Book Antiqua"/>
        <w:sz w:val="24"/>
        <w:szCs w:val="24"/>
      </w:rPr>
      <w:instrText xml:space="preserve"> NUMPAGES   \* MERGEFORMAT </w:instrText>
    </w:r>
    <w:r w:rsidRPr="00E376EB">
      <w:rPr>
        <w:rFonts w:ascii="Book Antiqua" w:hAnsi="Book Antiqua"/>
        <w:sz w:val="24"/>
        <w:szCs w:val="24"/>
      </w:rPr>
      <w:fldChar w:fldCharType="separate"/>
    </w:r>
    <w:r w:rsidR="003F5887">
      <w:rPr>
        <w:rFonts w:ascii="Book Antiqua" w:hAnsi="Book Antiqua"/>
        <w:noProof/>
        <w:sz w:val="24"/>
        <w:szCs w:val="24"/>
      </w:rPr>
      <w:t>12</w:t>
    </w:r>
    <w:r w:rsidRPr="00E376EB">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D41E5" w14:textId="77777777" w:rsidR="00CC263A" w:rsidRDefault="00CC263A" w:rsidP="00E376EB">
      <w:r>
        <w:separator/>
      </w:r>
    </w:p>
  </w:footnote>
  <w:footnote w:type="continuationSeparator" w:id="0">
    <w:p w14:paraId="2F995361" w14:textId="77777777" w:rsidR="00CC263A" w:rsidRDefault="00CC263A" w:rsidP="00E376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24AE"/>
    <w:rsid w:val="0008354E"/>
    <w:rsid w:val="001279F0"/>
    <w:rsid w:val="001926AA"/>
    <w:rsid w:val="002311DE"/>
    <w:rsid w:val="002C65A9"/>
    <w:rsid w:val="002D7CCE"/>
    <w:rsid w:val="002E04C2"/>
    <w:rsid w:val="003F5887"/>
    <w:rsid w:val="004476E8"/>
    <w:rsid w:val="004F3A54"/>
    <w:rsid w:val="00502BEC"/>
    <w:rsid w:val="005F0C46"/>
    <w:rsid w:val="005F336B"/>
    <w:rsid w:val="00621AFE"/>
    <w:rsid w:val="00647A71"/>
    <w:rsid w:val="00780D53"/>
    <w:rsid w:val="00802138"/>
    <w:rsid w:val="00944241"/>
    <w:rsid w:val="009661D7"/>
    <w:rsid w:val="00A77B3E"/>
    <w:rsid w:val="00AC28FD"/>
    <w:rsid w:val="00AE4D5F"/>
    <w:rsid w:val="00B2785C"/>
    <w:rsid w:val="00BF21A3"/>
    <w:rsid w:val="00CA2A55"/>
    <w:rsid w:val="00CC263A"/>
    <w:rsid w:val="00D164CC"/>
    <w:rsid w:val="00D539B3"/>
    <w:rsid w:val="00D83BC0"/>
    <w:rsid w:val="00DD7077"/>
    <w:rsid w:val="00E376EB"/>
    <w:rsid w:val="00EB5900"/>
    <w:rsid w:val="00EF09D8"/>
    <w:rsid w:val="00FD6E71"/>
    <w:rsid w:val="00FD7F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BA6064"/>
  <w15:docId w15:val="{A9B3EE08-858F-48F7-A36A-BA01BD449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D6E71"/>
    <w:rPr>
      <w:sz w:val="18"/>
      <w:szCs w:val="18"/>
    </w:rPr>
  </w:style>
  <w:style w:type="character" w:customStyle="1" w:styleId="a4">
    <w:name w:val="批注框文本 字符"/>
    <w:basedOn w:val="a0"/>
    <w:link w:val="a3"/>
    <w:rsid w:val="00FD6E71"/>
    <w:rPr>
      <w:sz w:val="18"/>
      <w:szCs w:val="18"/>
    </w:rPr>
  </w:style>
  <w:style w:type="paragraph" w:styleId="a5">
    <w:name w:val="header"/>
    <w:basedOn w:val="a"/>
    <w:link w:val="a6"/>
    <w:rsid w:val="00E376E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E376EB"/>
    <w:rPr>
      <w:sz w:val="18"/>
      <w:szCs w:val="18"/>
    </w:rPr>
  </w:style>
  <w:style w:type="paragraph" w:styleId="a7">
    <w:name w:val="footer"/>
    <w:basedOn w:val="a"/>
    <w:link w:val="a8"/>
    <w:rsid w:val="00E376EB"/>
    <w:pPr>
      <w:tabs>
        <w:tab w:val="center" w:pos="4153"/>
        <w:tab w:val="right" w:pos="8306"/>
      </w:tabs>
      <w:snapToGrid w:val="0"/>
    </w:pPr>
    <w:rPr>
      <w:sz w:val="18"/>
      <w:szCs w:val="18"/>
    </w:rPr>
  </w:style>
  <w:style w:type="character" w:customStyle="1" w:styleId="a8">
    <w:name w:val="页脚 字符"/>
    <w:basedOn w:val="a0"/>
    <w:link w:val="a7"/>
    <w:rsid w:val="00E376EB"/>
    <w:rPr>
      <w:sz w:val="18"/>
      <w:szCs w:val="18"/>
    </w:rPr>
  </w:style>
  <w:style w:type="paragraph" w:styleId="a9">
    <w:name w:val="Revision"/>
    <w:hidden/>
    <w:uiPriority w:val="99"/>
    <w:semiHidden/>
    <w:rsid w:val="00EF09D8"/>
    <w:rPr>
      <w:sz w:val="24"/>
      <w:szCs w:val="24"/>
    </w:rPr>
  </w:style>
  <w:style w:type="character" w:styleId="aa">
    <w:name w:val="Hyperlink"/>
    <w:basedOn w:val="a0"/>
    <w:unhideWhenUsed/>
    <w:rsid w:val="002C65A9"/>
    <w:rPr>
      <w:color w:val="0000FF" w:themeColor="hyperlink"/>
      <w:u w:val="single"/>
    </w:rPr>
  </w:style>
  <w:style w:type="character" w:styleId="ab">
    <w:name w:val="Unresolved Mention"/>
    <w:basedOn w:val="a0"/>
    <w:uiPriority w:val="99"/>
    <w:semiHidden/>
    <w:unhideWhenUsed/>
    <w:rsid w:val="002C6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047566">
      <w:bodyDiv w:val="1"/>
      <w:marLeft w:val="0"/>
      <w:marRight w:val="0"/>
      <w:marTop w:val="0"/>
      <w:marBottom w:val="0"/>
      <w:divBdr>
        <w:top w:val="none" w:sz="0" w:space="0" w:color="auto"/>
        <w:left w:val="none" w:sz="0" w:space="0" w:color="auto"/>
        <w:bottom w:val="none" w:sz="0" w:space="0" w:color="auto"/>
        <w:right w:val="none" w:sz="0" w:space="0" w:color="auto"/>
      </w:divBdr>
      <w:divsChild>
        <w:div w:id="18355632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2962</Words>
  <Characters>16885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famerLin</dc:creator>
  <cp:lastModifiedBy>Li Jia-Hui</cp:lastModifiedBy>
  <cp:revision>16</cp:revision>
  <dcterms:created xsi:type="dcterms:W3CDTF">2021-08-26T00:10:00Z</dcterms:created>
  <dcterms:modified xsi:type="dcterms:W3CDTF">2021-10-12T01:29:00Z</dcterms:modified>
</cp:coreProperties>
</file>