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847E2" w14:textId="7777777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color w:val="000000"/>
        </w:rPr>
        <w:t xml:space="preserve">Name of Journal: </w:t>
      </w:r>
      <w:r w:rsidRPr="00C57A36">
        <w:rPr>
          <w:rFonts w:ascii="Book Antiqua" w:eastAsia="Book Antiqua" w:hAnsi="Book Antiqua" w:cs="Book Antiqua"/>
          <w:i/>
          <w:color w:val="000000"/>
        </w:rPr>
        <w:t>World Journal of Hepatology</w:t>
      </w:r>
    </w:p>
    <w:p w14:paraId="0F4A6A84" w14:textId="7777777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color w:val="000000"/>
        </w:rPr>
        <w:t xml:space="preserve">Manuscript NO: </w:t>
      </w:r>
      <w:r w:rsidRPr="00C57A36">
        <w:rPr>
          <w:rFonts w:ascii="Book Antiqua" w:eastAsia="Book Antiqua" w:hAnsi="Book Antiqua" w:cs="Book Antiqua"/>
          <w:color w:val="000000"/>
        </w:rPr>
        <w:t>67080</w:t>
      </w:r>
    </w:p>
    <w:p w14:paraId="34E51362" w14:textId="7777777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color w:val="000000"/>
        </w:rPr>
        <w:t xml:space="preserve">Manuscript Type: </w:t>
      </w:r>
      <w:r w:rsidRPr="00C57A36">
        <w:rPr>
          <w:rFonts w:ascii="Book Antiqua" w:eastAsia="Book Antiqua" w:hAnsi="Book Antiqua" w:cs="Book Antiqua"/>
          <w:color w:val="000000"/>
        </w:rPr>
        <w:t>ORIGINAL ARTICLE</w:t>
      </w:r>
    </w:p>
    <w:p w14:paraId="532570BD" w14:textId="77777777" w:rsidR="00A77B3E" w:rsidRPr="00C57A36" w:rsidRDefault="00A77B3E" w:rsidP="00C57A36">
      <w:pPr>
        <w:spacing w:line="360" w:lineRule="auto"/>
        <w:jc w:val="both"/>
        <w:rPr>
          <w:rFonts w:ascii="Book Antiqua" w:hAnsi="Book Antiqua"/>
        </w:rPr>
      </w:pPr>
    </w:p>
    <w:p w14:paraId="5E62F034" w14:textId="7777777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i/>
          <w:color w:val="000000"/>
        </w:rPr>
        <w:t>Observational Study</w:t>
      </w:r>
    </w:p>
    <w:p w14:paraId="14A5EA29" w14:textId="7777777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color w:val="000000"/>
        </w:rPr>
        <w:t>Clinical outcomes of patients with two small hepatocellular carcinomas</w:t>
      </w:r>
    </w:p>
    <w:p w14:paraId="3C14F69E" w14:textId="77777777" w:rsidR="00A77B3E" w:rsidRPr="00C57A36" w:rsidRDefault="00A77B3E" w:rsidP="00C57A36">
      <w:pPr>
        <w:spacing w:line="360" w:lineRule="auto"/>
        <w:jc w:val="both"/>
        <w:rPr>
          <w:rFonts w:ascii="Book Antiqua" w:hAnsi="Book Antiqua"/>
        </w:rPr>
      </w:pPr>
    </w:p>
    <w:p w14:paraId="0B45EF6E" w14:textId="0DBD2BDF" w:rsidR="00A77B3E" w:rsidRPr="00C57A36" w:rsidRDefault="00EE0467" w:rsidP="00C57A36">
      <w:pPr>
        <w:spacing w:line="360" w:lineRule="auto"/>
        <w:jc w:val="both"/>
        <w:rPr>
          <w:rFonts w:ascii="Book Antiqua" w:hAnsi="Book Antiqua"/>
        </w:rPr>
      </w:pPr>
      <w:r w:rsidRPr="00C57A36">
        <w:rPr>
          <w:rFonts w:ascii="Book Antiqua" w:eastAsia="Book Antiqua" w:hAnsi="Book Antiqua" w:cs="Book Antiqua"/>
          <w:color w:val="000000"/>
        </w:rPr>
        <w:t xml:space="preserve">Pham </w:t>
      </w:r>
      <w:r>
        <w:rPr>
          <w:rFonts w:ascii="Book Antiqua" w:eastAsia="Book Antiqua" w:hAnsi="Book Antiqua" w:cs="Book Antiqua"/>
          <w:color w:val="000000"/>
        </w:rPr>
        <w:t xml:space="preserve">AD </w:t>
      </w:r>
      <w:r w:rsidRPr="00196C7C">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696095" w:rsidRPr="00C57A36">
        <w:rPr>
          <w:rFonts w:ascii="Book Antiqua" w:eastAsia="Book Antiqua" w:hAnsi="Book Antiqua" w:cs="Book Antiqua"/>
          <w:color w:val="000000"/>
        </w:rPr>
        <w:t>Outcome of two small HCC</w:t>
      </w:r>
    </w:p>
    <w:p w14:paraId="14FF153F" w14:textId="77777777" w:rsidR="00A77B3E" w:rsidRPr="00C57A36" w:rsidRDefault="00A77B3E" w:rsidP="00C57A36">
      <w:pPr>
        <w:spacing w:line="360" w:lineRule="auto"/>
        <w:jc w:val="both"/>
        <w:rPr>
          <w:rFonts w:ascii="Book Antiqua" w:hAnsi="Book Antiqua"/>
        </w:rPr>
      </w:pPr>
    </w:p>
    <w:p w14:paraId="18DED3E7" w14:textId="7777777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color w:val="000000"/>
        </w:rPr>
        <w:t xml:space="preserve">Anh </w:t>
      </w:r>
      <w:proofErr w:type="spellStart"/>
      <w:r w:rsidRPr="00C57A36">
        <w:rPr>
          <w:rFonts w:ascii="Book Antiqua" w:eastAsia="Book Antiqua" w:hAnsi="Book Antiqua" w:cs="Book Antiqua"/>
          <w:color w:val="000000"/>
        </w:rPr>
        <w:t>Duy</w:t>
      </w:r>
      <w:proofErr w:type="spellEnd"/>
      <w:r w:rsidRPr="00C57A36">
        <w:rPr>
          <w:rFonts w:ascii="Book Antiqua" w:eastAsia="Book Antiqua" w:hAnsi="Book Antiqua" w:cs="Book Antiqua"/>
          <w:color w:val="000000"/>
        </w:rPr>
        <w:t xml:space="preserve"> Pham, Karl </w:t>
      </w:r>
      <w:proofErr w:type="spellStart"/>
      <w:r w:rsidRPr="00C57A36">
        <w:rPr>
          <w:rFonts w:ascii="Book Antiqua" w:eastAsia="Book Antiqua" w:hAnsi="Book Antiqua" w:cs="Book Antiqua"/>
          <w:color w:val="000000"/>
        </w:rPr>
        <w:t>Vaz</w:t>
      </w:r>
      <w:proofErr w:type="spellEnd"/>
      <w:r w:rsidRPr="00C57A36">
        <w:rPr>
          <w:rFonts w:ascii="Book Antiqua" w:eastAsia="Book Antiqua" w:hAnsi="Book Antiqua" w:cs="Book Antiqua"/>
          <w:color w:val="000000"/>
        </w:rPr>
        <w:t xml:space="preserve">, Zaid S </w:t>
      </w:r>
      <w:proofErr w:type="spellStart"/>
      <w:r w:rsidRPr="00C57A36">
        <w:rPr>
          <w:rFonts w:ascii="Book Antiqua" w:eastAsia="Book Antiqua" w:hAnsi="Book Antiqua" w:cs="Book Antiqua"/>
          <w:color w:val="000000"/>
        </w:rPr>
        <w:t>Ardalan</w:t>
      </w:r>
      <w:proofErr w:type="spellEnd"/>
      <w:r w:rsidRPr="00C57A36">
        <w:rPr>
          <w:rFonts w:ascii="Book Antiqua" w:eastAsia="Book Antiqua" w:hAnsi="Book Antiqua" w:cs="Book Antiqua"/>
          <w:color w:val="000000"/>
        </w:rPr>
        <w:t xml:space="preserve">, Marie Sinclair, Ross </w:t>
      </w:r>
      <w:proofErr w:type="spellStart"/>
      <w:r w:rsidRPr="00C57A36">
        <w:rPr>
          <w:rFonts w:ascii="Book Antiqua" w:eastAsia="Book Antiqua" w:hAnsi="Book Antiqua" w:cs="Book Antiqua"/>
          <w:color w:val="000000"/>
        </w:rPr>
        <w:t>Apostolov</w:t>
      </w:r>
      <w:proofErr w:type="spellEnd"/>
      <w:r w:rsidRPr="00C57A36">
        <w:rPr>
          <w:rFonts w:ascii="Book Antiqua" w:eastAsia="Book Antiqua" w:hAnsi="Book Antiqua" w:cs="Book Antiqua"/>
          <w:color w:val="000000"/>
        </w:rPr>
        <w:t xml:space="preserve">, Sarah Gardner, Ammar Majeed, Gauri Mishra, Ning Mao Kam, </w:t>
      </w:r>
      <w:proofErr w:type="spellStart"/>
      <w:r w:rsidRPr="00C57A36">
        <w:rPr>
          <w:rFonts w:ascii="Book Antiqua" w:eastAsia="Book Antiqua" w:hAnsi="Book Antiqua" w:cs="Book Antiqua"/>
          <w:color w:val="000000"/>
        </w:rPr>
        <w:t>Kurvi</w:t>
      </w:r>
      <w:proofErr w:type="spellEnd"/>
      <w:r w:rsidRPr="00C57A36">
        <w:rPr>
          <w:rFonts w:ascii="Book Antiqua" w:eastAsia="Book Antiqua" w:hAnsi="Book Antiqua" w:cs="Book Antiqua"/>
          <w:color w:val="000000"/>
        </w:rPr>
        <w:t xml:space="preserve"> </w:t>
      </w:r>
      <w:proofErr w:type="spellStart"/>
      <w:r w:rsidRPr="00C57A36">
        <w:rPr>
          <w:rFonts w:ascii="Book Antiqua" w:eastAsia="Book Antiqua" w:hAnsi="Book Antiqua" w:cs="Book Antiqua"/>
          <w:color w:val="000000"/>
        </w:rPr>
        <w:t>Patwala</w:t>
      </w:r>
      <w:proofErr w:type="spellEnd"/>
      <w:r w:rsidRPr="00C57A36">
        <w:rPr>
          <w:rFonts w:ascii="Book Antiqua" w:eastAsia="Book Antiqua" w:hAnsi="Book Antiqua" w:cs="Book Antiqua"/>
          <w:color w:val="000000"/>
        </w:rPr>
        <w:t xml:space="preserve">, </w:t>
      </w:r>
      <w:proofErr w:type="spellStart"/>
      <w:r w:rsidRPr="00C57A36">
        <w:rPr>
          <w:rFonts w:ascii="Book Antiqua" w:eastAsia="Book Antiqua" w:hAnsi="Book Antiqua" w:cs="Book Antiqua"/>
          <w:color w:val="000000"/>
        </w:rPr>
        <w:t>Numan</w:t>
      </w:r>
      <w:proofErr w:type="spellEnd"/>
      <w:r w:rsidRPr="00C57A36">
        <w:rPr>
          <w:rFonts w:ascii="Book Antiqua" w:eastAsia="Book Antiqua" w:hAnsi="Book Antiqua" w:cs="Book Antiqua"/>
          <w:color w:val="000000"/>
        </w:rPr>
        <w:t xml:space="preserve"> </w:t>
      </w:r>
      <w:proofErr w:type="spellStart"/>
      <w:r w:rsidRPr="00C57A36">
        <w:rPr>
          <w:rFonts w:ascii="Book Antiqua" w:eastAsia="Book Antiqua" w:hAnsi="Book Antiqua" w:cs="Book Antiqua"/>
          <w:color w:val="000000"/>
        </w:rPr>
        <w:t>Kutaiba</w:t>
      </w:r>
      <w:proofErr w:type="spellEnd"/>
      <w:r w:rsidRPr="00C57A36">
        <w:rPr>
          <w:rFonts w:ascii="Book Antiqua" w:eastAsia="Book Antiqua" w:hAnsi="Book Antiqua" w:cs="Book Antiqua"/>
          <w:color w:val="000000"/>
        </w:rPr>
        <w:t xml:space="preserve">, Niranjan </w:t>
      </w:r>
      <w:proofErr w:type="spellStart"/>
      <w:r w:rsidRPr="00C57A36">
        <w:rPr>
          <w:rFonts w:ascii="Book Antiqua" w:eastAsia="Book Antiqua" w:hAnsi="Book Antiqua" w:cs="Book Antiqua"/>
          <w:color w:val="000000"/>
        </w:rPr>
        <w:t>Arachchi</w:t>
      </w:r>
      <w:proofErr w:type="spellEnd"/>
      <w:r w:rsidRPr="00C57A36">
        <w:rPr>
          <w:rFonts w:ascii="Book Antiqua" w:eastAsia="Book Antiqua" w:hAnsi="Book Antiqua" w:cs="Book Antiqua"/>
          <w:color w:val="000000"/>
        </w:rPr>
        <w:t xml:space="preserve">, Sally Bell, Anouk T Dev, John S </w:t>
      </w:r>
      <w:proofErr w:type="spellStart"/>
      <w:r w:rsidRPr="00C57A36">
        <w:rPr>
          <w:rFonts w:ascii="Book Antiqua" w:eastAsia="Book Antiqua" w:hAnsi="Book Antiqua" w:cs="Book Antiqua"/>
          <w:color w:val="000000"/>
        </w:rPr>
        <w:t>Lubel</w:t>
      </w:r>
      <w:proofErr w:type="spellEnd"/>
      <w:r w:rsidRPr="00C57A36">
        <w:rPr>
          <w:rFonts w:ascii="Book Antiqua" w:eastAsia="Book Antiqua" w:hAnsi="Book Antiqua" w:cs="Book Antiqua"/>
          <w:color w:val="000000"/>
        </w:rPr>
        <w:t xml:space="preserve">, Amanda J Nicoll, Siddharth </w:t>
      </w:r>
      <w:proofErr w:type="spellStart"/>
      <w:r w:rsidRPr="00C57A36">
        <w:rPr>
          <w:rFonts w:ascii="Book Antiqua" w:eastAsia="Book Antiqua" w:hAnsi="Book Antiqua" w:cs="Book Antiqua"/>
          <w:color w:val="000000"/>
        </w:rPr>
        <w:t>Sood</w:t>
      </w:r>
      <w:proofErr w:type="spellEnd"/>
      <w:r w:rsidRPr="00C57A36">
        <w:rPr>
          <w:rFonts w:ascii="Book Antiqua" w:eastAsia="Book Antiqua" w:hAnsi="Book Antiqua" w:cs="Book Antiqua"/>
          <w:color w:val="000000"/>
        </w:rPr>
        <w:t xml:space="preserve">, William Kemp, Stuart K Roberts, Michael Fink, Adam G </w:t>
      </w:r>
      <w:proofErr w:type="spellStart"/>
      <w:r w:rsidRPr="00C57A36">
        <w:rPr>
          <w:rFonts w:ascii="Book Antiqua" w:eastAsia="Book Antiqua" w:hAnsi="Book Antiqua" w:cs="Book Antiqua"/>
          <w:color w:val="000000"/>
        </w:rPr>
        <w:t>Testro</w:t>
      </w:r>
      <w:proofErr w:type="spellEnd"/>
      <w:r w:rsidRPr="00C57A36">
        <w:rPr>
          <w:rFonts w:ascii="Book Antiqua" w:eastAsia="Book Antiqua" w:hAnsi="Book Antiqua" w:cs="Book Antiqua"/>
          <w:color w:val="000000"/>
        </w:rPr>
        <w:t xml:space="preserve">, Peter W Angus, Paul J </w:t>
      </w:r>
      <w:proofErr w:type="spellStart"/>
      <w:r w:rsidRPr="00C57A36">
        <w:rPr>
          <w:rFonts w:ascii="Book Antiqua" w:eastAsia="Book Antiqua" w:hAnsi="Book Antiqua" w:cs="Book Antiqua"/>
          <w:color w:val="000000"/>
        </w:rPr>
        <w:t>Gow</w:t>
      </w:r>
      <w:proofErr w:type="spellEnd"/>
    </w:p>
    <w:p w14:paraId="3773F95E" w14:textId="77777777" w:rsidR="00A77B3E" w:rsidRPr="00C57A36" w:rsidRDefault="00A77B3E" w:rsidP="00C57A36">
      <w:pPr>
        <w:spacing w:line="360" w:lineRule="auto"/>
        <w:jc w:val="both"/>
        <w:rPr>
          <w:rFonts w:ascii="Book Antiqua" w:hAnsi="Book Antiqua"/>
        </w:rPr>
      </w:pPr>
    </w:p>
    <w:p w14:paraId="77326AAE" w14:textId="5B7BDB20"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bCs/>
          <w:color w:val="000000"/>
        </w:rPr>
        <w:t xml:space="preserve">Anh </w:t>
      </w:r>
      <w:proofErr w:type="spellStart"/>
      <w:r w:rsidRPr="00C57A36">
        <w:rPr>
          <w:rFonts w:ascii="Book Antiqua" w:eastAsia="Book Antiqua" w:hAnsi="Book Antiqua" w:cs="Book Antiqua"/>
          <w:b/>
          <w:bCs/>
          <w:color w:val="000000"/>
        </w:rPr>
        <w:t>Duy</w:t>
      </w:r>
      <w:proofErr w:type="spellEnd"/>
      <w:r w:rsidRPr="00C57A36">
        <w:rPr>
          <w:rFonts w:ascii="Book Antiqua" w:eastAsia="Book Antiqua" w:hAnsi="Book Antiqua" w:cs="Book Antiqua"/>
          <w:b/>
          <w:bCs/>
          <w:color w:val="000000"/>
        </w:rPr>
        <w:t xml:space="preserve"> Pham, Karl </w:t>
      </w:r>
      <w:proofErr w:type="spellStart"/>
      <w:r w:rsidRPr="00C57A36">
        <w:rPr>
          <w:rFonts w:ascii="Book Antiqua" w:eastAsia="Book Antiqua" w:hAnsi="Book Antiqua" w:cs="Book Antiqua"/>
          <w:b/>
          <w:bCs/>
          <w:color w:val="000000"/>
        </w:rPr>
        <w:t>Vaz</w:t>
      </w:r>
      <w:proofErr w:type="spellEnd"/>
      <w:r w:rsidRPr="00C57A36">
        <w:rPr>
          <w:rFonts w:ascii="Book Antiqua" w:eastAsia="Book Antiqua" w:hAnsi="Book Antiqua" w:cs="Book Antiqua"/>
          <w:b/>
          <w:bCs/>
          <w:color w:val="000000"/>
        </w:rPr>
        <w:t xml:space="preserve">, Zaid S </w:t>
      </w:r>
      <w:proofErr w:type="spellStart"/>
      <w:r w:rsidRPr="00C57A36">
        <w:rPr>
          <w:rFonts w:ascii="Book Antiqua" w:eastAsia="Book Antiqua" w:hAnsi="Book Antiqua" w:cs="Book Antiqua"/>
          <w:b/>
          <w:bCs/>
          <w:color w:val="000000"/>
        </w:rPr>
        <w:t>Ardalan</w:t>
      </w:r>
      <w:proofErr w:type="spellEnd"/>
      <w:r w:rsidRPr="00C57A36">
        <w:rPr>
          <w:rFonts w:ascii="Book Antiqua" w:eastAsia="Book Antiqua" w:hAnsi="Book Antiqua" w:cs="Book Antiqua"/>
          <w:b/>
          <w:bCs/>
          <w:color w:val="000000"/>
        </w:rPr>
        <w:t xml:space="preserve">, Marie Sinclair, Ross </w:t>
      </w:r>
      <w:proofErr w:type="spellStart"/>
      <w:r w:rsidRPr="00C57A36">
        <w:rPr>
          <w:rFonts w:ascii="Book Antiqua" w:eastAsia="Book Antiqua" w:hAnsi="Book Antiqua" w:cs="Book Antiqua"/>
          <w:b/>
          <w:bCs/>
          <w:color w:val="000000"/>
        </w:rPr>
        <w:t>Apostolov</w:t>
      </w:r>
      <w:proofErr w:type="spellEnd"/>
      <w:r w:rsidRPr="00C57A36">
        <w:rPr>
          <w:rFonts w:ascii="Book Antiqua" w:eastAsia="Book Antiqua" w:hAnsi="Book Antiqua" w:cs="Book Antiqua"/>
          <w:b/>
          <w:bCs/>
          <w:color w:val="000000"/>
        </w:rPr>
        <w:t xml:space="preserve">, Sarah Gardner, Ning Mao Kam, </w:t>
      </w:r>
      <w:proofErr w:type="spellStart"/>
      <w:r w:rsidRPr="00C57A36">
        <w:rPr>
          <w:rFonts w:ascii="Book Antiqua" w:eastAsia="Book Antiqua" w:hAnsi="Book Antiqua" w:cs="Book Antiqua"/>
          <w:b/>
          <w:bCs/>
          <w:color w:val="000000"/>
        </w:rPr>
        <w:t>Kurvi</w:t>
      </w:r>
      <w:proofErr w:type="spellEnd"/>
      <w:r w:rsidRPr="00C57A36">
        <w:rPr>
          <w:rFonts w:ascii="Book Antiqua" w:eastAsia="Book Antiqua" w:hAnsi="Book Antiqua" w:cs="Book Antiqua"/>
          <w:b/>
          <w:bCs/>
          <w:color w:val="000000"/>
        </w:rPr>
        <w:t xml:space="preserve"> </w:t>
      </w:r>
      <w:proofErr w:type="spellStart"/>
      <w:r w:rsidRPr="00C57A36">
        <w:rPr>
          <w:rFonts w:ascii="Book Antiqua" w:eastAsia="Book Antiqua" w:hAnsi="Book Antiqua" w:cs="Book Antiqua"/>
          <w:b/>
          <w:bCs/>
          <w:color w:val="000000"/>
        </w:rPr>
        <w:t>Patwala</w:t>
      </w:r>
      <w:proofErr w:type="spellEnd"/>
      <w:r w:rsidRPr="00C57A36">
        <w:rPr>
          <w:rFonts w:ascii="Book Antiqua" w:eastAsia="Book Antiqua" w:hAnsi="Book Antiqua" w:cs="Book Antiqua"/>
          <w:b/>
          <w:bCs/>
          <w:color w:val="000000"/>
        </w:rPr>
        <w:t xml:space="preserve">, Adam G </w:t>
      </w:r>
      <w:proofErr w:type="spellStart"/>
      <w:r w:rsidRPr="00C57A36">
        <w:rPr>
          <w:rFonts w:ascii="Book Antiqua" w:eastAsia="Book Antiqua" w:hAnsi="Book Antiqua" w:cs="Book Antiqua"/>
          <w:b/>
          <w:bCs/>
          <w:color w:val="000000"/>
        </w:rPr>
        <w:t>Testro</w:t>
      </w:r>
      <w:proofErr w:type="spellEnd"/>
      <w:r w:rsidRPr="00C57A36">
        <w:rPr>
          <w:rFonts w:ascii="Book Antiqua" w:eastAsia="Book Antiqua" w:hAnsi="Book Antiqua" w:cs="Book Antiqua"/>
          <w:b/>
          <w:bCs/>
          <w:color w:val="000000"/>
        </w:rPr>
        <w:t xml:space="preserve">, Peter W Angus, </w:t>
      </w:r>
      <w:r w:rsidR="007525BE" w:rsidRPr="00C57A36">
        <w:rPr>
          <w:rFonts w:ascii="Book Antiqua" w:eastAsia="Book Antiqua" w:hAnsi="Book Antiqua" w:cs="Book Antiqua"/>
          <w:b/>
          <w:bCs/>
          <w:color w:val="000000"/>
        </w:rPr>
        <w:t xml:space="preserve">Michael Fink, Paul J </w:t>
      </w:r>
      <w:proofErr w:type="spellStart"/>
      <w:r w:rsidR="007525BE" w:rsidRPr="00C57A36">
        <w:rPr>
          <w:rFonts w:ascii="Book Antiqua" w:eastAsia="Book Antiqua" w:hAnsi="Book Antiqua" w:cs="Book Antiqua"/>
          <w:b/>
          <w:bCs/>
          <w:color w:val="000000"/>
        </w:rPr>
        <w:t>Gow</w:t>
      </w:r>
      <w:proofErr w:type="spellEnd"/>
      <w:r w:rsidR="007525BE" w:rsidRPr="00C57A36">
        <w:rPr>
          <w:rFonts w:ascii="Book Antiqua" w:eastAsia="Book Antiqua" w:hAnsi="Book Antiqua" w:cs="Book Antiqua"/>
          <w:b/>
          <w:bCs/>
          <w:color w:val="000000"/>
        </w:rPr>
        <w:t xml:space="preserve">, </w:t>
      </w:r>
      <w:r w:rsidRPr="00C57A36">
        <w:rPr>
          <w:rFonts w:ascii="Book Antiqua" w:eastAsia="Book Antiqua" w:hAnsi="Book Antiqua" w:cs="Book Antiqua"/>
          <w:color w:val="000000"/>
        </w:rPr>
        <w:t>The Victorian Liver Transplant Unit, Austin Health, Heidelberg 3084, Victoria, Australia</w:t>
      </w:r>
    </w:p>
    <w:p w14:paraId="2B7DD747" w14:textId="77777777" w:rsidR="007525BE" w:rsidRPr="00C57A36" w:rsidRDefault="007525BE" w:rsidP="00C57A36">
      <w:pPr>
        <w:spacing w:line="360" w:lineRule="auto"/>
        <w:jc w:val="both"/>
        <w:rPr>
          <w:rFonts w:ascii="Book Antiqua" w:hAnsi="Book Antiqua"/>
        </w:rPr>
      </w:pPr>
    </w:p>
    <w:p w14:paraId="279F105C" w14:textId="467B00C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bCs/>
          <w:color w:val="000000"/>
        </w:rPr>
        <w:t xml:space="preserve">Zaid S </w:t>
      </w:r>
      <w:proofErr w:type="spellStart"/>
      <w:r w:rsidRPr="00C57A36">
        <w:rPr>
          <w:rFonts w:ascii="Book Antiqua" w:eastAsia="Book Antiqua" w:hAnsi="Book Antiqua" w:cs="Book Antiqua"/>
          <w:b/>
          <w:bCs/>
          <w:color w:val="000000"/>
        </w:rPr>
        <w:t>Ardalan</w:t>
      </w:r>
      <w:proofErr w:type="spellEnd"/>
      <w:r w:rsidRPr="00C57A36">
        <w:rPr>
          <w:rFonts w:ascii="Book Antiqua" w:eastAsia="Book Antiqua" w:hAnsi="Book Antiqua" w:cs="Book Antiqua"/>
          <w:b/>
          <w:bCs/>
          <w:color w:val="000000"/>
        </w:rPr>
        <w:t>,</w:t>
      </w:r>
      <w:r w:rsidRPr="00A66FC2">
        <w:rPr>
          <w:rFonts w:ascii="Book Antiqua" w:eastAsia="Book Antiqua" w:hAnsi="Book Antiqua" w:cs="Book Antiqua"/>
          <w:color w:val="000000"/>
        </w:rPr>
        <w:t xml:space="preserve"> </w:t>
      </w:r>
      <w:r w:rsidR="00A03B35" w:rsidRPr="00C57A36">
        <w:rPr>
          <w:rFonts w:ascii="Book Antiqua" w:eastAsia="Book Antiqua" w:hAnsi="Book Antiqua" w:cs="Book Antiqua"/>
          <w:b/>
          <w:bCs/>
          <w:color w:val="000000"/>
        </w:rPr>
        <w:t xml:space="preserve">Ammar Majeed, </w:t>
      </w:r>
      <w:r w:rsidR="00F5734B" w:rsidRPr="00C57A36">
        <w:rPr>
          <w:rFonts w:ascii="Book Antiqua" w:eastAsia="Book Antiqua" w:hAnsi="Book Antiqua" w:cs="Book Antiqua"/>
          <w:b/>
          <w:bCs/>
          <w:color w:val="000000"/>
        </w:rPr>
        <w:t xml:space="preserve">John S </w:t>
      </w:r>
      <w:proofErr w:type="spellStart"/>
      <w:r w:rsidR="00F5734B" w:rsidRPr="00C57A36">
        <w:rPr>
          <w:rFonts w:ascii="Book Antiqua" w:eastAsia="Book Antiqua" w:hAnsi="Book Antiqua" w:cs="Book Antiqua"/>
          <w:b/>
          <w:bCs/>
          <w:color w:val="000000"/>
        </w:rPr>
        <w:t>Lubel</w:t>
      </w:r>
      <w:proofErr w:type="spellEnd"/>
      <w:r w:rsidR="00F5734B" w:rsidRPr="00C57A36">
        <w:rPr>
          <w:rFonts w:ascii="Book Antiqua" w:eastAsia="Book Antiqua" w:hAnsi="Book Antiqua" w:cs="Book Antiqua"/>
          <w:b/>
          <w:bCs/>
          <w:color w:val="000000"/>
        </w:rPr>
        <w:t xml:space="preserve">, Stuart K Roberts, </w:t>
      </w:r>
      <w:r w:rsidR="00AC4DE3" w:rsidRPr="00C57A36">
        <w:rPr>
          <w:rFonts w:ascii="Book Antiqua" w:eastAsia="Book Antiqua" w:hAnsi="Book Antiqua" w:cs="Book Antiqua"/>
          <w:b/>
          <w:bCs/>
          <w:color w:val="000000"/>
        </w:rPr>
        <w:t>William Kemp,</w:t>
      </w:r>
      <w:r w:rsidR="005A78E4">
        <w:rPr>
          <w:rFonts w:ascii="Book Antiqua" w:eastAsia="Book Antiqua" w:hAnsi="Book Antiqua" w:cs="Book Antiqua"/>
          <w:b/>
          <w:bCs/>
          <w:color w:val="000000"/>
        </w:rPr>
        <w:t xml:space="preserve"> </w:t>
      </w:r>
      <w:r w:rsidR="00453E1E" w:rsidRPr="00A66FC2">
        <w:rPr>
          <w:rFonts w:ascii="Book Antiqua" w:eastAsia="Book Antiqua" w:hAnsi="Book Antiqua" w:cs="Book Antiqua"/>
          <w:color w:val="000000"/>
        </w:rPr>
        <w:t xml:space="preserve">Department of </w:t>
      </w:r>
      <w:r w:rsidRPr="00C57A36">
        <w:rPr>
          <w:rFonts w:ascii="Book Antiqua" w:eastAsia="Book Antiqua" w:hAnsi="Book Antiqua" w:cs="Book Antiqua"/>
          <w:color w:val="000000"/>
        </w:rPr>
        <w:t>Gastroenterology, Alfred Health, Melbourne 3000, Victoria, Australia</w:t>
      </w:r>
    </w:p>
    <w:p w14:paraId="1C436BB2" w14:textId="77777777" w:rsidR="00A77B3E" w:rsidRPr="00C57A36" w:rsidRDefault="00A77B3E" w:rsidP="00C57A36">
      <w:pPr>
        <w:spacing w:line="360" w:lineRule="auto"/>
        <w:jc w:val="both"/>
        <w:rPr>
          <w:rFonts w:ascii="Book Antiqua" w:hAnsi="Book Antiqua"/>
        </w:rPr>
      </w:pPr>
    </w:p>
    <w:p w14:paraId="3EF4534C" w14:textId="37663B85" w:rsidR="004116CA" w:rsidRPr="00C57A36" w:rsidRDefault="00696095" w:rsidP="004116CA">
      <w:pPr>
        <w:spacing w:line="360" w:lineRule="auto"/>
        <w:jc w:val="both"/>
        <w:rPr>
          <w:rFonts w:ascii="Book Antiqua" w:hAnsi="Book Antiqua"/>
        </w:rPr>
      </w:pPr>
      <w:r w:rsidRPr="00C57A36">
        <w:rPr>
          <w:rFonts w:ascii="Book Antiqua" w:eastAsia="Book Antiqua" w:hAnsi="Book Antiqua" w:cs="Book Antiqua"/>
          <w:b/>
          <w:bCs/>
          <w:color w:val="000000"/>
        </w:rPr>
        <w:t xml:space="preserve">Marie Sinclair, </w:t>
      </w:r>
      <w:r w:rsidR="004116CA" w:rsidRPr="00C57A36">
        <w:rPr>
          <w:rFonts w:ascii="Book Antiqua" w:eastAsia="Book Antiqua" w:hAnsi="Book Antiqua" w:cs="Book Antiqua"/>
          <w:b/>
          <w:bCs/>
          <w:color w:val="000000"/>
        </w:rPr>
        <w:t xml:space="preserve">Ammar Majeed, Niranjan </w:t>
      </w:r>
      <w:proofErr w:type="spellStart"/>
      <w:r w:rsidR="004116CA" w:rsidRPr="00C57A36">
        <w:rPr>
          <w:rFonts w:ascii="Book Antiqua" w:eastAsia="Book Antiqua" w:hAnsi="Book Antiqua" w:cs="Book Antiqua"/>
          <w:b/>
          <w:bCs/>
          <w:color w:val="000000"/>
        </w:rPr>
        <w:t>Arachchi</w:t>
      </w:r>
      <w:proofErr w:type="spellEnd"/>
      <w:r w:rsidR="004116CA" w:rsidRPr="00C57A36">
        <w:rPr>
          <w:rFonts w:ascii="Book Antiqua" w:eastAsia="Book Antiqua" w:hAnsi="Book Antiqua" w:cs="Book Antiqua"/>
          <w:b/>
          <w:bCs/>
          <w:color w:val="000000"/>
        </w:rPr>
        <w:t xml:space="preserve">, Sally Bell, Amanda J Nicoll, Siddharth </w:t>
      </w:r>
      <w:proofErr w:type="spellStart"/>
      <w:r w:rsidR="004116CA" w:rsidRPr="00C57A36">
        <w:rPr>
          <w:rFonts w:ascii="Book Antiqua" w:eastAsia="Book Antiqua" w:hAnsi="Book Antiqua" w:cs="Book Antiqua"/>
          <w:b/>
          <w:bCs/>
          <w:color w:val="000000"/>
        </w:rPr>
        <w:t>Sood</w:t>
      </w:r>
      <w:proofErr w:type="spellEnd"/>
      <w:r w:rsidR="004116CA" w:rsidRPr="00C57A36">
        <w:rPr>
          <w:rFonts w:ascii="Book Antiqua" w:eastAsia="Book Antiqua" w:hAnsi="Book Antiqua" w:cs="Book Antiqua"/>
          <w:b/>
          <w:bCs/>
          <w:color w:val="000000"/>
        </w:rPr>
        <w:t xml:space="preserve">, William Kemp, Michael Fink, Adam G </w:t>
      </w:r>
      <w:proofErr w:type="spellStart"/>
      <w:r w:rsidR="004116CA" w:rsidRPr="00C57A36">
        <w:rPr>
          <w:rFonts w:ascii="Book Antiqua" w:eastAsia="Book Antiqua" w:hAnsi="Book Antiqua" w:cs="Book Antiqua"/>
          <w:b/>
          <w:bCs/>
          <w:color w:val="000000"/>
        </w:rPr>
        <w:t>Testro</w:t>
      </w:r>
      <w:proofErr w:type="spellEnd"/>
      <w:r w:rsidR="004116CA" w:rsidRPr="00C57A36">
        <w:rPr>
          <w:rFonts w:ascii="Book Antiqua" w:eastAsia="Book Antiqua" w:hAnsi="Book Antiqua" w:cs="Book Antiqua"/>
          <w:b/>
          <w:bCs/>
          <w:color w:val="000000"/>
        </w:rPr>
        <w:t xml:space="preserve">, Peter W Angus, Paul J </w:t>
      </w:r>
      <w:proofErr w:type="spellStart"/>
      <w:r w:rsidR="004116CA" w:rsidRPr="00C57A36">
        <w:rPr>
          <w:rFonts w:ascii="Book Antiqua" w:eastAsia="Book Antiqua" w:hAnsi="Book Antiqua" w:cs="Book Antiqua"/>
          <w:b/>
          <w:bCs/>
          <w:color w:val="000000"/>
        </w:rPr>
        <w:t>Gow</w:t>
      </w:r>
      <w:proofErr w:type="spellEnd"/>
      <w:r w:rsidR="004116CA" w:rsidRPr="00C57A36">
        <w:rPr>
          <w:rFonts w:ascii="Book Antiqua" w:eastAsia="Book Antiqua" w:hAnsi="Book Antiqua" w:cs="Book Antiqua"/>
          <w:b/>
          <w:bCs/>
          <w:color w:val="000000"/>
        </w:rPr>
        <w:t xml:space="preserve">, </w:t>
      </w:r>
      <w:r w:rsidR="00A63489" w:rsidRPr="00C57A36">
        <w:rPr>
          <w:rFonts w:ascii="Book Antiqua" w:eastAsia="Book Antiqua" w:hAnsi="Book Antiqua" w:cs="Book Antiqua"/>
          <w:b/>
          <w:bCs/>
          <w:color w:val="000000"/>
        </w:rPr>
        <w:t xml:space="preserve">Anouk T Dev, </w:t>
      </w:r>
      <w:r w:rsidR="004A70AA" w:rsidRPr="00C57A36">
        <w:rPr>
          <w:rFonts w:ascii="Book Antiqua" w:eastAsia="Book Antiqua" w:hAnsi="Book Antiqua" w:cs="Book Antiqua"/>
          <w:b/>
          <w:bCs/>
          <w:color w:val="000000"/>
        </w:rPr>
        <w:t xml:space="preserve">Stuart K Roberts, </w:t>
      </w:r>
      <w:r w:rsidR="004116CA" w:rsidRPr="00C57A36">
        <w:rPr>
          <w:rFonts w:ascii="Book Antiqua" w:eastAsia="Book Antiqua" w:hAnsi="Book Antiqua" w:cs="Book Antiqua"/>
          <w:color w:val="000000"/>
        </w:rPr>
        <w:t>The Melbourne Liver Group, Melbourne 3000, Victoria, Australia</w:t>
      </w:r>
    </w:p>
    <w:p w14:paraId="5F883FE9" w14:textId="77777777" w:rsidR="009C5ABE" w:rsidRPr="00C57A36" w:rsidRDefault="009C5ABE" w:rsidP="00C57A36">
      <w:pPr>
        <w:spacing w:line="360" w:lineRule="auto"/>
        <w:jc w:val="both"/>
        <w:rPr>
          <w:rFonts w:ascii="Book Antiqua" w:hAnsi="Book Antiqua"/>
        </w:rPr>
      </w:pPr>
    </w:p>
    <w:p w14:paraId="5AA478A1" w14:textId="4F8C44B5" w:rsidR="00A77B3E" w:rsidRPr="00C57A36" w:rsidRDefault="00F16438" w:rsidP="00C57A36">
      <w:pPr>
        <w:spacing w:line="360" w:lineRule="auto"/>
        <w:jc w:val="both"/>
        <w:rPr>
          <w:rFonts w:ascii="Book Antiqua" w:hAnsi="Book Antiqua"/>
        </w:rPr>
      </w:pPr>
      <w:r w:rsidRPr="00C57A36">
        <w:rPr>
          <w:rFonts w:ascii="Book Antiqua" w:eastAsia="Book Antiqua" w:hAnsi="Book Antiqua" w:cs="Book Antiqua"/>
          <w:b/>
          <w:bCs/>
          <w:color w:val="000000"/>
        </w:rPr>
        <w:lastRenderedPageBreak/>
        <w:t>Marie Sinclair</w:t>
      </w:r>
      <w:r>
        <w:rPr>
          <w:rFonts w:ascii="Book Antiqua" w:eastAsia="Book Antiqua" w:hAnsi="Book Antiqua" w:cs="Book Antiqua"/>
          <w:b/>
          <w:bCs/>
          <w:color w:val="000000"/>
        </w:rPr>
        <w:t xml:space="preserve">, </w:t>
      </w:r>
      <w:r w:rsidR="00696095" w:rsidRPr="00C57A36">
        <w:rPr>
          <w:rFonts w:ascii="Book Antiqua" w:eastAsia="Book Antiqua" w:hAnsi="Book Antiqua" w:cs="Book Antiqua"/>
          <w:b/>
          <w:bCs/>
          <w:color w:val="000000"/>
        </w:rPr>
        <w:t xml:space="preserve">Ross </w:t>
      </w:r>
      <w:proofErr w:type="spellStart"/>
      <w:r w:rsidR="00696095" w:rsidRPr="00C57A36">
        <w:rPr>
          <w:rFonts w:ascii="Book Antiqua" w:eastAsia="Book Antiqua" w:hAnsi="Book Antiqua" w:cs="Book Antiqua"/>
          <w:b/>
          <w:bCs/>
          <w:color w:val="000000"/>
        </w:rPr>
        <w:t>Apostolov</w:t>
      </w:r>
      <w:proofErr w:type="spellEnd"/>
      <w:r w:rsidR="00696095" w:rsidRPr="00C57A36">
        <w:rPr>
          <w:rFonts w:ascii="Book Antiqua" w:eastAsia="Book Antiqua" w:hAnsi="Book Antiqua" w:cs="Book Antiqua"/>
          <w:b/>
          <w:bCs/>
          <w:color w:val="000000"/>
        </w:rPr>
        <w:t xml:space="preserve">, Sally Bell, Siddharth </w:t>
      </w:r>
      <w:proofErr w:type="spellStart"/>
      <w:r w:rsidR="00696095" w:rsidRPr="00C57A36">
        <w:rPr>
          <w:rFonts w:ascii="Book Antiqua" w:eastAsia="Book Antiqua" w:hAnsi="Book Antiqua" w:cs="Book Antiqua"/>
          <w:b/>
          <w:bCs/>
          <w:color w:val="000000"/>
        </w:rPr>
        <w:t>Sood</w:t>
      </w:r>
      <w:proofErr w:type="spellEnd"/>
      <w:r w:rsidR="00696095" w:rsidRPr="00C57A36">
        <w:rPr>
          <w:rFonts w:ascii="Book Antiqua" w:eastAsia="Book Antiqua" w:hAnsi="Book Antiqua" w:cs="Book Antiqua"/>
          <w:b/>
          <w:bCs/>
          <w:color w:val="000000"/>
        </w:rPr>
        <w:t xml:space="preserve">, Michael Fink, Adam G </w:t>
      </w:r>
      <w:proofErr w:type="spellStart"/>
      <w:r w:rsidR="00696095" w:rsidRPr="00C57A36">
        <w:rPr>
          <w:rFonts w:ascii="Book Antiqua" w:eastAsia="Book Antiqua" w:hAnsi="Book Antiqua" w:cs="Book Antiqua"/>
          <w:b/>
          <w:bCs/>
          <w:color w:val="000000"/>
        </w:rPr>
        <w:t>Testro</w:t>
      </w:r>
      <w:proofErr w:type="spellEnd"/>
      <w:r w:rsidR="00696095" w:rsidRPr="00C57A36">
        <w:rPr>
          <w:rFonts w:ascii="Book Antiqua" w:eastAsia="Book Antiqua" w:hAnsi="Book Antiqua" w:cs="Book Antiqua"/>
          <w:b/>
          <w:bCs/>
          <w:color w:val="000000"/>
        </w:rPr>
        <w:t xml:space="preserve">, Peter W Angus, Paul J </w:t>
      </w:r>
      <w:proofErr w:type="spellStart"/>
      <w:r w:rsidR="00696095" w:rsidRPr="00C57A36">
        <w:rPr>
          <w:rFonts w:ascii="Book Antiqua" w:eastAsia="Book Antiqua" w:hAnsi="Book Antiqua" w:cs="Book Antiqua"/>
          <w:b/>
          <w:bCs/>
          <w:color w:val="000000"/>
        </w:rPr>
        <w:t>Gow</w:t>
      </w:r>
      <w:proofErr w:type="spellEnd"/>
      <w:r w:rsidR="00696095" w:rsidRPr="00C57A36">
        <w:rPr>
          <w:rFonts w:ascii="Book Antiqua" w:eastAsia="Book Antiqua" w:hAnsi="Book Antiqua" w:cs="Book Antiqua"/>
          <w:b/>
          <w:bCs/>
          <w:color w:val="000000"/>
        </w:rPr>
        <w:t xml:space="preserve">, </w:t>
      </w:r>
      <w:r w:rsidR="00696095" w:rsidRPr="00C57A36">
        <w:rPr>
          <w:rFonts w:ascii="Book Antiqua" w:eastAsia="Book Antiqua" w:hAnsi="Book Antiqua" w:cs="Book Antiqua"/>
          <w:color w:val="000000"/>
        </w:rPr>
        <w:t>The University of Melbourne, Parkville 3010, Victoria, Australia</w:t>
      </w:r>
    </w:p>
    <w:p w14:paraId="72B4A9ED" w14:textId="77777777" w:rsidR="00A77B3E" w:rsidRPr="00C57A36" w:rsidRDefault="00A77B3E" w:rsidP="00C57A36">
      <w:pPr>
        <w:spacing w:line="360" w:lineRule="auto"/>
        <w:jc w:val="both"/>
        <w:rPr>
          <w:rFonts w:ascii="Book Antiqua" w:hAnsi="Book Antiqua"/>
        </w:rPr>
      </w:pPr>
    </w:p>
    <w:p w14:paraId="0C35C081" w14:textId="429AB726"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bCs/>
          <w:color w:val="000000"/>
        </w:rPr>
        <w:t xml:space="preserve">Ammar Majeed, William Kemp, Stuart K Roberts, </w:t>
      </w:r>
      <w:r w:rsidR="00EE2A5F" w:rsidRPr="00C57A36">
        <w:rPr>
          <w:rFonts w:ascii="Book Antiqua" w:eastAsia="Book Antiqua" w:hAnsi="Book Antiqua" w:cs="Book Antiqua"/>
          <w:b/>
          <w:bCs/>
          <w:color w:val="000000"/>
        </w:rPr>
        <w:t xml:space="preserve">John S </w:t>
      </w:r>
      <w:proofErr w:type="spellStart"/>
      <w:r w:rsidR="00EE2A5F" w:rsidRPr="00C57A36">
        <w:rPr>
          <w:rFonts w:ascii="Book Antiqua" w:eastAsia="Book Antiqua" w:hAnsi="Book Antiqua" w:cs="Book Antiqua"/>
          <w:b/>
          <w:bCs/>
          <w:color w:val="000000"/>
        </w:rPr>
        <w:t>Lubel</w:t>
      </w:r>
      <w:proofErr w:type="spellEnd"/>
      <w:r w:rsidR="00EE2A5F" w:rsidRPr="00C57A36">
        <w:rPr>
          <w:rFonts w:ascii="Book Antiqua" w:eastAsia="Book Antiqua" w:hAnsi="Book Antiqua" w:cs="Book Antiqua"/>
          <w:b/>
          <w:bCs/>
          <w:color w:val="000000"/>
        </w:rPr>
        <w:t xml:space="preserve">, </w:t>
      </w:r>
      <w:r w:rsidRPr="00C57A36">
        <w:rPr>
          <w:rFonts w:ascii="Book Antiqua" w:eastAsia="Book Antiqua" w:hAnsi="Book Antiqua" w:cs="Book Antiqua"/>
          <w:color w:val="000000"/>
        </w:rPr>
        <w:t>Central Clinical School, Monash University, Melbourne 3004, Victoria, Australia</w:t>
      </w:r>
    </w:p>
    <w:p w14:paraId="0526DA7A" w14:textId="77777777" w:rsidR="00A77B3E" w:rsidRPr="00C57A36" w:rsidRDefault="00A77B3E" w:rsidP="00C57A36">
      <w:pPr>
        <w:spacing w:line="360" w:lineRule="auto"/>
        <w:jc w:val="both"/>
        <w:rPr>
          <w:rFonts w:ascii="Book Antiqua" w:hAnsi="Book Antiqua"/>
        </w:rPr>
      </w:pPr>
    </w:p>
    <w:p w14:paraId="3E9823FB" w14:textId="1C6080DA"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bCs/>
          <w:color w:val="000000"/>
        </w:rPr>
        <w:t xml:space="preserve">Gauri Mishra, </w:t>
      </w:r>
      <w:r w:rsidR="002C2DA1" w:rsidRPr="00C57A36">
        <w:rPr>
          <w:rFonts w:ascii="Book Antiqua" w:eastAsia="Book Antiqua" w:hAnsi="Book Antiqua" w:cs="Book Antiqua"/>
          <w:b/>
          <w:bCs/>
          <w:color w:val="000000"/>
        </w:rPr>
        <w:t xml:space="preserve">Sally Bell, Anouk T Dev, </w:t>
      </w:r>
      <w:r w:rsidR="00646892" w:rsidRPr="00A66FC2">
        <w:rPr>
          <w:rFonts w:ascii="Book Antiqua" w:eastAsia="Book Antiqua" w:hAnsi="Book Antiqua" w:cs="Book Antiqua"/>
          <w:color w:val="000000"/>
        </w:rPr>
        <w:t xml:space="preserve">Department of </w:t>
      </w:r>
      <w:r w:rsidRPr="00C57A36">
        <w:rPr>
          <w:rFonts w:ascii="Book Antiqua" w:eastAsia="Book Antiqua" w:hAnsi="Book Antiqua" w:cs="Book Antiqua"/>
          <w:color w:val="000000"/>
        </w:rPr>
        <w:t>Gastroenterology and Hepatology, Monash Health, Clayton 3168, Victoria, Australia</w:t>
      </w:r>
    </w:p>
    <w:p w14:paraId="6DA92DB8" w14:textId="77777777" w:rsidR="00A77B3E" w:rsidRPr="00C57A36" w:rsidRDefault="00A77B3E" w:rsidP="00C57A36">
      <w:pPr>
        <w:spacing w:line="360" w:lineRule="auto"/>
        <w:jc w:val="both"/>
        <w:rPr>
          <w:rFonts w:ascii="Book Antiqua" w:hAnsi="Book Antiqua"/>
        </w:rPr>
      </w:pPr>
    </w:p>
    <w:p w14:paraId="0E4BEE5F" w14:textId="2FD123DD" w:rsidR="00A77B3E" w:rsidRPr="00C57A36" w:rsidRDefault="00696095" w:rsidP="00C57A36">
      <w:pPr>
        <w:spacing w:line="360" w:lineRule="auto"/>
        <w:jc w:val="both"/>
        <w:rPr>
          <w:rFonts w:ascii="Book Antiqua" w:hAnsi="Book Antiqua"/>
        </w:rPr>
      </w:pPr>
      <w:proofErr w:type="spellStart"/>
      <w:r w:rsidRPr="00C57A36">
        <w:rPr>
          <w:rFonts w:ascii="Book Antiqua" w:eastAsia="Book Antiqua" w:hAnsi="Book Antiqua" w:cs="Book Antiqua"/>
          <w:b/>
          <w:bCs/>
          <w:color w:val="000000"/>
        </w:rPr>
        <w:t>Numan</w:t>
      </w:r>
      <w:proofErr w:type="spellEnd"/>
      <w:r w:rsidRPr="00C57A36">
        <w:rPr>
          <w:rFonts w:ascii="Book Antiqua" w:eastAsia="Book Antiqua" w:hAnsi="Book Antiqua" w:cs="Book Antiqua"/>
          <w:b/>
          <w:bCs/>
          <w:color w:val="000000"/>
        </w:rPr>
        <w:t xml:space="preserve"> </w:t>
      </w:r>
      <w:proofErr w:type="spellStart"/>
      <w:r w:rsidRPr="00C57A36">
        <w:rPr>
          <w:rFonts w:ascii="Book Antiqua" w:eastAsia="Book Antiqua" w:hAnsi="Book Antiqua" w:cs="Book Antiqua"/>
          <w:b/>
          <w:bCs/>
          <w:color w:val="000000"/>
        </w:rPr>
        <w:t>Kutaiba</w:t>
      </w:r>
      <w:proofErr w:type="spellEnd"/>
      <w:r w:rsidRPr="00C57A36">
        <w:rPr>
          <w:rFonts w:ascii="Book Antiqua" w:eastAsia="Book Antiqua" w:hAnsi="Book Antiqua" w:cs="Book Antiqua"/>
          <w:b/>
          <w:bCs/>
          <w:color w:val="000000"/>
        </w:rPr>
        <w:t xml:space="preserve">, </w:t>
      </w:r>
      <w:r w:rsidR="003A7D6B" w:rsidRPr="00A66FC2">
        <w:rPr>
          <w:rFonts w:ascii="Book Antiqua" w:eastAsia="Book Antiqua" w:hAnsi="Book Antiqua" w:cs="Book Antiqua"/>
          <w:color w:val="000000"/>
        </w:rPr>
        <w:t xml:space="preserve">Department of </w:t>
      </w:r>
      <w:r w:rsidRPr="00C57A36">
        <w:rPr>
          <w:rFonts w:ascii="Book Antiqua" w:eastAsia="Book Antiqua" w:hAnsi="Book Antiqua" w:cs="Book Antiqua"/>
          <w:color w:val="000000"/>
        </w:rPr>
        <w:t>Radiology, Austin Health, Heidelberg 3084, Victoria, Australia</w:t>
      </w:r>
    </w:p>
    <w:p w14:paraId="1204762D" w14:textId="77777777" w:rsidR="00A77B3E" w:rsidRPr="00C57A36" w:rsidRDefault="00A77B3E" w:rsidP="00C57A36">
      <w:pPr>
        <w:spacing w:line="360" w:lineRule="auto"/>
        <w:jc w:val="both"/>
        <w:rPr>
          <w:rFonts w:ascii="Book Antiqua" w:hAnsi="Book Antiqua"/>
        </w:rPr>
      </w:pPr>
    </w:p>
    <w:p w14:paraId="503650A6" w14:textId="57FF7597" w:rsidR="00A77B3E" w:rsidRPr="00C57A36" w:rsidRDefault="00696095" w:rsidP="00C57A36">
      <w:pPr>
        <w:spacing w:line="360" w:lineRule="auto"/>
        <w:jc w:val="both"/>
        <w:rPr>
          <w:rFonts w:ascii="Book Antiqua" w:hAnsi="Book Antiqua"/>
        </w:rPr>
      </w:pPr>
      <w:proofErr w:type="spellStart"/>
      <w:r w:rsidRPr="00C57A36">
        <w:rPr>
          <w:rFonts w:ascii="Book Antiqua" w:eastAsia="Book Antiqua" w:hAnsi="Book Antiqua" w:cs="Book Antiqua"/>
          <w:b/>
          <w:bCs/>
          <w:color w:val="000000"/>
        </w:rPr>
        <w:t>Numan</w:t>
      </w:r>
      <w:proofErr w:type="spellEnd"/>
      <w:r w:rsidRPr="00C57A36">
        <w:rPr>
          <w:rFonts w:ascii="Book Antiqua" w:eastAsia="Book Antiqua" w:hAnsi="Book Antiqua" w:cs="Book Antiqua"/>
          <w:b/>
          <w:bCs/>
          <w:color w:val="000000"/>
        </w:rPr>
        <w:t xml:space="preserve"> </w:t>
      </w:r>
      <w:proofErr w:type="spellStart"/>
      <w:r w:rsidRPr="00C57A36">
        <w:rPr>
          <w:rFonts w:ascii="Book Antiqua" w:eastAsia="Book Antiqua" w:hAnsi="Book Antiqua" w:cs="Book Antiqua"/>
          <w:b/>
          <w:bCs/>
          <w:color w:val="000000"/>
        </w:rPr>
        <w:t>Kutaiba</w:t>
      </w:r>
      <w:proofErr w:type="spellEnd"/>
      <w:r w:rsidRPr="00C57A36">
        <w:rPr>
          <w:rFonts w:ascii="Book Antiqua" w:eastAsia="Book Antiqua" w:hAnsi="Book Antiqua" w:cs="Book Antiqua"/>
          <w:b/>
          <w:bCs/>
          <w:color w:val="000000"/>
        </w:rPr>
        <w:t xml:space="preserve">, </w:t>
      </w:r>
      <w:r w:rsidR="00141F2C" w:rsidRPr="00A66FC2">
        <w:rPr>
          <w:rFonts w:ascii="Book Antiqua" w:eastAsia="Book Antiqua" w:hAnsi="Book Antiqua" w:cs="Book Antiqua"/>
          <w:color w:val="000000"/>
        </w:rPr>
        <w:t xml:space="preserve">Department of </w:t>
      </w:r>
      <w:r w:rsidRPr="00C57A36">
        <w:rPr>
          <w:rFonts w:ascii="Book Antiqua" w:eastAsia="Book Antiqua" w:hAnsi="Book Antiqua" w:cs="Book Antiqua"/>
          <w:color w:val="000000"/>
        </w:rPr>
        <w:t>Radiology, Eastern Health, Box Hill 3128, Victoria, Australia</w:t>
      </w:r>
    </w:p>
    <w:p w14:paraId="4EC0C1E7" w14:textId="77777777" w:rsidR="00A77B3E" w:rsidRPr="00C57A36" w:rsidRDefault="00A77B3E" w:rsidP="00C57A36">
      <w:pPr>
        <w:spacing w:line="360" w:lineRule="auto"/>
        <w:jc w:val="both"/>
        <w:rPr>
          <w:rFonts w:ascii="Book Antiqua" w:hAnsi="Book Antiqua"/>
        </w:rPr>
      </w:pPr>
    </w:p>
    <w:p w14:paraId="53DB8D57" w14:textId="4BA47BC0"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bCs/>
          <w:color w:val="000000"/>
        </w:rPr>
        <w:t xml:space="preserve">Niranjan </w:t>
      </w:r>
      <w:proofErr w:type="spellStart"/>
      <w:r w:rsidRPr="00C57A36">
        <w:rPr>
          <w:rFonts w:ascii="Book Antiqua" w:eastAsia="Book Antiqua" w:hAnsi="Book Antiqua" w:cs="Book Antiqua"/>
          <w:b/>
          <w:bCs/>
          <w:color w:val="000000"/>
        </w:rPr>
        <w:t>Arachchi</w:t>
      </w:r>
      <w:proofErr w:type="spellEnd"/>
      <w:r w:rsidRPr="00C57A36">
        <w:rPr>
          <w:rFonts w:ascii="Book Antiqua" w:eastAsia="Book Antiqua" w:hAnsi="Book Antiqua" w:cs="Book Antiqua"/>
          <w:b/>
          <w:bCs/>
          <w:color w:val="000000"/>
        </w:rPr>
        <w:t xml:space="preserve">, </w:t>
      </w:r>
      <w:r w:rsidR="007E3CC5" w:rsidRPr="00A66FC2">
        <w:rPr>
          <w:rFonts w:ascii="Book Antiqua" w:eastAsia="Book Antiqua" w:hAnsi="Book Antiqua" w:cs="Book Antiqua"/>
          <w:color w:val="000000"/>
        </w:rPr>
        <w:t xml:space="preserve">Department of </w:t>
      </w:r>
      <w:r w:rsidRPr="00C57A36">
        <w:rPr>
          <w:rFonts w:ascii="Book Antiqua" w:eastAsia="Book Antiqua" w:hAnsi="Book Antiqua" w:cs="Book Antiqua"/>
          <w:color w:val="000000"/>
        </w:rPr>
        <w:t xml:space="preserve">Gastroenterology, Western Health, </w:t>
      </w:r>
      <w:proofErr w:type="spellStart"/>
      <w:r w:rsidRPr="00C57A36">
        <w:rPr>
          <w:rFonts w:ascii="Book Antiqua" w:eastAsia="Book Antiqua" w:hAnsi="Book Antiqua" w:cs="Book Antiqua"/>
          <w:color w:val="000000"/>
        </w:rPr>
        <w:t>Footscray</w:t>
      </w:r>
      <w:proofErr w:type="spellEnd"/>
      <w:r w:rsidRPr="00C57A36">
        <w:rPr>
          <w:rFonts w:ascii="Book Antiqua" w:eastAsia="Book Antiqua" w:hAnsi="Book Antiqua" w:cs="Book Antiqua"/>
          <w:color w:val="000000"/>
        </w:rPr>
        <w:t xml:space="preserve"> 3011, Victoria, Australia</w:t>
      </w:r>
    </w:p>
    <w:p w14:paraId="1009767B" w14:textId="77777777" w:rsidR="00D83716" w:rsidRDefault="00D83716" w:rsidP="00C57A36">
      <w:pPr>
        <w:spacing w:line="360" w:lineRule="auto"/>
        <w:jc w:val="both"/>
        <w:rPr>
          <w:rFonts w:ascii="Book Antiqua" w:hAnsi="Book Antiqua"/>
        </w:rPr>
      </w:pPr>
    </w:p>
    <w:p w14:paraId="39FD75C0" w14:textId="7D52D239"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bCs/>
          <w:color w:val="000000"/>
        </w:rPr>
        <w:t xml:space="preserve">Amanda J Nicoll, </w:t>
      </w:r>
      <w:r w:rsidR="001A1297" w:rsidRPr="00A66FC2">
        <w:rPr>
          <w:rFonts w:ascii="Book Antiqua" w:eastAsia="Book Antiqua" w:hAnsi="Book Antiqua" w:cs="Book Antiqua"/>
          <w:color w:val="000000"/>
        </w:rPr>
        <w:t xml:space="preserve">Department of </w:t>
      </w:r>
      <w:r w:rsidRPr="00C57A36">
        <w:rPr>
          <w:rFonts w:ascii="Book Antiqua" w:eastAsia="Book Antiqua" w:hAnsi="Book Antiqua" w:cs="Book Antiqua"/>
          <w:color w:val="000000"/>
        </w:rPr>
        <w:t>Gastroenterology, Eastern Health, Box Hill 3128, Victoria, Australia</w:t>
      </w:r>
    </w:p>
    <w:p w14:paraId="4B9B2443" w14:textId="77777777" w:rsidR="00A77B3E" w:rsidRPr="00C57A36" w:rsidRDefault="00A77B3E" w:rsidP="00C57A36">
      <w:pPr>
        <w:spacing w:line="360" w:lineRule="auto"/>
        <w:jc w:val="both"/>
        <w:rPr>
          <w:rFonts w:ascii="Book Antiqua" w:hAnsi="Book Antiqua"/>
        </w:rPr>
      </w:pPr>
    </w:p>
    <w:p w14:paraId="19CAEC31" w14:textId="416287CC"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bCs/>
          <w:color w:val="000000"/>
        </w:rPr>
        <w:t xml:space="preserve">Siddharth </w:t>
      </w:r>
      <w:proofErr w:type="spellStart"/>
      <w:r w:rsidRPr="00C57A36">
        <w:rPr>
          <w:rFonts w:ascii="Book Antiqua" w:eastAsia="Book Antiqua" w:hAnsi="Book Antiqua" w:cs="Book Antiqua"/>
          <w:b/>
          <w:bCs/>
          <w:color w:val="000000"/>
        </w:rPr>
        <w:t>Sood</w:t>
      </w:r>
      <w:proofErr w:type="spellEnd"/>
      <w:r w:rsidRPr="00C57A36">
        <w:rPr>
          <w:rFonts w:ascii="Book Antiqua" w:eastAsia="Book Antiqua" w:hAnsi="Book Antiqua" w:cs="Book Antiqua"/>
          <w:b/>
          <w:bCs/>
          <w:color w:val="000000"/>
        </w:rPr>
        <w:t xml:space="preserve">, </w:t>
      </w:r>
      <w:r w:rsidR="001A1297" w:rsidRPr="00A66FC2">
        <w:rPr>
          <w:rFonts w:ascii="Book Antiqua" w:eastAsia="Book Antiqua" w:hAnsi="Book Antiqua" w:cs="Book Antiqua"/>
          <w:color w:val="000000"/>
        </w:rPr>
        <w:t xml:space="preserve">Department of </w:t>
      </w:r>
      <w:r w:rsidRPr="00C57A36">
        <w:rPr>
          <w:rFonts w:ascii="Book Antiqua" w:eastAsia="Book Antiqua" w:hAnsi="Book Antiqua" w:cs="Book Antiqua"/>
          <w:color w:val="000000"/>
        </w:rPr>
        <w:t>Gastroenterology, Royal Melbourne Hospital, Parkville 3050, Victoria, Australia</w:t>
      </w:r>
    </w:p>
    <w:p w14:paraId="69DFAE8F" w14:textId="77777777" w:rsidR="00A77B3E" w:rsidRPr="00C57A36" w:rsidRDefault="00A77B3E" w:rsidP="00C57A36">
      <w:pPr>
        <w:spacing w:line="360" w:lineRule="auto"/>
        <w:jc w:val="both"/>
        <w:rPr>
          <w:rFonts w:ascii="Book Antiqua" w:hAnsi="Book Antiqua"/>
        </w:rPr>
      </w:pPr>
    </w:p>
    <w:p w14:paraId="57AF1EB8" w14:textId="2B158AE5"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bCs/>
          <w:color w:val="000000"/>
        </w:rPr>
        <w:t xml:space="preserve">Author contributions: </w:t>
      </w:r>
      <w:r w:rsidRPr="00C57A36">
        <w:rPr>
          <w:rFonts w:ascii="Book Antiqua" w:eastAsia="Book Antiqua" w:hAnsi="Book Antiqua" w:cs="Book Antiqua"/>
          <w:color w:val="000000"/>
        </w:rPr>
        <w:t>All authors contributed to data collection, drafting and/or review of the manuscript</w:t>
      </w:r>
      <w:r w:rsidR="00BB579B">
        <w:rPr>
          <w:rFonts w:ascii="Book Antiqua" w:eastAsia="Book Antiqua" w:hAnsi="Book Antiqua" w:cs="Book Antiqua"/>
          <w:color w:val="000000"/>
        </w:rPr>
        <w:t>.</w:t>
      </w:r>
    </w:p>
    <w:p w14:paraId="743A693C" w14:textId="77777777" w:rsidR="00A77B3E" w:rsidRPr="00C57A36" w:rsidRDefault="00A77B3E" w:rsidP="00C57A36">
      <w:pPr>
        <w:spacing w:line="360" w:lineRule="auto"/>
        <w:jc w:val="both"/>
        <w:rPr>
          <w:rFonts w:ascii="Book Antiqua" w:hAnsi="Book Antiqua"/>
        </w:rPr>
      </w:pPr>
    </w:p>
    <w:p w14:paraId="7FE40E51" w14:textId="7777777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bCs/>
          <w:color w:val="000000"/>
        </w:rPr>
        <w:lastRenderedPageBreak/>
        <w:t xml:space="preserve">Corresponding author: Karl </w:t>
      </w:r>
      <w:proofErr w:type="spellStart"/>
      <w:r w:rsidRPr="00C57A36">
        <w:rPr>
          <w:rFonts w:ascii="Book Antiqua" w:eastAsia="Book Antiqua" w:hAnsi="Book Antiqua" w:cs="Book Antiqua"/>
          <w:b/>
          <w:bCs/>
          <w:color w:val="000000"/>
        </w:rPr>
        <w:t>Vaz</w:t>
      </w:r>
      <w:proofErr w:type="spellEnd"/>
      <w:r w:rsidRPr="00C57A36">
        <w:rPr>
          <w:rFonts w:ascii="Book Antiqua" w:eastAsia="Book Antiqua" w:hAnsi="Book Antiqua" w:cs="Book Antiqua"/>
          <w:b/>
          <w:bCs/>
          <w:color w:val="000000"/>
        </w:rPr>
        <w:t xml:space="preserve">, MBBS, Doctor, </w:t>
      </w:r>
      <w:r w:rsidRPr="00C57A36">
        <w:rPr>
          <w:rFonts w:ascii="Book Antiqua" w:eastAsia="Book Antiqua" w:hAnsi="Book Antiqua" w:cs="Book Antiqua"/>
          <w:color w:val="000000"/>
        </w:rPr>
        <w:t xml:space="preserve">The Victorian Liver Transplant Unit, Austin Health, 145 </w:t>
      </w:r>
      <w:proofErr w:type="spellStart"/>
      <w:r w:rsidRPr="00C57A36">
        <w:rPr>
          <w:rFonts w:ascii="Book Antiqua" w:eastAsia="Book Antiqua" w:hAnsi="Book Antiqua" w:cs="Book Antiqua"/>
          <w:color w:val="000000"/>
        </w:rPr>
        <w:t>Studley</w:t>
      </w:r>
      <w:proofErr w:type="spellEnd"/>
      <w:r w:rsidRPr="00C57A36">
        <w:rPr>
          <w:rFonts w:ascii="Book Antiqua" w:eastAsia="Book Antiqua" w:hAnsi="Book Antiqua" w:cs="Book Antiqua"/>
          <w:color w:val="000000"/>
        </w:rPr>
        <w:t xml:space="preserve"> Road, Heidelberg 3084, Victoria, Australia. karl.vaz@austin.org.au</w:t>
      </w:r>
    </w:p>
    <w:p w14:paraId="24D50AD1" w14:textId="77777777" w:rsidR="00E223F3" w:rsidRDefault="00E223F3" w:rsidP="00C57A36">
      <w:pPr>
        <w:spacing w:line="360" w:lineRule="auto"/>
        <w:jc w:val="both"/>
        <w:rPr>
          <w:rFonts w:ascii="Book Antiqua" w:eastAsia="Book Antiqua" w:hAnsi="Book Antiqua" w:cs="Book Antiqua"/>
          <w:color w:val="000000"/>
        </w:rPr>
      </w:pPr>
    </w:p>
    <w:p w14:paraId="66E3BDFF" w14:textId="1E790C2E"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bCs/>
          <w:color w:val="000000"/>
        </w:rPr>
        <w:t xml:space="preserve">Received: </w:t>
      </w:r>
      <w:r w:rsidRPr="00C57A36">
        <w:rPr>
          <w:rFonts w:ascii="Book Antiqua" w:eastAsia="Book Antiqua" w:hAnsi="Book Antiqua" w:cs="Book Antiqua"/>
          <w:color w:val="000000"/>
        </w:rPr>
        <w:t>April 25, 2021</w:t>
      </w:r>
    </w:p>
    <w:p w14:paraId="49FCBC79" w14:textId="3CA63F0E"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bCs/>
          <w:color w:val="000000"/>
        </w:rPr>
        <w:t xml:space="preserve">Revised: </w:t>
      </w:r>
      <w:r w:rsidR="001064F2" w:rsidRPr="00DD7847">
        <w:rPr>
          <w:rFonts w:ascii="Book Antiqua" w:eastAsia="Book Antiqua" w:hAnsi="Book Antiqua" w:cs="Book Antiqua"/>
          <w:color w:val="000000"/>
        </w:rPr>
        <w:t>June 19, 2021</w:t>
      </w:r>
    </w:p>
    <w:p w14:paraId="7FD749D1" w14:textId="34EE238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bCs/>
          <w:color w:val="000000"/>
        </w:rPr>
        <w:t xml:space="preserve">Accepted: </w:t>
      </w:r>
      <w:bookmarkStart w:id="0" w:name="OLE_LINK15"/>
      <w:bookmarkStart w:id="1" w:name="OLE_LINK33"/>
      <w:bookmarkStart w:id="2" w:name="OLE_LINK48"/>
      <w:r w:rsidR="00D96DAA">
        <w:rPr>
          <w:rFonts w:ascii="Book Antiqua" w:eastAsia="宋体" w:hAnsi="Book Antiqua" w:hint="eastAsia"/>
          <w:color w:val="000000" w:themeColor="text1"/>
        </w:rPr>
        <w:t>S</w:t>
      </w:r>
      <w:r w:rsidR="00D96DAA">
        <w:rPr>
          <w:rFonts w:ascii="Book Antiqua" w:eastAsia="宋体" w:hAnsi="Book Antiqua" w:hint="eastAsia"/>
          <w:color w:val="000000" w:themeColor="text1"/>
          <w:lang w:eastAsia="zh-CN"/>
        </w:rPr>
        <w:t>e</w:t>
      </w:r>
      <w:r w:rsidR="00D96DAA">
        <w:rPr>
          <w:rFonts w:ascii="Book Antiqua" w:eastAsia="宋体" w:hAnsi="Book Antiqua"/>
          <w:color w:val="000000" w:themeColor="text1"/>
        </w:rPr>
        <w:t>ptember</w:t>
      </w:r>
      <w:r w:rsidR="00D96DAA" w:rsidRPr="00F06907">
        <w:rPr>
          <w:rFonts w:ascii="Book Antiqua" w:eastAsia="宋体" w:hAnsi="Book Antiqua"/>
          <w:color w:val="000000" w:themeColor="text1"/>
        </w:rPr>
        <w:t xml:space="preserve"> </w:t>
      </w:r>
      <w:r w:rsidR="00D96DAA">
        <w:rPr>
          <w:rFonts w:ascii="Book Antiqua" w:eastAsia="宋体" w:hAnsi="Book Antiqua"/>
          <w:color w:val="000000" w:themeColor="text1"/>
        </w:rPr>
        <w:t>2</w:t>
      </w:r>
      <w:r w:rsidR="00D96DAA" w:rsidRPr="00F06907">
        <w:rPr>
          <w:rFonts w:ascii="Book Antiqua" w:eastAsia="宋体" w:hAnsi="Book Antiqua"/>
          <w:color w:val="000000" w:themeColor="text1"/>
        </w:rPr>
        <w:t>, 2021</w:t>
      </w:r>
      <w:bookmarkEnd w:id="0"/>
      <w:bookmarkEnd w:id="1"/>
      <w:bookmarkEnd w:id="2"/>
    </w:p>
    <w:p w14:paraId="0137CB4B" w14:textId="7777777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bCs/>
          <w:color w:val="000000"/>
        </w:rPr>
        <w:t xml:space="preserve">Published online: </w:t>
      </w:r>
    </w:p>
    <w:p w14:paraId="547EB32B" w14:textId="77777777" w:rsidR="00A77B3E" w:rsidRPr="00C57A36" w:rsidRDefault="00A77B3E" w:rsidP="00C57A36">
      <w:pPr>
        <w:spacing w:line="360" w:lineRule="auto"/>
        <w:jc w:val="both"/>
        <w:rPr>
          <w:rFonts w:ascii="Book Antiqua" w:hAnsi="Book Antiqua"/>
        </w:rPr>
        <w:sectPr w:rsidR="00A77B3E" w:rsidRPr="00C57A36">
          <w:footerReference w:type="default" r:id="rId7"/>
          <w:pgSz w:w="12240" w:h="15840"/>
          <w:pgMar w:top="1440" w:right="1440" w:bottom="1440" w:left="1440" w:header="720" w:footer="720" w:gutter="0"/>
          <w:cols w:space="720"/>
          <w:docGrid w:linePitch="360"/>
        </w:sectPr>
      </w:pPr>
    </w:p>
    <w:p w14:paraId="1BAC57EF" w14:textId="7777777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color w:val="000000"/>
        </w:rPr>
        <w:lastRenderedPageBreak/>
        <w:t>Abstract</w:t>
      </w:r>
    </w:p>
    <w:p w14:paraId="3DB62C90" w14:textId="7777777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color w:val="000000"/>
        </w:rPr>
        <w:t>BACKGROUND</w:t>
      </w:r>
    </w:p>
    <w:p w14:paraId="10D867C2" w14:textId="4D8F2090"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color w:val="000000"/>
        </w:rPr>
        <w:t>Management of single small hepatocellular carcinoma (HCC) is straightforward with curative outcomes achieved by locoregional therapy or resection.</w:t>
      </w:r>
      <w:r w:rsidR="00E95875">
        <w:rPr>
          <w:rFonts w:ascii="Book Antiqua" w:eastAsia="Book Antiqua" w:hAnsi="Book Antiqua" w:cs="Book Antiqua"/>
          <w:color w:val="000000"/>
        </w:rPr>
        <w:t xml:space="preserve"> </w:t>
      </w:r>
      <w:r w:rsidRPr="00C57A36">
        <w:rPr>
          <w:rFonts w:ascii="Book Antiqua" w:eastAsia="Book Antiqua" w:hAnsi="Book Antiqua" w:cs="Book Antiqua"/>
          <w:color w:val="000000"/>
        </w:rPr>
        <w:t>Liver transplantation is often considered for multiple small or single large HCC.</w:t>
      </w:r>
      <w:r w:rsidR="00AB2BF8">
        <w:rPr>
          <w:rFonts w:ascii="Book Antiqua" w:eastAsia="Book Antiqua" w:hAnsi="Book Antiqua" w:cs="Book Antiqua"/>
          <w:color w:val="000000"/>
        </w:rPr>
        <w:t xml:space="preserve"> </w:t>
      </w:r>
      <w:r w:rsidRPr="00C57A36">
        <w:rPr>
          <w:rFonts w:ascii="Book Antiqua" w:eastAsia="Book Antiqua" w:hAnsi="Book Antiqua" w:cs="Book Antiqua"/>
          <w:color w:val="000000"/>
        </w:rPr>
        <w:t>Management of two small HCC whether presenting synchronously or sequentially is less clear.</w:t>
      </w:r>
    </w:p>
    <w:p w14:paraId="59112FFA" w14:textId="77777777" w:rsidR="00A77B3E" w:rsidRPr="00C57A36" w:rsidRDefault="00A77B3E" w:rsidP="00C57A36">
      <w:pPr>
        <w:spacing w:line="360" w:lineRule="auto"/>
        <w:jc w:val="both"/>
        <w:rPr>
          <w:rFonts w:ascii="Book Antiqua" w:hAnsi="Book Antiqua"/>
        </w:rPr>
      </w:pPr>
    </w:p>
    <w:p w14:paraId="036A73FF" w14:textId="7777777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color w:val="000000"/>
        </w:rPr>
        <w:t>AIM</w:t>
      </w:r>
    </w:p>
    <w:p w14:paraId="25F0BFE0" w14:textId="151736D7" w:rsidR="00A77B3E" w:rsidRPr="00C57A36" w:rsidRDefault="00301AC3" w:rsidP="00C57A36">
      <w:pPr>
        <w:spacing w:line="360" w:lineRule="auto"/>
        <w:jc w:val="both"/>
        <w:rPr>
          <w:rFonts w:ascii="Book Antiqua" w:hAnsi="Book Antiqua"/>
        </w:rPr>
      </w:pPr>
      <w:r>
        <w:rPr>
          <w:rFonts w:ascii="Book Antiqua" w:eastAsia="Book Antiqua" w:hAnsi="Book Antiqua" w:cs="Book Antiqua"/>
          <w:color w:val="000000"/>
        </w:rPr>
        <w:t>T</w:t>
      </w:r>
      <w:r w:rsidR="00696095" w:rsidRPr="00C57A36">
        <w:rPr>
          <w:rFonts w:ascii="Book Antiqua" w:eastAsia="Book Antiqua" w:hAnsi="Book Antiqua" w:cs="Book Antiqua"/>
          <w:color w:val="000000"/>
        </w:rPr>
        <w:t>o define the outcomes of patients presenting with two small HCC.</w:t>
      </w:r>
    </w:p>
    <w:p w14:paraId="1FFDBDBB" w14:textId="77777777" w:rsidR="00A77B3E" w:rsidRPr="00C57A36" w:rsidRDefault="00A77B3E" w:rsidP="00C57A36">
      <w:pPr>
        <w:spacing w:line="360" w:lineRule="auto"/>
        <w:jc w:val="both"/>
        <w:rPr>
          <w:rFonts w:ascii="Book Antiqua" w:hAnsi="Book Antiqua"/>
        </w:rPr>
      </w:pPr>
    </w:p>
    <w:p w14:paraId="6464821A" w14:textId="7777777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color w:val="000000"/>
        </w:rPr>
        <w:t>METHODS</w:t>
      </w:r>
    </w:p>
    <w:p w14:paraId="7EE0111C" w14:textId="664D4E2C"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color w:val="000000"/>
        </w:rPr>
        <w:t>Retrospective review of HCC databases from multiple institutions of patients with either two synchronous or sequential HCC ≤</w:t>
      </w:r>
      <w:r w:rsidR="004B1F25">
        <w:rPr>
          <w:rFonts w:ascii="Book Antiqua" w:eastAsia="Book Antiqua" w:hAnsi="Book Antiqua" w:cs="Book Antiqua"/>
          <w:color w:val="000000"/>
        </w:rPr>
        <w:t xml:space="preserve"> </w:t>
      </w:r>
      <w:r w:rsidRPr="00C57A36">
        <w:rPr>
          <w:rFonts w:ascii="Book Antiqua" w:eastAsia="Book Antiqua" w:hAnsi="Book Antiqua" w:cs="Book Antiqua"/>
          <w:color w:val="000000"/>
        </w:rPr>
        <w:t>3</w:t>
      </w:r>
      <w:r w:rsidR="004B1F25">
        <w:rPr>
          <w:rFonts w:ascii="Book Antiqua" w:eastAsia="Book Antiqua" w:hAnsi="Book Antiqua" w:cs="Book Antiqua"/>
          <w:color w:val="000000"/>
        </w:rPr>
        <w:t xml:space="preserve"> </w:t>
      </w:r>
      <w:r w:rsidRPr="00C57A36">
        <w:rPr>
          <w:rFonts w:ascii="Book Antiqua" w:eastAsia="Book Antiqua" w:hAnsi="Book Antiqua" w:cs="Book Antiqua"/>
          <w:color w:val="000000"/>
        </w:rPr>
        <w:t>cm between January 2000 and March 2018.</w:t>
      </w:r>
      <w:r w:rsidR="003F6846">
        <w:rPr>
          <w:rFonts w:ascii="Book Antiqua" w:eastAsia="Book Antiqua" w:hAnsi="Book Antiqua" w:cs="Book Antiqua"/>
          <w:color w:val="000000"/>
        </w:rPr>
        <w:t xml:space="preserve"> </w:t>
      </w:r>
      <w:r w:rsidRPr="00C57A36">
        <w:rPr>
          <w:rFonts w:ascii="Book Antiqua" w:eastAsia="Book Antiqua" w:hAnsi="Book Antiqua" w:cs="Book Antiqua"/>
          <w:color w:val="000000"/>
        </w:rPr>
        <w:t>Primary outcomes were overall survival (OS) and transplant-free survival (TFS).</w:t>
      </w:r>
    </w:p>
    <w:p w14:paraId="74FD4E10" w14:textId="77777777" w:rsidR="00A77B3E" w:rsidRPr="00C57A36" w:rsidRDefault="00A77B3E" w:rsidP="00C57A36">
      <w:pPr>
        <w:spacing w:line="360" w:lineRule="auto"/>
        <w:jc w:val="both"/>
        <w:rPr>
          <w:rFonts w:ascii="Book Antiqua" w:hAnsi="Book Antiqua"/>
        </w:rPr>
      </w:pPr>
    </w:p>
    <w:p w14:paraId="34A8B56C" w14:textId="7777777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color w:val="000000"/>
        </w:rPr>
        <w:t>RESULTS</w:t>
      </w:r>
    </w:p>
    <w:p w14:paraId="4744C295" w14:textId="3622682C"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color w:val="000000"/>
        </w:rPr>
        <w:t xml:space="preserve">104 patients were identified (male </w:t>
      </w:r>
      <w:r w:rsidRPr="00C57A36">
        <w:rPr>
          <w:rFonts w:ascii="Book Antiqua" w:eastAsia="Book Antiqua" w:hAnsi="Book Antiqua" w:cs="Book Antiqua"/>
          <w:i/>
          <w:iCs/>
          <w:color w:val="000000"/>
        </w:rPr>
        <w:t>n</w:t>
      </w:r>
      <w:r w:rsidRPr="00C57A36">
        <w:rPr>
          <w:rFonts w:ascii="Book Antiqua" w:eastAsia="Book Antiqua" w:hAnsi="Book Antiqua" w:cs="Book Antiqua"/>
          <w:color w:val="000000"/>
        </w:rPr>
        <w:t xml:space="preserve"> = 89).</w:t>
      </w:r>
      <w:r w:rsidR="002C3520">
        <w:rPr>
          <w:rFonts w:ascii="Book Antiqua" w:eastAsia="Book Antiqua" w:hAnsi="Book Antiqua" w:cs="Book Antiqua"/>
          <w:color w:val="000000"/>
        </w:rPr>
        <w:t xml:space="preserve"> </w:t>
      </w:r>
      <w:r w:rsidRPr="00C57A36">
        <w:rPr>
          <w:rFonts w:ascii="Book Antiqua" w:eastAsia="Book Antiqua" w:hAnsi="Book Antiqua" w:cs="Book Antiqua"/>
          <w:color w:val="000000"/>
        </w:rPr>
        <w:t>Median age was 63 years (</w:t>
      </w:r>
      <w:r w:rsidR="00637E52" w:rsidRPr="00637E52">
        <w:rPr>
          <w:rFonts w:ascii="Book Antiqua" w:eastAsia="Book Antiqua" w:hAnsi="Book Antiqua" w:cs="Book Antiqua"/>
          <w:color w:val="000000"/>
        </w:rPr>
        <w:t>interquartile range</w:t>
      </w:r>
      <w:r w:rsidRPr="00C57A36">
        <w:rPr>
          <w:rFonts w:ascii="Book Antiqua" w:eastAsia="Book Antiqua" w:hAnsi="Book Antiqua" w:cs="Book Antiqua"/>
          <w:color w:val="000000"/>
        </w:rPr>
        <w:t xml:space="preserve"> 58</w:t>
      </w:r>
      <w:r w:rsidR="006F495C">
        <w:rPr>
          <w:rFonts w:ascii="Book Antiqua" w:eastAsia="Book Antiqua" w:hAnsi="Book Antiqua" w:cs="Book Antiqua"/>
          <w:color w:val="000000"/>
        </w:rPr>
        <w:t>-</w:t>
      </w:r>
      <w:r w:rsidRPr="00C57A36">
        <w:rPr>
          <w:rFonts w:ascii="Book Antiqua" w:eastAsia="Book Antiqua" w:hAnsi="Book Antiqua" w:cs="Book Antiqua"/>
          <w:color w:val="000000"/>
        </w:rPr>
        <w:t>67.75) and the most common aetiology of liver disease was hepatitis C (40.4%).</w:t>
      </w:r>
      <w:r w:rsidR="00B37322">
        <w:rPr>
          <w:rFonts w:ascii="Book Antiqua" w:eastAsia="Book Antiqua" w:hAnsi="Book Antiqua" w:cs="Book Antiqua"/>
          <w:color w:val="000000"/>
        </w:rPr>
        <w:t xml:space="preserve"> </w:t>
      </w:r>
      <w:r w:rsidR="00611E8F">
        <w:rPr>
          <w:rFonts w:ascii="Book Antiqua" w:eastAsia="Book Antiqua" w:hAnsi="Book Antiqua" w:cs="Book Antiqua"/>
          <w:color w:val="000000"/>
        </w:rPr>
        <w:t>59</w:t>
      </w:r>
      <w:r w:rsidRPr="00C57A36">
        <w:rPr>
          <w:rFonts w:ascii="Book Antiqua" w:eastAsia="Book Antiqua" w:hAnsi="Book Antiqua" w:cs="Book Antiqua"/>
          <w:color w:val="000000"/>
        </w:rPr>
        <w:t xml:space="preserve"> (56.7%) had synchronous HCC and 45 (43.3%) had sequential.</w:t>
      </w:r>
      <w:r w:rsidR="007F7397">
        <w:rPr>
          <w:rFonts w:ascii="Book Antiqua" w:eastAsia="Book Antiqua" w:hAnsi="Book Antiqua" w:cs="Book Antiqua"/>
          <w:color w:val="000000"/>
        </w:rPr>
        <w:t xml:space="preserve"> </w:t>
      </w:r>
      <w:r w:rsidRPr="00C57A36">
        <w:rPr>
          <w:rFonts w:ascii="Book Antiqua" w:eastAsia="Book Antiqua" w:hAnsi="Book Antiqua" w:cs="Book Antiqua"/>
          <w:color w:val="000000"/>
        </w:rPr>
        <w:t>36 patients died (34.6%) and 25 were transplanted (24.0%).</w:t>
      </w:r>
      <w:r w:rsidR="000B2E80">
        <w:rPr>
          <w:rFonts w:ascii="Book Antiqua" w:eastAsia="Book Antiqua" w:hAnsi="Book Antiqua" w:cs="Book Antiqua"/>
          <w:color w:val="000000"/>
        </w:rPr>
        <w:t xml:space="preserve"> </w:t>
      </w:r>
      <w:r w:rsidRPr="00C57A36">
        <w:rPr>
          <w:rFonts w:ascii="Book Antiqua" w:eastAsia="Book Antiqua" w:hAnsi="Book Antiqua" w:cs="Book Antiqua"/>
          <w:color w:val="000000"/>
        </w:rPr>
        <w:t>1, 3 and 5-year OS was 93.0%, 66.1% and 62.3% and 5-year post-transplant survival was 95.8%.</w:t>
      </w:r>
      <w:r w:rsidR="00FB581A">
        <w:rPr>
          <w:rFonts w:ascii="Book Antiqua" w:eastAsia="Book Antiqua" w:hAnsi="Book Antiqua" w:cs="Book Antiqua"/>
          <w:color w:val="000000"/>
        </w:rPr>
        <w:t xml:space="preserve"> </w:t>
      </w:r>
      <w:r w:rsidRPr="00C57A36">
        <w:rPr>
          <w:rFonts w:ascii="Book Antiqua" w:eastAsia="Book Antiqua" w:hAnsi="Book Antiqua" w:cs="Book Antiqua"/>
          <w:color w:val="000000"/>
        </w:rPr>
        <w:t>1, 3 and 5-year TFS was 82.1%, 45.85% and 37.8%.</w:t>
      </w:r>
      <w:r w:rsidR="00934D39">
        <w:rPr>
          <w:rFonts w:ascii="Book Antiqua" w:eastAsia="Book Antiqua" w:hAnsi="Book Antiqua" w:cs="Book Antiqua"/>
          <w:color w:val="000000"/>
        </w:rPr>
        <w:t xml:space="preserve"> </w:t>
      </w:r>
      <w:r w:rsidRPr="00C57A36">
        <w:rPr>
          <w:rFonts w:ascii="Book Antiqua" w:eastAsia="Book Antiqua" w:hAnsi="Book Antiqua" w:cs="Book Antiqua"/>
          <w:color w:val="000000"/>
        </w:rPr>
        <w:t>When synchronous and sequential groups were compared, OS (1,3 and 5 year synchronous 91.3</w:t>
      </w:r>
      <w:r w:rsidR="006866ED">
        <w:rPr>
          <w:rFonts w:ascii="Book Antiqua" w:eastAsia="Book Antiqua" w:hAnsi="Book Antiqua" w:cs="Book Antiqua"/>
          <w:color w:val="000000"/>
        </w:rPr>
        <w:t>%</w:t>
      </w:r>
      <w:r w:rsidRPr="00C57A36">
        <w:rPr>
          <w:rFonts w:ascii="Book Antiqua" w:eastAsia="Book Antiqua" w:hAnsi="Book Antiqua" w:cs="Book Antiqua"/>
          <w:color w:val="000000"/>
        </w:rPr>
        <w:t>, 63.8</w:t>
      </w:r>
      <w:r w:rsidR="00375D5B">
        <w:rPr>
          <w:rFonts w:ascii="Book Antiqua" w:eastAsia="Book Antiqua" w:hAnsi="Book Antiqua" w:cs="Book Antiqua"/>
          <w:color w:val="000000"/>
        </w:rPr>
        <w:t>%</w:t>
      </w:r>
      <w:r w:rsidRPr="00C57A36">
        <w:rPr>
          <w:rFonts w:ascii="Book Antiqua" w:eastAsia="Book Antiqua" w:hAnsi="Book Antiqua" w:cs="Book Antiqua"/>
          <w:color w:val="000000"/>
        </w:rPr>
        <w:t>, 61.1%, sequential 95.3</w:t>
      </w:r>
      <w:r w:rsidR="00D80B34">
        <w:rPr>
          <w:rFonts w:ascii="Book Antiqua" w:eastAsia="Book Antiqua" w:hAnsi="Book Antiqua" w:cs="Book Antiqua"/>
          <w:color w:val="000000"/>
        </w:rPr>
        <w:t>%</w:t>
      </w:r>
      <w:r w:rsidRPr="00C57A36">
        <w:rPr>
          <w:rFonts w:ascii="Book Antiqua" w:eastAsia="Book Antiqua" w:hAnsi="Book Antiqua" w:cs="Book Antiqua"/>
          <w:color w:val="000000"/>
        </w:rPr>
        <w:t>, 69.5</w:t>
      </w:r>
      <w:r w:rsidR="00885F49">
        <w:rPr>
          <w:rFonts w:ascii="Book Antiqua" w:eastAsia="Book Antiqua" w:hAnsi="Book Antiqua" w:cs="Book Antiqua"/>
          <w:color w:val="000000"/>
        </w:rPr>
        <w:t>%</w:t>
      </w:r>
      <w:r w:rsidRPr="00C57A36">
        <w:rPr>
          <w:rFonts w:ascii="Book Antiqua" w:eastAsia="Book Antiqua" w:hAnsi="Book Antiqua" w:cs="Book Antiqua"/>
          <w:color w:val="000000"/>
        </w:rPr>
        <w:t xml:space="preserve">, 64.6%, </w:t>
      </w:r>
      <w:r w:rsidR="007C04B6">
        <w:rPr>
          <w:rFonts w:ascii="Book Antiqua" w:eastAsia="Book Antiqua" w:hAnsi="Book Antiqua" w:cs="Book Antiqua"/>
          <w:i/>
          <w:iCs/>
          <w:color w:val="000000"/>
        </w:rPr>
        <w:t>P =</w:t>
      </w:r>
      <w:r w:rsidRPr="00C57A36">
        <w:rPr>
          <w:rFonts w:ascii="Book Antiqua" w:eastAsia="Book Antiqua" w:hAnsi="Book Antiqua" w:cs="Book Antiqua"/>
          <w:color w:val="000000"/>
        </w:rPr>
        <w:t xml:space="preserve"> 0.41) was similar but TFS was higher in the sequential group (1,3 and 5 year synchronous 68.5</w:t>
      </w:r>
      <w:r w:rsidR="00F900C3">
        <w:rPr>
          <w:rFonts w:ascii="Book Antiqua" w:eastAsia="Book Antiqua" w:hAnsi="Book Antiqua" w:cs="Book Antiqua"/>
          <w:color w:val="000000"/>
        </w:rPr>
        <w:t>%</w:t>
      </w:r>
      <w:r w:rsidRPr="00C57A36">
        <w:rPr>
          <w:rFonts w:ascii="Book Antiqua" w:eastAsia="Book Antiqua" w:hAnsi="Book Antiqua" w:cs="Book Antiqua"/>
          <w:color w:val="000000"/>
        </w:rPr>
        <w:t>, 37.3</w:t>
      </w:r>
      <w:r w:rsidR="00F900C3">
        <w:rPr>
          <w:rFonts w:ascii="Book Antiqua" w:eastAsia="Book Antiqua" w:hAnsi="Book Antiqua" w:cs="Book Antiqua"/>
          <w:color w:val="000000"/>
        </w:rPr>
        <w:t>%</w:t>
      </w:r>
      <w:r w:rsidRPr="00C57A36">
        <w:rPr>
          <w:rFonts w:ascii="Book Antiqua" w:eastAsia="Book Antiqua" w:hAnsi="Book Antiqua" w:cs="Book Antiqua"/>
          <w:color w:val="000000"/>
        </w:rPr>
        <w:t xml:space="preserve"> and 29.7%, sequential 93.2</w:t>
      </w:r>
      <w:r w:rsidR="006B1F8C">
        <w:rPr>
          <w:rFonts w:ascii="Book Antiqua" w:eastAsia="Book Antiqua" w:hAnsi="Book Antiqua" w:cs="Book Antiqua"/>
          <w:color w:val="000000"/>
        </w:rPr>
        <w:t>%</w:t>
      </w:r>
      <w:r w:rsidRPr="00C57A36">
        <w:rPr>
          <w:rFonts w:ascii="Book Antiqua" w:eastAsia="Book Antiqua" w:hAnsi="Book Antiqua" w:cs="Book Antiqua"/>
          <w:color w:val="000000"/>
        </w:rPr>
        <w:t>, 56.6</w:t>
      </w:r>
      <w:r w:rsidR="006B1F8C">
        <w:rPr>
          <w:rFonts w:ascii="Book Antiqua" w:eastAsia="Book Antiqua" w:hAnsi="Book Antiqua" w:cs="Book Antiqua"/>
          <w:color w:val="000000"/>
        </w:rPr>
        <w:t>%</w:t>
      </w:r>
      <w:r w:rsidRPr="00C57A36">
        <w:rPr>
          <w:rFonts w:ascii="Book Antiqua" w:eastAsia="Book Antiqua" w:hAnsi="Book Antiqua" w:cs="Book Antiqua"/>
          <w:color w:val="000000"/>
        </w:rPr>
        <w:t xml:space="preserve">, 48.5%, </w:t>
      </w:r>
      <w:r w:rsidR="00A3383D">
        <w:rPr>
          <w:rFonts w:ascii="Book Antiqua" w:eastAsia="Book Antiqua" w:hAnsi="Book Antiqua" w:cs="Book Antiqua"/>
          <w:i/>
          <w:iCs/>
          <w:color w:val="000000"/>
        </w:rPr>
        <w:t>P =</w:t>
      </w:r>
      <w:r w:rsidR="00A3383D" w:rsidRPr="00C57A36">
        <w:rPr>
          <w:rFonts w:ascii="Book Antiqua" w:eastAsia="Book Antiqua" w:hAnsi="Book Antiqua" w:cs="Book Antiqua"/>
          <w:color w:val="000000"/>
        </w:rPr>
        <w:t xml:space="preserve"> </w:t>
      </w:r>
      <w:r w:rsidRPr="00C57A36">
        <w:rPr>
          <w:rFonts w:ascii="Book Antiqua" w:eastAsia="Book Antiqua" w:hAnsi="Book Antiqua" w:cs="Book Antiqua"/>
          <w:color w:val="000000"/>
        </w:rPr>
        <w:t>0.02) though this difference did not remain during multivariate analysis.</w:t>
      </w:r>
    </w:p>
    <w:p w14:paraId="33E99982" w14:textId="77777777" w:rsidR="00A77B3E" w:rsidRPr="00C57A36" w:rsidRDefault="00A77B3E" w:rsidP="00C57A36">
      <w:pPr>
        <w:spacing w:line="360" w:lineRule="auto"/>
        <w:jc w:val="both"/>
        <w:rPr>
          <w:rFonts w:ascii="Book Antiqua" w:hAnsi="Book Antiqua"/>
        </w:rPr>
      </w:pPr>
    </w:p>
    <w:p w14:paraId="23B2DFBA" w14:textId="7777777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color w:val="000000"/>
        </w:rPr>
        <w:t>CONCLUSION</w:t>
      </w:r>
    </w:p>
    <w:p w14:paraId="203DB1B2" w14:textId="62482AA9"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color w:val="000000"/>
        </w:rPr>
        <w:lastRenderedPageBreak/>
        <w:t>TFS in patients presenting with two HCC ≤</w:t>
      </w:r>
      <w:r w:rsidR="009245A1">
        <w:rPr>
          <w:rFonts w:ascii="Book Antiqua" w:eastAsia="Book Antiqua" w:hAnsi="Book Antiqua" w:cs="Book Antiqua"/>
          <w:color w:val="000000"/>
        </w:rPr>
        <w:t xml:space="preserve"> </w:t>
      </w:r>
      <w:r w:rsidRPr="00C57A36">
        <w:rPr>
          <w:rFonts w:ascii="Book Antiqua" w:eastAsia="Book Antiqua" w:hAnsi="Book Antiqua" w:cs="Book Antiqua"/>
          <w:color w:val="000000"/>
        </w:rPr>
        <w:t>3</w:t>
      </w:r>
      <w:r w:rsidR="009245A1">
        <w:rPr>
          <w:rFonts w:ascii="Book Antiqua" w:eastAsia="Book Antiqua" w:hAnsi="Book Antiqua" w:cs="Book Antiqua"/>
          <w:color w:val="000000"/>
        </w:rPr>
        <w:t xml:space="preserve"> </w:t>
      </w:r>
      <w:r w:rsidRPr="00C57A36">
        <w:rPr>
          <w:rFonts w:ascii="Book Antiqua" w:eastAsia="Book Antiqua" w:hAnsi="Book Antiqua" w:cs="Book Antiqua"/>
          <w:color w:val="000000"/>
        </w:rPr>
        <w:t>cm is poor regardless of the timing of the second tumor.</w:t>
      </w:r>
      <w:r w:rsidR="009245A1">
        <w:rPr>
          <w:rFonts w:ascii="Book Antiqua" w:eastAsia="Book Antiqua" w:hAnsi="Book Antiqua" w:cs="Book Antiqua"/>
          <w:color w:val="000000"/>
        </w:rPr>
        <w:t xml:space="preserve"> </w:t>
      </w:r>
      <w:r w:rsidRPr="00C57A36">
        <w:rPr>
          <w:rFonts w:ascii="Book Antiqua" w:eastAsia="Book Antiqua" w:hAnsi="Book Antiqua" w:cs="Book Antiqua"/>
          <w:color w:val="000000"/>
        </w:rPr>
        <w:t>All patients presenting with two small HCC should be considered for transplantation.</w:t>
      </w:r>
    </w:p>
    <w:p w14:paraId="79D6CC4F" w14:textId="77777777" w:rsidR="00A77B3E" w:rsidRPr="00C57A36" w:rsidRDefault="00A77B3E" w:rsidP="00C57A36">
      <w:pPr>
        <w:spacing w:line="360" w:lineRule="auto"/>
        <w:jc w:val="both"/>
        <w:rPr>
          <w:rFonts w:ascii="Book Antiqua" w:hAnsi="Book Antiqua"/>
        </w:rPr>
      </w:pPr>
    </w:p>
    <w:p w14:paraId="4068D9F3" w14:textId="285FD989"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bCs/>
          <w:color w:val="000000"/>
        </w:rPr>
        <w:t xml:space="preserve">Key Words: </w:t>
      </w:r>
      <w:r w:rsidR="00927C46" w:rsidRPr="00C57A36">
        <w:rPr>
          <w:rFonts w:ascii="Book Antiqua" w:eastAsia="Book Antiqua" w:hAnsi="Book Antiqua" w:cs="Book Antiqua"/>
          <w:color w:val="000000"/>
        </w:rPr>
        <w:t xml:space="preserve">Hepatocellular </w:t>
      </w:r>
      <w:r w:rsidRPr="00C57A36">
        <w:rPr>
          <w:rFonts w:ascii="Book Antiqua" w:eastAsia="Book Antiqua" w:hAnsi="Book Antiqua" w:cs="Book Antiqua"/>
          <w:color w:val="000000"/>
        </w:rPr>
        <w:t xml:space="preserve">carcinoma; </w:t>
      </w:r>
      <w:r w:rsidR="00D1599D" w:rsidRPr="00C57A36">
        <w:rPr>
          <w:rFonts w:ascii="Book Antiqua" w:eastAsia="Book Antiqua" w:hAnsi="Book Antiqua" w:cs="Book Antiqua"/>
          <w:color w:val="000000"/>
        </w:rPr>
        <w:t xml:space="preserve">Liver </w:t>
      </w:r>
      <w:r w:rsidRPr="00C57A36">
        <w:rPr>
          <w:rFonts w:ascii="Book Antiqua" w:eastAsia="Book Antiqua" w:hAnsi="Book Antiqua" w:cs="Book Antiqua"/>
          <w:color w:val="000000"/>
        </w:rPr>
        <w:t xml:space="preserve">cancer; </w:t>
      </w:r>
      <w:r w:rsidR="001879F9" w:rsidRPr="00C57A36">
        <w:rPr>
          <w:rFonts w:ascii="Book Antiqua" w:eastAsia="Book Antiqua" w:hAnsi="Book Antiqua" w:cs="Book Antiqua"/>
          <w:color w:val="000000"/>
        </w:rPr>
        <w:t>Prognosis</w:t>
      </w:r>
      <w:r w:rsidRPr="00C57A36">
        <w:rPr>
          <w:rFonts w:ascii="Book Antiqua" w:eastAsia="Book Antiqua" w:hAnsi="Book Antiqua" w:cs="Book Antiqua"/>
          <w:color w:val="000000"/>
        </w:rPr>
        <w:t xml:space="preserve">; </w:t>
      </w:r>
      <w:r w:rsidR="005B5098" w:rsidRPr="00C57A36">
        <w:rPr>
          <w:rFonts w:ascii="Book Antiqua" w:eastAsia="Book Antiqua" w:hAnsi="Book Antiqua" w:cs="Book Antiqua"/>
          <w:color w:val="000000"/>
        </w:rPr>
        <w:t>Transplantation</w:t>
      </w:r>
      <w:r w:rsidR="00FD6825">
        <w:rPr>
          <w:rFonts w:ascii="Book Antiqua" w:eastAsia="Book Antiqua" w:hAnsi="Book Antiqua" w:cs="Book Antiqua"/>
          <w:color w:val="000000"/>
        </w:rPr>
        <w:t xml:space="preserve">; </w:t>
      </w:r>
      <w:r w:rsidR="00FD6825" w:rsidRPr="00C57A36">
        <w:rPr>
          <w:rFonts w:ascii="Book Antiqua" w:eastAsia="Book Antiqua" w:hAnsi="Book Antiqua" w:cs="Book Antiqua"/>
          <w:color w:val="000000"/>
        </w:rPr>
        <w:t>Transplant-free survival</w:t>
      </w:r>
    </w:p>
    <w:p w14:paraId="117E24CF" w14:textId="77777777" w:rsidR="00A77B3E" w:rsidRPr="00C57A36" w:rsidRDefault="00A77B3E" w:rsidP="00C57A36">
      <w:pPr>
        <w:spacing w:line="360" w:lineRule="auto"/>
        <w:jc w:val="both"/>
        <w:rPr>
          <w:rFonts w:ascii="Book Antiqua" w:hAnsi="Book Antiqua"/>
        </w:rPr>
      </w:pPr>
    </w:p>
    <w:p w14:paraId="2F56D166" w14:textId="7777777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color w:val="000000"/>
        </w:rPr>
        <w:t xml:space="preserve">Pham AD, </w:t>
      </w:r>
      <w:proofErr w:type="spellStart"/>
      <w:r w:rsidRPr="00C57A36">
        <w:rPr>
          <w:rFonts w:ascii="Book Antiqua" w:eastAsia="Book Antiqua" w:hAnsi="Book Antiqua" w:cs="Book Antiqua"/>
          <w:color w:val="000000"/>
        </w:rPr>
        <w:t>Vaz</w:t>
      </w:r>
      <w:proofErr w:type="spellEnd"/>
      <w:r w:rsidRPr="00C57A36">
        <w:rPr>
          <w:rFonts w:ascii="Book Antiqua" w:eastAsia="Book Antiqua" w:hAnsi="Book Antiqua" w:cs="Book Antiqua"/>
          <w:color w:val="000000"/>
        </w:rPr>
        <w:t xml:space="preserve"> K, </w:t>
      </w:r>
      <w:proofErr w:type="spellStart"/>
      <w:r w:rsidRPr="00C57A36">
        <w:rPr>
          <w:rFonts w:ascii="Book Antiqua" w:eastAsia="Book Antiqua" w:hAnsi="Book Antiqua" w:cs="Book Antiqua"/>
          <w:color w:val="000000"/>
        </w:rPr>
        <w:t>Ardalan</w:t>
      </w:r>
      <w:proofErr w:type="spellEnd"/>
      <w:r w:rsidRPr="00C57A36">
        <w:rPr>
          <w:rFonts w:ascii="Book Antiqua" w:eastAsia="Book Antiqua" w:hAnsi="Book Antiqua" w:cs="Book Antiqua"/>
          <w:color w:val="000000"/>
        </w:rPr>
        <w:t xml:space="preserve"> ZS, Sinclair M, </w:t>
      </w:r>
      <w:proofErr w:type="spellStart"/>
      <w:r w:rsidRPr="00C57A36">
        <w:rPr>
          <w:rFonts w:ascii="Book Antiqua" w:eastAsia="Book Antiqua" w:hAnsi="Book Antiqua" w:cs="Book Antiqua"/>
          <w:color w:val="000000"/>
        </w:rPr>
        <w:t>Apostolov</w:t>
      </w:r>
      <w:proofErr w:type="spellEnd"/>
      <w:r w:rsidRPr="00C57A36">
        <w:rPr>
          <w:rFonts w:ascii="Book Antiqua" w:eastAsia="Book Antiqua" w:hAnsi="Book Antiqua" w:cs="Book Antiqua"/>
          <w:color w:val="000000"/>
        </w:rPr>
        <w:t xml:space="preserve"> R, Gardner S, Majeed A, Mishra G, Kam NM, </w:t>
      </w:r>
      <w:proofErr w:type="spellStart"/>
      <w:r w:rsidRPr="00C57A36">
        <w:rPr>
          <w:rFonts w:ascii="Book Antiqua" w:eastAsia="Book Antiqua" w:hAnsi="Book Antiqua" w:cs="Book Antiqua"/>
          <w:color w:val="000000"/>
        </w:rPr>
        <w:t>Patwala</w:t>
      </w:r>
      <w:proofErr w:type="spellEnd"/>
      <w:r w:rsidRPr="00C57A36">
        <w:rPr>
          <w:rFonts w:ascii="Book Antiqua" w:eastAsia="Book Antiqua" w:hAnsi="Book Antiqua" w:cs="Book Antiqua"/>
          <w:color w:val="000000"/>
        </w:rPr>
        <w:t xml:space="preserve"> K, </w:t>
      </w:r>
      <w:proofErr w:type="spellStart"/>
      <w:r w:rsidRPr="00C57A36">
        <w:rPr>
          <w:rFonts w:ascii="Book Antiqua" w:eastAsia="Book Antiqua" w:hAnsi="Book Antiqua" w:cs="Book Antiqua"/>
          <w:color w:val="000000"/>
        </w:rPr>
        <w:t>Kutaiba</w:t>
      </w:r>
      <w:proofErr w:type="spellEnd"/>
      <w:r w:rsidRPr="00C57A36">
        <w:rPr>
          <w:rFonts w:ascii="Book Antiqua" w:eastAsia="Book Antiqua" w:hAnsi="Book Antiqua" w:cs="Book Antiqua"/>
          <w:color w:val="000000"/>
        </w:rPr>
        <w:t xml:space="preserve"> N, </w:t>
      </w:r>
      <w:proofErr w:type="spellStart"/>
      <w:r w:rsidRPr="00C57A36">
        <w:rPr>
          <w:rFonts w:ascii="Book Antiqua" w:eastAsia="Book Antiqua" w:hAnsi="Book Antiqua" w:cs="Book Antiqua"/>
          <w:color w:val="000000"/>
        </w:rPr>
        <w:t>Arachchi</w:t>
      </w:r>
      <w:proofErr w:type="spellEnd"/>
      <w:r w:rsidRPr="00C57A36">
        <w:rPr>
          <w:rFonts w:ascii="Book Antiqua" w:eastAsia="Book Antiqua" w:hAnsi="Book Antiqua" w:cs="Book Antiqua"/>
          <w:color w:val="000000"/>
        </w:rPr>
        <w:t xml:space="preserve"> N, Bell S, Dev AT, </w:t>
      </w:r>
      <w:proofErr w:type="spellStart"/>
      <w:r w:rsidRPr="00C57A36">
        <w:rPr>
          <w:rFonts w:ascii="Book Antiqua" w:eastAsia="Book Antiqua" w:hAnsi="Book Antiqua" w:cs="Book Antiqua"/>
          <w:color w:val="000000"/>
        </w:rPr>
        <w:t>Lubel</w:t>
      </w:r>
      <w:proofErr w:type="spellEnd"/>
      <w:r w:rsidRPr="00C57A36">
        <w:rPr>
          <w:rFonts w:ascii="Book Antiqua" w:eastAsia="Book Antiqua" w:hAnsi="Book Antiqua" w:cs="Book Antiqua"/>
          <w:color w:val="000000"/>
        </w:rPr>
        <w:t xml:space="preserve"> JS, Nicoll AJ, </w:t>
      </w:r>
      <w:proofErr w:type="spellStart"/>
      <w:r w:rsidRPr="00C57A36">
        <w:rPr>
          <w:rFonts w:ascii="Book Antiqua" w:eastAsia="Book Antiqua" w:hAnsi="Book Antiqua" w:cs="Book Antiqua"/>
          <w:color w:val="000000"/>
        </w:rPr>
        <w:t>Sood</w:t>
      </w:r>
      <w:proofErr w:type="spellEnd"/>
      <w:r w:rsidRPr="00C57A36">
        <w:rPr>
          <w:rFonts w:ascii="Book Antiqua" w:eastAsia="Book Antiqua" w:hAnsi="Book Antiqua" w:cs="Book Antiqua"/>
          <w:color w:val="000000"/>
        </w:rPr>
        <w:t xml:space="preserve"> S, Kemp W, Roberts SK, Fink M, </w:t>
      </w:r>
      <w:proofErr w:type="spellStart"/>
      <w:r w:rsidRPr="00C57A36">
        <w:rPr>
          <w:rFonts w:ascii="Book Antiqua" w:eastAsia="Book Antiqua" w:hAnsi="Book Antiqua" w:cs="Book Antiqua"/>
          <w:color w:val="000000"/>
        </w:rPr>
        <w:t>Testro</w:t>
      </w:r>
      <w:proofErr w:type="spellEnd"/>
      <w:r w:rsidRPr="00C57A36">
        <w:rPr>
          <w:rFonts w:ascii="Book Antiqua" w:eastAsia="Book Antiqua" w:hAnsi="Book Antiqua" w:cs="Book Antiqua"/>
          <w:color w:val="000000"/>
        </w:rPr>
        <w:t xml:space="preserve"> AG, Angus PW, </w:t>
      </w:r>
      <w:proofErr w:type="spellStart"/>
      <w:r w:rsidRPr="00C57A36">
        <w:rPr>
          <w:rFonts w:ascii="Book Antiqua" w:eastAsia="Book Antiqua" w:hAnsi="Book Antiqua" w:cs="Book Antiqua"/>
          <w:color w:val="000000"/>
        </w:rPr>
        <w:t>Gow</w:t>
      </w:r>
      <w:proofErr w:type="spellEnd"/>
      <w:r w:rsidRPr="00C57A36">
        <w:rPr>
          <w:rFonts w:ascii="Book Antiqua" w:eastAsia="Book Antiqua" w:hAnsi="Book Antiqua" w:cs="Book Antiqua"/>
          <w:color w:val="000000"/>
        </w:rPr>
        <w:t xml:space="preserve"> PJ. Clinical outcomes of patients with two small hepatocellular carcinomas. </w:t>
      </w:r>
      <w:r w:rsidRPr="00C57A36">
        <w:rPr>
          <w:rFonts w:ascii="Book Antiqua" w:eastAsia="Book Antiqua" w:hAnsi="Book Antiqua" w:cs="Book Antiqua"/>
          <w:i/>
          <w:iCs/>
          <w:color w:val="000000"/>
        </w:rPr>
        <w:t>World J Hepatol</w:t>
      </w:r>
      <w:r w:rsidRPr="00C57A36">
        <w:rPr>
          <w:rFonts w:ascii="Book Antiqua" w:eastAsia="Book Antiqua" w:hAnsi="Book Antiqua" w:cs="Book Antiqua"/>
          <w:color w:val="000000"/>
        </w:rPr>
        <w:t xml:space="preserve"> 2021; In press</w:t>
      </w:r>
    </w:p>
    <w:p w14:paraId="30ABF260" w14:textId="77777777" w:rsidR="00A77B3E" w:rsidRPr="00C57A36" w:rsidRDefault="00A77B3E" w:rsidP="00C57A36">
      <w:pPr>
        <w:spacing w:line="360" w:lineRule="auto"/>
        <w:jc w:val="both"/>
        <w:rPr>
          <w:rFonts w:ascii="Book Antiqua" w:hAnsi="Book Antiqua"/>
        </w:rPr>
      </w:pPr>
    </w:p>
    <w:p w14:paraId="4F7E08D1" w14:textId="3A2A1730"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bCs/>
          <w:color w:val="000000"/>
        </w:rPr>
        <w:t xml:space="preserve">Core Tip: </w:t>
      </w:r>
      <w:r w:rsidRPr="00C57A36">
        <w:rPr>
          <w:rFonts w:ascii="Book Antiqua" w:eastAsia="Book Antiqua" w:hAnsi="Book Antiqua" w:cs="Book Antiqua"/>
          <w:color w:val="000000"/>
        </w:rPr>
        <w:t xml:space="preserve">Transplant-free survival in patients with 2 small </w:t>
      </w:r>
      <w:r w:rsidR="00567F3B" w:rsidRPr="00C57A36">
        <w:rPr>
          <w:rFonts w:ascii="Book Antiqua" w:eastAsia="Book Antiqua" w:hAnsi="Book Antiqua" w:cs="Book Antiqua"/>
          <w:color w:val="000000"/>
        </w:rPr>
        <w:t>hepatocellular carcinoma</w:t>
      </w:r>
      <w:r w:rsidRPr="00C57A36">
        <w:rPr>
          <w:rFonts w:ascii="Book Antiqua" w:eastAsia="Book Antiqua" w:hAnsi="Book Antiqua" w:cs="Book Antiqua"/>
          <w:color w:val="000000"/>
        </w:rPr>
        <w:t>s is poor, whether presenting synchronously or sequentially, and so should be considered for transplantation</w:t>
      </w:r>
      <w:r w:rsidR="00A722FF">
        <w:rPr>
          <w:rFonts w:ascii="Book Antiqua" w:eastAsia="Book Antiqua" w:hAnsi="Book Antiqua" w:cs="Book Antiqua"/>
          <w:color w:val="000000"/>
        </w:rPr>
        <w:t>.</w:t>
      </w:r>
    </w:p>
    <w:p w14:paraId="3BE3436A" w14:textId="77777777" w:rsidR="008B08D9" w:rsidRDefault="008B08D9" w:rsidP="00C57A36">
      <w:pPr>
        <w:spacing w:line="360" w:lineRule="auto"/>
        <w:jc w:val="both"/>
        <w:rPr>
          <w:rFonts w:ascii="Book Antiqua" w:eastAsia="Book Antiqua" w:hAnsi="Book Antiqua" w:cs="Book Antiqua"/>
          <w:b/>
          <w:caps/>
          <w:color w:val="000000"/>
          <w:u w:val="single"/>
        </w:rPr>
        <w:sectPr w:rsidR="008B08D9">
          <w:pgSz w:w="12240" w:h="15840"/>
          <w:pgMar w:top="1440" w:right="1440" w:bottom="1440" w:left="1440" w:header="720" w:footer="720" w:gutter="0"/>
          <w:cols w:space="720"/>
          <w:docGrid w:linePitch="360"/>
        </w:sectPr>
      </w:pPr>
    </w:p>
    <w:p w14:paraId="7840032E" w14:textId="578C4942"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caps/>
          <w:color w:val="000000"/>
          <w:u w:val="single"/>
        </w:rPr>
        <w:lastRenderedPageBreak/>
        <w:t>INTRODUCTION</w:t>
      </w:r>
    </w:p>
    <w:p w14:paraId="4AC6F445" w14:textId="67418A8A"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color w:val="000000"/>
        </w:rPr>
        <w:t xml:space="preserve">Hepatocellular carcinoma (HCC) is one of the most common cancers worldwide and is the fourth leading cause of cancer-related mortality </w:t>
      </w:r>
      <w:proofErr w:type="gramStart"/>
      <w:r w:rsidRPr="00C57A36">
        <w:rPr>
          <w:rFonts w:ascii="Book Antiqua" w:eastAsia="Book Antiqua" w:hAnsi="Book Antiqua" w:cs="Book Antiqua"/>
          <w:color w:val="000000"/>
        </w:rPr>
        <w:t>globally</w:t>
      </w:r>
      <w:r w:rsidRPr="00C57A36">
        <w:rPr>
          <w:rFonts w:ascii="Book Antiqua" w:eastAsia="Book Antiqua" w:hAnsi="Book Antiqua" w:cs="Book Antiqua"/>
          <w:color w:val="000000"/>
          <w:vertAlign w:val="superscript"/>
        </w:rPr>
        <w:t>[</w:t>
      </w:r>
      <w:proofErr w:type="gramEnd"/>
      <w:r w:rsidRPr="00C57A36">
        <w:rPr>
          <w:rFonts w:ascii="Book Antiqua" w:eastAsia="Book Antiqua" w:hAnsi="Book Antiqua" w:cs="Book Antiqua"/>
          <w:color w:val="000000"/>
          <w:vertAlign w:val="superscript"/>
        </w:rPr>
        <w:t>1]</w:t>
      </w:r>
      <w:r w:rsidRPr="00C57A36">
        <w:rPr>
          <w:rFonts w:ascii="Book Antiqua" w:eastAsia="Book Antiqua" w:hAnsi="Book Antiqua" w:cs="Book Antiqua"/>
          <w:color w:val="000000"/>
        </w:rPr>
        <w:t>.</w:t>
      </w:r>
      <w:r w:rsidR="00D449B2">
        <w:rPr>
          <w:rFonts w:ascii="Book Antiqua" w:eastAsia="Book Antiqua" w:hAnsi="Book Antiqua" w:cs="Book Antiqua"/>
          <w:color w:val="000000"/>
        </w:rPr>
        <w:t xml:space="preserve"> </w:t>
      </w:r>
      <w:r w:rsidRPr="00C57A36">
        <w:rPr>
          <w:rFonts w:ascii="Book Antiqua" w:eastAsia="Book Antiqua" w:hAnsi="Book Antiqua" w:cs="Book Antiqua"/>
          <w:color w:val="000000"/>
        </w:rPr>
        <w:t xml:space="preserve">With uptake of </w:t>
      </w:r>
      <w:r w:rsidR="00DF2AC5" w:rsidRPr="00C57A36">
        <w:rPr>
          <w:rFonts w:ascii="Book Antiqua" w:eastAsia="Book Antiqua" w:hAnsi="Book Antiqua" w:cs="Book Antiqua"/>
          <w:color w:val="000000"/>
        </w:rPr>
        <w:t>standardized</w:t>
      </w:r>
      <w:r w:rsidRPr="00C57A36">
        <w:rPr>
          <w:rFonts w:ascii="Book Antiqua" w:eastAsia="Book Antiqua" w:hAnsi="Book Antiqua" w:cs="Book Antiqua"/>
          <w:color w:val="000000"/>
        </w:rPr>
        <w:t xml:space="preserve"> HCC surveillance programs, a greater number of patients are being diagnosed at earlier stages of disease when curative treatment is still </w:t>
      </w:r>
      <w:proofErr w:type="gramStart"/>
      <w:r w:rsidRPr="00C57A36">
        <w:rPr>
          <w:rFonts w:ascii="Book Antiqua" w:eastAsia="Book Antiqua" w:hAnsi="Book Antiqua" w:cs="Book Antiqua"/>
          <w:color w:val="000000"/>
        </w:rPr>
        <w:t>possible</w:t>
      </w:r>
      <w:r w:rsidRPr="00C57A36">
        <w:rPr>
          <w:rFonts w:ascii="Book Antiqua" w:eastAsia="Book Antiqua" w:hAnsi="Book Antiqua" w:cs="Book Antiqua"/>
          <w:color w:val="000000"/>
          <w:vertAlign w:val="superscript"/>
        </w:rPr>
        <w:t>[</w:t>
      </w:r>
      <w:proofErr w:type="gramEnd"/>
      <w:r w:rsidRPr="00C57A36">
        <w:rPr>
          <w:rFonts w:ascii="Book Antiqua" w:eastAsia="Book Antiqua" w:hAnsi="Book Antiqua" w:cs="Book Antiqua"/>
          <w:color w:val="000000"/>
          <w:vertAlign w:val="superscript"/>
        </w:rPr>
        <w:t>2-5]</w:t>
      </w:r>
      <w:r w:rsidRPr="00C57A36">
        <w:rPr>
          <w:rFonts w:ascii="Book Antiqua" w:eastAsia="Book Antiqua" w:hAnsi="Book Antiqua" w:cs="Book Antiqua"/>
          <w:color w:val="000000"/>
        </w:rPr>
        <w:t>.</w:t>
      </w:r>
      <w:r w:rsidR="00E56163">
        <w:rPr>
          <w:rFonts w:ascii="Book Antiqua" w:eastAsia="Book Antiqua" w:hAnsi="Book Antiqua" w:cs="Book Antiqua"/>
          <w:color w:val="000000"/>
        </w:rPr>
        <w:t xml:space="preserve"> </w:t>
      </w:r>
      <w:r w:rsidRPr="00C57A36">
        <w:rPr>
          <w:rFonts w:ascii="Book Antiqua" w:eastAsia="Book Antiqua" w:hAnsi="Book Antiqua" w:cs="Book Antiqua"/>
          <w:color w:val="000000"/>
        </w:rPr>
        <w:t xml:space="preserve">In patients presenting with small tumors the probability of survival has progressively improved over recent decades with 5-year survival rates greater than 50% now frequently </w:t>
      </w:r>
      <w:proofErr w:type="gramStart"/>
      <w:r w:rsidRPr="00C57A36">
        <w:rPr>
          <w:rFonts w:ascii="Book Antiqua" w:eastAsia="Book Antiqua" w:hAnsi="Book Antiqua" w:cs="Book Antiqua"/>
          <w:color w:val="000000"/>
        </w:rPr>
        <w:t>reported</w:t>
      </w:r>
      <w:r w:rsidRPr="00C57A36">
        <w:rPr>
          <w:rFonts w:ascii="Book Antiqua" w:eastAsia="Book Antiqua" w:hAnsi="Book Antiqua" w:cs="Book Antiqua"/>
          <w:color w:val="000000"/>
          <w:vertAlign w:val="superscript"/>
        </w:rPr>
        <w:t>[</w:t>
      </w:r>
      <w:proofErr w:type="gramEnd"/>
      <w:r w:rsidRPr="00C57A36">
        <w:rPr>
          <w:rFonts w:ascii="Book Antiqua" w:eastAsia="Book Antiqua" w:hAnsi="Book Antiqua" w:cs="Book Antiqua"/>
          <w:color w:val="000000"/>
          <w:vertAlign w:val="superscript"/>
        </w:rPr>
        <w:t>6,7]</w:t>
      </w:r>
      <w:r w:rsidRPr="00C57A36">
        <w:rPr>
          <w:rFonts w:ascii="Book Antiqua" w:eastAsia="Book Antiqua" w:hAnsi="Book Antiqua" w:cs="Book Antiqua"/>
          <w:color w:val="000000"/>
        </w:rPr>
        <w:t>.</w:t>
      </w:r>
    </w:p>
    <w:p w14:paraId="0996C8A1" w14:textId="780A87D6" w:rsidR="00A77B3E" w:rsidRPr="00C57A36" w:rsidRDefault="00696095" w:rsidP="00D83FA9">
      <w:pPr>
        <w:spacing w:line="360" w:lineRule="auto"/>
        <w:ind w:firstLineChars="200" w:firstLine="480"/>
        <w:jc w:val="both"/>
        <w:rPr>
          <w:rFonts w:ascii="Book Antiqua" w:hAnsi="Book Antiqua"/>
        </w:rPr>
      </w:pPr>
      <w:r w:rsidRPr="00C57A36">
        <w:rPr>
          <w:rFonts w:ascii="Book Antiqua" w:eastAsia="Book Antiqua" w:hAnsi="Book Antiqua" w:cs="Book Antiqua"/>
          <w:color w:val="000000"/>
        </w:rPr>
        <w:t>Curative therapies for HCC include surgical resection, percutaneous thermal ablation and liver transplantation.</w:t>
      </w:r>
      <w:r w:rsidR="00A46852">
        <w:rPr>
          <w:rFonts w:ascii="Book Antiqua" w:eastAsia="Book Antiqua" w:hAnsi="Book Antiqua" w:cs="Book Antiqua"/>
          <w:color w:val="000000"/>
        </w:rPr>
        <w:t xml:space="preserve"> </w:t>
      </w:r>
      <w:r w:rsidRPr="00C57A36">
        <w:rPr>
          <w:rFonts w:ascii="Book Antiqua" w:eastAsia="Book Antiqua" w:hAnsi="Book Antiqua" w:cs="Book Antiqua"/>
          <w:color w:val="000000"/>
        </w:rPr>
        <w:t xml:space="preserve">Within widely adopted eligibility criteria, transplantation may be considered when up to three individual HCC are </w:t>
      </w:r>
      <w:proofErr w:type="gramStart"/>
      <w:r w:rsidRPr="00C57A36">
        <w:rPr>
          <w:rFonts w:ascii="Book Antiqua" w:eastAsia="Book Antiqua" w:hAnsi="Book Antiqua" w:cs="Book Antiqua"/>
          <w:color w:val="000000"/>
        </w:rPr>
        <w:t>present</w:t>
      </w:r>
      <w:r w:rsidRPr="00C57A36">
        <w:rPr>
          <w:rFonts w:ascii="Book Antiqua" w:eastAsia="Book Antiqua" w:hAnsi="Book Antiqua" w:cs="Book Antiqua"/>
          <w:color w:val="000000"/>
          <w:vertAlign w:val="superscript"/>
        </w:rPr>
        <w:t>[</w:t>
      </w:r>
      <w:proofErr w:type="gramEnd"/>
      <w:r w:rsidRPr="00C57A36">
        <w:rPr>
          <w:rFonts w:ascii="Book Antiqua" w:eastAsia="Book Antiqua" w:hAnsi="Book Antiqua" w:cs="Book Antiqua"/>
          <w:color w:val="000000"/>
          <w:vertAlign w:val="superscript"/>
        </w:rPr>
        <w:t>8,9]</w:t>
      </w:r>
      <w:r w:rsidRPr="00C57A36">
        <w:rPr>
          <w:rFonts w:ascii="Book Antiqua" w:eastAsia="Book Antiqua" w:hAnsi="Book Antiqua" w:cs="Book Antiqua"/>
          <w:color w:val="000000"/>
        </w:rPr>
        <w:t>.</w:t>
      </w:r>
      <w:r w:rsidR="00B14CC2">
        <w:rPr>
          <w:rFonts w:ascii="Book Antiqua" w:eastAsia="Book Antiqua" w:hAnsi="Book Antiqua" w:cs="Book Antiqua"/>
          <w:color w:val="000000"/>
        </w:rPr>
        <w:t xml:space="preserve"> </w:t>
      </w:r>
      <w:r w:rsidRPr="00C57A36">
        <w:rPr>
          <w:rFonts w:ascii="Book Antiqua" w:eastAsia="Book Antiqua" w:hAnsi="Book Antiqua" w:cs="Book Antiqua"/>
          <w:color w:val="000000"/>
        </w:rPr>
        <w:t>For solitary HCC, selection of therapy is based upon tumor size and location, in addition to severity of underlying hepatic dysfunction and portal hypertension.</w:t>
      </w:r>
      <w:r w:rsidR="00874FF7">
        <w:rPr>
          <w:rFonts w:ascii="Book Antiqua" w:eastAsia="Book Antiqua" w:hAnsi="Book Antiqua" w:cs="Book Antiqua"/>
          <w:color w:val="000000"/>
        </w:rPr>
        <w:t xml:space="preserve"> </w:t>
      </w:r>
      <w:r w:rsidRPr="00C57A36">
        <w:rPr>
          <w:rFonts w:ascii="Book Antiqua" w:eastAsia="Book Antiqua" w:hAnsi="Book Antiqua" w:cs="Book Antiqua"/>
          <w:color w:val="000000"/>
        </w:rPr>
        <w:t>Surgical resection and ablative therapies have comparable survival rates in patients with solitary HCC less than 3</w:t>
      </w:r>
      <w:r w:rsidR="00CA30F6">
        <w:rPr>
          <w:rFonts w:ascii="Book Antiqua" w:eastAsia="Book Antiqua" w:hAnsi="Book Antiqua" w:cs="Book Antiqua"/>
          <w:color w:val="000000"/>
        </w:rPr>
        <w:t xml:space="preserve"> </w:t>
      </w:r>
      <w:r w:rsidRPr="00C57A36">
        <w:rPr>
          <w:rFonts w:ascii="Book Antiqua" w:eastAsia="Book Antiqua" w:hAnsi="Book Antiqua" w:cs="Book Antiqua"/>
          <w:color w:val="000000"/>
        </w:rPr>
        <w:t xml:space="preserve">cm in </w:t>
      </w:r>
      <w:proofErr w:type="gramStart"/>
      <w:r w:rsidRPr="00C57A36">
        <w:rPr>
          <w:rFonts w:ascii="Book Antiqua" w:eastAsia="Book Antiqua" w:hAnsi="Book Antiqua" w:cs="Book Antiqua"/>
          <w:color w:val="000000"/>
        </w:rPr>
        <w:t>diameter</w:t>
      </w:r>
      <w:r w:rsidRPr="00C57A36">
        <w:rPr>
          <w:rFonts w:ascii="Book Antiqua" w:eastAsia="Book Antiqua" w:hAnsi="Book Antiqua" w:cs="Book Antiqua"/>
          <w:color w:val="000000"/>
          <w:vertAlign w:val="superscript"/>
        </w:rPr>
        <w:t>[</w:t>
      </w:r>
      <w:proofErr w:type="gramEnd"/>
      <w:r w:rsidRPr="00C57A36">
        <w:rPr>
          <w:rFonts w:ascii="Book Antiqua" w:eastAsia="Book Antiqua" w:hAnsi="Book Antiqua" w:cs="Book Antiqua"/>
          <w:color w:val="000000"/>
          <w:vertAlign w:val="superscript"/>
        </w:rPr>
        <w:t>10-13]</w:t>
      </w:r>
      <w:r w:rsidRPr="00C57A36">
        <w:rPr>
          <w:rFonts w:ascii="Book Antiqua" w:eastAsia="Book Antiqua" w:hAnsi="Book Antiqua" w:cs="Book Antiqua"/>
          <w:color w:val="000000"/>
        </w:rPr>
        <w:t>.</w:t>
      </w:r>
    </w:p>
    <w:p w14:paraId="7D999F4C" w14:textId="5AECF171" w:rsidR="00A77B3E" w:rsidRPr="00C57A36" w:rsidRDefault="00696095" w:rsidP="00945AC8">
      <w:pPr>
        <w:spacing w:line="360" w:lineRule="auto"/>
        <w:ind w:firstLineChars="200" w:firstLine="480"/>
        <w:jc w:val="both"/>
        <w:rPr>
          <w:rFonts w:ascii="Book Antiqua" w:hAnsi="Book Antiqua"/>
        </w:rPr>
      </w:pPr>
      <w:r w:rsidRPr="00C57A36">
        <w:rPr>
          <w:rFonts w:ascii="Book Antiqua" w:eastAsia="Book Antiqua" w:hAnsi="Book Antiqua" w:cs="Book Antiqua"/>
          <w:color w:val="000000"/>
        </w:rPr>
        <w:t>Whilst the guidelines are relatively clear for management of patients presenting with a single HCC ≤</w:t>
      </w:r>
      <w:r w:rsidR="00E541EE">
        <w:rPr>
          <w:rFonts w:ascii="Book Antiqua" w:eastAsia="Book Antiqua" w:hAnsi="Book Antiqua" w:cs="Book Antiqua"/>
          <w:color w:val="000000"/>
        </w:rPr>
        <w:t xml:space="preserve"> </w:t>
      </w:r>
      <w:r w:rsidRPr="00C57A36">
        <w:rPr>
          <w:rFonts w:ascii="Book Antiqua" w:eastAsia="Book Antiqua" w:hAnsi="Book Antiqua" w:cs="Book Antiqua"/>
          <w:color w:val="000000"/>
        </w:rPr>
        <w:t>3</w:t>
      </w:r>
      <w:r w:rsidR="00E541EE">
        <w:rPr>
          <w:rFonts w:ascii="Book Antiqua" w:eastAsia="Book Antiqua" w:hAnsi="Book Antiqua" w:cs="Book Antiqua"/>
          <w:color w:val="000000"/>
        </w:rPr>
        <w:t xml:space="preserve"> </w:t>
      </w:r>
      <w:r w:rsidRPr="00C57A36">
        <w:rPr>
          <w:rFonts w:ascii="Book Antiqua" w:eastAsia="Book Antiqua" w:hAnsi="Book Antiqua" w:cs="Book Antiqua"/>
          <w:color w:val="000000"/>
        </w:rPr>
        <w:t>cm or three small HCC, there is little data to guide decision-making in patients who present with two small HCC, particularly when a second lesion appears sequentially after the index lesion.</w:t>
      </w:r>
      <w:r w:rsidR="005E2C16">
        <w:rPr>
          <w:rFonts w:ascii="Book Antiqua" w:eastAsia="Book Antiqua" w:hAnsi="Book Antiqua" w:cs="Book Antiqua"/>
          <w:color w:val="000000"/>
        </w:rPr>
        <w:t xml:space="preserve"> </w:t>
      </w:r>
      <w:r w:rsidRPr="00C57A36">
        <w:rPr>
          <w:rFonts w:ascii="Book Antiqua" w:eastAsia="Book Antiqua" w:hAnsi="Book Antiqua" w:cs="Book Antiqua"/>
          <w:color w:val="000000"/>
        </w:rPr>
        <w:t>In this present study we sought to define the outcome of patients presenting with two HCC each up to 3</w:t>
      </w:r>
      <w:r w:rsidR="007610EC">
        <w:rPr>
          <w:rFonts w:ascii="Book Antiqua" w:eastAsia="Book Antiqua" w:hAnsi="Book Antiqua" w:cs="Book Antiqua"/>
          <w:color w:val="000000"/>
        </w:rPr>
        <w:t xml:space="preserve"> </w:t>
      </w:r>
      <w:r w:rsidRPr="00C57A36">
        <w:rPr>
          <w:rFonts w:ascii="Book Antiqua" w:eastAsia="Book Antiqua" w:hAnsi="Book Antiqua" w:cs="Book Antiqua"/>
          <w:color w:val="000000"/>
        </w:rPr>
        <w:t>cm, in addition to exploring whether outcomes vary depending on whether tumors present either synchronously or sequentially (</w:t>
      </w:r>
      <w:proofErr w:type="spellStart"/>
      <w:r w:rsidRPr="00C57A36">
        <w:rPr>
          <w:rFonts w:ascii="Book Antiqua" w:eastAsia="Book Antiqua" w:hAnsi="Book Antiqua" w:cs="Book Antiqua"/>
          <w:color w:val="000000"/>
        </w:rPr>
        <w:t>metachronously</w:t>
      </w:r>
      <w:proofErr w:type="spellEnd"/>
      <w:r w:rsidRPr="00C57A36">
        <w:rPr>
          <w:rFonts w:ascii="Book Antiqua" w:eastAsia="Book Antiqua" w:hAnsi="Book Antiqua" w:cs="Book Antiqua"/>
          <w:color w:val="000000"/>
        </w:rPr>
        <w:t>).</w:t>
      </w:r>
    </w:p>
    <w:p w14:paraId="098133B4" w14:textId="77777777" w:rsidR="00A77B3E" w:rsidRPr="00C57A36" w:rsidRDefault="00A77B3E" w:rsidP="00C57A36">
      <w:pPr>
        <w:spacing w:line="360" w:lineRule="auto"/>
        <w:jc w:val="both"/>
        <w:rPr>
          <w:rFonts w:ascii="Book Antiqua" w:hAnsi="Book Antiqua"/>
        </w:rPr>
      </w:pPr>
    </w:p>
    <w:p w14:paraId="3CA93511" w14:textId="7777777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caps/>
          <w:color w:val="000000"/>
          <w:u w:val="single"/>
        </w:rPr>
        <w:t>MATERIALS AND METHODS</w:t>
      </w:r>
    </w:p>
    <w:p w14:paraId="42659B40" w14:textId="77777777" w:rsidR="00A77B3E" w:rsidRPr="00DE1AC4" w:rsidRDefault="00696095" w:rsidP="00C57A36">
      <w:pPr>
        <w:spacing w:line="360" w:lineRule="auto"/>
        <w:jc w:val="both"/>
        <w:rPr>
          <w:rFonts w:ascii="Book Antiqua" w:hAnsi="Book Antiqua"/>
          <w:i/>
          <w:iCs/>
        </w:rPr>
      </w:pPr>
      <w:r w:rsidRPr="00DE1AC4">
        <w:rPr>
          <w:rFonts w:ascii="Book Antiqua" w:eastAsia="Book Antiqua" w:hAnsi="Book Antiqua" w:cs="Book Antiqua"/>
          <w:b/>
          <w:bCs/>
          <w:i/>
          <w:iCs/>
          <w:color w:val="000000"/>
        </w:rPr>
        <w:t>Study design</w:t>
      </w:r>
    </w:p>
    <w:p w14:paraId="4F01CA6E" w14:textId="6FD722C2"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color w:val="000000"/>
        </w:rPr>
        <w:t>Retrospective data of all HCC diagnosed between 1</w:t>
      </w:r>
      <w:r w:rsidRPr="00C57A36">
        <w:rPr>
          <w:rFonts w:ascii="Book Antiqua" w:eastAsia="Book Antiqua" w:hAnsi="Book Antiqua" w:cs="Book Antiqua"/>
          <w:color w:val="000000"/>
          <w:vertAlign w:val="superscript"/>
        </w:rPr>
        <w:t>st</w:t>
      </w:r>
      <w:r w:rsidR="00DE1AC4">
        <w:rPr>
          <w:rFonts w:ascii="Book Antiqua" w:eastAsia="Book Antiqua" w:hAnsi="Book Antiqua" w:cs="Book Antiqua"/>
          <w:color w:val="000000"/>
        </w:rPr>
        <w:t xml:space="preserve"> </w:t>
      </w:r>
      <w:r w:rsidRPr="00C57A36">
        <w:rPr>
          <w:rFonts w:ascii="Book Antiqua" w:eastAsia="Book Antiqua" w:hAnsi="Book Antiqua" w:cs="Book Antiqua"/>
          <w:color w:val="000000"/>
        </w:rPr>
        <w:t>of January 2000 to 31</w:t>
      </w:r>
      <w:r w:rsidRPr="00C57A36">
        <w:rPr>
          <w:rFonts w:ascii="Book Antiqua" w:eastAsia="Book Antiqua" w:hAnsi="Book Antiqua" w:cs="Book Antiqua"/>
          <w:color w:val="000000"/>
          <w:vertAlign w:val="superscript"/>
        </w:rPr>
        <w:t>st</w:t>
      </w:r>
      <w:r w:rsidR="00DE1AC4">
        <w:rPr>
          <w:rFonts w:ascii="Book Antiqua" w:eastAsia="Book Antiqua" w:hAnsi="Book Antiqua" w:cs="Book Antiqua"/>
          <w:color w:val="000000"/>
        </w:rPr>
        <w:t xml:space="preserve"> </w:t>
      </w:r>
      <w:r w:rsidRPr="00C57A36">
        <w:rPr>
          <w:rFonts w:ascii="Book Antiqua" w:eastAsia="Book Antiqua" w:hAnsi="Book Antiqua" w:cs="Book Antiqua"/>
          <w:color w:val="000000"/>
        </w:rPr>
        <w:t>of March 2018 from four tertiary referral centres in Melbourne, Victoria were reviewed.</w:t>
      </w:r>
      <w:r w:rsidR="00DE1AC4">
        <w:rPr>
          <w:rFonts w:ascii="Book Antiqua" w:eastAsia="Book Antiqua" w:hAnsi="Book Antiqua" w:cs="Book Antiqua"/>
          <w:color w:val="000000"/>
        </w:rPr>
        <w:t xml:space="preserve"> </w:t>
      </w:r>
      <w:r w:rsidRPr="00C57A36">
        <w:rPr>
          <w:rFonts w:ascii="Book Antiqua" w:eastAsia="Book Antiqua" w:hAnsi="Book Antiqua" w:cs="Book Antiqua"/>
          <w:color w:val="000000"/>
        </w:rPr>
        <w:t>Data were retrieved from site-specific prospectively collected electronic health records.</w:t>
      </w:r>
      <w:r w:rsidR="00DE1AC4">
        <w:rPr>
          <w:rFonts w:ascii="Book Antiqua" w:eastAsia="Book Antiqua" w:hAnsi="Book Antiqua" w:cs="Book Antiqua"/>
          <w:color w:val="000000"/>
        </w:rPr>
        <w:t xml:space="preserve"> </w:t>
      </w:r>
      <w:r w:rsidRPr="00C57A36">
        <w:rPr>
          <w:rFonts w:ascii="Book Antiqua" w:eastAsia="Book Antiqua" w:hAnsi="Book Antiqua" w:cs="Book Antiqua"/>
          <w:color w:val="000000"/>
        </w:rPr>
        <w:t xml:space="preserve">Institutional </w:t>
      </w:r>
      <w:r w:rsidRPr="00C57A36">
        <w:rPr>
          <w:rFonts w:ascii="Book Antiqua" w:eastAsia="Book Antiqua" w:hAnsi="Book Antiqua" w:cs="Book Antiqua"/>
          <w:color w:val="000000"/>
        </w:rPr>
        <w:lastRenderedPageBreak/>
        <w:t>ethics committee approval was obtained from participating sites prior to commencement at each centre.</w:t>
      </w:r>
    </w:p>
    <w:p w14:paraId="12BFB22F" w14:textId="77777777" w:rsidR="00A77B3E" w:rsidRPr="00C57A36" w:rsidRDefault="00A77B3E" w:rsidP="00C57A36">
      <w:pPr>
        <w:spacing w:line="360" w:lineRule="auto"/>
        <w:jc w:val="both"/>
        <w:rPr>
          <w:rFonts w:ascii="Book Antiqua" w:hAnsi="Book Antiqua"/>
        </w:rPr>
      </w:pPr>
    </w:p>
    <w:p w14:paraId="5F236ED8" w14:textId="77777777" w:rsidR="00A77B3E" w:rsidRPr="00DE1AC4" w:rsidRDefault="00696095" w:rsidP="00C57A36">
      <w:pPr>
        <w:spacing w:line="360" w:lineRule="auto"/>
        <w:jc w:val="both"/>
        <w:rPr>
          <w:rFonts w:ascii="Book Antiqua" w:hAnsi="Book Antiqua"/>
          <w:i/>
          <w:iCs/>
        </w:rPr>
      </w:pPr>
      <w:r w:rsidRPr="00DE1AC4">
        <w:rPr>
          <w:rFonts w:ascii="Book Antiqua" w:eastAsia="Book Antiqua" w:hAnsi="Book Antiqua" w:cs="Book Antiqua"/>
          <w:b/>
          <w:bCs/>
          <w:i/>
          <w:iCs/>
          <w:color w:val="000000"/>
        </w:rPr>
        <w:t>Inclusion criteria</w:t>
      </w:r>
    </w:p>
    <w:p w14:paraId="6D603007" w14:textId="3AC72DC1"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color w:val="000000"/>
        </w:rPr>
        <w:t>Patients</w:t>
      </w:r>
      <w:r w:rsidR="00DE1AC4">
        <w:rPr>
          <w:rFonts w:ascii="Book Antiqua" w:eastAsia="Book Antiqua" w:hAnsi="Book Antiqua" w:cs="Book Antiqua"/>
          <w:color w:val="000000"/>
        </w:rPr>
        <w:t xml:space="preserve"> </w:t>
      </w:r>
      <w:r w:rsidRPr="00C57A36">
        <w:rPr>
          <w:rFonts w:ascii="Book Antiqua" w:eastAsia="Book Antiqua" w:hAnsi="Book Antiqua" w:cs="Book Antiqua"/>
          <w:color w:val="000000"/>
        </w:rPr>
        <w:t>≥</w:t>
      </w:r>
      <w:r w:rsidR="00DE1AC4">
        <w:rPr>
          <w:rFonts w:ascii="Book Antiqua" w:eastAsia="Book Antiqua" w:hAnsi="Book Antiqua" w:cs="Book Antiqua"/>
          <w:color w:val="000000"/>
        </w:rPr>
        <w:t xml:space="preserve"> </w:t>
      </w:r>
      <w:r w:rsidRPr="00C57A36">
        <w:rPr>
          <w:rFonts w:ascii="Book Antiqua" w:eastAsia="Book Antiqua" w:hAnsi="Book Antiqua" w:cs="Book Antiqua"/>
          <w:color w:val="000000"/>
        </w:rPr>
        <w:t>18 years old with either two synchronous or two sequential HCC each up to 3</w:t>
      </w:r>
      <w:r w:rsidR="00DE1AC4">
        <w:rPr>
          <w:rFonts w:ascii="Book Antiqua" w:eastAsia="Book Antiqua" w:hAnsi="Book Antiqua" w:cs="Book Antiqua"/>
          <w:color w:val="000000"/>
        </w:rPr>
        <w:t xml:space="preserve"> </w:t>
      </w:r>
      <w:r w:rsidRPr="00C57A36">
        <w:rPr>
          <w:rFonts w:ascii="Book Antiqua" w:eastAsia="Book Antiqua" w:hAnsi="Book Antiqua" w:cs="Book Antiqua"/>
          <w:color w:val="000000"/>
        </w:rPr>
        <w:t>cm in size were identified.</w:t>
      </w:r>
      <w:r w:rsidR="00DE1AC4">
        <w:rPr>
          <w:rFonts w:ascii="Book Antiqua" w:eastAsia="Book Antiqua" w:hAnsi="Book Antiqua" w:cs="Book Antiqua"/>
          <w:color w:val="000000"/>
        </w:rPr>
        <w:t xml:space="preserve"> </w:t>
      </w:r>
      <w:r w:rsidRPr="00C57A36">
        <w:rPr>
          <w:rFonts w:ascii="Book Antiqua" w:eastAsia="Book Antiqua" w:hAnsi="Book Antiqua" w:cs="Book Antiqua"/>
          <w:color w:val="000000"/>
        </w:rPr>
        <w:t>Patients with and without cirrhosis were included.</w:t>
      </w:r>
      <w:r w:rsidR="00DE1AC4">
        <w:rPr>
          <w:rFonts w:ascii="Book Antiqua" w:eastAsia="Book Antiqua" w:hAnsi="Book Antiqua" w:cs="Book Antiqua"/>
          <w:color w:val="000000"/>
        </w:rPr>
        <w:t xml:space="preserve"> </w:t>
      </w:r>
      <w:r w:rsidRPr="00C57A36">
        <w:rPr>
          <w:rFonts w:ascii="Book Antiqua" w:eastAsia="Book Antiqua" w:hAnsi="Book Antiqua" w:cs="Book Antiqua"/>
          <w:color w:val="000000"/>
        </w:rPr>
        <w:t>Cirrhosis was established on standardi</w:t>
      </w:r>
      <w:r w:rsidR="00DE1AC4">
        <w:rPr>
          <w:rFonts w:ascii="Book Antiqua" w:eastAsia="Book Antiqua" w:hAnsi="Book Antiqua" w:cs="Book Antiqua"/>
          <w:color w:val="000000"/>
        </w:rPr>
        <w:t>z</w:t>
      </w:r>
      <w:r w:rsidRPr="00C57A36">
        <w:rPr>
          <w:rFonts w:ascii="Book Antiqua" w:eastAsia="Book Antiqua" w:hAnsi="Book Antiqua" w:cs="Book Antiqua"/>
          <w:color w:val="000000"/>
        </w:rPr>
        <w:t>ed clinical, biochemical and radiologic grounds with or without histologic confirmation.</w:t>
      </w:r>
      <w:r w:rsidR="00DE1AC4">
        <w:rPr>
          <w:rFonts w:ascii="Book Antiqua" w:eastAsia="Book Antiqua" w:hAnsi="Book Antiqua" w:cs="Book Antiqua"/>
          <w:color w:val="000000"/>
        </w:rPr>
        <w:t xml:space="preserve"> </w:t>
      </w:r>
      <w:r w:rsidRPr="00C57A36">
        <w:rPr>
          <w:rFonts w:ascii="Book Antiqua" w:eastAsia="Book Antiqua" w:hAnsi="Book Antiqua" w:cs="Book Antiqua"/>
          <w:color w:val="000000"/>
        </w:rPr>
        <w:t>In non-cirrhotic patients, HCC diagnosis was established histologically in all cases.</w:t>
      </w:r>
      <w:r w:rsidR="00DE1AC4">
        <w:rPr>
          <w:rFonts w:ascii="Book Antiqua" w:eastAsia="Book Antiqua" w:hAnsi="Book Antiqua" w:cs="Book Antiqua"/>
          <w:color w:val="000000"/>
        </w:rPr>
        <w:t xml:space="preserve"> </w:t>
      </w:r>
      <w:r w:rsidRPr="00C57A36">
        <w:rPr>
          <w:rFonts w:ascii="Book Antiqua" w:eastAsia="Book Antiqua" w:hAnsi="Book Antiqua" w:cs="Book Antiqua"/>
          <w:color w:val="000000"/>
        </w:rPr>
        <w:t xml:space="preserve">HCC diagnoses between 2001 and 2012 were made according to 2001 </w:t>
      </w:r>
      <w:r w:rsidR="00DE1AC4" w:rsidRPr="00DE1AC4">
        <w:rPr>
          <w:rFonts w:ascii="Book Antiqua" w:eastAsia="Book Antiqua" w:hAnsi="Book Antiqua" w:cs="Book Antiqua"/>
          <w:color w:val="000000"/>
        </w:rPr>
        <w:t xml:space="preserve">European Association for the Study of the Liver </w:t>
      </w:r>
      <w:r w:rsidR="00DE1AC4">
        <w:rPr>
          <w:rFonts w:ascii="Book Antiqua" w:eastAsia="Book Antiqua" w:hAnsi="Book Antiqua" w:cs="Book Antiqua"/>
          <w:color w:val="000000"/>
        </w:rPr>
        <w:t>(</w:t>
      </w:r>
      <w:r w:rsidRPr="00C57A36">
        <w:rPr>
          <w:rFonts w:ascii="Book Antiqua" w:eastAsia="Book Antiqua" w:hAnsi="Book Antiqua" w:cs="Book Antiqua"/>
          <w:color w:val="000000"/>
        </w:rPr>
        <w:t>EASL</w:t>
      </w:r>
      <w:r w:rsidR="00DE1AC4">
        <w:rPr>
          <w:rFonts w:ascii="Book Antiqua" w:eastAsia="Book Antiqua" w:hAnsi="Book Antiqua" w:cs="Book Antiqua"/>
          <w:color w:val="000000"/>
        </w:rPr>
        <w:t>)</w:t>
      </w:r>
      <w:r w:rsidRPr="00C57A36">
        <w:rPr>
          <w:rFonts w:ascii="Book Antiqua" w:eastAsia="Book Antiqua" w:hAnsi="Book Antiqua" w:cs="Book Antiqua"/>
          <w:color w:val="000000"/>
        </w:rPr>
        <w:t xml:space="preserve"> guidelines; all other lesions outside of these criteria required biopsy for </w:t>
      </w:r>
      <w:proofErr w:type="gramStart"/>
      <w:r w:rsidRPr="00C57A36">
        <w:rPr>
          <w:rFonts w:ascii="Book Antiqua" w:eastAsia="Book Antiqua" w:hAnsi="Book Antiqua" w:cs="Book Antiqua"/>
          <w:color w:val="000000"/>
        </w:rPr>
        <w:t>diagnosis</w:t>
      </w:r>
      <w:r w:rsidRPr="00C57A36">
        <w:rPr>
          <w:rFonts w:ascii="Book Antiqua" w:eastAsia="Book Antiqua" w:hAnsi="Book Antiqua" w:cs="Book Antiqua"/>
          <w:color w:val="000000"/>
          <w:vertAlign w:val="superscript"/>
        </w:rPr>
        <w:t>[</w:t>
      </w:r>
      <w:proofErr w:type="gramEnd"/>
      <w:r w:rsidRPr="00C57A36">
        <w:rPr>
          <w:rFonts w:ascii="Book Antiqua" w:eastAsia="Book Antiqua" w:hAnsi="Book Antiqua" w:cs="Book Antiqua"/>
          <w:color w:val="000000"/>
          <w:vertAlign w:val="superscript"/>
        </w:rPr>
        <w:t>14]</w:t>
      </w:r>
      <w:r w:rsidRPr="00C57A36">
        <w:rPr>
          <w:rFonts w:ascii="Book Antiqua" w:eastAsia="Book Antiqua" w:hAnsi="Book Antiqua" w:cs="Book Antiqua"/>
          <w:color w:val="000000"/>
        </w:rPr>
        <w:t xml:space="preserve">. Diagnoses made beyond 2012 were in accordance with revised EASL </w:t>
      </w:r>
      <w:proofErr w:type="gramStart"/>
      <w:r w:rsidRPr="00C57A36">
        <w:rPr>
          <w:rFonts w:ascii="Book Antiqua" w:eastAsia="Book Antiqua" w:hAnsi="Book Antiqua" w:cs="Book Antiqua"/>
          <w:color w:val="000000"/>
        </w:rPr>
        <w:t>criteria</w:t>
      </w:r>
      <w:r w:rsidRPr="00C57A36">
        <w:rPr>
          <w:rFonts w:ascii="Book Antiqua" w:eastAsia="Book Antiqua" w:hAnsi="Book Antiqua" w:cs="Book Antiqua"/>
          <w:color w:val="000000"/>
          <w:vertAlign w:val="superscript"/>
        </w:rPr>
        <w:t>[</w:t>
      </w:r>
      <w:proofErr w:type="gramEnd"/>
      <w:r w:rsidRPr="00C57A36">
        <w:rPr>
          <w:rFonts w:ascii="Book Antiqua" w:eastAsia="Book Antiqua" w:hAnsi="Book Antiqua" w:cs="Book Antiqua"/>
          <w:color w:val="000000"/>
          <w:vertAlign w:val="superscript"/>
        </w:rPr>
        <w:t>2]</w:t>
      </w:r>
      <w:r w:rsidRPr="00C57A36">
        <w:rPr>
          <w:rFonts w:ascii="Book Antiqua" w:eastAsia="Book Antiqua" w:hAnsi="Book Antiqua" w:cs="Book Antiqua"/>
          <w:color w:val="000000"/>
        </w:rPr>
        <w:t>.</w:t>
      </w:r>
    </w:p>
    <w:p w14:paraId="1E1F7B66" w14:textId="77777777" w:rsidR="00A77B3E" w:rsidRPr="00C57A36" w:rsidRDefault="00A77B3E" w:rsidP="00C57A36">
      <w:pPr>
        <w:spacing w:line="360" w:lineRule="auto"/>
        <w:jc w:val="both"/>
        <w:rPr>
          <w:rFonts w:ascii="Book Antiqua" w:hAnsi="Book Antiqua"/>
        </w:rPr>
      </w:pPr>
    </w:p>
    <w:p w14:paraId="38CDBF76" w14:textId="77777777" w:rsidR="00A77B3E" w:rsidRPr="00DA2072" w:rsidRDefault="00696095" w:rsidP="00C57A36">
      <w:pPr>
        <w:spacing w:line="360" w:lineRule="auto"/>
        <w:jc w:val="both"/>
        <w:rPr>
          <w:rFonts w:ascii="Book Antiqua" w:hAnsi="Book Antiqua"/>
          <w:i/>
          <w:iCs/>
        </w:rPr>
      </w:pPr>
      <w:r w:rsidRPr="00DA2072">
        <w:rPr>
          <w:rFonts w:ascii="Book Antiqua" w:eastAsia="Book Antiqua" w:hAnsi="Book Antiqua" w:cs="Book Antiqua"/>
          <w:b/>
          <w:bCs/>
          <w:i/>
          <w:iCs/>
          <w:color w:val="000000"/>
        </w:rPr>
        <w:t>Exclusion criteria</w:t>
      </w:r>
    </w:p>
    <w:p w14:paraId="4E972B31" w14:textId="5F29939A" w:rsidR="00A77B3E" w:rsidRPr="00C57A36" w:rsidRDefault="00696095" w:rsidP="003434A3">
      <w:pPr>
        <w:spacing w:line="360" w:lineRule="auto"/>
        <w:jc w:val="both"/>
        <w:rPr>
          <w:rFonts w:ascii="Book Antiqua" w:hAnsi="Book Antiqua"/>
        </w:rPr>
      </w:pPr>
      <w:r w:rsidRPr="00C57A36">
        <w:rPr>
          <w:rFonts w:ascii="Book Antiqua" w:eastAsia="Book Antiqua" w:hAnsi="Book Antiqua" w:cs="Book Antiqua"/>
          <w:color w:val="000000"/>
        </w:rPr>
        <w:t>Patients who only ever had a single HCC or more than two tumors at diagnosis were excluded</w:t>
      </w:r>
      <w:r w:rsidR="00DB7BF5">
        <w:rPr>
          <w:rFonts w:ascii="Book Antiqua" w:eastAsia="Book Antiqua" w:hAnsi="Book Antiqua" w:cs="Book Antiqua"/>
          <w:color w:val="000000"/>
        </w:rPr>
        <w:t xml:space="preserve">. </w:t>
      </w:r>
      <w:r w:rsidRPr="00C57A36">
        <w:rPr>
          <w:rFonts w:ascii="Book Antiqua" w:eastAsia="Book Antiqua" w:hAnsi="Book Antiqua" w:cs="Book Antiqua"/>
          <w:color w:val="000000"/>
        </w:rPr>
        <w:t>Patients were also excluded if either of their first two HCC exceeded 3</w:t>
      </w:r>
      <w:r w:rsidR="00852969">
        <w:rPr>
          <w:rFonts w:ascii="Book Antiqua" w:eastAsia="Book Antiqua" w:hAnsi="Book Antiqua" w:cs="Book Antiqua"/>
          <w:color w:val="000000"/>
        </w:rPr>
        <w:t xml:space="preserve"> </w:t>
      </w:r>
      <w:r w:rsidRPr="00C57A36">
        <w:rPr>
          <w:rFonts w:ascii="Book Antiqua" w:eastAsia="Book Antiqua" w:hAnsi="Book Antiqua" w:cs="Book Antiqua"/>
          <w:color w:val="000000"/>
        </w:rPr>
        <w:t>cm or if they had radiologic evidence of vascular invasion or distant metastasis.</w:t>
      </w:r>
      <w:r w:rsidR="0041433B">
        <w:rPr>
          <w:rFonts w:ascii="Book Antiqua" w:eastAsia="Book Antiqua" w:hAnsi="Book Antiqua" w:cs="Book Antiqua"/>
          <w:color w:val="000000"/>
        </w:rPr>
        <w:t xml:space="preserve"> </w:t>
      </w:r>
      <w:r w:rsidRPr="00C57A36">
        <w:rPr>
          <w:rFonts w:ascii="Book Antiqua" w:eastAsia="Book Antiqua" w:hAnsi="Book Antiqua" w:cs="Book Antiqua"/>
          <w:color w:val="000000"/>
        </w:rPr>
        <w:t>Patients managed at more than one centre were only included once.</w:t>
      </w:r>
      <w:r w:rsidR="008D7218">
        <w:rPr>
          <w:rFonts w:ascii="Book Antiqua" w:eastAsia="Book Antiqua" w:hAnsi="Book Antiqua" w:cs="Book Antiqua"/>
          <w:color w:val="000000"/>
        </w:rPr>
        <w:t xml:space="preserve"> </w:t>
      </w:r>
      <w:r w:rsidRPr="00C57A36">
        <w:rPr>
          <w:rFonts w:ascii="Book Antiqua" w:eastAsia="Book Antiqua" w:hAnsi="Book Antiqua" w:cs="Book Antiqua"/>
          <w:color w:val="000000"/>
        </w:rPr>
        <w:t>After inclusion and exclusion criteria were applied, 104 patients were included in the study for analysis.</w:t>
      </w:r>
    </w:p>
    <w:p w14:paraId="1860D909" w14:textId="77777777" w:rsidR="00A77B3E" w:rsidRPr="00C57A36" w:rsidRDefault="00A77B3E" w:rsidP="00C57A36">
      <w:pPr>
        <w:spacing w:line="360" w:lineRule="auto"/>
        <w:jc w:val="both"/>
        <w:rPr>
          <w:rFonts w:ascii="Book Antiqua" w:hAnsi="Book Antiqua"/>
        </w:rPr>
      </w:pPr>
    </w:p>
    <w:p w14:paraId="5672E6C4" w14:textId="77777777" w:rsidR="00A77B3E" w:rsidRPr="00D215AB" w:rsidRDefault="00696095" w:rsidP="00C57A36">
      <w:pPr>
        <w:spacing w:line="360" w:lineRule="auto"/>
        <w:jc w:val="both"/>
        <w:rPr>
          <w:rFonts w:ascii="Book Antiqua" w:hAnsi="Book Antiqua"/>
          <w:i/>
          <w:iCs/>
        </w:rPr>
      </w:pPr>
      <w:r w:rsidRPr="00D215AB">
        <w:rPr>
          <w:rFonts w:ascii="Book Antiqua" w:eastAsia="Book Antiqua" w:hAnsi="Book Antiqua" w:cs="Book Antiqua"/>
          <w:b/>
          <w:bCs/>
          <w:i/>
          <w:iCs/>
          <w:color w:val="000000"/>
        </w:rPr>
        <w:t>Data collection</w:t>
      </w:r>
    </w:p>
    <w:p w14:paraId="110BC566" w14:textId="15C7C6AF"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color w:val="000000"/>
        </w:rPr>
        <w:t>Data was collated from patient records into a central database and included demographics (age, gender), aetiology of chronic liver disease, the presence of or absence of cirrhosis, Child-Turcotte-Pugh (CTP) and model for end-stage liver disease (MELD</w:t>
      </w:r>
      <w:proofErr w:type="gramStart"/>
      <w:r w:rsidRPr="00C57A36">
        <w:rPr>
          <w:rFonts w:ascii="Book Antiqua" w:eastAsia="Book Antiqua" w:hAnsi="Book Antiqua" w:cs="Book Antiqua"/>
          <w:color w:val="000000"/>
        </w:rPr>
        <w:t>)</w:t>
      </w:r>
      <w:r w:rsidRPr="00C57A36">
        <w:rPr>
          <w:rFonts w:ascii="Book Antiqua" w:eastAsia="Book Antiqua" w:hAnsi="Book Antiqua" w:cs="Book Antiqua"/>
          <w:color w:val="000000"/>
          <w:vertAlign w:val="superscript"/>
        </w:rPr>
        <w:t>[</w:t>
      </w:r>
      <w:proofErr w:type="gramEnd"/>
      <w:r w:rsidRPr="00C57A36">
        <w:rPr>
          <w:rFonts w:ascii="Book Antiqua" w:eastAsia="Book Antiqua" w:hAnsi="Book Antiqua" w:cs="Book Antiqua"/>
          <w:color w:val="000000"/>
          <w:vertAlign w:val="superscript"/>
        </w:rPr>
        <w:t>15]</w:t>
      </w:r>
      <w:r w:rsidR="006A5633" w:rsidRPr="006A5633">
        <w:rPr>
          <w:rFonts w:ascii="Book Antiqua" w:eastAsia="Book Antiqua" w:hAnsi="Book Antiqua" w:cs="Book Antiqua"/>
          <w:color w:val="000000"/>
        </w:rPr>
        <w:t xml:space="preserve"> </w:t>
      </w:r>
      <w:r w:rsidRPr="00C57A36">
        <w:rPr>
          <w:rFonts w:ascii="Book Antiqua" w:eastAsia="Book Antiqua" w:hAnsi="Book Antiqua" w:cs="Book Antiqua"/>
          <w:color w:val="000000"/>
        </w:rPr>
        <w:t xml:space="preserve">scores, </w:t>
      </w:r>
      <w:r w:rsidR="00E91017">
        <w:rPr>
          <w:rFonts w:ascii="Book Antiqua" w:eastAsia="Book Antiqua" w:hAnsi="Book Antiqua" w:cs="Book Antiqua"/>
          <w:color w:val="000000"/>
        </w:rPr>
        <w:t>α</w:t>
      </w:r>
      <w:r w:rsidRPr="00C57A36">
        <w:rPr>
          <w:rFonts w:ascii="Book Antiqua" w:eastAsia="Book Antiqua" w:hAnsi="Book Antiqua" w:cs="Book Antiqua"/>
          <w:color w:val="000000"/>
        </w:rPr>
        <w:t>-</w:t>
      </w:r>
      <w:proofErr w:type="spellStart"/>
      <w:r w:rsidRPr="00C57A36">
        <w:rPr>
          <w:rFonts w:ascii="Book Antiqua" w:eastAsia="Book Antiqua" w:hAnsi="Book Antiqua" w:cs="Book Antiqua"/>
          <w:color w:val="000000"/>
        </w:rPr>
        <w:t>feto</w:t>
      </w:r>
      <w:proofErr w:type="spellEnd"/>
      <w:r w:rsidRPr="00C57A36">
        <w:rPr>
          <w:rFonts w:ascii="Book Antiqua" w:eastAsia="Book Antiqua" w:hAnsi="Book Antiqua" w:cs="Book Antiqua"/>
          <w:color w:val="000000"/>
        </w:rPr>
        <w:t xml:space="preserve"> protein (AFP) level and radiologic tumor characteristics (total diameter of both lesions and diameter of largest individual lesion).</w:t>
      </w:r>
      <w:r w:rsidR="0094170E">
        <w:rPr>
          <w:rFonts w:ascii="Book Antiqua" w:eastAsia="Book Antiqua" w:hAnsi="Book Antiqua" w:cs="Book Antiqua"/>
          <w:color w:val="000000"/>
        </w:rPr>
        <w:t xml:space="preserve"> </w:t>
      </w:r>
      <w:r w:rsidRPr="00C57A36">
        <w:rPr>
          <w:rFonts w:ascii="Book Antiqua" w:eastAsia="Book Antiqua" w:hAnsi="Book Antiqua" w:cs="Book Antiqua"/>
          <w:color w:val="000000"/>
        </w:rPr>
        <w:t>Date of disease progression, the nature of progression (local recurrence, new disease, portal vein invasion or metastases) and date of death were recorded.</w:t>
      </w:r>
    </w:p>
    <w:p w14:paraId="0BA08584" w14:textId="77777777" w:rsidR="00A77B3E" w:rsidRPr="00C57A36" w:rsidRDefault="00A77B3E" w:rsidP="00C57A36">
      <w:pPr>
        <w:spacing w:line="360" w:lineRule="auto"/>
        <w:jc w:val="both"/>
        <w:rPr>
          <w:rFonts w:ascii="Book Antiqua" w:hAnsi="Book Antiqua"/>
        </w:rPr>
      </w:pPr>
    </w:p>
    <w:p w14:paraId="282ED9EB" w14:textId="77777777" w:rsidR="00A77B3E" w:rsidRPr="00BB1EC2" w:rsidRDefault="00696095" w:rsidP="00C57A36">
      <w:pPr>
        <w:spacing w:line="360" w:lineRule="auto"/>
        <w:jc w:val="both"/>
        <w:rPr>
          <w:rFonts w:ascii="Book Antiqua" w:hAnsi="Book Antiqua"/>
          <w:i/>
          <w:iCs/>
        </w:rPr>
      </w:pPr>
      <w:r w:rsidRPr="00BB1EC2">
        <w:rPr>
          <w:rFonts w:ascii="Book Antiqua" w:eastAsia="Book Antiqua" w:hAnsi="Book Antiqua" w:cs="Book Antiqua"/>
          <w:b/>
          <w:bCs/>
          <w:i/>
          <w:iCs/>
          <w:color w:val="000000"/>
        </w:rPr>
        <w:lastRenderedPageBreak/>
        <w:t>Treatment</w:t>
      </w:r>
    </w:p>
    <w:p w14:paraId="286AD25B" w14:textId="10C33C4D"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color w:val="000000"/>
        </w:rPr>
        <w:t>Treatment modalities and number of treatments were recorded.</w:t>
      </w:r>
      <w:r w:rsidR="007A48DB">
        <w:rPr>
          <w:rFonts w:ascii="Book Antiqua" w:eastAsia="Book Antiqua" w:hAnsi="Book Antiqua" w:cs="Book Antiqua"/>
          <w:color w:val="000000"/>
        </w:rPr>
        <w:t xml:space="preserve"> </w:t>
      </w:r>
      <w:r w:rsidRPr="00C57A36">
        <w:rPr>
          <w:rFonts w:ascii="Book Antiqua" w:eastAsia="Book Antiqua" w:hAnsi="Book Antiqua" w:cs="Book Antiqua"/>
          <w:color w:val="000000"/>
        </w:rPr>
        <w:t>Treatment was administered according to multidisciplinary consensus at each institution.</w:t>
      </w:r>
      <w:r w:rsidR="00224889">
        <w:rPr>
          <w:rFonts w:ascii="Book Antiqua" w:eastAsia="Book Antiqua" w:hAnsi="Book Antiqua" w:cs="Book Antiqua"/>
          <w:color w:val="000000"/>
        </w:rPr>
        <w:t xml:space="preserve"> </w:t>
      </w:r>
      <w:r w:rsidRPr="00C57A36">
        <w:rPr>
          <w:rFonts w:ascii="Book Antiqua" w:eastAsia="Book Antiqua" w:hAnsi="Book Antiqua" w:cs="Book Antiqua"/>
          <w:color w:val="000000"/>
        </w:rPr>
        <w:t xml:space="preserve">Locoregional therapies included percutaneous ablation (inclusive of microwave and radiofrequency ablation), percutaneous ethanol injection (PEI), </w:t>
      </w:r>
      <w:proofErr w:type="spellStart"/>
      <w:r w:rsidRPr="00C57A36">
        <w:rPr>
          <w:rFonts w:ascii="Book Antiqua" w:eastAsia="Book Antiqua" w:hAnsi="Book Antiqua" w:cs="Book Antiqua"/>
          <w:color w:val="000000"/>
        </w:rPr>
        <w:t>transarterial</w:t>
      </w:r>
      <w:proofErr w:type="spellEnd"/>
      <w:r w:rsidRPr="00C57A36">
        <w:rPr>
          <w:rFonts w:ascii="Book Antiqua" w:eastAsia="Book Antiqua" w:hAnsi="Book Antiqua" w:cs="Book Antiqua"/>
          <w:color w:val="000000"/>
        </w:rPr>
        <w:t xml:space="preserve"> chemoembolization (TACE) and irreversible electroporation.</w:t>
      </w:r>
      <w:r w:rsidR="001728D7">
        <w:rPr>
          <w:rFonts w:ascii="Book Antiqua" w:eastAsia="Book Antiqua" w:hAnsi="Book Antiqua" w:cs="Book Antiqua"/>
          <w:color w:val="000000"/>
        </w:rPr>
        <w:t xml:space="preserve"> </w:t>
      </w:r>
      <w:r w:rsidRPr="00C57A36">
        <w:rPr>
          <w:rFonts w:ascii="Book Antiqua" w:eastAsia="Book Antiqua" w:hAnsi="Book Antiqua" w:cs="Book Antiqua"/>
          <w:color w:val="000000"/>
        </w:rPr>
        <w:t>All cases being considered for transplantation were referred to the Victorian Liver Transplantation Unit at Austin Health.</w:t>
      </w:r>
      <w:r w:rsidR="00401F63">
        <w:rPr>
          <w:rFonts w:ascii="Book Antiqua" w:eastAsia="Book Antiqua" w:hAnsi="Book Antiqua" w:cs="Book Antiqua"/>
          <w:color w:val="000000"/>
        </w:rPr>
        <w:t xml:space="preserve"> </w:t>
      </w:r>
      <w:r w:rsidRPr="00C57A36">
        <w:rPr>
          <w:rFonts w:ascii="Book Antiqua" w:eastAsia="Book Antiqua" w:hAnsi="Book Antiqua" w:cs="Book Antiqua"/>
          <w:color w:val="000000"/>
        </w:rPr>
        <w:t>Patients with HCC waitlisted for transplantation in Victoria are not granted MELD exception points, with decisions on timing of transplant made at twice-weekly multidisciplinary meetings and priority given to patients with active tumor rather than cumulative time on the waitlist.</w:t>
      </w:r>
    </w:p>
    <w:p w14:paraId="2514B990" w14:textId="77777777" w:rsidR="00A77B3E" w:rsidRPr="00C57A36" w:rsidRDefault="00A77B3E" w:rsidP="00C57A36">
      <w:pPr>
        <w:spacing w:line="360" w:lineRule="auto"/>
        <w:jc w:val="both"/>
        <w:rPr>
          <w:rFonts w:ascii="Book Antiqua" w:hAnsi="Book Antiqua"/>
        </w:rPr>
      </w:pPr>
    </w:p>
    <w:p w14:paraId="271F8E40" w14:textId="77777777" w:rsidR="00A77B3E" w:rsidRPr="003262EA" w:rsidRDefault="00696095" w:rsidP="00C57A36">
      <w:pPr>
        <w:spacing w:line="360" w:lineRule="auto"/>
        <w:jc w:val="both"/>
        <w:rPr>
          <w:rFonts w:ascii="Book Antiqua" w:hAnsi="Book Antiqua"/>
          <w:i/>
          <w:iCs/>
        </w:rPr>
      </w:pPr>
      <w:r w:rsidRPr="003262EA">
        <w:rPr>
          <w:rFonts w:ascii="Book Antiqua" w:eastAsia="Book Antiqua" w:hAnsi="Book Antiqua" w:cs="Book Antiqua"/>
          <w:b/>
          <w:bCs/>
          <w:i/>
          <w:iCs/>
          <w:color w:val="000000"/>
        </w:rPr>
        <w:t>Outcome measures</w:t>
      </w:r>
    </w:p>
    <w:p w14:paraId="00A0E4ED" w14:textId="62B4019D"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color w:val="000000"/>
        </w:rPr>
        <w:t>For the synchronous group, follow-up time began at the date two HCC were confirmed radiologically (</w:t>
      </w:r>
      <w:r w:rsidR="00B33BAD" w:rsidRPr="00C57A36">
        <w:rPr>
          <w:rFonts w:ascii="Book Antiqua" w:eastAsia="Book Antiqua" w:hAnsi="Book Antiqua" w:cs="Book Antiqua"/>
          <w:color w:val="000000"/>
        </w:rPr>
        <w:t>F</w:t>
      </w:r>
      <w:r w:rsidRPr="00C57A36">
        <w:rPr>
          <w:rFonts w:ascii="Book Antiqua" w:eastAsia="Book Antiqua" w:hAnsi="Book Antiqua" w:cs="Book Antiqua"/>
          <w:color w:val="000000"/>
        </w:rPr>
        <w:t>ig</w:t>
      </w:r>
      <w:r w:rsidR="00B33BAD" w:rsidRPr="00C57A36">
        <w:rPr>
          <w:rFonts w:ascii="Book Antiqua" w:eastAsia="Book Antiqua" w:hAnsi="Book Antiqua" w:cs="Book Antiqua"/>
          <w:color w:val="000000"/>
        </w:rPr>
        <w:t>ure</w:t>
      </w:r>
      <w:r w:rsidRPr="00C57A36">
        <w:rPr>
          <w:rFonts w:ascii="Book Antiqua" w:eastAsia="Book Antiqua" w:hAnsi="Book Antiqua" w:cs="Book Antiqua"/>
          <w:color w:val="000000"/>
        </w:rPr>
        <w:t xml:space="preserve"> 1).</w:t>
      </w:r>
      <w:r w:rsidR="001B6199">
        <w:rPr>
          <w:rFonts w:ascii="Book Antiqua" w:eastAsia="Book Antiqua" w:hAnsi="Book Antiqua" w:cs="Book Antiqua"/>
          <w:color w:val="000000"/>
        </w:rPr>
        <w:t xml:space="preserve"> </w:t>
      </w:r>
      <w:r w:rsidRPr="00C57A36">
        <w:rPr>
          <w:rFonts w:ascii="Book Antiqua" w:eastAsia="Book Antiqua" w:hAnsi="Book Antiqua" w:cs="Book Antiqua"/>
          <w:color w:val="000000"/>
        </w:rPr>
        <w:t>For the sequential group, records of patients presenting with a single lesion were reviewed for occurrence of a second lesion.</w:t>
      </w:r>
      <w:r w:rsidR="00FF7BC7">
        <w:rPr>
          <w:rFonts w:ascii="Book Antiqua" w:eastAsia="Book Antiqua" w:hAnsi="Book Antiqua" w:cs="Book Antiqua"/>
          <w:color w:val="000000"/>
        </w:rPr>
        <w:t xml:space="preserve"> </w:t>
      </w:r>
      <w:r w:rsidRPr="00C57A36">
        <w:rPr>
          <w:rFonts w:ascii="Book Antiqua" w:eastAsia="Book Antiqua" w:hAnsi="Book Antiqua" w:cs="Book Antiqua"/>
          <w:color w:val="000000"/>
        </w:rPr>
        <w:t>Follow-up time in the sequential group began at the time the second HCC was diagnosed (the first lesion may have received treatment; response to treatment whether it be partial or complete was not a requirement for inclusion).</w:t>
      </w:r>
      <w:r w:rsidR="000A2171">
        <w:rPr>
          <w:rFonts w:ascii="Book Antiqua" w:eastAsia="Book Antiqua" w:hAnsi="Book Antiqua" w:cs="Book Antiqua"/>
          <w:color w:val="000000"/>
        </w:rPr>
        <w:t xml:space="preserve"> </w:t>
      </w:r>
      <w:r w:rsidRPr="00C57A36">
        <w:rPr>
          <w:rFonts w:ascii="Book Antiqua" w:eastAsia="Book Antiqua" w:hAnsi="Book Antiqua" w:cs="Book Antiqua"/>
          <w:color w:val="000000"/>
        </w:rPr>
        <w:t>The primary outcome was overall survival (OS) which was calculated from the date of meeting inclusion criteria until death.</w:t>
      </w:r>
      <w:r w:rsidR="004841BF">
        <w:rPr>
          <w:rFonts w:ascii="Book Antiqua" w:eastAsia="Book Antiqua" w:hAnsi="Book Antiqua" w:cs="Book Antiqua"/>
          <w:color w:val="000000"/>
        </w:rPr>
        <w:t xml:space="preserve"> </w:t>
      </w:r>
      <w:r w:rsidRPr="00C57A36">
        <w:rPr>
          <w:rFonts w:ascii="Book Antiqua" w:eastAsia="Book Antiqua" w:hAnsi="Book Antiqua" w:cs="Book Antiqua"/>
          <w:color w:val="000000"/>
        </w:rPr>
        <w:t xml:space="preserve">Transplant-free survival (TFS) was calculated from the date of meeting inclusion criteria until liver transplantation or death without transplantation. Progression-free survival was from date of meeting inclusion criteria until either disease progression according to </w:t>
      </w:r>
      <w:proofErr w:type="spellStart"/>
      <w:proofErr w:type="gramStart"/>
      <w:r w:rsidRPr="00C57A36">
        <w:rPr>
          <w:rFonts w:ascii="Book Antiqua" w:eastAsia="Book Antiqua" w:hAnsi="Book Antiqua" w:cs="Book Antiqua"/>
          <w:color w:val="000000"/>
        </w:rPr>
        <w:t>mRECIST</w:t>
      </w:r>
      <w:proofErr w:type="spellEnd"/>
      <w:r w:rsidRPr="00C57A36">
        <w:rPr>
          <w:rFonts w:ascii="Book Antiqua" w:eastAsia="Book Antiqua" w:hAnsi="Book Antiqua" w:cs="Book Antiqua"/>
          <w:color w:val="000000"/>
          <w:vertAlign w:val="superscript"/>
        </w:rPr>
        <w:t>[</w:t>
      </w:r>
      <w:proofErr w:type="gramEnd"/>
      <w:r w:rsidRPr="00C57A36">
        <w:rPr>
          <w:rFonts w:ascii="Book Antiqua" w:eastAsia="Book Antiqua" w:hAnsi="Book Antiqua" w:cs="Book Antiqua"/>
          <w:color w:val="000000"/>
          <w:vertAlign w:val="superscript"/>
        </w:rPr>
        <w:t>16]</w:t>
      </w:r>
      <w:r w:rsidR="00762C51">
        <w:rPr>
          <w:rFonts w:ascii="Book Antiqua" w:eastAsia="Book Antiqua" w:hAnsi="Book Antiqua" w:cs="Book Antiqua"/>
          <w:color w:val="000000"/>
        </w:rPr>
        <w:t xml:space="preserve"> </w:t>
      </w:r>
      <w:r w:rsidRPr="00C57A36">
        <w:rPr>
          <w:rFonts w:ascii="Book Antiqua" w:eastAsia="Book Antiqua" w:hAnsi="Book Antiqua" w:cs="Book Antiqua"/>
          <w:color w:val="000000"/>
        </w:rPr>
        <w:t>criteria or death without confirmed radiologic progression.</w:t>
      </w:r>
    </w:p>
    <w:p w14:paraId="377B0A00" w14:textId="77777777" w:rsidR="00A77B3E" w:rsidRPr="00C57A36" w:rsidRDefault="00A77B3E" w:rsidP="00C57A36">
      <w:pPr>
        <w:spacing w:line="360" w:lineRule="auto"/>
        <w:jc w:val="both"/>
        <w:rPr>
          <w:rFonts w:ascii="Book Antiqua" w:hAnsi="Book Antiqua"/>
        </w:rPr>
      </w:pPr>
    </w:p>
    <w:p w14:paraId="063B7ACC" w14:textId="77777777" w:rsidR="00A77B3E" w:rsidRPr="00637C5F" w:rsidRDefault="00696095" w:rsidP="00C57A36">
      <w:pPr>
        <w:spacing w:line="360" w:lineRule="auto"/>
        <w:jc w:val="both"/>
        <w:rPr>
          <w:rFonts w:ascii="Book Antiqua" w:hAnsi="Book Antiqua"/>
          <w:i/>
          <w:iCs/>
        </w:rPr>
      </w:pPr>
      <w:r w:rsidRPr="00637C5F">
        <w:rPr>
          <w:rFonts w:ascii="Book Antiqua" w:eastAsia="Book Antiqua" w:hAnsi="Book Antiqua" w:cs="Book Antiqua"/>
          <w:b/>
          <w:bCs/>
          <w:i/>
          <w:iCs/>
          <w:color w:val="000000"/>
        </w:rPr>
        <w:t>Statistical analysis</w:t>
      </w:r>
    </w:p>
    <w:p w14:paraId="32E2860E" w14:textId="2C881C5A"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color w:val="000000"/>
        </w:rPr>
        <w:t xml:space="preserve">Demographic and continuous variables were assessed for normality and were accordingly presented as </w:t>
      </w:r>
      <w:r w:rsidR="00842729" w:rsidRPr="00842729">
        <w:rPr>
          <w:rFonts w:ascii="Book Antiqua" w:eastAsia="Book Antiqua" w:hAnsi="Book Antiqua" w:cs="Book Antiqua"/>
          <w:color w:val="000000"/>
        </w:rPr>
        <w:t>mean ± SD</w:t>
      </w:r>
      <w:r w:rsidRPr="00C57A36">
        <w:rPr>
          <w:rFonts w:ascii="Book Antiqua" w:eastAsia="Book Antiqua" w:hAnsi="Book Antiqua" w:cs="Book Antiqua"/>
          <w:color w:val="000000"/>
        </w:rPr>
        <w:t xml:space="preserve"> or median and interquartile range</w:t>
      </w:r>
      <w:r w:rsidR="00FA607B">
        <w:rPr>
          <w:rFonts w:ascii="Book Antiqua" w:eastAsia="Book Antiqua" w:hAnsi="Book Antiqua" w:cs="Book Antiqua"/>
          <w:color w:val="000000"/>
        </w:rPr>
        <w:t xml:space="preserve"> (IQR)</w:t>
      </w:r>
      <w:r w:rsidRPr="00C57A36">
        <w:rPr>
          <w:rFonts w:ascii="Book Antiqua" w:eastAsia="Book Antiqua" w:hAnsi="Book Antiqua" w:cs="Book Antiqua"/>
          <w:color w:val="000000"/>
        </w:rPr>
        <w:t>.</w:t>
      </w:r>
      <w:r w:rsidR="00BF2D22">
        <w:rPr>
          <w:rFonts w:ascii="Book Antiqua" w:eastAsia="Book Antiqua" w:hAnsi="Book Antiqua" w:cs="Book Antiqua"/>
          <w:color w:val="000000"/>
        </w:rPr>
        <w:t xml:space="preserve"> </w:t>
      </w:r>
      <w:r w:rsidRPr="00C57A36">
        <w:rPr>
          <w:rFonts w:ascii="Book Antiqua" w:eastAsia="Book Antiqua" w:hAnsi="Book Antiqua" w:cs="Book Antiqua"/>
          <w:color w:val="000000"/>
        </w:rPr>
        <w:t xml:space="preserve">Categorical variables were presented as frequencies with percentages. Baseline characteristics were compared between groups using one-way ANOVA and Mann-Whitney </w:t>
      </w:r>
      <w:r w:rsidRPr="00BE026E">
        <w:rPr>
          <w:rFonts w:ascii="Book Antiqua" w:eastAsia="Book Antiqua" w:hAnsi="Book Antiqua" w:cs="Book Antiqua"/>
          <w:i/>
          <w:iCs/>
          <w:color w:val="000000"/>
        </w:rPr>
        <w:t>U</w:t>
      </w:r>
      <w:r w:rsidRPr="00C57A36">
        <w:rPr>
          <w:rFonts w:ascii="Book Antiqua" w:eastAsia="Book Antiqua" w:hAnsi="Book Antiqua" w:cs="Book Antiqua"/>
          <w:color w:val="000000"/>
        </w:rPr>
        <w:t xml:space="preserve"> test for </w:t>
      </w:r>
      <w:r w:rsidRPr="00C57A36">
        <w:rPr>
          <w:rFonts w:ascii="Book Antiqua" w:eastAsia="Book Antiqua" w:hAnsi="Book Antiqua" w:cs="Book Antiqua"/>
          <w:color w:val="000000"/>
        </w:rPr>
        <w:lastRenderedPageBreak/>
        <w:t>normally-distributed and non-normally-distributed continuous variables, respectively.</w:t>
      </w:r>
      <w:r w:rsidR="00BE026E">
        <w:rPr>
          <w:rFonts w:ascii="Book Antiqua" w:eastAsia="Book Antiqua" w:hAnsi="Book Antiqua" w:cs="Book Antiqua"/>
          <w:color w:val="000000"/>
        </w:rPr>
        <w:t xml:space="preserve"> </w:t>
      </w:r>
      <w:r w:rsidRPr="00C57A36">
        <w:rPr>
          <w:rFonts w:ascii="Book Antiqua" w:eastAsia="Book Antiqua" w:hAnsi="Book Antiqua" w:cs="Book Antiqua"/>
          <w:color w:val="000000"/>
        </w:rPr>
        <w:t>Pearson chi square test was used to compare categorical variables.</w:t>
      </w:r>
    </w:p>
    <w:p w14:paraId="4E34853B" w14:textId="019C9406" w:rsidR="00A77B3E" w:rsidRPr="00C57A36" w:rsidRDefault="00696095" w:rsidP="00BE026E">
      <w:pPr>
        <w:spacing w:line="360" w:lineRule="auto"/>
        <w:ind w:firstLineChars="100" w:firstLine="240"/>
        <w:jc w:val="both"/>
        <w:rPr>
          <w:rFonts w:ascii="Book Antiqua" w:hAnsi="Book Antiqua"/>
        </w:rPr>
      </w:pPr>
      <w:r w:rsidRPr="00C57A36">
        <w:rPr>
          <w:rFonts w:ascii="Book Antiqua" w:eastAsia="Book Antiqua" w:hAnsi="Book Antiqua" w:cs="Book Antiqua"/>
          <w:color w:val="000000"/>
        </w:rPr>
        <w:t>Survival was calculated by Kaplan-Meier analysis with all patients alive at the end of the follow-up period or transplanted before confirmed radiological progression being censored from survival analysis.</w:t>
      </w:r>
      <w:r w:rsidR="006B6188">
        <w:rPr>
          <w:rFonts w:ascii="Book Antiqua" w:eastAsia="Book Antiqua" w:hAnsi="Book Antiqua" w:cs="Book Antiqua"/>
          <w:color w:val="000000"/>
        </w:rPr>
        <w:t xml:space="preserve"> </w:t>
      </w:r>
      <w:r w:rsidRPr="00C57A36">
        <w:rPr>
          <w:rFonts w:ascii="Book Antiqua" w:eastAsia="Book Antiqua" w:hAnsi="Book Antiqua" w:cs="Book Antiqua"/>
          <w:color w:val="000000"/>
        </w:rPr>
        <w:t>Univariate analysis of prognostic factors was performed by log-rank testing; group comparisons included age</w:t>
      </w:r>
      <w:r w:rsidR="00BA3A97">
        <w:rPr>
          <w:rFonts w:ascii="Book Antiqua" w:eastAsia="Book Antiqua" w:hAnsi="Book Antiqua" w:cs="Book Antiqua"/>
          <w:color w:val="000000"/>
        </w:rPr>
        <w:t xml:space="preserve"> </w:t>
      </w:r>
      <w:r w:rsidRPr="00C57A36">
        <w:rPr>
          <w:rFonts w:ascii="Book Antiqua" w:eastAsia="Book Antiqua" w:hAnsi="Book Antiqua" w:cs="Book Antiqua"/>
          <w:color w:val="000000"/>
        </w:rPr>
        <w:t>≤</w:t>
      </w:r>
      <w:r w:rsidR="00BA3A97">
        <w:rPr>
          <w:rFonts w:ascii="Book Antiqua" w:eastAsia="Book Antiqua" w:hAnsi="Book Antiqua" w:cs="Book Antiqua"/>
          <w:color w:val="000000"/>
        </w:rPr>
        <w:t xml:space="preserve"> </w:t>
      </w:r>
      <w:r w:rsidRPr="00C57A36">
        <w:rPr>
          <w:rFonts w:ascii="Book Antiqua" w:eastAsia="Book Antiqua" w:hAnsi="Book Antiqua" w:cs="Book Antiqua"/>
          <w:color w:val="000000"/>
        </w:rPr>
        <w:t xml:space="preserve">70 </w:t>
      </w:r>
      <w:r w:rsidRPr="00C57A36">
        <w:rPr>
          <w:rFonts w:ascii="Book Antiqua" w:eastAsia="Book Antiqua" w:hAnsi="Book Antiqua" w:cs="Book Antiqua"/>
          <w:i/>
          <w:iCs/>
          <w:color w:val="000000"/>
        </w:rPr>
        <w:t>vs</w:t>
      </w:r>
      <w:r w:rsidRPr="00C57A36">
        <w:rPr>
          <w:rFonts w:ascii="Book Antiqua" w:eastAsia="Book Antiqua" w:hAnsi="Book Antiqua" w:cs="Book Antiqua"/>
          <w:color w:val="000000"/>
        </w:rPr>
        <w:t xml:space="preserve"> &gt;</w:t>
      </w:r>
      <w:r w:rsidR="00BA3A97">
        <w:rPr>
          <w:rFonts w:ascii="Book Antiqua" w:eastAsia="Book Antiqua" w:hAnsi="Book Antiqua" w:cs="Book Antiqua"/>
          <w:color w:val="000000"/>
        </w:rPr>
        <w:t xml:space="preserve"> </w:t>
      </w:r>
      <w:r w:rsidRPr="00C57A36">
        <w:rPr>
          <w:rFonts w:ascii="Book Antiqua" w:eastAsia="Book Antiqua" w:hAnsi="Book Antiqua" w:cs="Book Antiqua"/>
          <w:color w:val="000000"/>
        </w:rPr>
        <w:t xml:space="preserve">70 years, male </w:t>
      </w:r>
      <w:r w:rsidRPr="00C57A36">
        <w:rPr>
          <w:rFonts w:ascii="Book Antiqua" w:eastAsia="Book Antiqua" w:hAnsi="Book Antiqua" w:cs="Book Antiqua"/>
          <w:i/>
          <w:iCs/>
          <w:color w:val="000000"/>
        </w:rPr>
        <w:t>vs</w:t>
      </w:r>
      <w:r w:rsidRPr="00C57A36">
        <w:rPr>
          <w:rFonts w:ascii="Book Antiqua" w:eastAsia="Book Antiqua" w:hAnsi="Book Antiqua" w:cs="Book Antiqua"/>
          <w:color w:val="000000"/>
        </w:rPr>
        <w:t xml:space="preserve"> female, aetiology of underlying liver disease, CTP class, MELD</w:t>
      </w:r>
      <w:r w:rsidR="00C40A26">
        <w:rPr>
          <w:rFonts w:ascii="Book Antiqua" w:eastAsia="Book Antiqua" w:hAnsi="Book Antiqua" w:cs="Book Antiqua"/>
          <w:color w:val="000000"/>
        </w:rPr>
        <w:t xml:space="preserve"> </w:t>
      </w:r>
      <w:r w:rsidRPr="00C57A36">
        <w:rPr>
          <w:rFonts w:ascii="Book Antiqua" w:eastAsia="Book Antiqua" w:hAnsi="Book Antiqua" w:cs="Book Antiqua"/>
          <w:color w:val="000000"/>
        </w:rPr>
        <w:t>≤</w:t>
      </w:r>
      <w:r w:rsidR="00C40A26">
        <w:rPr>
          <w:rFonts w:ascii="Book Antiqua" w:eastAsia="Book Antiqua" w:hAnsi="Book Antiqua" w:cs="Book Antiqua"/>
          <w:color w:val="000000"/>
        </w:rPr>
        <w:t xml:space="preserve"> </w:t>
      </w:r>
      <w:r w:rsidRPr="00C57A36">
        <w:rPr>
          <w:rFonts w:ascii="Book Antiqua" w:eastAsia="Book Antiqua" w:hAnsi="Book Antiqua" w:cs="Book Antiqua"/>
          <w:color w:val="000000"/>
        </w:rPr>
        <w:t xml:space="preserve">14 </w:t>
      </w:r>
      <w:r w:rsidRPr="00C57A36">
        <w:rPr>
          <w:rFonts w:ascii="Book Antiqua" w:eastAsia="Book Antiqua" w:hAnsi="Book Antiqua" w:cs="Book Antiqua"/>
          <w:i/>
          <w:iCs/>
          <w:color w:val="000000"/>
        </w:rPr>
        <w:t>vs</w:t>
      </w:r>
      <w:r w:rsidRPr="00C57A36">
        <w:rPr>
          <w:rFonts w:ascii="Book Antiqua" w:eastAsia="Book Antiqua" w:hAnsi="Book Antiqua" w:cs="Book Antiqua"/>
          <w:color w:val="000000"/>
        </w:rPr>
        <w:t xml:space="preserve"> &gt;</w:t>
      </w:r>
      <w:r w:rsidR="00C40A26">
        <w:rPr>
          <w:rFonts w:ascii="Book Antiqua" w:eastAsia="Book Antiqua" w:hAnsi="Book Antiqua" w:cs="Book Antiqua"/>
          <w:color w:val="000000"/>
        </w:rPr>
        <w:t xml:space="preserve"> </w:t>
      </w:r>
      <w:r w:rsidRPr="00C57A36">
        <w:rPr>
          <w:rFonts w:ascii="Book Antiqua" w:eastAsia="Book Antiqua" w:hAnsi="Book Antiqua" w:cs="Book Antiqua"/>
          <w:color w:val="000000"/>
        </w:rPr>
        <w:t>14, AFP at diagnosis &lt;10 or</w:t>
      </w:r>
      <w:r w:rsidR="00C40A26">
        <w:rPr>
          <w:rFonts w:ascii="Book Antiqua" w:eastAsia="Book Antiqua" w:hAnsi="Book Antiqua" w:cs="Book Antiqua"/>
          <w:color w:val="000000"/>
        </w:rPr>
        <w:t xml:space="preserve"> </w:t>
      </w:r>
      <w:r w:rsidRPr="00C57A36">
        <w:rPr>
          <w:rFonts w:ascii="Book Antiqua" w:eastAsia="Book Antiqua" w:hAnsi="Book Antiqua" w:cs="Book Antiqua"/>
          <w:color w:val="000000"/>
        </w:rPr>
        <w:t>≥</w:t>
      </w:r>
      <w:r w:rsidR="004F3788">
        <w:rPr>
          <w:rFonts w:ascii="Book Antiqua" w:eastAsia="Book Antiqua" w:hAnsi="Book Antiqua" w:cs="Book Antiqua"/>
          <w:color w:val="000000"/>
        </w:rPr>
        <w:t xml:space="preserve"> </w:t>
      </w:r>
      <w:r w:rsidRPr="00C57A36">
        <w:rPr>
          <w:rFonts w:ascii="Book Antiqua" w:eastAsia="Book Antiqua" w:hAnsi="Book Antiqua" w:cs="Book Antiqua"/>
          <w:color w:val="000000"/>
        </w:rPr>
        <w:t>10</w:t>
      </w:r>
      <w:r w:rsidR="00C40A26">
        <w:rPr>
          <w:rFonts w:ascii="Book Antiqua" w:eastAsia="Book Antiqua" w:hAnsi="Book Antiqua" w:cs="Book Antiqua"/>
          <w:color w:val="000000"/>
        </w:rPr>
        <w:t xml:space="preserve"> </w:t>
      </w:r>
      <w:proofErr w:type="spellStart"/>
      <w:r w:rsidR="007C2968">
        <w:rPr>
          <w:rFonts w:ascii="Book Antiqua" w:eastAsia="Book Antiqua" w:hAnsi="Book Antiqua" w:cs="Book Antiqua"/>
          <w:color w:val="000000"/>
        </w:rPr>
        <w:t>μ</w:t>
      </w:r>
      <w:r w:rsidRPr="00C57A36">
        <w:rPr>
          <w:rFonts w:ascii="Book Antiqua" w:eastAsia="Book Antiqua" w:hAnsi="Book Antiqua" w:cs="Book Antiqua"/>
          <w:color w:val="000000"/>
        </w:rPr>
        <w:t>g</w:t>
      </w:r>
      <w:proofErr w:type="spellEnd"/>
      <w:r w:rsidRPr="00C57A36">
        <w:rPr>
          <w:rFonts w:ascii="Book Antiqua" w:eastAsia="Book Antiqua" w:hAnsi="Book Antiqua" w:cs="Book Antiqua"/>
          <w:color w:val="000000"/>
        </w:rPr>
        <w:t>/L, presentation with synchronous or</w:t>
      </w:r>
      <w:r w:rsidR="004C07B3">
        <w:rPr>
          <w:rFonts w:ascii="Book Antiqua" w:eastAsia="Book Antiqua" w:hAnsi="Book Antiqua" w:cs="Book Antiqua"/>
          <w:color w:val="000000"/>
        </w:rPr>
        <w:t xml:space="preserve"> </w:t>
      </w:r>
      <w:r w:rsidRPr="00C57A36">
        <w:rPr>
          <w:rFonts w:ascii="Book Antiqua" w:eastAsia="Book Antiqua" w:hAnsi="Book Antiqua" w:cs="Book Antiqua"/>
          <w:color w:val="000000"/>
        </w:rPr>
        <w:t>sequential lesions both ≤ 3</w:t>
      </w:r>
      <w:r w:rsidR="005E76D7">
        <w:rPr>
          <w:rFonts w:ascii="Book Antiqua" w:eastAsia="Book Antiqua" w:hAnsi="Book Antiqua" w:cs="Book Antiqua"/>
          <w:color w:val="000000"/>
        </w:rPr>
        <w:t xml:space="preserve"> </w:t>
      </w:r>
      <w:r w:rsidRPr="00C57A36">
        <w:rPr>
          <w:rFonts w:ascii="Book Antiqua" w:eastAsia="Book Antiqua" w:hAnsi="Book Antiqua" w:cs="Book Antiqua"/>
          <w:color w:val="000000"/>
        </w:rPr>
        <w:t>cm</w:t>
      </w:r>
      <w:r w:rsidR="005E76D7">
        <w:rPr>
          <w:rFonts w:ascii="Book Antiqua" w:eastAsia="Book Antiqua" w:hAnsi="Book Antiqua" w:cs="Book Antiqua"/>
          <w:color w:val="000000"/>
        </w:rPr>
        <w:t xml:space="preserve"> </w:t>
      </w:r>
      <w:r w:rsidRPr="00C57A36">
        <w:rPr>
          <w:rFonts w:ascii="Book Antiqua" w:eastAsia="Book Antiqua" w:hAnsi="Book Antiqua" w:cs="Book Antiqua"/>
          <w:color w:val="000000"/>
        </w:rPr>
        <w:t xml:space="preserve">and transplanted </w:t>
      </w:r>
      <w:r w:rsidRPr="00C57A36">
        <w:rPr>
          <w:rFonts w:ascii="Book Antiqua" w:eastAsia="Book Antiqua" w:hAnsi="Book Antiqua" w:cs="Book Antiqua"/>
          <w:i/>
          <w:iCs/>
          <w:color w:val="000000"/>
        </w:rPr>
        <w:t>vs</w:t>
      </w:r>
      <w:r w:rsidRPr="00C57A36">
        <w:rPr>
          <w:rFonts w:ascii="Book Antiqua" w:eastAsia="Book Antiqua" w:hAnsi="Book Antiqua" w:cs="Book Antiqua"/>
          <w:color w:val="000000"/>
        </w:rPr>
        <w:t xml:space="preserve"> non-transplanted.</w:t>
      </w:r>
      <w:r w:rsidR="00E47F77">
        <w:rPr>
          <w:rFonts w:ascii="Book Antiqua" w:eastAsia="Book Antiqua" w:hAnsi="Book Antiqua" w:cs="Book Antiqua"/>
          <w:color w:val="000000"/>
        </w:rPr>
        <w:t xml:space="preserve"> </w:t>
      </w:r>
      <w:r w:rsidRPr="00C57A36">
        <w:rPr>
          <w:rFonts w:ascii="Book Antiqua" w:eastAsia="Book Antiqua" w:hAnsi="Book Antiqua" w:cs="Book Antiqua"/>
          <w:color w:val="000000"/>
        </w:rPr>
        <w:t xml:space="preserve">Multivariate Cox proportional hazard analysis of univariate variables with a </w:t>
      </w:r>
      <w:r w:rsidR="00601844">
        <w:rPr>
          <w:rFonts w:ascii="Book Antiqua" w:eastAsia="Book Antiqua" w:hAnsi="Book Antiqua" w:cs="Book Antiqua"/>
          <w:i/>
          <w:iCs/>
          <w:color w:val="000000"/>
        </w:rPr>
        <w:t>P</w:t>
      </w:r>
      <w:r w:rsidR="00601844">
        <w:rPr>
          <w:rFonts w:ascii="Book Antiqua" w:eastAsia="Book Antiqua" w:hAnsi="Book Antiqua" w:cs="Book Antiqua"/>
          <w:color w:val="000000"/>
        </w:rPr>
        <w:t xml:space="preserve"> </w:t>
      </w:r>
      <w:r w:rsidRPr="00C57A36">
        <w:rPr>
          <w:rFonts w:ascii="Book Antiqua" w:eastAsia="Book Antiqua" w:hAnsi="Book Antiqua" w:cs="Book Antiqua"/>
          <w:color w:val="000000"/>
        </w:rPr>
        <w:t>value</w:t>
      </w:r>
      <w:r w:rsidR="00CC61CA">
        <w:rPr>
          <w:rFonts w:ascii="Book Antiqua" w:eastAsia="Book Antiqua" w:hAnsi="Book Antiqua" w:cs="Book Antiqua"/>
          <w:color w:val="000000"/>
        </w:rPr>
        <w:t xml:space="preserve"> </w:t>
      </w:r>
      <w:r w:rsidRPr="00C57A36">
        <w:rPr>
          <w:rFonts w:ascii="Book Antiqua" w:eastAsia="Book Antiqua" w:hAnsi="Book Antiqua" w:cs="Book Antiqua"/>
          <w:color w:val="000000"/>
        </w:rPr>
        <w:t>&lt;</w:t>
      </w:r>
      <w:r w:rsidR="005F5A96">
        <w:rPr>
          <w:rFonts w:ascii="Book Antiqua" w:eastAsia="Book Antiqua" w:hAnsi="Book Antiqua" w:cs="Book Antiqua"/>
          <w:color w:val="000000"/>
        </w:rPr>
        <w:t xml:space="preserve"> </w:t>
      </w:r>
      <w:r w:rsidRPr="00C57A36">
        <w:rPr>
          <w:rFonts w:ascii="Book Antiqua" w:eastAsia="Book Antiqua" w:hAnsi="Book Antiqua" w:cs="Book Antiqua"/>
          <w:color w:val="000000"/>
        </w:rPr>
        <w:t>0.10 was performed and reported as hazard ratios (HR) with 95%CI.</w:t>
      </w:r>
      <w:r w:rsidR="00BC4DC2">
        <w:rPr>
          <w:rFonts w:ascii="Book Antiqua" w:eastAsia="Book Antiqua" w:hAnsi="Book Antiqua" w:cs="Book Antiqua"/>
          <w:color w:val="000000"/>
        </w:rPr>
        <w:t xml:space="preserve"> </w:t>
      </w:r>
      <w:r w:rsidRPr="00C57A36">
        <w:rPr>
          <w:rFonts w:ascii="Book Antiqua" w:eastAsia="Book Antiqua" w:hAnsi="Book Antiqua" w:cs="Book Antiqua"/>
          <w:color w:val="000000"/>
        </w:rPr>
        <w:t xml:space="preserve">Significance tests were two-tailed with a </w:t>
      </w:r>
      <w:r w:rsidR="002C1C8D">
        <w:rPr>
          <w:rFonts w:ascii="Book Antiqua" w:eastAsia="Book Antiqua" w:hAnsi="Book Antiqua" w:cs="Book Antiqua"/>
          <w:i/>
          <w:iCs/>
          <w:color w:val="000000"/>
        </w:rPr>
        <w:t>P</w:t>
      </w:r>
      <w:r w:rsidR="002C1C8D">
        <w:rPr>
          <w:rFonts w:ascii="Book Antiqua" w:eastAsia="Book Antiqua" w:hAnsi="Book Antiqua" w:cs="Book Antiqua"/>
          <w:color w:val="000000"/>
        </w:rPr>
        <w:t xml:space="preserve"> </w:t>
      </w:r>
      <w:r w:rsidRPr="00C57A36">
        <w:rPr>
          <w:rFonts w:ascii="Book Antiqua" w:eastAsia="Book Antiqua" w:hAnsi="Book Antiqua" w:cs="Book Antiqua"/>
          <w:color w:val="000000"/>
        </w:rPr>
        <w:t>value</w:t>
      </w:r>
      <w:r w:rsidR="00881F0A">
        <w:rPr>
          <w:rFonts w:ascii="Book Antiqua" w:eastAsia="Book Antiqua" w:hAnsi="Book Antiqua" w:cs="Book Antiqua"/>
          <w:color w:val="000000"/>
        </w:rPr>
        <w:t xml:space="preserve"> </w:t>
      </w:r>
      <w:r w:rsidRPr="00C57A36">
        <w:rPr>
          <w:rFonts w:ascii="Book Antiqua" w:eastAsia="Book Antiqua" w:hAnsi="Book Antiqua" w:cs="Book Antiqua"/>
          <w:color w:val="000000"/>
        </w:rPr>
        <w:t>&lt;</w:t>
      </w:r>
      <w:r w:rsidR="00A840C8">
        <w:rPr>
          <w:rFonts w:ascii="Book Antiqua" w:eastAsia="Book Antiqua" w:hAnsi="Book Antiqua" w:cs="Book Antiqua"/>
          <w:color w:val="000000"/>
        </w:rPr>
        <w:t xml:space="preserve"> </w:t>
      </w:r>
      <w:r w:rsidRPr="00C57A36">
        <w:rPr>
          <w:rFonts w:ascii="Book Antiqua" w:eastAsia="Book Antiqua" w:hAnsi="Book Antiqua" w:cs="Book Antiqua"/>
          <w:color w:val="000000"/>
        </w:rPr>
        <w:t>0.05 considered statistically significant.</w:t>
      </w:r>
      <w:r w:rsidR="00863B95">
        <w:rPr>
          <w:rFonts w:ascii="Book Antiqua" w:eastAsia="Book Antiqua" w:hAnsi="Book Antiqua" w:cs="Book Antiqua"/>
          <w:color w:val="000000"/>
        </w:rPr>
        <w:t xml:space="preserve"> </w:t>
      </w:r>
      <w:r w:rsidRPr="00C57A36">
        <w:rPr>
          <w:rFonts w:ascii="Book Antiqua" w:eastAsia="Book Antiqua" w:hAnsi="Book Antiqua" w:cs="Book Antiqua"/>
          <w:color w:val="000000"/>
        </w:rPr>
        <w:t>All analyses were performed using SPSS version 22 (Armonk, NY: IBM Corp).</w:t>
      </w:r>
    </w:p>
    <w:p w14:paraId="4FE81215" w14:textId="77777777" w:rsidR="00A77B3E" w:rsidRPr="00C57A36" w:rsidRDefault="00A77B3E" w:rsidP="00C57A36">
      <w:pPr>
        <w:spacing w:line="360" w:lineRule="auto"/>
        <w:jc w:val="both"/>
        <w:rPr>
          <w:rFonts w:ascii="Book Antiqua" w:hAnsi="Book Antiqua"/>
        </w:rPr>
      </w:pPr>
    </w:p>
    <w:p w14:paraId="150A8DD1" w14:textId="7777777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caps/>
          <w:color w:val="000000"/>
          <w:u w:val="single"/>
        </w:rPr>
        <w:t>RESULTS</w:t>
      </w:r>
    </w:p>
    <w:p w14:paraId="50EF4AC4" w14:textId="77777777" w:rsidR="00A77B3E" w:rsidRPr="00EC1627" w:rsidRDefault="00696095" w:rsidP="00C57A36">
      <w:pPr>
        <w:spacing w:line="360" w:lineRule="auto"/>
        <w:jc w:val="both"/>
        <w:rPr>
          <w:rFonts w:ascii="Book Antiqua" w:hAnsi="Book Antiqua"/>
          <w:i/>
          <w:iCs/>
        </w:rPr>
      </w:pPr>
      <w:r w:rsidRPr="00EC1627">
        <w:rPr>
          <w:rFonts w:ascii="Book Antiqua" w:eastAsia="Book Antiqua" w:hAnsi="Book Antiqua" w:cs="Book Antiqua"/>
          <w:b/>
          <w:bCs/>
          <w:i/>
          <w:iCs/>
          <w:color w:val="000000"/>
        </w:rPr>
        <w:t>Patient characteristics</w:t>
      </w:r>
    </w:p>
    <w:p w14:paraId="071411C1" w14:textId="5747BCD8"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color w:val="000000"/>
        </w:rPr>
        <w:t xml:space="preserve">One hundred and four patients were identified as having two HCC and were followed up for a median of 2.54 years </w:t>
      </w:r>
      <w:r w:rsidR="000F01C0">
        <w:rPr>
          <w:rFonts w:ascii="Book Antiqua" w:eastAsia="Book Antiqua" w:hAnsi="Book Antiqua" w:cs="Book Antiqua"/>
          <w:color w:val="000000"/>
        </w:rPr>
        <w:t>(</w:t>
      </w:r>
      <w:r w:rsidR="00F077BF" w:rsidRPr="00F077BF">
        <w:rPr>
          <w:rFonts w:ascii="Book Antiqua" w:eastAsia="Book Antiqua" w:hAnsi="Book Antiqua" w:cs="Book Antiqua"/>
          <w:color w:val="000000"/>
        </w:rPr>
        <w:t xml:space="preserve">IQR </w:t>
      </w:r>
      <w:r w:rsidRPr="00C57A36">
        <w:rPr>
          <w:rFonts w:ascii="Book Antiqua" w:eastAsia="Book Antiqua" w:hAnsi="Book Antiqua" w:cs="Book Antiqua"/>
          <w:color w:val="000000"/>
        </w:rPr>
        <w:t>2.73 years, range 0.08</w:t>
      </w:r>
      <w:r w:rsidR="00F077BF">
        <w:rPr>
          <w:rFonts w:ascii="Book Antiqua" w:eastAsia="Book Antiqua" w:hAnsi="Book Antiqua" w:cs="Book Antiqua"/>
          <w:color w:val="000000"/>
        </w:rPr>
        <w:t>-</w:t>
      </w:r>
      <w:r w:rsidRPr="00C57A36">
        <w:rPr>
          <w:rFonts w:ascii="Book Antiqua" w:eastAsia="Book Antiqua" w:hAnsi="Book Antiqua" w:cs="Book Antiqua"/>
          <w:color w:val="000000"/>
        </w:rPr>
        <w:t>13.67</w:t>
      </w:r>
      <w:r w:rsidR="000F01C0">
        <w:rPr>
          <w:rFonts w:ascii="Book Antiqua" w:eastAsia="Book Antiqua" w:hAnsi="Book Antiqua" w:cs="Book Antiqua"/>
          <w:color w:val="000000"/>
        </w:rPr>
        <w:t>)</w:t>
      </w:r>
      <w:r w:rsidRPr="00C57A36">
        <w:rPr>
          <w:rFonts w:ascii="Book Antiqua" w:eastAsia="Book Antiqua" w:hAnsi="Book Antiqua" w:cs="Book Antiqua"/>
          <w:color w:val="000000"/>
        </w:rPr>
        <w:t>; only six patients (5.8%) had less than six months follow-up. Eighty-nine (85.6%) were male and the median age was 63 years (IQR 58-68).</w:t>
      </w:r>
      <w:r w:rsidR="004C235F">
        <w:rPr>
          <w:rFonts w:ascii="Book Antiqua" w:eastAsia="Book Antiqua" w:hAnsi="Book Antiqua" w:cs="Book Antiqua"/>
          <w:color w:val="000000"/>
        </w:rPr>
        <w:t xml:space="preserve"> </w:t>
      </w:r>
      <w:r w:rsidRPr="00C57A36">
        <w:rPr>
          <w:rFonts w:ascii="Book Antiqua" w:eastAsia="Book Antiqua" w:hAnsi="Book Antiqua" w:cs="Book Antiqua"/>
          <w:color w:val="000000"/>
        </w:rPr>
        <w:t>The most common cause of liver disease was chronic hepatitis C (</w:t>
      </w:r>
      <w:r w:rsidRPr="00C57A36">
        <w:rPr>
          <w:rFonts w:ascii="Book Antiqua" w:eastAsia="Book Antiqua" w:hAnsi="Book Antiqua" w:cs="Book Antiqua"/>
          <w:i/>
          <w:iCs/>
          <w:color w:val="000000"/>
        </w:rPr>
        <w:t>n</w:t>
      </w:r>
      <w:r w:rsidRPr="00C57A36">
        <w:rPr>
          <w:rFonts w:ascii="Book Antiqua" w:eastAsia="Book Antiqua" w:hAnsi="Book Antiqua" w:cs="Book Antiqua"/>
          <w:color w:val="000000"/>
        </w:rPr>
        <w:t xml:space="preserve"> = 42, 40.4%) followed by chronic hepatitis B (</w:t>
      </w:r>
      <w:r w:rsidRPr="00C57A36">
        <w:rPr>
          <w:rFonts w:ascii="Book Antiqua" w:eastAsia="Book Antiqua" w:hAnsi="Book Antiqua" w:cs="Book Antiqua"/>
          <w:i/>
          <w:iCs/>
          <w:color w:val="000000"/>
        </w:rPr>
        <w:t>n</w:t>
      </w:r>
      <w:r w:rsidRPr="00C57A36">
        <w:rPr>
          <w:rFonts w:ascii="Book Antiqua" w:eastAsia="Book Antiqua" w:hAnsi="Book Antiqua" w:cs="Book Antiqua"/>
          <w:color w:val="000000"/>
        </w:rPr>
        <w:t xml:space="preserve"> = 15, 14.4%).</w:t>
      </w:r>
      <w:r w:rsidR="004C235F">
        <w:rPr>
          <w:rFonts w:ascii="Book Antiqua" w:eastAsia="Book Antiqua" w:hAnsi="Book Antiqua" w:cs="Book Antiqua"/>
          <w:color w:val="000000"/>
        </w:rPr>
        <w:t xml:space="preserve"> </w:t>
      </w:r>
      <w:r w:rsidRPr="00C57A36">
        <w:rPr>
          <w:rFonts w:ascii="Book Antiqua" w:eastAsia="Book Antiqua" w:hAnsi="Book Antiqua" w:cs="Book Antiqua"/>
          <w:color w:val="000000"/>
        </w:rPr>
        <w:t>The majority were CTP score A (</w:t>
      </w:r>
      <w:r w:rsidRPr="00C57A36">
        <w:rPr>
          <w:rFonts w:ascii="Book Antiqua" w:eastAsia="Book Antiqua" w:hAnsi="Book Antiqua" w:cs="Book Antiqua"/>
          <w:i/>
          <w:iCs/>
          <w:color w:val="000000"/>
        </w:rPr>
        <w:t>n</w:t>
      </w:r>
      <w:r w:rsidRPr="00C57A36">
        <w:rPr>
          <w:rFonts w:ascii="Book Antiqua" w:eastAsia="Book Antiqua" w:hAnsi="Book Antiqua" w:cs="Book Antiqua"/>
          <w:color w:val="000000"/>
        </w:rPr>
        <w:t xml:space="preserve"> = 66, 63.7%) and median MELD at diagnosis was 9.5 (IQR 7-13).</w:t>
      </w:r>
    </w:p>
    <w:p w14:paraId="36AE9D12" w14:textId="1230B5AE" w:rsidR="00A77B3E" w:rsidRPr="00C57A36" w:rsidRDefault="00696095" w:rsidP="004C235F">
      <w:pPr>
        <w:spacing w:line="360" w:lineRule="auto"/>
        <w:ind w:firstLineChars="100" w:firstLine="240"/>
        <w:jc w:val="both"/>
        <w:rPr>
          <w:rFonts w:ascii="Book Antiqua" w:hAnsi="Book Antiqua"/>
        </w:rPr>
      </w:pPr>
      <w:r w:rsidRPr="00C57A36">
        <w:rPr>
          <w:rFonts w:ascii="Book Antiqua" w:eastAsia="Book Antiqua" w:hAnsi="Book Antiqua" w:cs="Book Antiqua"/>
          <w:color w:val="000000"/>
        </w:rPr>
        <w:t xml:space="preserve">Baseline characteristics comparing synchronous </w:t>
      </w:r>
      <w:r w:rsidRPr="00C57A36">
        <w:rPr>
          <w:rFonts w:ascii="Book Antiqua" w:eastAsia="Book Antiqua" w:hAnsi="Book Antiqua" w:cs="Book Antiqua"/>
          <w:i/>
          <w:iCs/>
          <w:color w:val="000000"/>
        </w:rPr>
        <w:t>vs</w:t>
      </w:r>
      <w:r w:rsidRPr="00C57A36">
        <w:rPr>
          <w:rFonts w:ascii="Book Antiqua" w:eastAsia="Book Antiqua" w:hAnsi="Book Antiqua" w:cs="Book Antiqua"/>
          <w:color w:val="000000"/>
        </w:rPr>
        <w:t xml:space="preserve"> sequential tumors are shown in Table 1. Fifty-nine patients (56.7%) had two synchronous HCC at inclusion, whilst forty-five (43.3%) had sequential lesions with the median time between index and sequential lesions 14 </w:t>
      </w:r>
      <w:proofErr w:type="spellStart"/>
      <w:r w:rsidRPr="00C57A36">
        <w:rPr>
          <w:rFonts w:ascii="Book Antiqua" w:eastAsia="Book Antiqua" w:hAnsi="Book Antiqua" w:cs="Book Antiqua"/>
          <w:color w:val="000000"/>
        </w:rPr>
        <w:t>mo</w:t>
      </w:r>
      <w:proofErr w:type="spellEnd"/>
      <w:r w:rsidRPr="00C57A36">
        <w:rPr>
          <w:rFonts w:ascii="Book Antiqua" w:eastAsia="Book Antiqua" w:hAnsi="Book Antiqua" w:cs="Book Antiqua"/>
          <w:color w:val="000000"/>
        </w:rPr>
        <w:t xml:space="preserve"> (IQR 7.5-29.5). There was no difference in follow-up time between the two groups (</w:t>
      </w:r>
      <w:r w:rsidR="00296413">
        <w:rPr>
          <w:rFonts w:ascii="Book Antiqua" w:eastAsia="Book Antiqua" w:hAnsi="Book Antiqua" w:cs="Book Antiqua"/>
          <w:i/>
          <w:iCs/>
          <w:color w:val="000000"/>
        </w:rPr>
        <w:t>P =</w:t>
      </w:r>
      <w:r w:rsidRPr="00C57A36">
        <w:rPr>
          <w:rFonts w:ascii="Book Antiqua" w:eastAsia="Book Antiqua" w:hAnsi="Book Antiqua" w:cs="Book Antiqua"/>
          <w:color w:val="000000"/>
        </w:rPr>
        <w:t xml:space="preserve"> 0.54). Mean MELD score at diagnosis was the only statistically significant difference between the two groups, higher in the synchronous cohort (11 ± 7 </w:t>
      </w:r>
      <w:r w:rsidRPr="00C57A36">
        <w:rPr>
          <w:rFonts w:ascii="Book Antiqua" w:eastAsia="Book Antiqua" w:hAnsi="Book Antiqua" w:cs="Book Antiqua"/>
          <w:i/>
          <w:iCs/>
          <w:color w:val="000000"/>
        </w:rPr>
        <w:t>vs</w:t>
      </w:r>
      <w:r w:rsidRPr="00C57A36">
        <w:rPr>
          <w:rFonts w:ascii="Book Antiqua" w:eastAsia="Book Antiqua" w:hAnsi="Book Antiqua" w:cs="Book Antiqua"/>
          <w:color w:val="000000"/>
        </w:rPr>
        <w:t xml:space="preserve"> 8 ± 5, </w:t>
      </w:r>
      <w:r w:rsidRPr="00C57A36">
        <w:rPr>
          <w:rFonts w:ascii="Book Antiqua" w:eastAsia="Book Antiqua" w:hAnsi="Book Antiqua" w:cs="Book Antiqua"/>
          <w:i/>
          <w:iCs/>
          <w:color w:val="000000"/>
        </w:rPr>
        <w:t>P</w:t>
      </w:r>
      <w:r w:rsidRPr="00C57A36">
        <w:rPr>
          <w:rFonts w:ascii="Book Antiqua" w:eastAsia="Book Antiqua" w:hAnsi="Book Antiqua" w:cs="Book Antiqua"/>
          <w:color w:val="000000"/>
        </w:rPr>
        <w:t xml:space="preserve"> = </w:t>
      </w:r>
      <w:r w:rsidRPr="00C57A36">
        <w:rPr>
          <w:rFonts w:ascii="Book Antiqua" w:eastAsia="Book Antiqua" w:hAnsi="Book Antiqua" w:cs="Book Antiqua"/>
          <w:color w:val="000000"/>
        </w:rPr>
        <w:lastRenderedPageBreak/>
        <w:t>0.01). The median combined diameter of the two tumors in the synchronous group was not significantly different from the sequential group (3.8</w:t>
      </w:r>
      <w:r w:rsidR="002059B6">
        <w:rPr>
          <w:rFonts w:ascii="Book Antiqua" w:eastAsia="Book Antiqua" w:hAnsi="Book Antiqua" w:cs="Book Antiqua"/>
          <w:color w:val="000000"/>
        </w:rPr>
        <w:t xml:space="preserve"> </w:t>
      </w:r>
      <w:r w:rsidRPr="00C57A36">
        <w:rPr>
          <w:rFonts w:ascii="Book Antiqua" w:eastAsia="Book Antiqua" w:hAnsi="Book Antiqua" w:cs="Book Antiqua"/>
          <w:color w:val="000000"/>
        </w:rPr>
        <w:t xml:space="preserve">cm </w:t>
      </w:r>
      <w:r w:rsidRPr="00C57A36">
        <w:rPr>
          <w:rFonts w:ascii="Book Antiqua" w:eastAsia="Book Antiqua" w:hAnsi="Book Antiqua" w:cs="Book Antiqua"/>
          <w:i/>
          <w:iCs/>
          <w:color w:val="000000"/>
        </w:rPr>
        <w:t>vs</w:t>
      </w:r>
      <w:r w:rsidRPr="00C57A36">
        <w:rPr>
          <w:rFonts w:ascii="Book Antiqua" w:eastAsia="Book Antiqua" w:hAnsi="Book Antiqua" w:cs="Book Antiqua"/>
          <w:color w:val="000000"/>
        </w:rPr>
        <w:t xml:space="preserve"> 3.4</w:t>
      </w:r>
      <w:r w:rsidR="006B416F">
        <w:rPr>
          <w:rFonts w:ascii="Book Antiqua" w:eastAsia="Book Antiqua" w:hAnsi="Book Antiqua" w:cs="Book Antiqua"/>
          <w:color w:val="000000"/>
        </w:rPr>
        <w:t xml:space="preserve"> </w:t>
      </w:r>
      <w:r w:rsidRPr="00C57A36">
        <w:rPr>
          <w:rFonts w:ascii="Book Antiqua" w:eastAsia="Book Antiqua" w:hAnsi="Book Antiqua" w:cs="Book Antiqua"/>
          <w:color w:val="000000"/>
        </w:rPr>
        <w:t xml:space="preserve">cm, </w:t>
      </w:r>
      <w:r w:rsidRPr="00C57A36">
        <w:rPr>
          <w:rFonts w:ascii="Book Antiqua" w:eastAsia="Book Antiqua" w:hAnsi="Book Antiqua" w:cs="Book Antiqua"/>
          <w:i/>
          <w:iCs/>
          <w:color w:val="000000"/>
        </w:rPr>
        <w:t>P</w:t>
      </w:r>
      <w:r w:rsidRPr="00C57A36">
        <w:rPr>
          <w:rFonts w:ascii="Book Antiqua" w:eastAsia="Book Antiqua" w:hAnsi="Book Antiqua" w:cs="Book Antiqua"/>
          <w:color w:val="000000"/>
        </w:rPr>
        <w:t xml:space="preserve"> = 0.28).</w:t>
      </w:r>
    </w:p>
    <w:p w14:paraId="63CC81AC" w14:textId="77777777" w:rsidR="00A77B3E" w:rsidRPr="00C57A36" w:rsidRDefault="00A77B3E" w:rsidP="00C57A36">
      <w:pPr>
        <w:spacing w:line="360" w:lineRule="auto"/>
        <w:jc w:val="both"/>
        <w:rPr>
          <w:rFonts w:ascii="Book Antiqua" w:hAnsi="Book Antiqua"/>
        </w:rPr>
      </w:pPr>
    </w:p>
    <w:p w14:paraId="37977DEC" w14:textId="77777777" w:rsidR="00A77B3E" w:rsidRPr="00B34849" w:rsidRDefault="00696095" w:rsidP="00C57A36">
      <w:pPr>
        <w:spacing w:line="360" w:lineRule="auto"/>
        <w:jc w:val="both"/>
        <w:rPr>
          <w:rFonts w:ascii="Book Antiqua" w:hAnsi="Book Antiqua"/>
          <w:i/>
          <w:iCs/>
        </w:rPr>
      </w:pPr>
      <w:r w:rsidRPr="00B34849">
        <w:rPr>
          <w:rFonts w:ascii="Book Antiqua" w:eastAsia="Book Antiqua" w:hAnsi="Book Antiqua" w:cs="Book Antiqua"/>
          <w:b/>
          <w:bCs/>
          <w:i/>
          <w:iCs/>
          <w:color w:val="000000"/>
        </w:rPr>
        <w:t>Treatment</w:t>
      </w:r>
    </w:p>
    <w:p w14:paraId="49C6A9CA" w14:textId="643B2455"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color w:val="000000"/>
        </w:rPr>
        <w:t>The most common single treatment for patients with synchronous HCC was TACE (32.2%) followed by percutaneous ablation (20.3%), whilst two patients (3.4%) had unsuccessful locoregional therapy due to technical limitations and received transplantation as their primary treatment modality (Supplementary Table 1). Percutaneous ablation was the commonest single treatment for index lesions in the sequential group (57.8%) followed by surgical resection (17.8%).</w:t>
      </w:r>
      <w:r w:rsidR="004927D3">
        <w:rPr>
          <w:rFonts w:ascii="Book Antiqua" w:eastAsia="Book Antiqua" w:hAnsi="Book Antiqua" w:cs="Book Antiqua"/>
          <w:color w:val="000000"/>
        </w:rPr>
        <w:t xml:space="preserve"> </w:t>
      </w:r>
      <w:r w:rsidRPr="00C57A36">
        <w:rPr>
          <w:rFonts w:ascii="Book Antiqua" w:eastAsia="Book Antiqua" w:hAnsi="Book Antiqua" w:cs="Book Antiqua"/>
          <w:color w:val="000000"/>
        </w:rPr>
        <w:t xml:space="preserve">As first line treatment, TACE was more commonly </w:t>
      </w:r>
      <w:r w:rsidR="009F3954" w:rsidRPr="00C57A36">
        <w:rPr>
          <w:rFonts w:ascii="Book Antiqua" w:eastAsia="Book Antiqua" w:hAnsi="Book Antiqua" w:cs="Book Antiqua"/>
          <w:color w:val="000000"/>
        </w:rPr>
        <w:t>utilized</w:t>
      </w:r>
      <w:r w:rsidRPr="00C57A36">
        <w:rPr>
          <w:rFonts w:ascii="Book Antiqua" w:eastAsia="Book Antiqua" w:hAnsi="Book Antiqua" w:cs="Book Antiqua"/>
          <w:color w:val="000000"/>
        </w:rPr>
        <w:t xml:space="preserve"> in the synchronous group (32.2% </w:t>
      </w:r>
      <w:r w:rsidRPr="00C57A36">
        <w:rPr>
          <w:rFonts w:ascii="Book Antiqua" w:eastAsia="Book Antiqua" w:hAnsi="Book Antiqua" w:cs="Book Antiqua"/>
          <w:i/>
          <w:iCs/>
          <w:color w:val="000000"/>
        </w:rPr>
        <w:t>vs</w:t>
      </w:r>
      <w:r w:rsidRPr="00C57A36">
        <w:rPr>
          <w:rFonts w:ascii="Book Antiqua" w:eastAsia="Book Antiqua" w:hAnsi="Book Antiqua" w:cs="Book Antiqua"/>
          <w:color w:val="000000"/>
        </w:rPr>
        <w:t xml:space="preserve"> 8.9%, </w:t>
      </w:r>
      <w:r w:rsidR="00291E90">
        <w:rPr>
          <w:rFonts w:ascii="Book Antiqua" w:eastAsia="Book Antiqua" w:hAnsi="Book Antiqua" w:cs="Book Antiqua"/>
          <w:i/>
          <w:iCs/>
          <w:color w:val="000000"/>
        </w:rPr>
        <w:t>P</w:t>
      </w:r>
      <w:r w:rsidRPr="00C57A36">
        <w:rPr>
          <w:rFonts w:ascii="Book Antiqua" w:eastAsia="Book Antiqua" w:hAnsi="Book Antiqua" w:cs="Book Antiqua"/>
          <w:color w:val="000000"/>
        </w:rPr>
        <w:t xml:space="preserve"> &lt;</w:t>
      </w:r>
      <w:r w:rsidR="00E85C7E">
        <w:rPr>
          <w:rFonts w:ascii="Book Antiqua" w:eastAsia="Book Antiqua" w:hAnsi="Book Antiqua" w:cs="Book Antiqua"/>
          <w:color w:val="000000"/>
        </w:rPr>
        <w:t xml:space="preserve"> </w:t>
      </w:r>
      <w:r w:rsidRPr="00C57A36">
        <w:rPr>
          <w:rFonts w:ascii="Book Antiqua" w:eastAsia="Book Antiqua" w:hAnsi="Book Antiqua" w:cs="Book Antiqua"/>
          <w:color w:val="000000"/>
        </w:rPr>
        <w:t xml:space="preserve">0.01), whilst percutaneous ablation was more common in the sequential group (57.8% </w:t>
      </w:r>
      <w:r w:rsidRPr="00C57A36">
        <w:rPr>
          <w:rFonts w:ascii="Book Antiqua" w:eastAsia="Book Antiqua" w:hAnsi="Book Antiqua" w:cs="Book Antiqua"/>
          <w:i/>
          <w:iCs/>
          <w:color w:val="000000"/>
        </w:rPr>
        <w:t>vs</w:t>
      </w:r>
      <w:r w:rsidRPr="00C57A36">
        <w:rPr>
          <w:rFonts w:ascii="Book Antiqua" w:eastAsia="Book Antiqua" w:hAnsi="Book Antiqua" w:cs="Book Antiqua"/>
          <w:color w:val="000000"/>
        </w:rPr>
        <w:t xml:space="preserve"> 20.3%, </w:t>
      </w:r>
      <w:r w:rsidR="007A643F">
        <w:rPr>
          <w:rFonts w:ascii="Book Antiqua" w:eastAsia="Book Antiqua" w:hAnsi="Book Antiqua" w:cs="Book Antiqua"/>
          <w:i/>
          <w:iCs/>
          <w:color w:val="000000"/>
        </w:rPr>
        <w:t>P</w:t>
      </w:r>
      <w:r w:rsidRPr="00C57A36">
        <w:rPr>
          <w:rFonts w:ascii="Book Antiqua" w:eastAsia="Book Antiqua" w:hAnsi="Book Antiqua" w:cs="Book Antiqua"/>
          <w:color w:val="000000"/>
        </w:rPr>
        <w:t xml:space="preserve"> &lt;</w:t>
      </w:r>
      <w:r w:rsidR="007A643F">
        <w:rPr>
          <w:rFonts w:ascii="Book Antiqua" w:eastAsia="Book Antiqua" w:hAnsi="Book Antiqua" w:cs="Book Antiqua"/>
          <w:color w:val="000000"/>
        </w:rPr>
        <w:t xml:space="preserve"> </w:t>
      </w:r>
      <w:r w:rsidRPr="00C57A36">
        <w:rPr>
          <w:rFonts w:ascii="Book Antiqua" w:eastAsia="Book Antiqua" w:hAnsi="Book Antiqua" w:cs="Book Antiqua"/>
          <w:color w:val="000000"/>
        </w:rPr>
        <w:t>0.01). There was no significant difference in the rate of PEI or resection between the two groups (</w:t>
      </w:r>
      <w:r w:rsidRPr="00C57A36">
        <w:rPr>
          <w:rFonts w:ascii="Book Antiqua" w:eastAsia="Book Antiqua" w:hAnsi="Book Antiqua" w:cs="Book Antiqua"/>
          <w:i/>
          <w:iCs/>
          <w:color w:val="000000"/>
        </w:rPr>
        <w:t>P</w:t>
      </w:r>
      <w:r w:rsidRPr="00C57A36">
        <w:rPr>
          <w:rFonts w:ascii="Book Antiqua" w:eastAsia="Book Antiqua" w:hAnsi="Book Antiqua" w:cs="Book Antiqua"/>
          <w:color w:val="000000"/>
        </w:rPr>
        <w:t xml:space="preserve"> = 0.25 and </w:t>
      </w:r>
      <w:r w:rsidRPr="00C57A36">
        <w:rPr>
          <w:rFonts w:ascii="Book Antiqua" w:eastAsia="Book Antiqua" w:hAnsi="Book Antiqua" w:cs="Book Antiqua"/>
          <w:i/>
          <w:iCs/>
          <w:color w:val="000000"/>
        </w:rPr>
        <w:t>P</w:t>
      </w:r>
      <w:r w:rsidRPr="00C57A36">
        <w:rPr>
          <w:rFonts w:ascii="Book Antiqua" w:eastAsia="Book Antiqua" w:hAnsi="Book Antiqua" w:cs="Book Antiqua"/>
          <w:color w:val="000000"/>
        </w:rPr>
        <w:t xml:space="preserve"> = 0.16, respectively). Synchronous lesions were more frequently treated with two modalities upfront (30.5% </w:t>
      </w:r>
      <w:r w:rsidRPr="00C57A36">
        <w:rPr>
          <w:rFonts w:ascii="Book Antiqua" w:eastAsia="Book Antiqua" w:hAnsi="Book Antiqua" w:cs="Book Antiqua"/>
          <w:i/>
          <w:iCs/>
          <w:color w:val="000000"/>
        </w:rPr>
        <w:t>vs</w:t>
      </w:r>
      <w:r w:rsidRPr="00C57A36">
        <w:rPr>
          <w:rFonts w:ascii="Book Antiqua" w:eastAsia="Book Antiqua" w:hAnsi="Book Antiqua" w:cs="Book Antiqua"/>
          <w:color w:val="000000"/>
        </w:rPr>
        <w:t xml:space="preserve"> 13.3%, </w:t>
      </w:r>
      <w:r w:rsidRPr="00C57A36">
        <w:rPr>
          <w:rFonts w:ascii="Book Antiqua" w:eastAsia="Book Antiqua" w:hAnsi="Book Antiqua" w:cs="Book Antiqua"/>
          <w:i/>
          <w:iCs/>
          <w:color w:val="000000"/>
        </w:rPr>
        <w:t>P</w:t>
      </w:r>
      <w:r w:rsidRPr="00C57A36">
        <w:rPr>
          <w:rFonts w:ascii="Book Antiqua" w:eastAsia="Book Antiqua" w:hAnsi="Book Antiqua" w:cs="Book Antiqua"/>
          <w:color w:val="000000"/>
        </w:rPr>
        <w:t xml:space="preserve"> = 0.04). The second lesion in the sequential group was most frequently treated by percutaneous ablation (31.1%) followed by TACE (28.9%), with only three patients (6.67%) undergoing transplantation (Supplementary Table 2).</w:t>
      </w:r>
    </w:p>
    <w:p w14:paraId="0FD707D9" w14:textId="01CD695F" w:rsidR="00A77B3E" w:rsidRPr="00C57A36" w:rsidRDefault="00696095" w:rsidP="007073B8">
      <w:pPr>
        <w:spacing w:line="360" w:lineRule="auto"/>
        <w:ind w:firstLineChars="100" w:firstLine="240"/>
        <w:jc w:val="both"/>
        <w:rPr>
          <w:rFonts w:ascii="Book Antiqua" w:hAnsi="Book Antiqua"/>
        </w:rPr>
      </w:pPr>
      <w:r w:rsidRPr="00C57A36">
        <w:rPr>
          <w:rFonts w:ascii="Book Antiqua" w:eastAsia="Book Antiqua" w:hAnsi="Book Antiqua" w:cs="Book Antiqua"/>
          <w:color w:val="000000"/>
        </w:rPr>
        <w:t xml:space="preserve">During the follow-up period, 25 patients (24%) were transplanted with median time to transplantation 12 </w:t>
      </w:r>
      <w:proofErr w:type="spellStart"/>
      <w:r w:rsidRPr="00C57A36">
        <w:rPr>
          <w:rFonts w:ascii="Book Antiqua" w:eastAsia="Book Antiqua" w:hAnsi="Book Antiqua" w:cs="Book Antiqua"/>
          <w:color w:val="000000"/>
        </w:rPr>
        <w:t>mo</w:t>
      </w:r>
      <w:proofErr w:type="spellEnd"/>
      <w:r w:rsidRPr="00C57A36">
        <w:rPr>
          <w:rFonts w:ascii="Book Antiqua" w:eastAsia="Book Antiqua" w:hAnsi="Book Antiqua" w:cs="Book Antiqua"/>
          <w:color w:val="000000"/>
        </w:rPr>
        <w:t xml:space="preserve"> (IQR 2.83).</w:t>
      </w:r>
      <w:r w:rsidR="00E00922">
        <w:rPr>
          <w:rFonts w:ascii="Book Antiqua" w:eastAsia="Book Antiqua" w:hAnsi="Book Antiqua" w:cs="Book Antiqua"/>
          <w:color w:val="000000"/>
        </w:rPr>
        <w:t xml:space="preserve"> </w:t>
      </w:r>
      <w:r w:rsidRPr="00C57A36">
        <w:rPr>
          <w:rFonts w:ascii="Book Antiqua" w:eastAsia="Book Antiqua" w:hAnsi="Book Antiqua" w:cs="Book Antiqua"/>
          <w:color w:val="000000"/>
        </w:rPr>
        <w:t>The only significant differences between transplanted and non-transplanted patients were CTP and MELD score (</w:t>
      </w:r>
      <w:r w:rsidR="00F41368">
        <w:rPr>
          <w:rFonts w:ascii="Book Antiqua" w:eastAsia="Book Antiqua" w:hAnsi="Book Antiqua" w:cs="Book Antiqua"/>
          <w:i/>
          <w:iCs/>
          <w:color w:val="000000"/>
        </w:rPr>
        <w:t>P</w:t>
      </w:r>
      <w:r w:rsidRPr="00C57A36">
        <w:rPr>
          <w:rFonts w:ascii="Book Antiqua" w:eastAsia="Book Antiqua" w:hAnsi="Book Antiqua" w:cs="Book Antiqua"/>
          <w:color w:val="000000"/>
        </w:rPr>
        <w:t xml:space="preserve"> &lt;</w:t>
      </w:r>
      <w:r w:rsidR="008F3583">
        <w:rPr>
          <w:rFonts w:ascii="Book Antiqua" w:eastAsia="Book Antiqua" w:hAnsi="Book Antiqua" w:cs="Book Antiqua"/>
          <w:color w:val="000000"/>
        </w:rPr>
        <w:t xml:space="preserve"> </w:t>
      </w:r>
      <w:r w:rsidRPr="00C57A36">
        <w:rPr>
          <w:rFonts w:ascii="Book Antiqua" w:eastAsia="Book Antiqua" w:hAnsi="Book Antiqua" w:cs="Book Antiqua"/>
          <w:color w:val="000000"/>
        </w:rPr>
        <w:t>0.01 for both) (Supplementary Table 3).</w:t>
      </w:r>
      <w:r w:rsidR="0051465B">
        <w:rPr>
          <w:rFonts w:ascii="Book Antiqua" w:eastAsia="Book Antiqua" w:hAnsi="Book Antiqua" w:cs="Book Antiqua"/>
          <w:color w:val="000000"/>
        </w:rPr>
        <w:t xml:space="preserve"> </w:t>
      </w:r>
      <w:r w:rsidRPr="00C57A36">
        <w:rPr>
          <w:rFonts w:ascii="Book Antiqua" w:eastAsia="Book Antiqua" w:hAnsi="Book Antiqua" w:cs="Book Antiqua"/>
          <w:color w:val="000000"/>
        </w:rPr>
        <w:t xml:space="preserve">Although a higher proportion of patients with synchronous HCC were transplanted compared to the sequential group (30.5% </w:t>
      </w:r>
      <w:r w:rsidRPr="00C57A36">
        <w:rPr>
          <w:rFonts w:ascii="Book Antiqua" w:eastAsia="Book Antiqua" w:hAnsi="Book Antiqua" w:cs="Book Antiqua"/>
          <w:i/>
          <w:iCs/>
          <w:color w:val="000000"/>
        </w:rPr>
        <w:t>vs</w:t>
      </w:r>
      <w:r w:rsidRPr="00C57A36">
        <w:rPr>
          <w:rFonts w:ascii="Book Antiqua" w:eastAsia="Book Antiqua" w:hAnsi="Book Antiqua" w:cs="Book Antiqua"/>
          <w:color w:val="000000"/>
        </w:rPr>
        <w:t xml:space="preserve"> 15.6</w:t>
      </w:r>
      <w:r w:rsidR="0093660E">
        <w:rPr>
          <w:rFonts w:ascii="Book Antiqua" w:eastAsia="Book Antiqua" w:hAnsi="Book Antiqua" w:cs="Book Antiqua"/>
          <w:color w:val="000000"/>
        </w:rPr>
        <w:t>%</w:t>
      </w:r>
      <w:r w:rsidRPr="00C57A36">
        <w:rPr>
          <w:rFonts w:ascii="Book Antiqua" w:eastAsia="Book Antiqua" w:hAnsi="Book Antiqua" w:cs="Book Antiqua"/>
          <w:color w:val="000000"/>
        </w:rPr>
        <w:t>), this did not reach statistical significance (</w:t>
      </w:r>
      <w:r w:rsidR="00074862">
        <w:rPr>
          <w:rFonts w:ascii="Book Antiqua" w:eastAsia="Book Antiqua" w:hAnsi="Book Antiqua" w:cs="Book Antiqua"/>
          <w:i/>
          <w:iCs/>
          <w:color w:val="000000"/>
        </w:rPr>
        <w:t>P =</w:t>
      </w:r>
      <w:r w:rsidRPr="00C57A36">
        <w:rPr>
          <w:rFonts w:ascii="Book Antiqua" w:eastAsia="Book Antiqua" w:hAnsi="Book Antiqua" w:cs="Book Antiqua"/>
          <w:color w:val="000000"/>
        </w:rPr>
        <w:t xml:space="preserve"> 0.08).</w:t>
      </w:r>
    </w:p>
    <w:p w14:paraId="4754BF69" w14:textId="77777777" w:rsidR="00A77B3E" w:rsidRPr="00C57A36" w:rsidRDefault="00A77B3E" w:rsidP="00C57A36">
      <w:pPr>
        <w:spacing w:line="360" w:lineRule="auto"/>
        <w:jc w:val="both"/>
        <w:rPr>
          <w:rFonts w:ascii="Book Antiqua" w:hAnsi="Book Antiqua"/>
        </w:rPr>
      </w:pPr>
    </w:p>
    <w:p w14:paraId="19400619" w14:textId="77777777" w:rsidR="00A77B3E" w:rsidRPr="00142D31" w:rsidRDefault="00696095" w:rsidP="00C57A36">
      <w:pPr>
        <w:spacing w:line="360" w:lineRule="auto"/>
        <w:jc w:val="both"/>
        <w:rPr>
          <w:rFonts w:ascii="Book Antiqua" w:hAnsi="Book Antiqua"/>
          <w:i/>
          <w:iCs/>
        </w:rPr>
      </w:pPr>
      <w:r w:rsidRPr="00142D31">
        <w:rPr>
          <w:rFonts w:ascii="Book Antiqua" w:eastAsia="Book Antiqua" w:hAnsi="Book Antiqua" w:cs="Book Antiqua"/>
          <w:b/>
          <w:bCs/>
          <w:i/>
          <w:iCs/>
          <w:color w:val="000000"/>
        </w:rPr>
        <w:t>Survival analysis</w:t>
      </w:r>
    </w:p>
    <w:p w14:paraId="76077999" w14:textId="12BB09A9" w:rsidR="00A77B3E" w:rsidRPr="008F3129" w:rsidRDefault="00696095" w:rsidP="00C57A36">
      <w:pPr>
        <w:spacing w:line="360" w:lineRule="auto"/>
        <w:jc w:val="both"/>
        <w:rPr>
          <w:rFonts w:ascii="Book Antiqua" w:hAnsi="Book Antiqua"/>
          <w:b/>
          <w:bCs/>
        </w:rPr>
      </w:pPr>
      <w:r w:rsidRPr="009E7C3C">
        <w:rPr>
          <w:rFonts w:ascii="Book Antiqua" w:eastAsia="Book Antiqua" w:hAnsi="Book Antiqua" w:cs="Book Antiqua"/>
          <w:b/>
          <w:bCs/>
          <w:color w:val="000000"/>
        </w:rPr>
        <w:t>Overall survival</w:t>
      </w:r>
      <w:r w:rsidR="009E7C3C">
        <w:rPr>
          <w:rFonts w:ascii="Book Antiqua" w:eastAsia="Book Antiqua" w:hAnsi="Book Antiqua" w:cs="Book Antiqua"/>
          <w:b/>
          <w:bCs/>
          <w:color w:val="000000"/>
        </w:rPr>
        <w:t>:</w:t>
      </w:r>
      <w:r w:rsidR="008F3129">
        <w:rPr>
          <w:rFonts w:ascii="Book Antiqua" w:hAnsi="Book Antiqua" w:hint="eastAsia"/>
          <w:b/>
          <w:bCs/>
          <w:lang w:eastAsia="zh-CN"/>
        </w:rPr>
        <w:t xml:space="preserve"> </w:t>
      </w:r>
      <w:r w:rsidRPr="00C57A36">
        <w:rPr>
          <w:rFonts w:ascii="Book Antiqua" w:eastAsia="Book Antiqua" w:hAnsi="Book Antiqua" w:cs="Book Antiqua"/>
          <w:color w:val="000000"/>
        </w:rPr>
        <w:t>Thirty-six (34.6%) patients died during the study period with</w:t>
      </w:r>
      <w:r w:rsidR="00BB6818">
        <w:rPr>
          <w:rFonts w:ascii="Book Antiqua" w:eastAsia="Book Antiqua" w:hAnsi="Book Antiqua" w:cs="Book Antiqua"/>
          <w:color w:val="000000"/>
        </w:rPr>
        <w:t xml:space="preserve"> </w:t>
      </w:r>
      <w:r w:rsidRPr="00C57A36">
        <w:rPr>
          <w:rFonts w:ascii="Book Antiqua" w:eastAsia="Book Antiqua" w:hAnsi="Book Antiqua" w:cs="Book Antiqua"/>
          <w:color w:val="000000"/>
        </w:rPr>
        <w:t>median time to death 1.45 years (IQR 1.17-2.63) (Supplementary Figure 1).</w:t>
      </w:r>
      <w:r w:rsidR="00B13F26">
        <w:rPr>
          <w:rFonts w:ascii="Book Antiqua" w:eastAsia="Book Antiqua" w:hAnsi="Book Antiqua" w:cs="Book Antiqua"/>
          <w:color w:val="000000"/>
        </w:rPr>
        <w:t xml:space="preserve"> </w:t>
      </w:r>
      <w:r w:rsidRPr="00C57A36">
        <w:rPr>
          <w:rFonts w:ascii="Book Antiqua" w:eastAsia="Book Antiqua" w:hAnsi="Book Antiqua" w:cs="Book Antiqua"/>
          <w:color w:val="000000"/>
        </w:rPr>
        <w:t>OS at 1-, 3- and 5-years was 93%, 66.1% and 62.3%, respectively (Table 2).</w:t>
      </w:r>
      <w:r w:rsidR="00E27E7A">
        <w:rPr>
          <w:rFonts w:ascii="Book Antiqua" w:eastAsia="Book Antiqua" w:hAnsi="Book Antiqua" w:cs="Book Antiqua"/>
          <w:color w:val="000000"/>
        </w:rPr>
        <w:t xml:space="preserve"> </w:t>
      </w:r>
      <w:r w:rsidRPr="00C57A36">
        <w:rPr>
          <w:rFonts w:ascii="Book Antiqua" w:eastAsia="Book Antiqua" w:hAnsi="Book Antiqua" w:cs="Book Antiqua"/>
          <w:color w:val="000000"/>
        </w:rPr>
        <w:t xml:space="preserve">There was no difference in OS between </w:t>
      </w:r>
      <w:r w:rsidRPr="00C57A36">
        <w:rPr>
          <w:rFonts w:ascii="Book Antiqua" w:eastAsia="Book Antiqua" w:hAnsi="Book Antiqua" w:cs="Book Antiqua"/>
          <w:color w:val="000000"/>
        </w:rPr>
        <w:lastRenderedPageBreak/>
        <w:t>the synchronous and sequential groups (</w:t>
      </w:r>
      <w:r w:rsidRPr="00C57A36">
        <w:rPr>
          <w:rFonts w:ascii="Book Antiqua" w:eastAsia="Book Antiqua" w:hAnsi="Book Antiqua" w:cs="Book Antiqua"/>
          <w:i/>
          <w:iCs/>
          <w:color w:val="000000"/>
        </w:rPr>
        <w:t>P</w:t>
      </w:r>
      <w:r w:rsidRPr="00C57A36">
        <w:rPr>
          <w:rFonts w:ascii="Book Antiqua" w:eastAsia="Book Antiqua" w:hAnsi="Book Antiqua" w:cs="Book Antiqua"/>
          <w:color w:val="000000"/>
        </w:rPr>
        <w:t xml:space="preserve"> = 0.41, Figure 2</w:t>
      </w:r>
      <w:r w:rsidR="009E0F3C">
        <w:rPr>
          <w:rFonts w:ascii="Book Antiqua" w:eastAsia="Book Antiqua" w:hAnsi="Book Antiqua" w:cs="Book Antiqua"/>
          <w:color w:val="000000"/>
        </w:rPr>
        <w:t>A</w:t>
      </w:r>
      <w:r w:rsidRPr="00C57A36">
        <w:rPr>
          <w:rFonts w:ascii="Book Antiqua" w:eastAsia="Book Antiqua" w:hAnsi="Book Antiqua" w:cs="Book Antiqua"/>
          <w:color w:val="000000"/>
        </w:rPr>
        <w:t>).</w:t>
      </w:r>
      <w:r w:rsidR="006C3BC3">
        <w:rPr>
          <w:rFonts w:ascii="Book Antiqua" w:eastAsia="Book Antiqua" w:hAnsi="Book Antiqua" w:cs="Book Antiqua"/>
          <w:color w:val="000000"/>
        </w:rPr>
        <w:t xml:space="preserve"> </w:t>
      </w:r>
      <w:r w:rsidRPr="00C57A36">
        <w:rPr>
          <w:rFonts w:ascii="Book Antiqua" w:eastAsia="Book Antiqua" w:hAnsi="Book Antiqua" w:cs="Book Antiqua"/>
          <w:color w:val="000000"/>
        </w:rPr>
        <w:t>On univariate analysis (Supplementary Table 4), only age ≥ 70 years was associated with increased risk of mortality (HR 2.19, 95%CI</w:t>
      </w:r>
      <w:r w:rsidR="00BC1C77">
        <w:rPr>
          <w:rFonts w:ascii="Book Antiqua" w:eastAsia="Book Antiqua" w:hAnsi="Book Antiqua" w:cs="Book Antiqua"/>
          <w:color w:val="000000"/>
        </w:rPr>
        <w:t>:</w:t>
      </w:r>
      <w:r w:rsidRPr="00C57A36">
        <w:rPr>
          <w:rFonts w:ascii="Book Antiqua" w:eastAsia="Book Antiqua" w:hAnsi="Book Antiqua" w:cs="Book Antiqua"/>
          <w:color w:val="000000"/>
        </w:rPr>
        <w:t xml:space="preserve"> 1.08-4.45, </w:t>
      </w:r>
      <w:r w:rsidRPr="00C57A36">
        <w:rPr>
          <w:rFonts w:ascii="Book Antiqua" w:eastAsia="Book Antiqua" w:hAnsi="Book Antiqua" w:cs="Book Antiqua"/>
          <w:i/>
          <w:iCs/>
          <w:color w:val="000000"/>
        </w:rPr>
        <w:t>P</w:t>
      </w:r>
      <w:r w:rsidRPr="00C57A36">
        <w:rPr>
          <w:rFonts w:ascii="Book Antiqua" w:eastAsia="Book Antiqua" w:hAnsi="Book Antiqua" w:cs="Book Antiqua"/>
          <w:color w:val="000000"/>
        </w:rPr>
        <w:t xml:space="preserve"> = 0.03), whilst only transplantation was associated with reduced mortality (HR 0.19, 95%CI</w:t>
      </w:r>
      <w:r w:rsidR="00186DC0">
        <w:rPr>
          <w:rFonts w:ascii="Book Antiqua" w:eastAsia="Book Antiqua" w:hAnsi="Book Antiqua" w:cs="Book Antiqua"/>
          <w:color w:val="000000"/>
        </w:rPr>
        <w:t>:</w:t>
      </w:r>
      <w:r w:rsidRPr="00C57A36">
        <w:rPr>
          <w:rFonts w:ascii="Book Antiqua" w:eastAsia="Book Antiqua" w:hAnsi="Book Antiqua" w:cs="Book Antiqua"/>
          <w:color w:val="000000"/>
        </w:rPr>
        <w:t xml:space="preserve"> 0.07-0.55, </w:t>
      </w:r>
      <w:r w:rsidR="00E7148E">
        <w:rPr>
          <w:rFonts w:ascii="Book Antiqua" w:eastAsia="Book Antiqua" w:hAnsi="Book Antiqua" w:cs="Book Antiqua"/>
          <w:i/>
          <w:iCs/>
          <w:color w:val="000000"/>
        </w:rPr>
        <w:t>P</w:t>
      </w:r>
      <w:r w:rsidRPr="00C57A36">
        <w:rPr>
          <w:rFonts w:ascii="Book Antiqua" w:eastAsia="Book Antiqua" w:hAnsi="Book Antiqua" w:cs="Book Antiqua"/>
          <w:color w:val="000000"/>
        </w:rPr>
        <w:t xml:space="preserve"> &lt;</w:t>
      </w:r>
      <w:r w:rsidR="00E7148E">
        <w:rPr>
          <w:rFonts w:ascii="Book Antiqua" w:eastAsia="Book Antiqua" w:hAnsi="Book Antiqua" w:cs="Book Antiqua"/>
          <w:color w:val="000000"/>
        </w:rPr>
        <w:t xml:space="preserve"> </w:t>
      </w:r>
      <w:r w:rsidRPr="00C57A36">
        <w:rPr>
          <w:rFonts w:ascii="Book Antiqua" w:eastAsia="Book Antiqua" w:hAnsi="Book Antiqua" w:cs="Book Antiqua"/>
          <w:color w:val="000000"/>
        </w:rPr>
        <w:t>0.01).</w:t>
      </w:r>
      <w:r w:rsidR="006B299B">
        <w:rPr>
          <w:rFonts w:ascii="Book Antiqua" w:eastAsia="Book Antiqua" w:hAnsi="Book Antiqua" w:cs="Book Antiqua"/>
          <w:color w:val="000000"/>
        </w:rPr>
        <w:t xml:space="preserve"> </w:t>
      </w:r>
      <w:r w:rsidRPr="00C57A36">
        <w:rPr>
          <w:rFonts w:ascii="Book Antiqua" w:eastAsia="Book Antiqua" w:hAnsi="Book Antiqua" w:cs="Book Antiqua"/>
          <w:color w:val="000000"/>
        </w:rPr>
        <w:t>On multivariate analysis, only transplantation remained significant with HR 0.20, 95%CI</w:t>
      </w:r>
      <w:r w:rsidR="00E81576">
        <w:rPr>
          <w:rFonts w:ascii="Book Antiqua" w:eastAsia="Book Antiqua" w:hAnsi="Book Antiqua" w:cs="Book Antiqua"/>
          <w:color w:val="000000"/>
        </w:rPr>
        <w:t>:</w:t>
      </w:r>
      <w:r w:rsidRPr="00C57A36">
        <w:rPr>
          <w:rFonts w:ascii="Book Antiqua" w:eastAsia="Book Antiqua" w:hAnsi="Book Antiqua" w:cs="Book Antiqua"/>
          <w:color w:val="000000"/>
        </w:rPr>
        <w:t xml:space="preserve"> 0.07-0.61,</w:t>
      </w:r>
      <w:r w:rsidR="00E81576">
        <w:rPr>
          <w:rFonts w:ascii="Book Antiqua" w:eastAsia="Book Antiqua" w:hAnsi="Book Antiqua" w:cs="Book Antiqua"/>
          <w:color w:val="000000"/>
        </w:rPr>
        <w:t xml:space="preserve"> </w:t>
      </w:r>
      <w:r w:rsidR="00E81576">
        <w:rPr>
          <w:rFonts w:ascii="Book Antiqua" w:eastAsia="Book Antiqua" w:hAnsi="Book Antiqua" w:cs="Book Antiqua"/>
          <w:i/>
          <w:iCs/>
          <w:color w:val="000000"/>
        </w:rPr>
        <w:t>P</w:t>
      </w:r>
      <w:r w:rsidRPr="00C57A36">
        <w:rPr>
          <w:rFonts w:ascii="Book Antiqua" w:eastAsia="Book Antiqua" w:hAnsi="Book Antiqua" w:cs="Book Antiqua"/>
          <w:color w:val="000000"/>
        </w:rPr>
        <w:t xml:space="preserve"> &lt;</w:t>
      </w:r>
      <w:r w:rsidR="00CD23A3">
        <w:rPr>
          <w:rFonts w:ascii="Book Antiqua" w:eastAsia="Book Antiqua" w:hAnsi="Book Antiqua" w:cs="Book Antiqua"/>
          <w:color w:val="000000"/>
        </w:rPr>
        <w:t xml:space="preserve"> </w:t>
      </w:r>
      <w:r w:rsidRPr="00C57A36">
        <w:rPr>
          <w:rFonts w:ascii="Book Antiqua" w:eastAsia="Book Antiqua" w:hAnsi="Book Antiqua" w:cs="Book Antiqua"/>
          <w:color w:val="000000"/>
        </w:rPr>
        <w:t>0.01</w:t>
      </w:r>
      <w:r w:rsidR="00CD23A3">
        <w:rPr>
          <w:rFonts w:ascii="Book Antiqua" w:eastAsia="Book Antiqua" w:hAnsi="Book Antiqua" w:cs="Book Antiqua"/>
          <w:color w:val="000000"/>
        </w:rPr>
        <w:t xml:space="preserve"> </w:t>
      </w:r>
      <w:r w:rsidRPr="00C57A36">
        <w:rPr>
          <w:rFonts w:ascii="Book Antiqua" w:eastAsia="Book Antiqua" w:hAnsi="Book Antiqua" w:cs="Book Antiqua"/>
          <w:color w:val="000000"/>
        </w:rPr>
        <w:t>(Supplementary Table 5).</w:t>
      </w:r>
    </w:p>
    <w:p w14:paraId="17D0CC02" w14:textId="77777777" w:rsidR="00A77B3E" w:rsidRPr="00C57A36" w:rsidRDefault="00A77B3E" w:rsidP="00C57A36">
      <w:pPr>
        <w:spacing w:line="360" w:lineRule="auto"/>
        <w:jc w:val="both"/>
        <w:rPr>
          <w:rFonts w:ascii="Book Antiqua" w:hAnsi="Book Antiqua"/>
        </w:rPr>
      </w:pPr>
    </w:p>
    <w:p w14:paraId="6DA122CC" w14:textId="53A82E24" w:rsidR="00A77B3E" w:rsidRPr="00B60790" w:rsidRDefault="00696095" w:rsidP="00C57A36">
      <w:pPr>
        <w:spacing w:line="360" w:lineRule="auto"/>
        <w:jc w:val="both"/>
        <w:rPr>
          <w:rFonts w:ascii="Book Antiqua" w:hAnsi="Book Antiqua"/>
          <w:b/>
          <w:bCs/>
        </w:rPr>
      </w:pPr>
      <w:r w:rsidRPr="00B60790">
        <w:rPr>
          <w:rFonts w:ascii="Book Antiqua" w:eastAsia="Book Antiqua" w:hAnsi="Book Antiqua" w:cs="Book Antiqua"/>
          <w:b/>
          <w:bCs/>
          <w:color w:val="000000"/>
        </w:rPr>
        <w:t>TFS</w:t>
      </w:r>
      <w:r w:rsidR="00B60790">
        <w:rPr>
          <w:rFonts w:ascii="Book Antiqua" w:eastAsia="Book Antiqua" w:hAnsi="Book Antiqua" w:cs="Book Antiqua"/>
          <w:b/>
          <w:bCs/>
          <w:color w:val="000000"/>
        </w:rPr>
        <w:t>:</w:t>
      </w:r>
      <w:r w:rsidR="00B60790">
        <w:rPr>
          <w:rFonts w:ascii="Book Antiqua" w:hAnsi="Book Antiqua" w:hint="eastAsia"/>
          <w:b/>
          <w:bCs/>
          <w:lang w:eastAsia="zh-CN"/>
        </w:rPr>
        <w:t xml:space="preserve"> </w:t>
      </w:r>
      <w:r w:rsidRPr="00C57A36">
        <w:rPr>
          <w:rFonts w:ascii="Book Antiqua" w:eastAsia="Book Antiqua" w:hAnsi="Book Antiqua" w:cs="Book Antiqua"/>
          <w:color w:val="000000"/>
        </w:rPr>
        <w:t>TFS was 77.1%, 45.4% and 37.8% at 1-, 3 and 5-years, respectively (Table 2, Supplementary Figure 2).</w:t>
      </w:r>
      <w:r w:rsidR="004D2A8B">
        <w:rPr>
          <w:rFonts w:ascii="Book Antiqua" w:eastAsia="Book Antiqua" w:hAnsi="Book Antiqua" w:cs="Book Antiqua"/>
          <w:color w:val="000000"/>
        </w:rPr>
        <w:t xml:space="preserve"> </w:t>
      </w:r>
      <w:r w:rsidRPr="00C57A36">
        <w:rPr>
          <w:rFonts w:ascii="Book Antiqua" w:eastAsia="Book Antiqua" w:hAnsi="Book Antiqua" w:cs="Book Antiqua"/>
          <w:color w:val="000000"/>
        </w:rPr>
        <w:t>TFS was significantly different between the synchronous and sequential groups, with five-year transplant-free survival of 29.7% in the synchronous group and 48.5% in the sequential group (</w:t>
      </w:r>
      <w:r w:rsidRPr="00C57A36">
        <w:rPr>
          <w:rFonts w:ascii="Book Antiqua" w:eastAsia="Book Antiqua" w:hAnsi="Book Antiqua" w:cs="Book Antiqua"/>
          <w:i/>
          <w:iCs/>
          <w:color w:val="000000"/>
        </w:rPr>
        <w:t>P</w:t>
      </w:r>
      <w:r w:rsidRPr="00C57A36">
        <w:rPr>
          <w:rFonts w:ascii="Book Antiqua" w:eastAsia="Book Antiqua" w:hAnsi="Book Antiqua" w:cs="Book Antiqua"/>
          <w:color w:val="000000"/>
        </w:rPr>
        <w:t xml:space="preserve"> = 0.02, Figure </w:t>
      </w:r>
      <w:r w:rsidR="009E0F3C">
        <w:rPr>
          <w:rFonts w:ascii="Book Antiqua" w:eastAsia="Book Antiqua" w:hAnsi="Book Antiqua" w:cs="Book Antiqua"/>
          <w:color w:val="000000"/>
        </w:rPr>
        <w:t>2B</w:t>
      </w:r>
      <w:r w:rsidRPr="00C57A36">
        <w:rPr>
          <w:rFonts w:ascii="Book Antiqua" w:eastAsia="Book Antiqua" w:hAnsi="Book Antiqua" w:cs="Book Antiqua"/>
          <w:color w:val="000000"/>
        </w:rPr>
        <w:t>).</w:t>
      </w:r>
      <w:r w:rsidR="006E60AC">
        <w:rPr>
          <w:rFonts w:ascii="Book Antiqua" w:eastAsia="Book Antiqua" w:hAnsi="Book Antiqua" w:cs="Book Antiqua"/>
          <w:color w:val="000000"/>
        </w:rPr>
        <w:t xml:space="preserve"> </w:t>
      </w:r>
      <w:r w:rsidRPr="00C57A36">
        <w:rPr>
          <w:rFonts w:ascii="Book Antiqua" w:eastAsia="Book Antiqua" w:hAnsi="Book Antiqua" w:cs="Book Antiqua"/>
          <w:color w:val="000000"/>
        </w:rPr>
        <w:t>Univariate analysis identified CTP C status (HR 5.17, 95%CI</w:t>
      </w:r>
      <w:r w:rsidR="00C6414C">
        <w:rPr>
          <w:rFonts w:ascii="Book Antiqua" w:eastAsia="Book Antiqua" w:hAnsi="Book Antiqua" w:cs="Book Antiqua"/>
          <w:color w:val="000000"/>
        </w:rPr>
        <w:t>:</w:t>
      </w:r>
      <w:r w:rsidRPr="00C57A36">
        <w:rPr>
          <w:rFonts w:ascii="Book Antiqua" w:eastAsia="Book Antiqua" w:hAnsi="Book Antiqua" w:cs="Book Antiqua"/>
          <w:color w:val="000000"/>
        </w:rPr>
        <w:t xml:space="preserve"> 2.59-10.29, </w:t>
      </w:r>
      <w:r w:rsidR="006A6035">
        <w:rPr>
          <w:rFonts w:ascii="Book Antiqua" w:eastAsia="Book Antiqua" w:hAnsi="Book Antiqua" w:cs="Book Antiqua"/>
          <w:i/>
          <w:iCs/>
          <w:color w:val="000000"/>
        </w:rPr>
        <w:t>P</w:t>
      </w:r>
      <w:r w:rsidRPr="00C57A36">
        <w:rPr>
          <w:rFonts w:ascii="Book Antiqua" w:eastAsia="Book Antiqua" w:hAnsi="Book Antiqua" w:cs="Book Antiqua"/>
          <w:color w:val="000000"/>
        </w:rPr>
        <w:t xml:space="preserve"> &lt;</w:t>
      </w:r>
      <w:r w:rsidR="006A6035">
        <w:rPr>
          <w:rFonts w:ascii="Book Antiqua" w:eastAsia="Book Antiqua" w:hAnsi="Book Antiqua" w:cs="Book Antiqua"/>
          <w:color w:val="000000"/>
        </w:rPr>
        <w:t xml:space="preserve"> </w:t>
      </w:r>
      <w:r w:rsidRPr="00C57A36">
        <w:rPr>
          <w:rFonts w:ascii="Book Antiqua" w:eastAsia="Book Antiqua" w:hAnsi="Book Antiqua" w:cs="Book Antiqua"/>
          <w:color w:val="000000"/>
        </w:rPr>
        <w:t>0.01) and MELD &gt;</w:t>
      </w:r>
      <w:r w:rsidR="000B2A38">
        <w:rPr>
          <w:rFonts w:ascii="Book Antiqua" w:eastAsia="Book Antiqua" w:hAnsi="Book Antiqua" w:cs="Book Antiqua"/>
          <w:color w:val="000000"/>
        </w:rPr>
        <w:t xml:space="preserve"> </w:t>
      </w:r>
      <w:r w:rsidRPr="00C57A36">
        <w:rPr>
          <w:rFonts w:ascii="Book Antiqua" w:eastAsia="Book Antiqua" w:hAnsi="Book Antiqua" w:cs="Book Antiqua"/>
          <w:color w:val="000000"/>
        </w:rPr>
        <w:t>14 (HR 4.07 95%CI</w:t>
      </w:r>
      <w:r w:rsidR="007D51D2">
        <w:rPr>
          <w:rFonts w:ascii="Book Antiqua" w:eastAsia="Book Antiqua" w:hAnsi="Book Antiqua" w:cs="Book Antiqua"/>
          <w:color w:val="000000"/>
        </w:rPr>
        <w:t>:</w:t>
      </w:r>
      <w:r w:rsidRPr="00C57A36">
        <w:rPr>
          <w:rFonts w:ascii="Book Antiqua" w:eastAsia="Book Antiqua" w:hAnsi="Book Antiqua" w:cs="Book Antiqua"/>
          <w:color w:val="000000"/>
        </w:rPr>
        <w:t xml:space="preserve"> 2.27-7.32, </w:t>
      </w:r>
      <w:r w:rsidR="00534324">
        <w:rPr>
          <w:rFonts w:ascii="Book Antiqua" w:eastAsia="Book Antiqua" w:hAnsi="Book Antiqua" w:cs="Book Antiqua"/>
          <w:i/>
          <w:iCs/>
          <w:color w:val="000000"/>
        </w:rPr>
        <w:t>P</w:t>
      </w:r>
      <w:r w:rsidRPr="00C57A36">
        <w:rPr>
          <w:rFonts w:ascii="Book Antiqua" w:eastAsia="Book Antiqua" w:hAnsi="Book Antiqua" w:cs="Book Antiqua"/>
          <w:color w:val="000000"/>
        </w:rPr>
        <w:t xml:space="preserve"> &lt;</w:t>
      </w:r>
      <w:r w:rsidR="00534324">
        <w:rPr>
          <w:rFonts w:ascii="Book Antiqua" w:eastAsia="Book Antiqua" w:hAnsi="Book Antiqua" w:cs="Book Antiqua"/>
          <w:color w:val="000000"/>
        </w:rPr>
        <w:t xml:space="preserve"> </w:t>
      </w:r>
      <w:r w:rsidRPr="00C57A36">
        <w:rPr>
          <w:rFonts w:ascii="Book Antiqua" w:eastAsia="Book Antiqua" w:hAnsi="Book Antiqua" w:cs="Book Antiqua"/>
          <w:color w:val="000000"/>
        </w:rPr>
        <w:t>0.01) as predictors of mortality (Supplementary Table 6), whilst the sequential tumor</w:t>
      </w:r>
      <w:r w:rsidR="00121293">
        <w:rPr>
          <w:rFonts w:ascii="Book Antiqua" w:eastAsia="Book Antiqua" w:hAnsi="Book Antiqua" w:cs="Book Antiqua"/>
          <w:color w:val="000000"/>
        </w:rPr>
        <w:t xml:space="preserve"> </w:t>
      </w:r>
      <w:r w:rsidRPr="00C57A36">
        <w:rPr>
          <w:rFonts w:ascii="Book Antiqua" w:eastAsia="Book Antiqua" w:hAnsi="Book Antiqua" w:cs="Book Antiqua"/>
          <w:color w:val="000000"/>
        </w:rPr>
        <w:t>was associated with survival (HR 0.53, 95%CI</w:t>
      </w:r>
      <w:r w:rsidR="00502B20">
        <w:rPr>
          <w:rFonts w:ascii="Book Antiqua" w:eastAsia="Book Antiqua" w:hAnsi="Book Antiqua" w:cs="Book Antiqua"/>
          <w:color w:val="000000"/>
        </w:rPr>
        <w:t>:</w:t>
      </w:r>
      <w:r w:rsidRPr="00C57A36">
        <w:rPr>
          <w:rFonts w:ascii="Book Antiqua" w:eastAsia="Book Antiqua" w:hAnsi="Book Antiqua" w:cs="Book Antiqua"/>
          <w:color w:val="000000"/>
        </w:rPr>
        <w:t xml:space="preserve"> 0.31-0.92, </w:t>
      </w:r>
      <w:r w:rsidRPr="00C57A36">
        <w:rPr>
          <w:rFonts w:ascii="Book Antiqua" w:eastAsia="Book Antiqua" w:hAnsi="Book Antiqua" w:cs="Book Antiqua"/>
          <w:i/>
          <w:iCs/>
          <w:color w:val="000000"/>
        </w:rPr>
        <w:t>P</w:t>
      </w:r>
      <w:r w:rsidRPr="00C57A36">
        <w:rPr>
          <w:rFonts w:ascii="Book Antiqua" w:eastAsia="Book Antiqua" w:hAnsi="Book Antiqua" w:cs="Book Antiqua"/>
          <w:color w:val="000000"/>
        </w:rPr>
        <w:t xml:space="preserve"> = 0.03).</w:t>
      </w:r>
      <w:r w:rsidR="00195BB2">
        <w:rPr>
          <w:rFonts w:ascii="Book Antiqua" w:eastAsia="Book Antiqua" w:hAnsi="Book Antiqua" w:cs="Book Antiqua"/>
          <w:color w:val="000000"/>
        </w:rPr>
        <w:t xml:space="preserve"> </w:t>
      </w:r>
      <w:r w:rsidRPr="00C57A36">
        <w:rPr>
          <w:rFonts w:ascii="Book Antiqua" w:eastAsia="Book Antiqua" w:hAnsi="Book Antiqua" w:cs="Book Antiqua"/>
          <w:color w:val="000000"/>
        </w:rPr>
        <w:t>After multivariate analysis (Table 3), the difference between the sequential and synchronous groups did not remain significant (HR 0.70, 95%CI</w:t>
      </w:r>
      <w:r w:rsidR="00A71F9B">
        <w:rPr>
          <w:rFonts w:ascii="Book Antiqua" w:eastAsia="Book Antiqua" w:hAnsi="Book Antiqua" w:cs="Book Antiqua"/>
          <w:color w:val="000000"/>
        </w:rPr>
        <w:t>:</w:t>
      </w:r>
      <w:r w:rsidRPr="00C57A36">
        <w:rPr>
          <w:rFonts w:ascii="Book Antiqua" w:eastAsia="Book Antiqua" w:hAnsi="Book Antiqua" w:cs="Book Antiqua"/>
          <w:color w:val="000000"/>
        </w:rPr>
        <w:t xml:space="preserve"> 0.38</w:t>
      </w:r>
      <w:r w:rsidR="00B56861">
        <w:rPr>
          <w:rFonts w:ascii="Book Antiqua" w:eastAsia="Book Antiqua" w:hAnsi="Book Antiqua" w:cs="Book Antiqua"/>
          <w:color w:val="000000"/>
        </w:rPr>
        <w:t>-</w:t>
      </w:r>
      <w:r w:rsidRPr="00C57A36">
        <w:rPr>
          <w:rFonts w:ascii="Book Antiqua" w:eastAsia="Book Antiqua" w:hAnsi="Book Antiqua" w:cs="Book Antiqua"/>
          <w:color w:val="000000"/>
        </w:rPr>
        <w:t xml:space="preserve">1.27, </w:t>
      </w:r>
      <w:r w:rsidRPr="00C57A36">
        <w:rPr>
          <w:rFonts w:ascii="Book Antiqua" w:eastAsia="Book Antiqua" w:hAnsi="Book Antiqua" w:cs="Book Antiqua"/>
          <w:i/>
          <w:iCs/>
          <w:color w:val="000000"/>
        </w:rPr>
        <w:t>P</w:t>
      </w:r>
      <w:r w:rsidRPr="00C57A36">
        <w:rPr>
          <w:rFonts w:ascii="Book Antiqua" w:eastAsia="Book Antiqua" w:hAnsi="Book Antiqua" w:cs="Book Antiqua"/>
          <w:color w:val="000000"/>
        </w:rPr>
        <w:t xml:space="preserve"> = 0.24) and only MELD &gt;</w:t>
      </w:r>
      <w:r w:rsidR="00581353">
        <w:rPr>
          <w:rFonts w:ascii="Book Antiqua" w:eastAsia="Book Antiqua" w:hAnsi="Book Antiqua" w:cs="Book Antiqua"/>
          <w:color w:val="000000"/>
        </w:rPr>
        <w:t xml:space="preserve"> </w:t>
      </w:r>
      <w:r w:rsidRPr="00C57A36">
        <w:rPr>
          <w:rFonts w:ascii="Book Antiqua" w:eastAsia="Book Antiqua" w:hAnsi="Book Antiqua" w:cs="Book Antiqua"/>
          <w:color w:val="000000"/>
        </w:rPr>
        <w:t>14 remained a significant predictor of death (HR 2.51, 95%CI</w:t>
      </w:r>
      <w:r w:rsidR="00904505">
        <w:rPr>
          <w:rFonts w:ascii="Book Antiqua" w:eastAsia="Book Antiqua" w:hAnsi="Book Antiqua" w:cs="Book Antiqua"/>
          <w:color w:val="000000"/>
        </w:rPr>
        <w:t>:</w:t>
      </w:r>
      <w:r w:rsidRPr="00C57A36">
        <w:rPr>
          <w:rFonts w:ascii="Book Antiqua" w:eastAsia="Book Antiqua" w:hAnsi="Book Antiqua" w:cs="Book Antiqua"/>
          <w:color w:val="000000"/>
        </w:rPr>
        <w:t xml:space="preserve"> 1.15-5.46 </w:t>
      </w:r>
      <w:r w:rsidRPr="00C57A36">
        <w:rPr>
          <w:rFonts w:ascii="Book Antiqua" w:eastAsia="Book Antiqua" w:hAnsi="Book Antiqua" w:cs="Book Antiqua"/>
          <w:i/>
          <w:iCs/>
          <w:color w:val="000000"/>
        </w:rPr>
        <w:t>P</w:t>
      </w:r>
      <w:r w:rsidRPr="00C57A36">
        <w:rPr>
          <w:rFonts w:ascii="Book Antiqua" w:eastAsia="Book Antiqua" w:hAnsi="Book Antiqua" w:cs="Book Antiqua"/>
          <w:color w:val="000000"/>
        </w:rPr>
        <w:t xml:space="preserve"> = 0.02).</w:t>
      </w:r>
    </w:p>
    <w:p w14:paraId="59C0DDC6" w14:textId="77777777" w:rsidR="00A77B3E" w:rsidRPr="00C57A36" w:rsidRDefault="00A77B3E" w:rsidP="00C57A36">
      <w:pPr>
        <w:spacing w:line="360" w:lineRule="auto"/>
        <w:jc w:val="both"/>
        <w:rPr>
          <w:rFonts w:ascii="Book Antiqua" w:hAnsi="Book Antiqua"/>
        </w:rPr>
      </w:pPr>
    </w:p>
    <w:p w14:paraId="0B1BC8C6" w14:textId="04354301" w:rsidR="00A77B3E" w:rsidRPr="008E38D6" w:rsidRDefault="00696095" w:rsidP="00C57A36">
      <w:pPr>
        <w:spacing w:line="360" w:lineRule="auto"/>
        <w:jc w:val="both"/>
        <w:rPr>
          <w:rFonts w:ascii="Book Antiqua" w:hAnsi="Book Antiqua"/>
          <w:b/>
          <w:bCs/>
        </w:rPr>
      </w:pPr>
      <w:r w:rsidRPr="008E38D6">
        <w:rPr>
          <w:rFonts w:ascii="Book Antiqua" w:eastAsia="Book Antiqua" w:hAnsi="Book Antiqua" w:cs="Book Antiqua"/>
          <w:b/>
          <w:bCs/>
          <w:color w:val="000000"/>
        </w:rPr>
        <w:t>Transplanted patients</w:t>
      </w:r>
      <w:r w:rsidR="008E38D6">
        <w:rPr>
          <w:rFonts w:ascii="Book Antiqua" w:hAnsi="Book Antiqua" w:hint="eastAsia"/>
          <w:b/>
          <w:bCs/>
          <w:lang w:eastAsia="zh-CN"/>
        </w:rPr>
        <w:t>:</w:t>
      </w:r>
      <w:r w:rsidR="008E38D6">
        <w:rPr>
          <w:rFonts w:ascii="Book Antiqua" w:hAnsi="Book Antiqua"/>
          <w:b/>
          <w:bCs/>
          <w:lang w:eastAsia="zh-CN"/>
        </w:rPr>
        <w:t xml:space="preserve"> </w:t>
      </w:r>
      <w:r w:rsidR="008E38D6">
        <w:rPr>
          <w:rFonts w:ascii="Book Antiqua" w:eastAsia="Book Antiqua" w:hAnsi="Book Antiqua" w:cs="Book Antiqua"/>
          <w:color w:val="000000"/>
        </w:rPr>
        <w:t>1</w:t>
      </w:r>
      <w:r w:rsidRPr="00C57A36">
        <w:rPr>
          <w:rFonts w:ascii="Book Antiqua" w:eastAsia="Book Antiqua" w:hAnsi="Book Antiqua" w:cs="Book Antiqua"/>
          <w:color w:val="000000"/>
        </w:rPr>
        <w:t xml:space="preserve">-, </w:t>
      </w:r>
      <w:r w:rsidR="008E38D6">
        <w:rPr>
          <w:rFonts w:ascii="Book Antiqua" w:eastAsia="Book Antiqua" w:hAnsi="Book Antiqua" w:cs="Book Antiqua"/>
          <w:color w:val="000000"/>
        </w:rPr>
        <w:t>3</w:t>
      </w:r>
      <w:r w:rsidRPr="00C57A36">
        <w:rPr>
          <w:rFonts w:ascii="Book Antiqua" w:eastAsia="Book Antiqua" w:hAnsi="Book Antiqua" w:cs="Book Antiqua"/>
          <w:color w:val="000000"/>
        </w:rPr>
        <w:t xml:space="preserve">- and </w:t>
      </w:r>
      <w:r w:rsidR="008E38D6">
        <w:rPr>
          <w:rFonts w:ascii="Book Antiqua" w:eastAsia="Book Antiqua" w:hAnsi="Book Antiqua" w:cs="Book Antiqua"/>
          <w:color w:val="000000"/>
        </w:rPr>
        <w:t>5</w:t>
      </w:r>
      <w:r w:rsidRPr="00C57A36">
        <w:rPr>
          <w:rFonts w:ascii="Book Antiqua" w:eastAsia="Book Antiqua" w:hAnsi="Book Antiqua" w:cs="Book Antiqua"/>
          <w:color w:val="000000"/>
        </w:rPr>
        <w:t>-year survival in transplanted patients was 100%, 95.8% and 95.8% (Table 2) with median time to death after transplant 6.42 years (IQR 1.33-6.67 years).</w:t>
      </w:r>
      <w:r w:rsidR="00DA5AF2">
        <w:rPr>
          <w:rFonts w:ascii="Book Antiqua" w:eastAsia="Book Antiqua" w:hAnsi="Book Antiqua" w:cs="Book Antiqua"/>
          <w:color w:val="000000"/>
        </w:rPr>
        <w:t xml:space="preserve"> </w:t>
      </w:r>
      <w:r w:rsidRPr="00C57A36">
        <w:rPr>
          <w:rFonts w:ascii="Book Antiqua" w:eastAsia="Book Antiqua" w:hAnsi="Book Antiqua" w:cs="Book Antiqua"/>
          <w:color w:val="000000"/>
        </w:rPr>
        <w:t xml:space="preserve">Four transplanted patients (16%) died; three from recurrent HCC and the fourth from complications of motor </w:t>
      </w:r>
      <w:proofErr w:type="spellStart"/>
      <w:r w:rsidRPr="00C57A36">
        <w:rPr>
          <w:rFonts w:ascii="Book Antiqua" w:eastAsia="Book Antiqua" w:hAnsi="Book Antiqua" w:cs="Book Antiqua"/>
          <w:color w:val="000000"/>
        </w:rPr>
        <w:t>neurone</w:t>
      </w:r>
      <w:proofErr w:type="spellEnd"/>
      <w:r w:rsidRPr="00C57A36">
        <w:rPr>
          <w:rFonts w:ascii="Book Antiqua" w:eastAsia="Book Antiqua" w:hAnsi="Book Antiqua" w:cs="Book Antiqua"/>
          <w:color w:val="000000"/>
        </w:rPr>
        <w:t xml:space="preserve"> disease.</w:t>
      </w:r>
      <w:r w:rsidR="00B41180">
        <w:rPr>
          <w:rFonts w:ascii="Book Antiqua" w:eastAsia="Book Antiqua" w:hAnsi="Book Antiqua" w:cs="Book Antiqua"/>
          <w:color w:val="000000"/>
        </w:rPr>
        <w:t xml:space="preserve"> </w:t>
      </w:r>
      <w:r w:rsidRPr="00C57A36">
        <w:rPr>
          <w:rFonts w:ascii="Book Antiqua" w:eastAsia="Book Antiqua" w:hAnsi="Book Antiqua" w:cs="Book Antiqua"/>
          <w:color w:val="000000"/>
        </w:rPr>
        <w:t>All three transplanted patients with recurrent HCC had initially presented with synchronous lesions.</w:t>
      </w:r>
    </w:p>
    <w:p w14:paraId="43F1FBB7" w14:textId="77777777" w:rsidR="00A77B3E" w:rsidRPr="00C57A36" w:rsidRDefault="00A77B3E" w:rsidP="00C57A36">
      <w:pPr>
        <w:spacing w:line="360" w:lineRule="auto"/>
        <w:jc w:val="both"/>
        <w:rPr>
          <w:rFonts w:ascii="Book Antiqua" w:hAnsi="Book Antiqua"/>
        </w:rPr>
      </w:pPr>
    </w:p>
    <w:p w14:paraId="355286A1" w14:textId="77777777" w:rsidR="00A77B3E" w:rsidRPr="00D752E1" w:rsidRDefault="00696095" w:rsidP="00C57A36">
      <w:pPr>
        <w:spacing w:line="360" w:lineRule="auto"/>
        <w:jc w:val="both"/>
        <w:rPr>
          <w:rFonts w:ascii="Book Antiqua" w:hAnsi="Book Antiqua"/>
          <w:i/>
          <w:iCs/>
        </w:rPr>
      </w:pPr>
      <w:r w:rsidRPr="00D752E1">
        <w:rPr>
          <w:rFonts w:ascii="Book Antiqua" w:eastAsia="Book Antiqua" w:hAnsi="Book Antiqua" w:cs="Book Antiqua"/>
          <w:b/>
          <w:bCs/>
          <w:i/>
          <w:iCs/>
          <w:color w:val="000000"/>
        </w:rPr>
        <w:t>Disease progression</w:t>
      </w:r>
    </w:p>
    <w:p w14:paraId="3A039E96" w14:textId="1EC5A2AA"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color w:val="000000"/>
        </w:rPr>
        <w:t>Progressive disease in the entire cohort was seen in 71 patients (68%) by five years.</w:t>
      </w:r>
      <w:r w:rsidR="001C5DA6">
        <w:rPr>
          <w:rFonts w:ascii="Book Antiqua" w:eastAsia="Book Antiqua" w:hAnsi="Book Antiqua" w:cs="Book Antiqua"/>
          <w:color w:val="000000"/>
        </w:rPr>
        <w:t xml:space="preserve"> </w:t>
      </w:r>
      <w:r w:rsidRPr="00C57A36">
        <w:rPr>
          <w:rFonts w:ascii="Book Antiqua" w:eastAsia="Book Antiqua" w:hAnsi="Book Antiqua" w:cs="Book Antiqua"/>
          <w:color w:val="000000"/>
        </w:rPr>
        <w:t>Median time to progression was 1.58 years (IQR 1</w:t>
      </w:r>
      <w:r w:rsidR="00A15BA7">
        <w:rPr>
          <w:rFonts w:ascii="Book Antiqua" w:eastAsia="Book Antiqua" w:hAnsi="Book Antiqua" w:cs="Book Antiqua"/>
          <w:color w:val="000000"/>
        </w:rPr>
        <w:t>-</w:t>
      </w:r>
      <w:r w:rsidRPr="00C57A36">
        <w:rPr>
          <w:rFonts w:ascii="Book Antiqua" w:eastAsia="Book Antiqua" w:hAnsi="Book Antiqua" w:cs="Book Antiqua"/>
          <w:color w:val="000000"/>
        </w:rPr>
        <w:t>3).</w:t>
      </w:r>
      <w:r w:rsidR="00BF2973">
        <w:rPr>
          <w:rFonts w:ascii="Book Antiqua" w:eastAsia="Book Antiqua" w:hAnsi="Book Antiqua" w:cs="Book Antiqua"/>
          <w:color w:val="000000"/>
        </w:rPr>
        <w:t xml:space="preserve"> </w:t>
      </w:r>
      <w:r w:rsidRPr="00C57A36">
        <w:rPr>
          <w:rFonts w:ascii="Book Antiqua" w:eastAsia="Book Antiqua" w:hAnsi="Book Antiqua" w:cs="Book Antiqua"/>
          <w:color w:val="000000"/>
        </w:rPr>
        <w:t>Amongst those with disease progression, recurrence with new lesions was the commonest form of progression, occurring in 30 patients (42.2%).</w:t>
      </w:r>
      <w:r w:rsidR="00975CDE">
        <w:rPr>
          <w:rFonts w:ascii="Book Antiqua" w:eastAsia="Book Antiqua" w:hAnsi="Book Antiqua" w:cs="Book Antiqua"/>
          <w:color w:val="000000"/>
        </w:rPr>
        <w:t xml:space="preserve"> </w:t>
      </w:r>
      <w:r w:rsidRPr="00C57A36">
        <w:rPr>
          <w:rFonts w:ascii="Book Antiqua" w:eastAsia="Book Antiqua" w:hAnsi="Book Antiqua" w:cs="Book Antiqua"/>
          <w:color w:val="000000"/>
        </w:rPr>
        <w:t xml:space="preserve">Progression-free survival was not significantly different </w:t>
      </w:r>
      <w:r w:rsidRPr="00C57A36">
        <w:rPr>
          <w:rFonts w:ascii="Book Antiqua" w:eastAsia="Book Antiqua" w:hAnsi="Book Antiqua" w:cs="Book Antiqua"/>
          <w:color w:val="000000"/>
        </w:rPr>
        <w:lastRenderedPageBreak/>
        <w:t>between the synchronous and sequential groups (</w:t>
      </w:r>
      <w:r w:rsidRPr="00C57A36">
        <w:rPr>
          <w:rFonts w:ascii="Book Antiqua" w:eastAsia="Book Antiqua" w:hAnsi="Book Antiqua" w:cs="Book Antiqua"/>
          <w:i/>
          <w:iCs/>
          <w:color w:val="000000"/>
        </w:rPr>
        <w:t>P</w:t>
      </w:r>
      <w:r w:rsidRPr="00C57A36">
        <w:rPr>
          <w:rFonts w:ascii="Book Antiqua" w:eastAsia="Book Antiqua" w:hAnsi="Book Antiqua" w:cs="Book Antiqua"/>
          <w:color w:val="000000"/>
        </w:rPr>
        <w:t xml:space="preserve"> = 0.19).</w:t>
      </w:r>
      <w:r w:rsidR="0080517C">
        <w:rPr>
          <w:rFonts w:ascii="Book Antiqua" w:eastAsia="Book Antiqua" w:hAnsi="Book Antiqua" w:cs="Book Antiqua"/>
          <w:color w:val="000000"/>
        </w:rPr>
        <w:t xml:space="preserve"> </w:t>
      </w:r>
      <w:r w:rsidRPr="00C57A36">
        <w:rPr>
          <w:rFonts w:ascii="Book Antiqua" w:eastAsia="Book Antiqua" w:hAnsi="Book Antiqua" w:cs="Book Antiqua"/>
          <w:color w:val="000000"/>
        </w:rPr>
        <w:t>Subgroup analysis showed that the sequential group had longer progression-free survival without local recurrence (</w:t>
      </w:r>
      <w:r w:rsidR="0069450B">
        <w:rPr>
          <w:rFonts w:ascii="Book Antiqua" w:eastAsia="Book Antiqua" w:hAnsi="Book Antiqua" w:cs="Book Antiqua"/>
          <w:i/>
          <w:iCs/>
          <w:color w:val="000000"/>
        </w:rPr>
        <w:t xml:space="preserve">P </w:t>
      </w:r>
      <w:r w:rsidRPr="00C57A36">
        <w:rPr>
          <w:rFonts w:ascii="Book Antiqua" w:eastAsia="Book Antiqua" w:hAnsi="Book Antiqua" w:cs="Book Antiqua"/>
          <w:color w:val="000000"/>
        </w:rPr>
        <w:t>&lt;</w:t>
      </w:r>
      <w:r w:rsidR="0069450B">
        <w:rPr>
          <w:rFonts w:ascii="Book Antiqua" w:eastAsia="Book Antiqua" w:hAnsi="Book Antiqua" w:cs="Book Antiqua"/>
          <w:color w:val="000000"/>
        </w:rPr>
        <w:t xml:space="preserve"> </w:t>
      </w:r>
      <w:r w:rsidRPr="00C57A36">
        <w:rPr>
          <w:rFonts w:ascii="Book Antiqua" w:eastAsia="Book Antiqua" w:hAnsi="Book Antiqua" w:cs="Book Antiqua"/>
          <w:color w:val="000000"/>
        </w:rPr>
        <w:t>0.01, Supplementary Figure 3) and without new lesions (</w:t>
      </w:r>
      <w:r w:rsidR="00AA66D1">
        <w:rPr>
          <w:rFonts w:ascii="Book Antiqua" w:eastAsia="Book Antiqua" w:hAnsi="Book Antiqua" w:cs="Book Antiqua"/>
          <w:i/>
          <w:iCs/>
          <w:color w:val="000000"/>
        </w:rPr>
        <w:t xml:space="preserve">P </w:t>
      </w:r>
      <w:r w:rsidR="00AA66D1" w:rsidRPr="00C57A36">
        <w:rPr>
          <w:rFonts w:ascii="Book Antiqua" w:eastAsia="Book Antiqua" w:hAnsi="Book Antiqua" w:cs="Book Antiqua"/>
          <w:color w:val="000000"/>
        </w:rPr>
        <w:t>&lt;</w:t>
      </w:r>
      <w:r w:rsidR="00AA66D1">
        <w:rPr>
          <w:rFonts w:ascii="Book Antiqua" w:eastAsia="Book Antiqua" w:hAnsi="Book Antiqua" w:cs="Book Antiqua"/>
          <w:color w:val="000000"/>
        </w:rPr>
        <w:t xml:space="preserve"> </w:t>
      </w:r>
      <w:r w:rsidRPr="00C57A36">
        <w:rPr>
          <w:rFonts w:ascii="Book Antiqua" w:eastAsia="Book Antiqua" w:hAnsi="Book Antiqua" w:cs="Book Antiqua"/>
          <w:color w:val="000000"/>
        </w:rPr>
        <w:t>0.01, Supplementary Figure 4).</w:t>
      </w:r>
      <w:r w:rsidR="002F4955">
        <w:rPr>
          <w:rFonts w:ascii="Book Antiqua" w:eastAsia="Book Antiqua" w:hAnsi="Book Antiqua" w:cs="Book Antiqua"/>
          <w:color w:val="000000"/>
        </w:rPr>
        <w:t xml:space="preserve"> </w:t>
      </w:r>
      <w:r w:rsidRPr="00C57A36">
        <w:rPr>
          <w:rFonts w:ascii="Book Antiqua" w:eastAsia="Book Antiqua" w:hAnsi="Book Antiqua" w:cs="Book Antiqua"/>
          <w:color w:val="000000"/>
        </w:rPr>
        <w:t>No differences were seen in survival without progression, survival without failure of primary treatment or survival without metastatic spread (data not shown).</w:t>
      </w:r>
    </w:p>
    <w:p w14:paraId="37E7C100" w14:textId="77777777" w:rsidR="00A77B3E" w:rsidRPr="00C57A36" w:rsidRDefault="00A77B3E" w:rsidP="00C57A36">
      <w:pPr>
        <w:spacing w:line="360" w:lineRule="auto"/>
        <w:jc w:val="both"/>
        <w:rPr>
          <w:rFonts w:ascii="Book Antiqua" w:hAnsi="Book Antiqua"/>
        </w:rPr>
      </w:pPr>
    </w:p>
    <w:p w14:paraId="50E3F50A" w14:textId="7777777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caps/>
          <w:color w:val="000000"/>
          <w:u w:val="single"/>
        </w:rPr>
        <w:t>DISCUSSION</w:t>
      </w:r>
    </w:p>
    <w:p w14:paraId="543C6AE1" w14:textId="10CD0AEE"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color w:val="000000"/>
        </w:rPr>
        <w:t>This study provides novel data on the clinical outcome of patients who develop two HCC up to 3</w:t>
      </w:r>
      <w:r w:rsidR="00090B21">
        <w:rPr>
          <w:rFonts w:ascii="Book Antiqua" w:eastAsia="Book Antiqua" w:hAnsi="Book Antiqua" w:cs="Book Antiqua"/>
          <w:color w:val="000000"/>
        </w:rPr>
        <w:t xml:space="preserve"> </w:t>
      </w:r>
      <w:r w:rsidRPr="00C57A36">
        <w:rPr>
          <w:rFonts w:ascii="Book Antiqua" w:eastAsia="Book Antiqua" w:hAnsi="Book Antiqua" w:cs="Book Antiqua"/>
          <w:color w:val="000000"/>
        </w:rPr>
        <w:t>cm in diameter and explores the question of whether small HCC behave differently when presenting synchronously compared to sequentially.</w:t>
      </w:r>
      <w:r w:rsidR="005C32A8">
        <w:rPr>
          <w:rFonts w:ascii="Book Antiqua" w:eastAsia="Book Antiqua" w:hAnsi="Book Antiqua" w:cs="Book Antiqua"/>
          <w:color w:val="000000"/>
        </w:rPr>
        <w:t xml:space="preserve"> </w:t>
      </w:r>
      <w:r w:rsidRPr="00C57A36">
        <w:rPr>
          <w:rFonts w:ascii="Book Antiqua" w:eastAsia="Book Antiqua" w:hAnsi="Book Antiqua" w:cs="Book Antiqua"/>
          <w:color w:val="000000"/>
        </w:rPr>
        <w:t>We found that regardless of whether HCC are diagnosed synchronously or sequentially, transplant-free survival is poor, with 5-year transplant free survival being only 37.8%.</w:t>
      </w:r>
      <w:r w:rsidR="0059676C">
        <w:rPr>
          <w:rFonts w:ascii="Book Antiqua" w:eastAsia="Book Antiqua" w:hAnsi="Book Antiqua" w:cs="Book Antiqua"/>
          <w:color w:val="000000"/>
        </w:rPr>
        <w:t xml:space="preserve"> </w:t>
      </w:r>
      <w:r w:rsidRPr="00C57A36">
        <w:rPr>
          <w:rFonts w:ascii="Book Antiqua" w:eastAsia="Book Antiqua" w:hAnsi="Book Antiqua" w:cs="Book Antiqua"/>
          <w:color w:val="000000"/>
        </w:rPr>
        <w:t>This suggests that liver transplantation should be considered earlier amongst the treatment options for patients with two HCC regardless of the timing of the second HCC.</w:t>
      </w:r>
      <w:r w:rsidR="0059676C">
        <w:rPr>
          <w:rFonts w:ascii="Book Antiqua" w:eastAsia="Book Antiqua" w:hAnsi="Book Antiqua" w:cs="Book Antiqua"/>
          <w:color w:val="000000"/>
        </w:rPr>
        <w:t xml:space="preserve"> </w:t>
      </w:r>
      <w:r w:rsidRPr="00C57A36">
        <w:rPr>
          <w:rFonts w:ascii="Book Antiqua" w:eastAsia="Book Antiqua" w:hAnsi="Book Antiqua" w:cs="Book Antiqua"/>
          <w:color w:val="000000"/>
        </w:rPr>
        <w:t>This is supported by the excellent five-year survival of transplanted patients in our cohort of 95.8%.</w:t>
      </w:r>
    </w:p>
    <w:p w14:paraId="3B8680EF" w14:textId="7073DC21" w:rsidR="00A77B3E" w:rsidRPr="00C57A36" w:rsidRDefault="00696095" w:rsidP="006C3ACD">
      <w:pPr>
        <w:spacing w:line="360" w:lineRule="auto"/>
        <w:ind w:firstLineChars="100" w:firstLine="240"/>
        <w:jc w:val="both"/>
        <w:rPr>
          <w:rFonts w:ascii="Book Antiqua" w:hAnsi="Book Antiqua"/>
        </w:rPr>
      </w:pPr>
      <w:r w:rsidRPr="00C57A36">
        <w:rPr>
          <w:rFonts w:ascii="Book Antiqua" w:eastAsia="Book Antiqua" w:hAnsi="Book Antiqua" w:cs="Book Antiqua"/>
          <w:color w:val="000000"/>
        </w:rPr>
        <w:t>Our five-year OS of 62.3% was similar to that reported elsewhere.</w:t>
      </w:r>
      <w:r w:rsidR="00C36C15">
        <w:rPr>
          <w:rFonts w:ascii="Book Antiqua" w:eastAsia="Book Antiqua" w:hAnsi="Book Antiqua" w:cs="Book Antiqua"/>
          <w:color w:val="000000"/>
        </w:rPr>
        <w:t xml:space="preserve"> </w:t>
      </w:r>
      <w:r w:rsidRPr="00C57A36">
        <w:rPr>
          <w:rFonts w:ascii="Book Antiqua" w:eastAsia="Book Antiqua" w:hAnsi="Book Antiqua" w:cs="Book Antiqua"/>
          <w:color w:val="000000"/>
        </w:rPr>
        <w:t xml:space="preserve">A retrospective survival analysis of an international, multi-institution HCC cohort of 814 patients that underwent hepatectomy with curative intent identified a five-year OS of 69% in patients with BCLC stage A </w:t>
      </w:r>
      <w:proofErr w:type="gramStart"/>
      <w:r w:rsidRPr="00C57A36">
        <w:rPr>
          <w:rFonts w:ascii="Book Antiqua" w:eastAsia="Book Antiqua" w:hAnsi="Book Antiqua" w:cs="Book Antiqua"/>
          <w:color w:val="000000"/>
        </w:rPr>
        <w:t>disease</w:t>
      </w:r>
      <w:r w:rsidRPr="00C57A36">
        <w:rPr>
          <w:rFonts w:ascii="Book Antiqua" w:eastAsia="Book Antiqua" w:hAnsi="Book Antiqua" w:cs="Book Antiqua"/>
          <w:color w:val="000000"/>
          <w:vertAlign w:val="superscript"/>
        </w:rPr>
        <w:t>[</w:t>
      </w:r>
      <w:proofErr w:type="gramEnd"/>
      <w:r w:rsidRPr="00C57A36">
        <w:rPr>
          <w:rFonts w:ascii="Book Antiqua" w:eastAsia="Book Antiqua" w:hAnsi="Book Antiqua" w:cs="Book Antiqua"/>
          <w:color w:val="000000"/>
          <w:vertAlign w:val="superscript"/>
        </w:rPr>
        <w:t>17]</w:t>
      </w:r>
      <w:r w:rsidRPr="00C57A36">
        <w:rPr>
          <w:rFonts w:ascii="Book Antiqua" w:eastAsia="Book Antiqua" w:hAnsi="Book Antiqua" w:cs="Book Antiqua"/>
          <w:color w:val="000000"/>
        </w:rPr>
        <w:t>.</w:t>
      </w:r>
      <w:r w:rsidR="0024484E">
        <w:rPr>
          <w:rFonts w:ascii="Book Antiqua" w:eastAsia="Book Antiqua" w:hAnsi="Book Antiqua" w:cs="Book Antiqua"/>
          <w:color w:val="000000"/>
        </w:rPr>
        <w:t xml:space="preserve"> </w:t>
      </w:r>
      <w:r w:rsidRPr="00C57A36">
        <w:rPr>
          <w:rFonts w:ascii="Book Antiqua" w:eastAsia="Book Antiqua" w:hAnsi="Book Antiqua" w:cs="Book Antiqua"/>
          <w:color w:val="000000"/>
        </w:rPr>
        <w:t>Whilst this encompasses patients with two small HCC</w:t>
      </w:r>
      <w:r w:rsidR="00F70F1D">
        <w:rPr>
          <w:rFonts w:ascii="Book Antiqua" w:eastAsia="Book Antiqua" w:hAnsi="Book Antiqua" w:cs="Book Antiqua"/>
          <w:color w:val="000000"/>
        </w:rPr>
        <w:t xml:space="preserve"> </w:t>
      </w:r>
      <w:r w:rsidRPr="00C57A36">
        <w:rPr>
          <w:rFonts w:ascii="Book Antiqua" w:eastAsia="Book Antiqua" w:hAnsi="Book Antiqua" w:cs="Book Antiqua"/>
          <w:color w:val="000000"/>
        </w:rPr>
        <w:t>≤</w:t>
      </w:r>
      <w:r w:rsidR="00F70F1D">
        <w:rPr>
          <w:rFonts w:ascii="Book Antiqua" w:eastAsia="Book Antiqua" w:hAnsi="Book Antiqua" w:cs="Book Antiqua"/>
          <w:color w:val="000000"/>
        </w:rPr>
        <w:t xml:space="preserve"> </w:t>
      </w:r>
      <w:r w:rsidRPr="00C57A36">
        <w:rPr>
          <w:rFonts w:ascii="Book Antiqua" w:eastAsia="Book Antiqua" w:hAnsi="Book Antiqua" w:cs="Book Antiqua"/>
          <w:color w:val="000000"/>
        </w:rPr>
        <w:t>3cm, the target group in our study, their cohort also included patients with single lesions ranging 2-5</w:t>
      </w:r>
      <w:r w:rsidR="004E51C9">
        <w:rPr>
          <w:rFonts w:ascii="Book Antiqua" w:eastAsia="Book Antiqua" w:hAnsi="Book Antiqua" w:cs="Book Antiqua"/>
          <w:color w:val="000000"/>
        </w:rPr>
        <w:t xml:space="preserve"> </w:t>
      </w:r>
      <w:r w:rsidRPr="00C57A36">
        <w:rPr>
          <w:rFonts w:ascii="Book Antiqua" w:eastAsia="Book Antiqua" w:hAnsi="Book Antiqua" w:cs="Book Antiqua"/>
          <w:color w:val="000000"/>
        </w:rPr>
        <w:t xml:space="preserve">cm in size or 3 </w:t>
      </w:r>
      <w:r w:rsidR="00F34765">
        <w:rPr>
          <w:rFonts w:ascii="Book Antiqua" w:eastAsia="Book Antiqua" w:hAnsi="Book Antiqua" w:cs="Book Antiqua"/>
          <w:color w:val="000000"/>
        </w:rPr>
        <w:t>l</w:t>
      </w:r>
      <w:r w:rsidRPr="00C57A36">
        <w:rPr>
          <w:rFonts w:ascii="Book Antiqua" w:eastAsia="Book Antiqua" w:hAnsi="Book Antiqua" w:cs="Book Antiqua"/>
          <w:color w:val="000000"/>
        </w:rPr>
        <w:t>esions ≤</w:t>
      </w:r>
      <w:r w:rsidR="00F34765">
        <w:rPr>
          <w:rFonts w:ascii="Book Antiqua" w:eastAsia="Book Antiqua" w:hAnsi="Book Antiqua" w:cs="Book Antiqua"/>
          <w:color w:val="000000"/>
        </w:rPr>
        <w:t xml:space="preserve"> </w:t>
      </w:r>
      <w:r w:rsidRPr="00C57A36">
        <w:rPr>
          <w:rFonts w:ascii="Book Antiqua" w:eastAsia="Book Antiqua" w:hAnsi="Book Antiqua" w:cs="Book Antiqua"/>
          <w:color w:val="000000"/>
        </w:rPr>
        <w:t>3</w:t>
      </w:r>
      <w:r w:rsidR="00F34765">
        <w:rPr>
          <w:rFonts w:ascii="Book Antiqua" w:eastAsia="Book Antiqua" w:hAnsi="Book Antiqua" w:cs="Book Antiqua"/>
          <w:color w:val="000000"/>
        </w:rPr>
        <w:t xml:space="preserve"> </w:t>
      </w:r>
      <w:r w:rsidRPr="00C57A36">
        <w:rPr>
          <w:rFonts w:ascii="Book Antiqua" w:eastAsia="Book Antiqua" w:hAnsi="Book Antiqua" w:cs="Book Antiqua"/>
          <w:color w:val="000000"/>
        </w:rPr>
        <w:t>cm each and therefore represented a broader range of patients.</w:t>
      </w:r>
      <w:r w:rsidR="0024484E">
        <w:rPr>
          <w:rFonts w:ascii="Book Antiqua" w:eastAsia="Book Antiqua" w:hAnsi="Book Antiqua" w:cs="Book Antiqua"/>
          <w:color w:val="000000"/>
        </w:rPr>
        <w:t xml:space="preserve"> </w:t>
      </w:r>
      <w:r w:rsidRPr="00C57A36">
        <w:rPr>
          <w:rFonts w:ascii="Book Antiqua" w:eastAsia="Book Antiqua" w:hAnsi="Book Antiqua" w:cs="Book Antiqua"/>
          <w:color w:val="000000"/>
        </w:rPr>
        <w:t>Additionally, we included patients that received a heterogeneous array of therapies in contrast to this study that looked only at surgical outcomes.</w:t>
      </w:r>
      <w:r w:rsidR="0024484E">
        <w:rPr>
          <w:rFonts w:ascii="Book Antiqua" w:eastAsia="Book Antiqua" w:hAnsi="Book Antiqua" w:cs="Book Antiqua"/>
          <w:color w:val="000000"/>
        </w:rPr>
        <w:t xml:space="preserve"> </w:t>
      </w:r>
      <w:r w:rsidRPr="00C57A36">
        <w:rPr>
          <w:rFonts w:ascii="Book Antiqua" w:eastAsia="Book Antiqua" w:hAnsi="Book Antiqua" w:cs="Book Antiqua"/>
          <w:color w:val="000000"/>
        </w:rPr>
        <w:t>The authors identified AFP &gt;</w:t>
      </w:r>
      <w:r w:rsidR="00E86C1E">
        <w:rPr>
          <w:rFonts w:ascii="Book Antiqua" w:eastAsia="Book Antiqua" w:hAnsi="Book Antiqua" w:cs="Book Antiqua"/>
          <w:color w:val="000000"/>
        </w:rPr>
        <w:t xml:space="preserve"> </w:t>
      </w:r>
      <w:r w:rsidRPr="00C57A36">
        <w:rPr>
          <w:rFonts w:ascii="Book Antiqua" w:eastAsia="Book Antiqua" w:hAnsi="Book Antiqua" w:cs="Book Antiqua"/>
          <w:color w:val="000000"/>
        </w:rPr>
        <w:t>400</w:t>
      </w:r>
      <w:r w:rsidR="00E86C1E">
        <w:rPr>
          <w:rFonts w:ascii="Book Antiqua" w:eastAsia="Book Antiqua" w:hAnsi="Book Antiqua" w:cs="Book Antiqua"/>
          <w:color w:val="000000"/>
        </w:rPr>
        <w:t xml:space="preserve"> </w:t>
      </w:r>
      <w:r w:rsidRPr="00C57A36">
        <w:rPr>
          <w:rFonts w:ascii="Book Antiqua" w:eastAsia="Book Antiqua" w:hAnsi="Book Antiqua" w:cs="Book Antiqua"/>
          <w:color w:val="000000"/>
        </w:rPr>
        <w:t xml:space="preserve">ng/mL as being associated with poorer survival, in line with data elsewhere on surgical outcomes in low volume </w:t>
      </w:r>
      <w:proofErr w:type="gramStart"/>
      <w:r w:rsidRPr="00C57A36">
        <w:rPr>
          <w:rFonts w:ascii="Book Antiqua" w:eastAsia="Book Antiqua" w:hAnsi="Book Antiqua" w:cs="Book Antiqua"/>
          <w:color w:val="000000"/>
        </w:rPr>
        <w:t>disease</w:t>
      </w:r>
      <w:r w:rsidRPr="00C57A36">
        <w:rPr>
          <w:rFonts w:ascii="Book Antiqua" w:eastAsia="Book Antiqua" w:hAnsi="Book Antiqua" w:cs="Book Antiqua"/>
          <w:color w:val="000000"/>
          <w:vertAlign w:val="superscript"/>
        </w:rPr>
        <w:t>[</w:t>
      </w:r>
      <w:proofErr w:type="gramEnd"/>
      <w:r w:rsidRPr="00C57A36">
        <w:rPr>
          <w:rFonts w:ascii="Book Antiqua" w:eastAsia="Book Antiqua" w:hAnsi="Book Antiqua" w:cs="Book Antiqua"/>
          <w:color w:val="000000"/>
          <w:vertAlign w:val="superscript"/>
        </w:rPr>
        <w:t>18]</w:t>
      </w:r>
      <w:r w:rsidRPr="00C57A36">
        <w:rPr>
          <w:rFonts w:ascii="Book Antiqua" w:eastAsia="Book Antiqua" w:hAnsi="Book Antiqua" w:cs="Book Antiqua"/>
          <w:color w:val="000000"/>
        </w:rPr>
        <w:t xml:space="preserve">, yet our study did not find this association at AFP thresholds of 10 </w:t>
      </w:r>
      <w:proofErr w:type="spellStart"/>
      <w:r w:rsidR="00F12A95">
        <w:rPr>
          <w:rFonts w:ascii="Book Antiqua" w:eastAsia="Book Antiqua" w:hAnsi="Book Antiqua" w:cs="Book Antiqua"/>
          <w:color w:val="000000"/>
        </w:rPr>
        <w:t>μ</w:t>
      </w:r>
      <w:r w:rsidRPr="00C57A36">
        <w:rPr>
          <w:rFonts w:ascii="Book Antiqua" w:eastAsia="Book Antiqua" w:hAnsi="Book Antiqua" w:cs="Book Antiqua"/>
          <w:color w:val="000000"/>
        </w:rPr>
        <w:t>g</w:t>
      </w:r>
      <w:proofErr w:type="spellEnd"/>
      <w:r w:rsidRPr="00C57A36">
        <w:rPr>
          <w:rFonts w:ascii="Book Antiqua" w:eastAsia="Book Antiqua" w:hAnsi="Book Antiqua" w:cs="Book Antiqua"/>
          <w:color w:val="000000"/>
        </w:rPr>
        <w:t xml:space="preserve">/L nor 400 </w:t>
      </w:r>
      <w:proofErr w:type="spellStart"/>
      <w:r w:rsidR="00B3288D">
        <w:rPr>
          <w:rFonts w:ascii="Book Antiqua" w:eastAsia="Book Antiqua" w:hAnsi="Book Antiqua" w:cs="Book Antiqua"/>
          <w:color w:val="000000"/>
        </w:rPr>
        <w:t>μ</w:t>
      </w:r>
      <w:r w:rsidRPr="00C57A36">
        <w:rPr>
          <w:rFonts w:ascii="Book Antiqua" w:eastAsia="Book Antiqua" w:hAnsi="Book Antiqua" w:cs="Book Antiqua"/>
          <w:color w:val="000000"/>
        </w:rPr>
        <w:t>g</w:t>
      </w:r>
      <w:proofErr w:type="spellEnd"/>
      <w:r w:rsidRPr="00C57A36">
        <w:rPr>
          <w:rFonts w:ascii="Book Antiqua" w:eastAsia="Book Antiqua" w:hAnsi="Book Antiqua" w:cs="Book Antiqua"/>
          <w:color w:val="000000"/>
        </w:rPr>
        <w:t>/L (latter data not shown).</w:t>
      </w:r>
      <w:r w:rsidR="0024484E">
        <w:rPr>
          <w:rFonts w:ascii="Book Antiqua" w:eastAsia="Book Antiqua" w:hAnsi="Book Antiqua" w:cs="Book Antiqua"/>
          <w:color w:val="000000"/>
        </w:rPr>
        <w:t xml:space="preserve"> </w:t>
      </w:r>
      <w:r w:rsidRPr="00C57A36">
        <w:rPr>
          <w:rFonts w:ascii="Book Antiqua" w:eastAsia="Book Antiqua" w:hAnsi="Book Antiqua" w:cs="Book Antiqua"/>
          <w:color w:val="000000"/>
        </w:rPr>
        <w:t>Rather, we identified transplantation as the single independent variable that influenced survival.</w:t>
      </w:r>
    </w:p>
    <w:p w14:paraId="3D39184B" w14:textId="46E15F96" w:rsidR="00A77B3E" w:rsidRPr="00C57A36" w:rsidRDefault="00696095" w:rsidP="00016EDB">
      <w:pPr>
        <w:spacing w:line="360" w:lineRule="auto"/>
        <w:ind w:firstLineChars="100" w:firstLine="240"/>
        <w:jc w:val="both"/>
        <w:rPr>
          <w:rFonts w:ascii="Book Antiqua" w:hAnsi="Book Antiqua"/>
        </w:rPr>
      </w:pPr>
      <w:r w:rsidRPr="00C57A36">
        <w:rPr>
          <w:rFonts w:ascii="Book Antiqua" w:eastAsia="Book Antiqua" w:hAnsi="Book Antiqua" w:cs="Book Antiqua"/>
          <w:color w:val="000000"/>
        </w:rPr>
        <w:t>We had excellent outcomes in patients who underwent transplantation for two small HCC, with 5-year survival 95.8%.</w:t>
      </w:r>
      <w:r w:rsidR="0024484E">
        <w:rPr>
          <w:rFonts w:ascii="Book Antiqua" w:eastAsia="Book Antiqua" w:hAnsi="Book Antiqua" w:cs="Book Antiqua"/>
          <w:color w:val="000000"/>
        </w:rPr>
        <w:t xml:space="preserve"> </w:t>
      </w:r>
      <w:r w:rsidRPr="00C57A36">
        <w:rPr>
          <w:rFonts w:ascii="Book Antiqua" w:eastAsia="Book Antiqua" w:hAnsi="Book Antiqua" w:cs="Book Antiqua"/>
          <w:color w:val="000000"/>
        </w:rPr>
        <w:t xml:space="preserve">The reported five year survival for transplantation with </w:t>
      </w:r>
      <w:r w:rsidRPr="00C57A36">
        <w:rPr>
          <w:rFonts w:ascii="Book Antiqua" w:eastAsia="Book Antiqua" w:hAnsi="Book Antiqua" w:cs="Book Antiqua"/>
          <w:color w:val="000000"/>
        </w:rPr>
        <w:lastRenderedPageBreak/>
        <w:t>HCC is in the order of 70</w:t>
      </w:r>
      <w:proofErr w:type="gramStart"/>
      <w:r w:rsidRPr="00C57A36">
        <w:rPr>
          <w:rFonts w:ascii="Book Antiqua" w:eastAsia="Book Antiqua" w:hAnsi="Book Antiqua" w:cs="Book Antiqua"/>
          <w:color w:val="000000"/>
        </w:rPr>
        <w:t>%</w:t>
      </w:r>
      <w:r w:rsidRPr="00C57A36">
        <w:rPr>
          <w:rFonts w:ascii="Book Antiqua" w:eastAsia="Book Antiqua" w:hAnsi="Book Antiqua" w:cs="Book Antiqua"/>
          <w:color w:val="000000"/>
          <w:vertAlign w:val="superscript"/>
        </w:rPr>
        <w:t>[</w:t>
      </w:r>
      <w:proofErr w:type="gramEnd"/>
      <w:r w:rsidRPr="00C57A36">
        <w:rPr>
          <w:rFonts w:ascii="Book Antiqua" w:eastAsia="Book Antiqua" w:hAnsi="Book Antiqua" w:cs="Book Antiqua"/>
          <w:color w:val="000000"/>
          <w:vertAlign w:val="superscript"/>
        </w:rPr>
        <w:t>7]</w:t>
      </w:r>
      <w:r w:rsidRPr="00C57A36">
        <w:rPr>
          <w:rFonts w:ascii="Book Antiqua" w:eastAsia="Book Antiqua" w:hAnsi="Book Antiqua" w:cs="Book Antiqua"/>
          <w:color w:val="000000"/>
        </w:rPr>
        <w:t>.</w:t>
      </w:r>
      <w:r w:rsidR="0024484E">
        <w:rPr>
          <w:rFonts w:ascii="Book Antiqua" w:eastAsia="Book Antiqua" w:hAnsi="Book Antiqua" w:cs="Book Antiqua"/>
          <w:color w:val="000000"/>
        </w:rPr>
        <w:t xml:space="preserve"> </w:t>
      </w:r>
      <w:r w:rsidRPr="00C57A36">
        <w:rPr>
          <w:rFonts w:ascii="Book Antiqua" w:eastAsia="Book Antiqua" w:hAnsi="Book Antiqua" w:cs="Book Antiqua"/>
          <w:color w:val="000000"/>
        </w:rPr>
        <w:t xml:space="preserve">For early HCC, a recent meta-analysis of low volume disease showed post-transplant survival to be 61.26% at 5 </w:t>
      </w:r>
      <w:proofErr w:type="gramStart"/>
      <w:r w:rsidRPr="00C57A36">
        <w:rPr>
          <w:rFonts w:ascii="Book Antiqua" w:eastAsia="Book Antiqua" w:hAnsi="Book Antiqua" w:cs="Book Antiqua"/>
          <w:color w:val="000000"/>
        </w:rPr>
        <w:t>years</w:t>
      </w:r>
      <w:r w:rsidRPr="00C57A36">
        <w:rPr>
          <w:rFonts w:ascii="Book Antiqua" w:eastAsia="Book Antiqua" w:hAnsi="Book Antiqua" w:cs="Book Antiqua"/>
          <w:color w:val="000000"/>
          <w:vertAlign w:val="superscript"/>
        </w:rPr>
        <w:t>[</w:t>
      </w:r>
      <w:proofErr w:type="gramEnd"/>
      <w:r w:rsidRPr="00C57A36">
        <w:rPr>
          <w:rFonts w:ascii="Book Antiqua" w:eastAsia="Book Antiqua" w:hAnsi="Book Antiqua" w:cs="Book Antiqua"/>
          <w:color w:val="000000"/>
          <w:vertAlign w:val="superscript"/>
        </w:rPr>
        <w:t>19]</w:t>
      </w:r>
      <w:r w:rsidRPr="00C57A36">
        <w:rPr>
          <w:rFonts w:ascii="Book Antiqua" w:eastAsia="Book Antiqua" w:hAnsi="Book Antiqua" w:cs="Book Antiqua"/>
          <w:color w:val="000000"/>
        </w:rPr>
        <w:t>.</w:t>
      </w:r>
      <w:r w:rsidR="0024484E">
        <w:rPr>
          <w:rFonts w:ascii="Book Antiqua" w:eastAsia="Book Antiqua" w:hAnsi="Book Antiqua" w:cs="Book Antiqua"/>
          <w:color w:val="000000"/>
        </w:rPr>
        <w:t xml:space="preserve"> </w:t>
      </w:r>
      <w:r w:rsidRPr="00C57A36">
        <w:rPr>
          <w:rFonts w:ascii="Book Antiqua" w:eastAsia="Book Antiqua" w:hAnsi="Book Antiqua" w:cs="Book Antiqua"/>
          <w:color w:val="000000"/>
        </w:rPr>
        <w:t>Our higher post-transplant survival is likely due to the selection criteria for inclusion in this study, with patients only included if they had two small HCC.</w:t>
      </w:r>
      <w:r w:rsidR="0024484E">
        <w:rPr>
          <w:rFonts w:ascii="Book Antiqua" w:eastAsia="Book Antiqua" w:hAnsi="Book Antiqua" w:cs="Book Antiqua"/>
          <w:color w:val="000000"/>
        </w:rPr>
        <w:t xml:space="preserve"> </w:t>
      </w:r>
      <w:r w:rsidRPr="00C57A36">
        <w:rPr>
          <w:rFonts w:ascii="Book Antiqua" w:eastAsia="Book Antiqua" w:hAnsi="Book Antiqua" w:cs="Book Antiqua"/>
          <w:color w:val="000000"/>
        </w:rPr>
        <w:t>Despite excellent survival data, we note that in four deaths amongst transplanted patients, three were from recurrent HCC and all three of these patients had synchronous HCC.</w:t>
      </w:r>
    </w:p>
    <w:p w14:paraId="26D78FE4" w14:textId="302FE9D2" w:rsidR="00A77B3E" w:rsidRPr="00C57A36" w:rsidRDefault="00696095" w:rsidP="00736523">
      <w:pPr>
        <w:spacing w:line="360" w:lineRule="auto"/>
        <w:ind w:firstLineChars="100" w:firstLine="240"/>
        <w:jc w:val="both"/>
        <w:rPr>
          <w:rFonts w:ascii="Book Antiqua" w:hAnsi="Book Antiqua"/>
        </w:rPr>
      </w:pPr>
      <w:r w:rsidRPr="00C57A36">
        <w:rPr>
          <w:rFonts w:ascii="Book Antiqua" w:eastAsia="Book Antiqua" w:hAnsi="Book Antiqua" w:cs="Book Antiqua"/>
          <w:color w:val="000000"/>
        </w:rPr>
        <w:t>The only independent factor impacting TFS in this study was MELD score.</w:t>
      </w:r>
      <w:r w:rsidR="0024484E">
        <w:rPr>
          <w:rFonts w:ascii="Book Antiqua" w:eastAsia="Book Antiqua" w:hAnsi="Book Antiqua" w:cs="Book Antiqua"/>
          <w:color w:val="000000"/>
        </w:rPr>
        <w:t xml:space="preserve"> </w:t>
      </w:r>
      <w:r w:rsidRPr="00C57A36">
        <w:rPr>
          <w:rFonts w:ascii="Book Antiqua" w:eastAsia="Book Antiqua" w:hAnsi="Book Antiqua" w:cs="Book Antiqua"/>
          <w:color w:val="000000"/>
        </w:rPr>
        <w:t xml:space="preserve">This suggests that in patients with two HCC, the severity of liver disease is an important factor in defining outcome, rather than lesion synchronous or sequential presentation, a similar finding to other series that examined the prognostic value of MELD scores in non-transplant HCC </w:t>
      </w:r>
      <w:proofErr w:type="gramStart"/>
      <w:r w:rsidRPr="00C57A36">
        <w:rPr>
          <w:rFonts w:ascii="Book Antiqua" w:eastAsia="Book Antiqua" w:hAnsi="Book Antiqua" w:cs="Book Antiqua"/>
          <w:color w:val="000000"/>
        </w:rPr>
        <w:t>survival</w:t>
      </w:r>
      <w:r w:rsidRPr="00C57A36">
        <w:rPr>
          <w:rFonts w:ascii="Book Antiqua" w:eastAsia="Book Antiqua" w:hAnsi="Book Antiqua" w:cs="Book Antiqua"/>
          <w:color w:val="000000"/>
          <w:vertAlign w:val="superscript"/>
        </w:rPr>
        <w:t>[</w:t>
      </w:r>
      <w:proofErr w:type="gramEnd"/>
      <w:r w:rsidRPr="00C57A36">
        <w:rPr>
          <w:rFonts w:ascii="Book Antiqua" w:eastAsia="Book Antiqua" w:hAnsi="Book Antiqua" w:cs="Book Antiqua"/>
          <w:color w:val="000000"/>
          <w:vertAlign w:val="superscript"/>
        </w:rPr>
        <w:t>20]</w:t>
      </w:r>
      <w:r w:rsidRPr="00C57A36">
        <w:rPr>
          <w:rFonts w:ascii="Book Antiqua" w:eastAsia="Book Antiqua" w:hAnsi="Book Antiqua" w:cs="Book Antiqua"/>
          <w:color w:val="000000"/>
        </w:rPr>
        <w:t>.</w:t>
      </w:r>
      <w:r w:rsidR="0024484E">
        <w:rPr>
          <w:rFonts w:ascii="Book Antiqua" w:eastAsia="Book Antiqua" w:hAnsi="Book Antiqua" w:cs="Book Antiqua"/>
          <w:color w:val="000000"/>
        </w:rPr>
        <w:t xml:space="preserve"> </w:t>
      </w:r>
      <w:r w:rsidRPr="00C57A36">
        <w:rPr>
          <w:rFonts w:ascii="Book Antiqua" w:eastAsia="Book Antiqua" w:hAnsi="Book Antiqua" w:cs="Book Antiqua"/>
          <w:color w:val="000000"/>
        </w:rPr>
        <w:t>It is noteworthy that the non-transplant outcomes in patients with MELD</w:t>
      </w:r>
      <w:r w:rsidR="008A550E">
        <w:rPr>
          <w:rFonts w:ascii="Book Antiqua" w:eastAsia="Book Antiqua" w:hAnsi="Book Antiqua" w:cs="Book Antiqua"/>
          <w:color w:val="000000"/>
        </w:rPr>
        <w:t xml:space="preserve"> </w:t>
      </w:r>
      <w:r w:rsidRPr="00C57A36">
        <w:rPr>
          <w:rFonts w:ascii="Book Antiqua" w:eastAsia="Book Antiqua" w:hAnsi="Book Antiqua" w:cs="Book Antiqua"/>
          <w:color w:val="000000"/>
        </w:rPr>
        <w:t>≤</w:t>
      </w:r>
      <w:r w:rsidR="008A550E">
        <w:rPr>
          <w:rFonts w:ascii="Book Antiqua" w:eastAsia="Book Antiqua" w:hAnsi="Book Antiqua" w:cs="Book Antiqua"/>
          <w:color w:val="000000"/>
        </w:rPr>
        <w:t xml:space="preserve"> </w:t>
      </w:r>
      <w:r w:rsidRPr="00C57A36">
        <w:rPr>
          <w:rFonts w:ascii="Book Antiqua" w:eastAsia="Book Antiqua" w:hAnsi="Book Antiqua" w:cs="Book Antiqua"/>
          <w:color w:val="000000"/>
        </w:rPr>
        <w:t>14 remained poor in our cohort, with five-year survival of only 45.9%.</w:t>
      </w:r>
      <w:r w:rsidR="0024484E">
        <w:rPr>
          <w:rFonts w:ascii="Book Antiqua" w:eastAsia="Book Antiqua" w:hAnsi="Book Antiqua" w:cs="Book Antiqua"/>
          <w:color w:val="000000"/>
        </w:rPr>
        <w:t xml:space="preserve"> </w:t>
      </w:r>
      <w:r w:rsidRPr="00C57A36">
        <w:rPr>
          <w:rFonts w:ascii="Book Antiqua" w:eastAsia="Book Antiqua" w:hAnsi="Book Antiqua" w:cs="Book Antiqua"/>
          <w:color w:val="000000"/>
        </w:rPr>
        <w:t>This indicates that many patients with two small HCC would benefit from consideration of transplantation.</w:t>
      </w:r>
    </w:p>
    <w:p w14:paraId="46DF583F" w14:textId="76D2CB11" w:rsidR="00A77B3E" w:rsidRPr="00C57A36" w:rsidRDefault="00696095" w:rsidP="000B72C4">
      <w:pPr>
        <w:spacing w:line="360" w:lineRule="auto"/>
        <w:ind w:firstLineChars="100" w:firstLine="240"/>
        <w:jc w:val="both"/>
        <w:rPr>
          <w:rFonts w:ascii="Book Antiqua" w:hAnsi="Book Antiqua"/>
        </w:rPr>
      </w:pPr>
      <w:r w:rsidRPr="00C57A36">
        <w:rPr>
          <w:rFonts w:ascii="Book Antiqua" w:eastAsia="Book Antiqua" w:hAnsi="Book Antiqua" w:cs="Book Antiqua"/>
          <w:color w:val="000000"/>
        </w:rPr>
        <w:t xml:space="preserve">Strengths of this study include robust and comprehensive follow-up data, with only 5.8% of patients having less than 6 </w:t>
      </w:r>
      <w:proofErr w:type="spellStart"/>
      <w:r w:rsidRPr="00C57A36">
        <w:rPr>
          <w:rFonts w:ascii="Book Antiqua" w:eastAsia="Book Antiqua" w:hAnsi="Book Antiqua" w:cs="Book Antiqua"/>
          <w:color w:val="000000"/>
        </w:rPr>
        <w:t>mo</w:t>
      </w:r>
      <w:proofErr w:type="spellEnd"/>
      <w:r w:rsidRPr="00C57A36">
        <w:rPr>
          <w:rFonts w:ascii="Book Antiqua" w:eastAsia="Book Antiqua" w:hAnsi="Book Antiqua" w:cs="Book Antiqua"/>
          <w:color w:val="000000"/>
        </w:rPr>
        <w:t xml:space="preserve"> follow-up, and real-world data from four large tertiary centres.</w:t>
      </w:r>
      <w:r w:rsidR="0024484E">
        <w:rPr>
          <w:rFonts w:ascii="Book Antiqua" w:eastAsia="Book Antiqua" w:hAnsi="Book Antiqua" w:cs="Book Antiqua"/>
          <w:color w:val="000000"/>
        </w:rPr>
        <w:t xml:space="preserve"> </w:t>
      </w:r>
      <w:r w:rsidRPr="00C57A36">
        <w:rPr>
          <w:rFonts w:ascii="Book Antiqua" w:eastAsia="Book Antiqua" w:hAnsi="Book Antiqua" w:cs="Book Antiqua"/>
          <w:color w:val="000000"/>
        </w:rPr>
        <w:t>The data in this series was prospectively collected onto HCC databases at treating institutions.</w:t>
      </w:r>
      <w:r w:rsidR="0024484E">
        <w:rPr>
          <w:rFonts w:ascii="Book Antiqua" w:eastAsia="Book Antiqua" w:hAnsi="Book Antiqua" w:cs="Book Antiqua"/>
          <w:color w:val="000000"/>
        </w:rPr>
        <w:t xml:space="preserve"> </w:t>
      </w:r>
      <w:r w:rsidRPr="00C57A36">
        <w:rPr>
          <w:rFonts w:ascii="Book Antiqua" w:eastAsia="Book Antiqua" w:hAnsi="Book Antiqua" w:cs="Book Antiqua"/>
          <w:color w:val="000000"/>
        </w:rPr>
        <w:t>Given that all transplants occur in a single centre, we are confident that all transplant records are complete with accurate data and outcome of transplantation.</w:t>
      </w:r>
      <w:r w:rsidR="0024484E">
        <w:rPr>
          <w:rFonts w:ascii="Book Antiqua" w:eastAsia="Book Antiqua" w:hAnsi="Book Antiqua" w:cs="Book Antiqua"/>
          <w:color w:val="000000"/>
        </w:rPr>
        <w:t xml:space="preserve"> </w:t>
      </w:r>
      <w:r w:rsidRPr="00C57A36">
        <w:rPr>
          <w:rFonts w:ascii="Book Antiqua" w:eastAsia="Book Antiqua" w:hAnsi="Book Antiqua" w:cs="Book Antiqua"/>
          <w:color w:val="000000"/>
        </w:rPr>
        <w:t xml:space="preserve">The primary methodological limitation of this study is that it was not </w:t>
      </w:r>
      <w:r w:rsidR="00987544" w:rsidRPr="00C57A36">
        <w:rPr>
          <w:rFonts w:ascii="Book Antiqua" w:eastAsia="Book Antiqua" w:hAnsi="Book Antiqua" w:cs="Book Antiqua"/>
          <w:color w:val="000000"/>
        </w:rPr>
        <w:t>randomized</w:t>
      </w:r>
      <w:r w:rsidRPr="00C57A36">
        <w:rPr>
          <w:rFonts w:ascii="Book Antiqua" w:eastAsia="Book Antiqua" w:hAnsi="Book Antiqua" w:cs="Book Antiqua"/>
          <w:color w:val="000000"/>
        </w:rPr>
        <w:t>, which can lead to inherent biases in the groups transplanted and not transplanted that may have influenced outcomes.</w:t>
      </w:r>
      <w:r w:rsidR="0024484E">
        <w:rPr>
          <w:rFonts w:ascii="Book Antiqua" w:eastAsia="Book Antiqua" w:hAnsi="Book Antiqua" w:cs="Book Antiqua"/>
          <w:color w:val="000000"/>
        </w:rPr>
        <w:t xml:space="preserve"> </w:t>
      </w:r>
      <w:r w:rsidRPr="00C57A36">
        <w:rPr>
          <w:rFonts w:ascii="Book Antiqua" w:eastAsia="Book Antiqua" w:hAnsi="Book Antiqua" w:cs="Book Antiqua"/>
          <w:color w:val="000000"/>
        </w:rPr>
        <w:t>Some patients who were deemed not appropriate for transplantation may have had other co-factors that influenced survival, such as severe non-liver comorbidities or ongoing substance abuse.</w:t>
      </w:r>
      <w:r w:rsidR="0024484E">
        <w:rPr>
          <w:rFonts w:ascii="Book Antiqua" w:eastAsia="Book Antiqua" w:hAnsi="Book Antiqua" w:cs="Book Antiqua"/>
          <w:color w:val="000000"/>
        </w:rPr>
        <w:t xml:space="preserve"> </w:t>
      </w:r>
      <w:r w:rsidRPr="00C57A36">
        <w:rPr>
          <w:rFonts w:ascii="Book Antiqua" w:eastAsia="Book Antiqua" w:hAnsi="Book Antiqua" w:cs="Book Antiqua"/>
          <w:color w:val="000000"/>
        </w:rPr>
        <w:t>There are also differing treatment algorithms and techniques between institutions involved in our study.</w:t>
      </w:r>
      <w:r w:rsidR="0024484E">
        <w:rPr>
          <w:rFonts w:ascii="Book Antiqua" w:eastAsia="Book Antiqua" w:hAnsi="Book Antiqua" w:cs="Book Antiqua"/>
          <w:color w:val="000000"/>
        </w:rPr>
        <w:t xml:space="preserve"> </w:t>
      </w:r>
      <w:r w:rsidRPr="00C57A36">
        <w:rPr>
          <w:rFonts w:ascii="Book Antiqua" w:eastAsia="Book Antiqua" w:hAnsi="Book Antiqua" w:cs="Book Antiqua"/>
          <w:color w:val="000000"/>
        </w:rPr>
        <w:t xml:space="preserve">The index presentation of a single small HCC tends to be treated by thermal ablative techniques, rather than </w:t>
      </w:r>
      <w:proofErr w:type="spellStart"/>
      <w:r w:rsidRPr="00C57A36">
        <w:rPr>
          <w:rFonts w:ascii="Book Antiqua" w:eastAsia="Book Antiqua" w:hAnsi="Book Antiqua" w:cs="Book Antiqua"/>
          <w:color w:val="000000"/>
        </w:rPr>
        <w:t>transarterial</w:t>
      </w:r>
      <w:proofErr w:type="spellEnd"/>
      <w:r w:rsidRPr="00C57A36">
        <w:rPr>
          <w:rFonts w:ascii="Book Antiqua" w:eastAsia="Book Antiqua" w:hAnsi="Book Antiqua" w:cs="Book Antiqua"/>
          <w:color w:val="000000"/>
        </w:rPr>
        <w:t xml:space="preserve"> chemoembolization, which was the treatment of choice for unresectable synchronous </w:t>
      </w:r>
      <w:proofErr w:type="gramStart"/>
      <w:r w:rsidRPr="00C57A36">
        <w:rPr>
          <w:rFonts w:ascii="Book Antiqua" w:eastAsia="Book Antiqua" w:hAnsi="Book Antiqua" w:cs="Book Antiqua"/>
          <w:color w:val="000000"/>
        </w:rPr>
        <w:t>tumors</w:t>
      </w:r>
      <w:r w:rsidRPr="00C57A36">
        <w:rPr>
          <w:rFonts w:ascii="Book Antiqua" w:eastAsia="Book Antiqua" w:hAnsi="Book Antiqua" w:cs="Book Antiqua"/>
          <w:color w:val="000000"/>
          <w:vertAlign w:val="superscript"/>
        </w:rPr>
        <w:t>[</w:t>
      </w:r>
      <w:proofErr w:type="gramEnd"/>
      <w:r w:rsidRPr="00C57A36">
        <w:rPr>
          <w:rFonts w:ascii="Book Antiqua" w:eastAsia="Book Antiqua" w:hAnsi="Book Antiqua" w:cs="Book Antiqua"/>
          <w:color w:val="000000"/>
          <w:vertAlign w:val="superscript"/>
        </w:rPr>
        <w:t>21]</w:t>
      </w:r>
      <w:r w:rsidRPr="00C57A36">
        <w:rPr>
          <w:rFonts w:ascii="Book Antiqua" w:eastAsia="Book Antiqua" w:hAnsi="Book Antiqua" w:cs="Book Antiqua"/>
          <w:color w:val="000000"/>
        </w:rPr>
        <w:t>.</w:t>
      </w:r>
    </w:p>
    <w:p w14:paraId="730A65CF" w14:textId="508AB021" w:rsidR="00A77B3E" w:rsidRPr="00C57A36" w:rsidRDefault="00696095" w:rsidP="00D06B1C">
      <w:pPr>
        <w:spacing w:line="360" w:lineRule="auto"/>
        <w:ind w:firstLineChars="100" w:firstLine="240"/>
        <w:jc w:val="both"/>
        <w:rPr>
          <w:rFonts w:ascii="Book Antiqua" w:hAnsi="Book Antiqua"/>
        </w:rPr>
      </w:pPr>
      <w:r w:rsidRPr="00C57A36">
        <w:rPr>
          <w:rFonts w:ascii="Book Antiqua" w:eastAsia="Book Antiqua" w:hAnsi="Book Antiqua" w:cs="Book Antiqua"/>
          <w:color w:val="000000"/>
        </w:rPr>
        <w:lastRenderedPageBreak/>
        <w:t>Our study was also limited by being focused on tumor number and size as surrogate markers for tumor biology.</w:t>
      </w:r>
      <w:r w:rsidR="0024484E">
        <w:rPr>
          <w:rFonts w:ascii="Book Antiqua" w:eastAsia="Book Antiqua" w:hAnsi="Book Antiqua" w:cs="Book Antiqua"/>
          <w:color w:val="000000"/>
        </w:rPr>
        <w:t xml:space="preserve"> </w:t>
      </w:r>
      <w:r w:rsidRPr="00C57A36">
        <w:rPr>
          <w:rFonts w:ascii="Book Antiqua" w:eastAsia="Book Antiqua" w:hAnsi="Book Antiqua" w:cs="Book Antiqua"/>
          <w:color w:val="000000"/>
        </w:rPr>
        <w:t xml:space="preserve">We were not able to evaluate the impact of histology on outcomes as the majority of diagnoses were made according to radiological criteria, in line with international </w:t>
      </w:r>
      <w:proofErr w:type="gramStart"/>
      <w:r w:rsidRPr="00C57A36">
        <w:rPr>
          <w:rFonts w:ascii="Book Antiqua" w:eastAsia="Book Antiqua" w:hAnsi="Book Antiqua" w:cs="Book Antiqua"/>
          <w:color w:val="000000"/>
        </w:rPr>
        <w:t>guidelines</w:t>
      </w:r>
      <w:r w:rsidRPr="00C57A36">
        <w:rPr>
          <w:rFonts w:ascii="Book Antiqua" w:eastAsia="Book Antiqua" w:hAnsi="Book Antiqua" w:cs="Book Antiqua"/>
          <w:color w:val="000000"/>
          <w:vertAlign w:val="superscript"/>
        </w:rPr>
        <w:t>[</w:t>
      </w:r>
      <w:proofErr w:type="gramEnd"/>
      <w:r w:rsidRPr="00C57A36">
        <w:rPr>
          <w:rFonts w:ascii="Book Antiqua" w:eastAsia="Book Antiqua" w:hAnsi="Book Antiqua" w:cs="Book Antiqua"/>
          <w:color w:val="000000"/>
          <w:vertAlign w:val="superscript"/>
        </w:rPr>
        <w:t>2,14]</w:t>
      </w:r>
      <w:r w:rsidRPr="00C57A36">
        <w:rPr>
          <w:rFonts w:ascii="Book Antiqua" w:eastAsia="Book Antiqua" w:hAnsi="Book Antiqua" w:cs="Book Antiqua"/>
          <w:color w:val="000000"/>
        </w:rPr>
        <w:t>.</w:t>
      </w:r>
      <w:r w:rsidR="0024484E">
        <w:rPr>
          <w:rFonts w:ascii="Book Antiqua" w:eastAsia="Book Antiqua" w:hAnsi="Book Antiqua" w:cs="Book Antiqua"/>
          <w:color w:val="000000"/>
        </w:rPr>
        <w:t xml:space="preserve"> </w:t>
      </w:r>
      <w:r w:rsidRPr="00C57A36">
        <w:rPr>
          <w:rFonts w:ascii="Book Antiqua" w:eastAsia="Book Antiqua" w:hAnsi="Book Antiqua" w:cs="Book Antiqua"/>
          <w:color w:val="000000"/>
        </w:rPr>
        <w:t xml:space="preserve">As reported previously, transplantation according histological tumor grade leads to improved outcomes beyond selection by Milan criteria </w:t>
      </w:r>
      <w:proofErr w:type="gramStart"/>
      <w:r w:rsidRPr="00C57A36">
        <w:rPr>
          <w:rFonts w:ascii="Book Antiqua" w:eastAsia="Book Antiqua" w:hAnsi="Book Antiqua" w:cs="Book Antiqua"/>
          <w:color w:val="000000"/>
        </w:rPr>
        <w:t>alone</w:t>
      </w:r>
      <w:r w:rsidRPr="00C57A36">
        <w:rPr>
          <w:rFonts w:ascii="Book Antiqua" w:eastAsia="Book Antiqua" w:hAnsi="Book Antiqua" w:cs="Book Antiqua"/>
          <w:color w:val="000000"/>
          <w:vertAlign w:val="superscript"/>
        </w:rPr>
        <w:t>[</w:t>
      </w:r>
      <w:proofErr w:type="gramEnd"/>
      <w:r w:rsidRPr="00C57A36">
        <w:rPr>
          <w:rFonts w:ascii="Book Antiqua" w:eastAsia="Book Antiqua" w:hAnsi="Book Antiqua" w:cs="Book Antiqua"/>
          <w:color w:val="000000"/>
          <w:vertAlign w:val="superscript"/>
        </w:rPr>
        <w:t>22]</w:t>
      </w:r>
      <w:r w:rsidRPr="00C57A36">
        <w:rPr>
          <w:rFonts w:ascii="Book Antiqua" w:eastAsia="Book Antiqua" w:hAnsi="Book Antiqua" w:cs="Book Antiqua"/>
          <w:color w:val="000000"/>
        </w:rPr>
        <w:t>.</w:t>
      </w:r>
      <w:r w:rsidR="0024484E">
        <w:rPr>
          <w:rFonts w:ascii="Book Antiqua" w:eastAsia="Book Antiqua" w:hAnsi="Book Antiqua" w:cs="Book Antiqua"/>
          <w:color w:val="000000"/>
        </w:rPr>
        <w:t xml:space="preserve"> </w:t>
      </w:r>
      <w:r w:rsidRPr="00C57A36">
        <w:rPr>
          <w:rFonts w:ascii="Book Antiqua" w:eastAsia="Book Antiqua" w:hAnsi="Book Antiqua" w:cs="Book Antiqua"/>
          <w:color w:val="000000"/>
        </w:rPr>
        <w:t xml:space="preserve">However, a single-centre series found that pre-transplant liver biopsy did not affect outcomes when selecting patients that are within Milan criteria, as our patients </w:t>
      </w:r>
      <w:proofErr w:type="gramStart"/>
      <w:r w:rsidRPr="00C57A36">
        <w:rPr>
          <w:rFonts w:ascii="Book Antiqua" w:eastAsia="Book Antiqua" w:hAnsi="Book Antiqua" w:cs="Book Antiqua"/>
          <w:color w:val="000000"/>
        </w:rPr>
        <w:t>were</w:t>
      </w:r>
      <w:r w:rsidRPr="00C57A36">
        <w:rPr>
          <w:rFonts w:ascii="Book Antiqua" w:eastAsia="Book Antiqua" w:hAnsi="Book Antiqua" w:cs="Book Antiqua"/>
          <w:color w:val="000000"/>
          <w:vertAlign w:val="superscript"/>
        </w:rPr>
        <w:t>[</w:t>
      </w:r>
      <w:proofErr w:type="gramEnd"/>
      <w:r w:rsidRPr="00C57A36">
        <w:rPr>
          <w:rFonts w:ascii="Book Antiqua" w:eastAsia="Book Antiqua" w:hAnsi="Book Antiqua" w:cs="Book Antiqua"/>
          <w:color w:val="000000"/>
          <w:vertAlign w:val="superscript"/>
        </w:rPr>
        <w:t>23]</w:t>
      </w:r>
      <w:r w:rsidRPr="00C57A36">
        <w:rPr>
          <w:rFonts w:ascii="Book Antiqua" w:eastAsia="Book Antiqua" w:hAnsi="Book Antiqua" w:cs="Book Antiqua"/>
          <w:color w:val="000000"/>
        </w:rPr>
        <w:t>.</w:t>
      </w:r>
      <w:r w:rsidR="0024484E">
        <w:rPr>
          <w:rFonts w:ascii="Book Antiqua" w:eastAsia="Book Antiqua" w:hAnsi="Book Antiqua" w:cs="Book Antiqua"/>
          <w:color w:val="000000"/>
        </w:rPr>
        <w:t xml:space="preserve"> </w:t>
      </w:r>
      <w:r w:rsidRPr="00C57A36">
        <w:rPr>
          <w:rFonts w:ascii="Book Antiqua" w:eastAsia="Book Antiqua" w:hAnsi="Book Antiqua" w:cs="Book Antiqua"/>
          <w:color w:val="000000"/>
        </w:rPr>
        <w:t>Additionally, we recognize that amongst both groups it is not possible to determine which patients experienced intrahepatic metastasis compared to multi-centric hepatocarcinogenesis as both scenarios may lead to presentation with ‘two’ lesions.</w:t>
      </w:r>
      <w:r w:rsidR="0024484E">
        <w:rPr>
          <w:rFonts w:ascii="Book Antiqua" w:eastAsia="Book Antiqua" w:hAnsi="Book Antiqua" w:cs="Book Antiqua"/>
          <w:color w:val="000000"/>
        </w:rPr>
        <w:t xml:space="preserve"> </w:t>
      </w:r>
      <w:r w:rsidRPr="00C57A36">
        <w:rPr>
          <w:rFonts w:ascii="Book Antiqua" w:eastAsia="Book Antiqua" w:hAnsi="Book Antiqua" w:cs="Book Antiqua"/>
          <w:color w:val="000000"/>
        </w:rPr>
        <w:t>However, our study was focused purely on the number of lesions and whether this clinical determinant could guide our multidisciplinary meeting treatment decisions.</w:t>
      </w:r>
    </w:p>
    <w:p w14:paraId="5A900D5D" w14:textId="6CE88500" w:rsidR="00A77B3E" w:rsidRPr="00C57A36" w:rsidRDefault="00696095" w:rsidP="006012E2">
      <w:pPr>
        <w:spacing w:line="360" w:lineRule="auto"/>
        <w:ind w:firstLineChars="100" w:firstLine="240"/>
        <w:jc w:val="both"/>
        <w:rPr>
          <w:rFonts w:ascii="Book Antiqua" w:hAnsi="Book Antiqua"/>
        </w:rPr>
      </w:pPr>
      <w:r w:rsidRPr="00C57A36">
        <w:rPr>
          <w:rFonts w:ascii="Book Antiqua" w:eastAsia="Book Antiqua" w:hAnsi="Book Antiqua" w:cs="Book Antiqua"/>
          <w:color w:val="000000"/>
        </w:rPr>
        <w:t xml:space="preserve">Choice of curative </w:t>
      </w:r>
      <w:r w:rsidRPr="00C57A36">
        <w:rPr>
          <w:rFonts w:ascii="Book Antiqua" w:eastAsia="Book Antiqua" w:hAnsi="Book Antiqua" w:cs="Book Antiqua"/>
          <w:i/>
          <w:iCs/>
          <w:color w:val="000000"/>
        </w:rPr>
        <w:t>vs</w:t>
      </w:r>
      <w:r w:rsidRPr="00C57A36">
        <w:rPr>
          <w:rFonts w:ascii="Book Antiqua" w:eastAsia="Book Antiqua" w:hAnsi="Book Antiqua" w:cs="Book Antiqua"/>
          <w:color w:val="000000"/>
        </w:rPr>
        <w:t xml:space="preserve"> non-curative locoregional therapies may also have affected survival time between the two groups.</w:t>
      </w:r>
      <w:r w:rsidR="0024484E">
        <w:rPr>
          <w:rFonts w:ascii="Book Antiqua" w:eastAsia="Book Antiqua" w:hAnsi="Book Antiqua" w:cs="Book Antiqua"/>
          <w:color w:val="000000"/>
        </w:rPr>
        <w:t xml:space="preserve"> </w:t>
      </w:r>
      <w:r w:rsidRPr="00C57A36">
        <w:rPr>
          <w:rFonts w:ascii="Book Antiqua" w:eastAsia="Book Antiqua" w:hAnsi="Book Antiqua" w:cs="Book Antiqua"/>
          <w:color w:val="000000"/>
        </w:rPr>
        <w:t>The synchronous group had a higher rate of TACE as initial therapy compared to the sequential group, which more frequently received ablative therapies as first line treatment.</w:t>
      </w:r>
      <w:r w:rsidR="0024484E">
        <w:rPr>
          <w:rFonts w:ascii="Book Antiqua" w:eastAsia="Book Antiqua" w:hAnsi="Book Antiqua" w:cs="Book Antiqua"/>
          <w:color w:val="000000"/>
        </w:rPr>
        <w:t xml:space="preserve"> </w:t>
      </w:r>
      <w:r w:rsidRPr="00C57A36">
        <w:rPr>
          <w:rFonts w:ascii="Book Antiqua" w:eastAsia="Book Antiqua" w:hAnsi="Book Antiqua" w:cs="Book Antiqua"/>
          <w:color w:val="000000"/>
        </w:rPr>
        <w:t>This in part may explain the difference seen in TFS between the two groups.</w:t>
      </w:r>
    </w:p>
    <w:p w14:paraId="15074A32" w14:textId="5F5C2A8D" w:rsidR="00A77B3E" w:rsidRPr="00C57A36" w:rsidRDefault="00696095" w:rsidP="00052A9D">
      <w:pPr>
        <w:spacing w:line="360" w:lineRule="auto"/>
        <w:ind w:firstLineChars="100" w:firstLine="240"/>
        <w:jc w:val="both"/>
        <w:rPr>
          <w:rFonts w:ascii="Book Antiqua" w:hAnsi="Book Antiqua"/>
        </w:rPr>
      </w:pPr>
      <w:r w:rsidRPr="00C57A36">
        <w:rPr>
          <w:rFonts w:ascii="Book Antiqua" w:eastAsia="Book Antiqua" w:hAnsi="Book Antiqua" w:cs="Book Antiqua"/>
          <w:color w:val="000000"/>
        </w:rPr>
        <w:t xml:space="preserve">Our data collection period spanned almost two decades and it is </w:t>
      </w:r>
      <w:r w:rsidR="00533F25" w:rsidRPr="00C57A36">
        <w:rPr>
          <w:rFonts w:ascii="Book Antiqua" w:eastAsia="Book Antiqua" w:hAnsi="Book Antiqua" w:cs="Book Antiqua"/>
          <w:color w:val="000000"/>
        </w:rPr>
        <w:t>recognized</w:t>
      </w:r>
      <w:r w:rsidRPr="00C57A36">
        <w:rPr>
          <w:rFonts w:ascii="Book Antiqua" w:eastAsia="Book Antiqua" w:hAnsi="Book Antiqua" w:cs="Book Antiqua"/>
          <w:color w:val="000000"/>
        </w:rPr>
        <w:t xml:space="preserve"> that survival of patients diagnosed at the beginning of the observation period may not be directly comparable to patients diagnosed towards the latter portion.</w:t>
      </w:r>
      <w:r w:rsidR="0024484E">
        <w:rPr>
          <w:rFonts w:ascii="Book Antiqua" w:eastAsia="Book Antiqua" w:hAnsi="Book Antiqua" w:cs="Book Antiqua"/>
          <w:color w:val="000000"/>
        </w:rPr>
        <w:t xml:space="preserve"> </w:t>
      </w:r>
      <w:r w:rsidRPr="00C57A36">
        <w:rPr>
          <w:rFonts w:ascii="Book Antiqua" w:eastAsia="Book Antiqua" w:hAnsi="Book Antiqua" w:cs="Book Antiqua"/>
          <w:color w:val="000000"/>
        </w:rPr>
        <w:t xml:space="preserve">In an analysis of HCC cases from the Australian Cancer Registry, a national database that began in 1982, the median OS of patients doubled from 6.15 </w:t>
      </w:r>
      <w:proofErr w:type="spellStart"/>
      <w:r w:rsidRPr="00C57A36">
        <w:rPr>
          <w:rFonts w:ascii="Book Antiqua" w:eastAsia="Book Antiqua" w:hAnsi="Book Antiqua" w:cs="Book Antiqua"/>
          <w:color w:val="000000"/>
        </w:rPr>
        <w:t>mo</w:t>
      </w:r>
      <w:proofErr w:type="spellEnd"/>
      <w:r w:rsidRPr="00C57A36">
        <w:rPr>
          <w:rFonts w:ascii="Book Antiqua" w:eastAsia="Book Antiqua" w:hAnsi="Book Antiqua" w:cs="Book Antiqua"/>
          <w:color w:val="000000"/>
        </w:rPr>
        <w:t xml:space="preserve"> in those diagnosed between 2000-2004 to 12.07 </w:t>
      </w:r>
      <w:proofErr w:type="spellStart"/>
      <w:r w:rsidRPr="00C57A36">
        <w:rPr>
          <w:rFonts w:ascii="Book Antiqua" w:eastAsia="Book Antiqua" w:hAnsi="Book Antiqua" w:cs="Book Antiqua"/>
          <w:color w:val="000000"/>
        </w:rPr>
        <w:t>mo</w:t>
      </w:r>
      <w:proofErr w:type="spellEnd"/>
      <w:r w:rsidRPr="00C57A36">
        <w:rPr>
          <w:rFonts w:ascii="Book Antiqua" w:eastAsia="Book Antiqua" w:hAnsi="Book Antiqua" w:cs="Book Antiqua"/>
          <w:color w:val="000000"/>
        </w:rPr>
        <w:t xml:space="preserve"> for those diagnosed 2010-2014</w:t>
      </w:r>
      <w:r w:rsidRPr="00C57A36">
        <w:rPr>
          <w:rFonts w:ascii="Book Antiqua" w:eastAsia="Book Antiqua" w:hAnsi="Book Antiqua" w:cs="Book Antiqua"/>
          <w:color w:val="000000"/>
          <w:vertAlign w:val="superscript"/>
        </w:rPr>
        <w:t>[6]</w:t>
      </w:r>
      <w:r w:rsidRPr="00C57A36">
        <w:rPr>
          <w:rFonts w:ascii="Book Antiqua" w:eastAsia="Book Antiqua" w:hAnsi="Book Antiqua" w:cs="Book Antiqua"/>
          <w:color w:val="000000"/>
        </w:rPr>
        <w:t>.</w:t>
      </w:r>
      <w:r w:rsidR="0024484E">
        <w:rPr>
          <w:rFonts w:ascii="Book Antiqua" w:eastAsia="Book Antiqua" w:hAnsi="Book Antiqua" w:cs="Book Antiqua"/>
          <w:color w:val="000000"/>
        </w:rPr>
        <w:t xml:space="preserve"> </w:t>
      </w:r>
      <w:r w:rsidRPr="00C57A36">
        <w:rPr>
          <w:rFonts w:ascii="Book Antiqua" w:eastAsia="Book Antiqua" w:hAnsi="Book Antiqua" w:cs="Book Antiqua"/>
          <w:color w:val="000000"/>
        </w:rPr>
        <w:t>These data represent all patients and due to this heterogeneity, identification of the causes of improved survival are difficult but potentially attributable to better patient selection, earlier detection through HCC screening, widespread adoption of multidisciplinary decision-making, evolving locoregional treatments along with emergence of palliative therapies for advanced disease, such as oral multi tyrosine kinase inhibitors.</w:t>
      </w:r>
    </w:p>
    <w:p w14:paraId="53B62C37" w14:textId="77777777" w:rsidR="00A77B3E" w:rsidRPr="00C57A36" w:rsidRDefault="00A77B3E" w:rsidP="00C57A36">
      <w:pPr>
        <w:spacing w:line="360" w:lineRule="auto"/>
        <w:jc w:val="both"/>
        <w:rPr>
          <w:rFonts w:ascii="Book Antiqua" w:hAnsi="Book Antiqua"/>
        </w:rPr>
      </w:pPr>
    </w:p>
    <w:p w14:paraId="0ECB21D6" w14:textId="7777777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caps/>
          <w:color w:val="000000"/>
          <w:u w:val="single"/>
        </w:rPr>
        <w:lastRenderedPageBreak/>
        <w:t>CONCLUSION</w:t>
      </w:r>
    </w:p>
    <w:p w14:paraId="21DDB8C7" w14:textId="3807E59C"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color w:val="000000"/>
        </w:rPr>
        <w:t xml:space="preserve">In conclusion we report for the </w:t>
      </w:r>
      <w:r w:rsidR="00D64F04" w:rsidRPr="00C57A36">
        <w:rPr>
          <w:rFonts w:ascii="Book Antiqua" w:eastAsia="Book Antiqua" w:hAnsi="Book Antiqua" w:cs="Book Antiqua"/>
          <w:color w:val="000000"/>
        </w:rPr>
        <w:t>first-time</w:t>
      </w:r>
      <w:r w:rsidRPr="00C57A36">
        <w:rPr>
          <w:rFonts w:ascii="Book Antiqua" w:eastAsia="Book Antiqua" w:hAnsi="Book Antiqua" w:cs="Book Antiqua"/>
          <w:color w:val="000000"/>
        </w:rPr>
        <w:t xml:space="preserve"> data specifically pertaining to patients presenting with two small HCC 3</w:t>
      </w:r>
      <w:r w:rsidR="00550B07">
        <w:rPr>
          <w:rFonts w:ascii="Book Antiqua" w:eastAsia="Book Antiqua" w:hAnsi="Book Antiqua" w:cs="Book Antiqua"/>
          <w:color w:val="000000"/>
        </w:rPr>
        <w:t xml:space="preserve"> </w:t>
      </w:r>
      <w:r w:rsidRPr="00C57A36">
        <w:rPr>
          <w:rFonts w:ascii="Book Antiqua" w:eastAsia="Book Antiqua" w:hAnsi="Book Antiqua" w:cs="Book Antiqua"/>
          <w:color w:val="000000"/>
        </w:rPr>
        <w:t>cm in size or smaller.</w:t>
      </w:r>
      <w:r w:rsidR="0024484E">
        <w:rPr>
          <w:rFonts w:ascii="Book Antiqua" w:eastAsia="Book Antiqua" w:hAnsi="Book Antiqua" w:cs="Book Antiqua"/>
          <w:color w:val="000000"/>
        </w:rPr>
        <w:t xml:space="preserve"> </w:t>
      </w:r>
      <w:r w:rsidRPr="00C57A36">
        <w:rPr>
          <w:rFonts w:ascii="Book Antiqua" w:eastAsia="Book Antiqua" w:hAnsi="Book Antiqua" w:cs="Book Antiqua"/>
          <w:color w:val="000000"/>
        </w:rPr>
        <w:t>Our results demonstrate that the non-transplant survival of patients presenting with two small HCC is poor. Survival was similarly poor in patients presenting with two synchronous HCC as compared to sequential HCC.</w:t>
      </w:r>
      <w:r w:rsidR="0024484E">
        <w:rPr>
          <w:rFonts w:ascii="Book Antiqua" w:eastAsia="Book Antiqua" w:hAnsi="Book Antiqua" w:cs="Book Antiqua"/>
          <w:color w:val="000000"/>
        </w:rPr>
        <w:t xml:space="preserve"> </w:t>
      </w:r>
      <w:r w:rsidRPr="00C57A36">
        <w:rPr>
          <w:rFonts w:ascii="Book Antiqua" w:eastAsia="Book Antiqua" w:hAnsi="Book Antiqua" w:cs="Book Antiqua"/>
          <w:color w:val="000000"/>
        </w:rPr>
        <w:t>We therefore recommend that patients that develop a second small HCC after their first should be considered for early liver transplantation. Further larger-scale studies are required to validate these results in other populations and determine broader implications for liver transplantation waitlist management.</w:t>
      </w:r>
    </w:p>
    <w:p w14:paraId="5206804F" w14:textId="77777777" w:rsidR="00A77B3E" w:rsidRPr="00C57A36" w:rsidRDefault="00A77B3E" w:rsidP="00C57A36">
      <w:pPr>
        <w:spacing w:line="360" w:lineRule="auto"/>
        <w:jc w:val="both"/>
        <w:rPr>
          <w:rFonts w:ascii="Book Antiqua" w:hAnsi="Book Antiqua"/>
        </w:rPr>
      </w:pPr>
    </w:p>
    <w:p w14:paraId="5E75449E" w14:textId="7777777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caps/>
          <w:color w:val="000000"/>
          <w:u w:val="single"/>
        </w:rPr>
        <w:t>ARTICLE HIGHLIGHTS</w:t>
      </w:r>
    </w:p>
    <w:p w14:paraId="53D64D25" w14:textId="7777777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i/>
          <w:color w:val="000000"/>
        </w:rPr>
        <w:t>Research background</w:t>
      </w:r>
    </w:p>
    <w:p w14:paraId="5F5A65EC" w14:textId="66628E49"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color w:val="000000"/>
        </w:rPr>
        <w:t>Hepatocellular carcinoma (HCC) is one of the most common malignancies world-wide, and is a growing cause for cancer-related mortality globally. Curative therapies include ablation for small tumors, surgical resection, and liver transplantation.</w:t>
      </w:r>
    </w:p>
    <w:p w14:paraId="2A04F4A3" w14:textId="77777777" w:rsidR="00A77B3E" w:rsidRPr="00C57A36" w:rsidRDefault="00A77B3E" w:rsidP="00C57A36">
      <w:pPr>
        <w:spacing w:line="360" w:lineRule="auto"/>
        <w:jc w:val="both"/>
        <w:rPr>
          <w:rFonts w:ascii="Book Antiqua" w:hAnsi="Book Antiqua"/>
        </w:rPr>
      </w:pPr>
    </w:p>
    <w:p w14:paraId="1B29EC41" w14:textId="7777777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i/>
          <w:color w:val="000000"/>
        </w:rPr>
        <w:t>Research motivation</w:t>
      </w:r>
    </w:p>
    <w:p w14:paraId="325947B1" w14:textId="77F5550F"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color w:val="000000"/>
        </w:rPr>
        <w:t>At present, there is clear evidence underpinning the guidelines for management of small tumors (≤</w:t>
      </w:r>
      <w:r w:rsidR="00AB5E45">
        <w:rPr>
          <w:rFonts w:ascii="Book Antiqua" w:eastAsia="Book Antiqua" w:hAnsi="Book Antiqua" w:cs="Book Antiqua"/>
          <w:color w:val="000000"/>
        </w:rPr>
        <w:t xml:space="preserve"> </w:t>
      </w:r>
      <w:r w:rsidRPr="00C57A36">
        <w:rPr>
          <w:rFonts w:ascii="Book Antiqua" w:eastAsia="Book Antiqua" w:hAnsi="Book Antiqua" w:cs="Book Antiqua"/>
          <w:color w:val="000000"/>
        </w:rPr>
        <w:t>3</w:t>
      </w:r>
      <w:r w:rsidR="00AB5E45">
        <w:rPr>
          <w:rFonts w:ascii="Book Antiqua" w:eastAsia="Book Antiqua" w:hAnsi="Book Antiqua" w:cs="Book Antiqua"/>
          <w:color w:val="000000"/>
        </w:rPr>
        <w:t xml:space="preserve"> </w:t>
      </w:r>
      <w:r w:rsidRPr="00C57A36">
        <w:rPr>
          <w:rFonts w:ascii="Book Antiqua" w:eastAsia="Book Antiqua" w:hAnsi="Book Antiqua" w:cs="Book Antiqua"/>
          <w:color w:val="000000"/>
        </w:rPr>
        <w:t>cm in maximal diameter) and three small tumors (</w:t>
      </w:r>
      <w:r w:rsidRPr="00952B3B">
        <w:rPr>
          <w:rFonts w:ascii="Book Antiqua" w:eastAsia="Book Antiqua" w:hAnsi="Book Antiqua" w:cs="Book Antiqua"/>
          <w:i/>
          <w:iCs/>
          <w:color w:val="000000"/>
        </w:rPr>
        <w:t>i</w:t>
      </w:r>
      <w:r w:rsidR="00952B3B" w:rsidRPr="00952B3B">
        <w:rPr>
          <w:rFonts w:ascii="Book Antiqua" w:eastAsia="Book Antiqua" w:hAnsi="Book Antiqua" w:cs="Book Antiqua"/>
          <w:i/>
          <w:iCs/>
          <w:color w:val="000000"/>
        </w:rPr>
        <w:t>.</w:t>
      </w:r>
      <w:r w:rsidRPr="00952B3B">
        <w:rPr>
          <w:rFonts w:ascii="Book Antiqua" w:eastAsia="Book Antiqua" w:hAnsi="Book Antiqua" w:cs="Book Antiqua"/>
          <w:i/>
          <w:iCs/>
          <w:color w:val="000000"/>
        </w:rPr>
        <w:t>e.</w:t>
      </w:r>
      <w:r w:rsidR="00952B3B">
        <w:rPr>
          <w:rFonts w:ascii="Book Antiqua" w:eastAsia="Book Antiqua" w:hAnsi="Book Antiqua" w:cs="Book Antiqua"/>
          <w:color w:val="000000"/>
        </w:rPr>
        <w:t>,</w:t>
      </w:r>
      <w:r w:rsidRPr="00C57A36">
        <w:rPr>
          <w:rFonts w:ascii="Book Antiqua" w:eastAsia="Book Antiqua" w:hAnsi="Book Antiqua" w:cs="Book Antiqua"/>
          <w:color w:val="000000"/>
        </w:rPr>
        <w:t xml:space="preserve"> all</w:t>
      </w:r>
      <w:r w:rsidR="00960D37">
        <w:rPr>
          <w:rFonts w:ascii="Book Antiqua" w:eastAsia="Book Antiqua" w:hAnsi="Book Antiqua" w:cs="Book Antiqua"/>
          <w:color w:val="000000"/>
        </w:rPr>
        <w:t xml:space="preserve"> </w:t>
      </w:r>
      <w:r w:rsidRPr="00C57A36">
        <w:rPr>
          <w:rFonts w:ascii="Book Antiqua" w:eastAsia="Book Antiqua" w:hAnsi="Book Antiqua" w:cs="Book Antiqua"/>
          <w:color w:val="000000"/>
        </w:rPr>
        <w:t>≤</w:t>
      </w:r>
      <w:r w:rsidR="00960D37">
        <w:rPr>
          <w:rFonts w:ascii="Book Antiqua" w:eastAsia="Book Antiqua" w:hAnsi="Book Antiqua" w:cs="Book Antiqua"/>
          <w:color w:val="000000"/>
        </w:rPr>
        <w:t xml:space="preserve"> </w:t>
      </w:r>
      <w:r w:rsidRPr="00C57A36">
        <w:rPr>
          <w:rFonts w:ascii="Book Antiqua" w:eastAsia="Book Antiqua" w:hAnsi="Book Antiqua" w:cs="Book Antiqua"/>
          <w:color w:val="000000"/>
        </w:rPr>
        <w:t>3</w:t>
      </w:r>
      <w:r w:rsidR="00960D37">
        <w:rPr>
          <w:rFonts w:ascii="Book Antiqua" w:eastAsia="Book Antiqua" w:hAnsi="Book Antiqua" w:cs="Book Antiqua"/>
          <w:color w:val="000000"/>
        </w:rPr>
        <w:t xml:space="preserve"> </w:t>
      </w:r>
      <w:r w:rsidRPr="00C57A36">
        <w:rPr>
          <w:rFonts w:ascii="Book Antiqua" w:eastAsia="Book Antiqua" w:hAnsi="Book Antiqua" w:cs="Book Antiqua"/>
          <w:color w:val="000000"/>
        </w:rPr>
        <w:t>cm), however a scarcity of literature surrounding the optimal management of two small tumors. In addition, it is unclear if synchronous (</w:t>
      </w:r>
      <w:r w:rsidR="00CA0870" w:rsidRPr="00952B3B">
        <w:rPr>
          <w:rFonts w:ascii="Book Antiqua" w:eastAsia="Book Antiqua" w:hAnsi="Book Antiqua" w:cs="Book Antiqua"/>
          <w:i/>
          <w:iCs/>
          <w:color w:val="000000"/>
        </w:rPr>
        <w:t>i.e.</w:t>
      </w:r>
      <w:r w:rsidR="00CA0870">
        <w:rPr>
          <w:rFonts w:ascii="Book Antiqua" w:eastAsia="Book Antiqua" w:hAnsi="Book Antiqua" w:cs="Book Antiqua"/>
          <w:color w:val="000000"/>
        </w:rPr>
        <w:t>,</w:t>
      </w:r>
      <w:r w:rsidRPr="00C57A36">
        <w:rPr>
          <w:rFonts w:ascii="Book Antiqua" w:eastAsia="Book Antiqua" w:hAnsi="Book Antiqua" w:cs="Book Antiqua"/>
          <w:color w:val="000000"/>
        </w:rPr>
        <w:t xml:space="preserve"> occurring at the same time) and sequential (</w:t>
      </w:r>
      <w:r w:rsidR="00CA0870" w:rsidRPr="00952B3B">
        <w:rPr>
          <w:rFonts w:ascii="Book Antiqua" w:eastAsia="Book Antiqua" w:hAnsi="Book Antiqua" w:cs="Book Antiqua"/>
          <w:i/>
          <w:iCs/>
          <w:color w:val="000000"/>
        </w:rPr>
        <w:t>i.e.</w:t>
      </w:r>
      <w:r w:rsidR="00CA0870">
        <w:rPr>
          <w:rFonts w:ascii="Book Antiqua" w:eastAsia="Book Antiqua" w:hAnsi="Book Antiqua" w:cs="Book Antiqua"/>
          <w:color w:val="000000"/>
        </w:rPr>
        <w:t>,</w:t>
      </w:r>
      <w:r w:rsidRPr="00C57A36">
        <w:rPr>
          <w:rFonts w:ascii="Book Antiqua" w:eastAsia="Book Antiqua" w:hAnsi="Book Antiqua" w:cs="Book Antiqua"/>
          <w:color w:val="000000"/>
        </w:rPr>
        <w:t xml:space="preserve"> occurring at different points in time) tumors have differing prognoses.</w:t>
      </w:r>
    </w:p>
    <w:p w14:paraId="26200F1E" w14:textId="77777777" w:rsidR="00A77B3E" w:rsidRPr="00C57A36" w:rsidRDefault="00A77B3E" w:rsidP="00C57A36">
      <w:pPr>
        <w:spacing w:line="360" w:lineRule="auto"/>
        <w:jc w:val="both"/>
        <w:rPr>
          <w:rFonts w:ascii="Book Antiqua" w:hAnsi="Book Antiqua"/>
        </w:rPr>
      </w:pPr>
    </w:p>
    <w:p w14:paraId="36F0C61E" w14:textId="7777777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i/>
          <w:color w:val="000000"/>
        </w:rPr>
        <w:t>Research objectives</w:t>
      </w:r>
    </w:p>
    <w:p w14:paraId="4DED4D08" w14:textId="5084FC9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color w:val="000000"/>
        </w:rPr>
        <w:t>This study aimed to assess the outcome of two small tumors (</w:t>
      </w:r>
      <w:r w:rsidR="00D06681" w:rsidRPr="00952B3B">
        <w:rPr>
          <w:rFonts w:ascii="Book Antiqua" w:eastAsia="Book Antiqua" w:hAnsi="Book Antiqua" w:cs="Book Antiqua"/>
          <w:i/>
          <w:iCs/>
          <w:color w:val="000000"/>
        </w:rPr>
        <w:t>i.e.</w:t>
      </w:r>
      <w:r w:rsidR="00D06681">
        <w:rPr>
          <w:rFonts w:ascii="Book Antiqua" w:eastAsia="Book Antiqua" w:hAnsi="Book Antiqua" w:cs="Book Antiqua"/>
          <w:color w:val="000000"/>
        </w:rPr>
        <w:t xml:space="preserve">, </w:t>
      </w:r>
      <w:r w:rsidRPr="00C57A36">
        <w:rPr>
          <w:rFonts w:ascii="Book Antiqua" w:eastAsia="Book Antiqua" w:hAnsi="Book Antiqua" w:cs="Book Antiqua"/>
          <w:color w:val="000000"/>
        </w:rPr>
        <w:t>≤</w:t>
      </w:r>
      <w:r w:rsidR="000F5655">
        <w:rPr>
          <w:rFonts w:ascii="Book Antiqua" w:eastAsia="Book Antiqua" w:hAnsi="Book Antiqua" w:cs="Book Antiqua"/>
          <w:color w:val="000000"/>
        </w:rPr>
        <w:t xml:space="preserve"> </w:t>
      </w:r>
      <w:r w:rsidRPr="00C57A36">
        <w:rPr>
          <w:rFonts w:ascii="Book Antiqua" w:eastAsia="Book Antiqua" w:hAnsi="Book Antiqua" w:cs="Book Antiqua"/>
          <w:color w:val="000000"/>
        </w:rPr>
        <w:t>3</w:t>
      </w:r>
      <w:r w:rsidR="000F5655">
        <w:rPr>
          <w:rFonts w:ascii="Book Antiqua" w:eastAsia="Book Antiqua" w:hAnsi="Book Antiqua" w:cs="Book Antiqua"/>
          <w:color w:val="000000"/>
        </w:rPr>
        <w:t xml:space="preserve"> </w:t>
      </w:r>
      <w:r w:rsidRPr="00C57A36">
        <w:rPr>
          <w:rFonts w:ascii="Book Antiqua" w:eastAsia="Book Antiqua" w:hAnsi="Book Antiqua" w:cs="Book Antiqua"/>
          <w:color w:val="000000"/>
        </w:rPr>
        <w:t>cm in maximal diameter), and whether there was a difference in prognosis between those occurring synchronously and sequentially. This is to help guide future guidelines for management of two small HCCs.</w:t>
      </w:r>
    </w:p>
    <w:p w14:paraId="23B10778" w14:textId="77777777" w:rsidR="00A77B3E" w:rsidRPr="00C57A36" w:rsidRDefault="00A77B3E" w:rsidP="00C57A36">
      <w:pPr>
        <w:spacing w:line="360" w:lineRule="auto"/>
        <w:jc w:val="both"/>
        <w:rPr>
          <w:rFonts w:ascii="Book Antiqua" w:hAnsi="Book Antiqua"/>
        </w:rPr>
      </w:pPr>
    </w:p>
    <w:p w14:paraId="59785F15" w14:textId="7777777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i/>
          <w:color w:val="000000"/>
        </w:rPr>
        <w:lastRenderedPageBreak/>
        <w:t>Research methods</w:t>
      </w:r>
    </w:p>
    <w:p w14:paraId="79E49652" w14:textId="524E4F03"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color w:val="000000"/>
        </w:rPr>
        <w:t xml:space="preserve">This was a retrospective </w:t>
      </w:r>
      <w:r w:rsidR="004E6DDB" w:rsidRPr="00C57A36">
        <w:rPr>
          <w:rFonts w:ascii="Book Antiqua" w:eastAsia="Book Antiqua" w:hAnsi="Book Antiqua" w:cs="Book Antiqua"/>
          <w:color w:val="000000"/>
        </w:rPr>
        <w:t>multicenter</w:t>
      </w:r>
      <w:r w:rsidRPr="00C57A36">
        <w:rPr>
          <w:rFonts w:ascii="Book Antiqua" w:eastAsia="Book Antiqua" w:hAnsi="Book Antiqua" w:cs="Book Antiqua"/>
          <w:color w:val="000000"/>
        </w:rPr>
        <w:t xml:space="preserve"> study conducted in Victoria, Australia, including all patients diagnosed with two small HCCs be</w:t>
      </w:r>
      <w:r w:rsidRPr="00F956D2">
        <w:rPr>
          <w:rFonts w:ascii="Book Antiqua" w:eastAsia="Book Antiqua" w:hAnsi="Book Antiqua" w:cs="Book Antiqua"/>
          <w:color w:val="000000"/>
        </w:rPr>
        <w:t>tween 1</w:t>
      </w:r>
      <w:r w:rsidRPr="00F956D2">
        <w:rPr>
          <w:rFonts w:ascii="Book Antiqua" w:eastAsia="Book Antiqua" w:hAnsi="Book Antiqua" w:cs="Book Antiqua"/>
          <w:color w:val="000000"/>
          <w:vertAlign w:val="superscript"/>
        </w:rPr>
        <w:t>st</w:t>
      </w:r>
      <w:r w:rsidR="0085524D" w:rsidRPr="00F956D2">
        <w:rPr>
          <w:rFonts w:ascii="Book Antiqua" w:eastAsia="Book Antiqua" w:hAnsi="Book Antiqua" w:cs="Book Antiqua"/>
          <w:color w:val="000000"/>
        </w:rPr>
        <w:t xml:space="preserve"> </w:t>
      </w:r>
      <w:r w:rsidRPr="00F956D2">
        <w:rPr>
          <w:rFonts w:ascii="Book Antiqua" w:eastAsia="Book Antiqua" w:hAnsi="Book Antiqua" w:cs="Book Antiqua"/>
          <w:color w:val="000000"/>
        </w:rPr>
        <w:t>January 2000 and 31</w:t>
      </w:r>
      <w:r w:rsidRPr="00F956D2">
        <w:rPr>
          <w:rFonts w:ascii="Book Antiqua" w:eastAsia="Book Antiqua" w:hAnsi="Book Antiqua" w:cs="Book Antiqua"/>
          <w:color w:val="000000"/>
          <w:vertAlign w:val="superscript"/>
        </w:rPr>
        <w:t>st</w:t>
      </w:r>
      <w:r w:rsidR="00AE4453" w:rsidRPr="00F956D2">
        <w:rPr>
          <w:rFonts w:ascii="Book Antiqua" w:eastAsia="Book Antiqua" w:hAnsi="Book Antiqua" w:cs="Book Antiqua"/>
          <w:color w:val="000000"/>
        </w:rPr>
        <w:t xml:space="preserve"> </w:t>
      </w:r>
      <w:r w:rsidRPr="00F956D2">
        <w:rPr>
          <w:rFonts w:ascii="Book Antiqua" w:eastAsia="Book Antiqua" w:hAnsi="Book Antiqua" w:cs="Book Antiqua"/>
          <w:color w:val="000000"/>
        </w:rPr>
        <w:t>M</w:t>
      </w:r>
      <w:r w:rsidRPr="00C57A36">
        <w:rPr>
          <w:rFonts w:ascii="Book Antiqua" w:eastAsia="Book Antiqua" w:hAnsi="Book Antiqua" w:cs="Book Antiqua"/>
          <w:color w:val="000000"/>
        </w:rPr>
        <w:t>arch 2018. Review of the medical record for patient demographics, liver disease, tumor-specific details, treatment and outcome was collected. Diagnosis of HCC was based on accepted radiographic and/or histologic criteria. Primary outcomes were overall survival (OS) and transplant-free survival (TFS).</w:t>
      </w:r>
    </w:p>
    <w:p w14:paraId="5167C4FE" w14:textId="77777777" w:rsidR="00A77B3E" w:rsidRPr="00C57A36" w:rsidRDefault="00A77B3E" w:rsidP="00C57A36">
      <w:pPr>
        <w:spacing w:line="360" w:lineRule="auto"/>
        <w:jc w:val="both"/>
        <w:rPr>
          <w:rFonts w:ascii="Book Antiqua" w:hAnsi="Book Antiqua"/>
        </w:rPr>
      </w:pPr>
    </w:p>
    <w:p w14:paraId="14FD3232" w14:textId="7777777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i/>
          <w:color w:val="000000"/>
        </w:rPr>
        <w:t>Research results</w:t>
      </w:r>
    </w:p>
    <w:p w14:paraId="507B6D8C" w14:textId="3521C876"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color w:val="000000"/>
        </w:rPr>
        <w:t>One-hundred and four patients, majority male (</w:t>
      </w:r>
      <w:r w:rsidRPr="00C57A36">
        <w:rPr>
          <w:rFonts w:ascii="Book Antiqua" w:eastAsia="Book Antiqua" w:hAnsi="Book Antiqua" w:cs="Book Antiqua"/>
          <w:i/>
          <w:iCs/>
          <w:color w:val="000000"/>
        </w:rPr>
        <w:t>n</w:t>
      </w:r>
      <w:r w:rsidRPr="00C57A36">
        <w:rPr>
          <w:rFonts w:ascii="Book Antiqua" w:eastAsia="Book Antiqua" w:hAnsi="Book Antiqua" w:cs="Book Antiqua"/>
          <w:color w:val="000000"/>
        </w:rPr>
        <w:t xml:space="preserve"> = 89, 86%), with a median age of 63 years-old (interquartile range 58</w:t>
      </w:r>
      <w:r w:rsidR="00172ECC">
        <w:rPr>
          <w:rFonts w:ascii="Book Antiqua" w:eastAsia="Book Antiqua" w:hAnsi="Book Antiqua" w:cs="Book Antiqua"/>
          <w:color w:val="000000"/>
        </w:rPr>
        <w:t>-</w:t>
      </w:r>
      <w:r w:rsidRPr="00C57A36">
        <w:rPr>
          <w:rFonts w:ascii="Book Antiqua" w:eastAsia="Book Antiqua" w:hAnsi="Book Antiqua" w:cs="Book Antiqua"/>
          <w:color w:val="000000"/>
        </w:rPr>
        <w:t>67.75), and predominantly suffering from viral chronic liver disease (</w:t>
      </w:r>
      <w:r w:rsidRPr="00C57A36">
        <w:rPr>
          <w:rFonts w:ascii="Book Antiqua" w:eastAsia="Book Antiqua" w:hAnsi="Book Antiqua" w:cs="Book Antiqua"/>
          <w:i/>
          <w:iCs/>
          <w:color w:val="000000"/>
        </w:rPr>
        <w:t>n</w:t>
      </w:r>
      <w:r w:rsidRPr="00C57A36">
        <w:rPr>
          <w:rFonts w:ascii="Book Antiqua" w:eastAsia="Book Antiqua" w:hAnsi="Book Antiqua" w:cs="Book Antiqua"/>
          <w:color w:val="000000"/>
        </w:rPr>
        <w:t xml:space="preserve"> = 57, 55%) were included in the final analysis and followed up for a median of 2.54 years. There was a slight majority in those presenting synchronously (</w:t>
      </w:r>
      <w:r w:rsidRPr="00C57A36">
        <w:rPr>
          <w:rFonts w:ascii="Book Antiqua" w:eastAsia="Book Antiqua" w:hAnsi="Book Antiqua" w:cs="Book Antiqua"/>
          <w:i/>
          <w:iCs/>
          <w:color w:val="000000"/>
        </w:rPr>
        <w:t>n</w:t>
      </w:r>
      <w:r w:rsidRPr="00C57A36">
        <w:rPr>
          <w:rFonts w:ascii="Book Antiqua" w:eastAsia="Book Antiqua" w:hAnsi="Book Antiqua" w:cs="Book Antiqua"/>
          <w:color w:val="000000"/>
        </w:rPr>
        <w:t xml:space="preserve"> = 59, 57%) compared with those diagnosed sequentially (</w:t>
      </w:r>
      <w:r w:rsidRPr="00C57A36">
        <w:rPr>
          <w:rFonts w:ascii="Book Antiqua" w:eastAsia="Book Antiqua" w:hAnsi="Book Antiqua" w:cs="Book Antiqua"/>
          <w:i/>
          <w:iCs/>
          <w:color w:val="000000"/>
        </w:rPr>
        <w:t>n</w:t>
      </w:r>
      <w:r w:rsidRPr="00C57A36">
        <w:rPr>
          <w:rFonts w:ascii="Book Antiqua" w:eastAsia="Book Antiqua" w:hAnsi="Book Antiqua" w:cs="Book Antiqua"/>
          <w:color w:val="000000"/>
        </w:rPr>
        <w:t xml:space="preserve"> = 45, 43%), with the only difference between these two groups being more severe liver disease on the basis of model for end stage liver disease (MELD) (11 </w:t>
      </w:r>
      <w:r w:rsidRPr="00C57A36">
        <w:rPr>
          <w:rFonts w:ascii="Book Antiqua" w:eastAsia="Book Antiqua" w:hAnsi="Book Antiqua" w:cs="Book Antiqua"/>
          <w:i/>
          <w:iCs/>
          <w:color w:val="000000"/>
        </w:rPr>
        <w:t>vs</w:t>
      </w:r>
      <w:r w:rsidRPr="00C57A36">
        <w:rPr>
          <w:rFonts w:ascii="Book Antiqua" w:eastAsia="Book Antiqua" w:hAnsi="Book Antiqua" w:cs="Book Antiqua"/>
          <w:color w:val="000000"/>
        </w:rPr>
        <w:t xml:space="preserve"> 8, </w:t>
      </w:r>
      <w:r w:rsidRPr="00C57A36">
        <w:rPr>
          <w:rFonts w:ascii="Book Antiqua" w:eastAsia="Book Antiqua" w:hAnsi="Book Antiqua" w:cs="Book Antiqua"/>
          <w:i/>
          <w:iCs/>
          <w:color w:val="000000"/>
        </w:rPr>
        <w:t>P</w:t>
      </w:r>
      <w:r w:rsidRPr="00C57A36">
        <w:rPr>
          <w:rFonts w:ascii="Book Antiqua" w:eastAsia="Book Antiqua" w:hAnsi="Book Antiqua" w:cs="Book Antiqua"/>
          <w:color w:val="000000"/>
        </w:rPr>
        <w:t xml:space="preserve"> = 0.01). 1-, 3-, and 5-year OS was similar between the two groups (</w:t>
      </w:r>
      <w:r w:rsidRPr="00C57A36">
        <w:rPr>
          <w:rFonts w:ascii="Book Antiqua" w:eastAsia="Book Antiqua" w:hAnsi="Book Antiqua" w:cs="Book Antiqua"/>
          <w:i/>
          <w:iCs/>
          <w:color w:val="000000"/>
        </w:rPr>
        <w:t>P</w:t>
      </w:r>
      <w:r w:rsidRPr="00C57A36">
        <w:rPr>
          <w:rFonts w:ascii="Book Antiqua" w:eastAsia="Book Antiqua" w:hAnsi="Book Antiqua" w:cs="Book Antiqua"/>
          <w:color w:val="000000"/>
        </w:rPr>
        <w:t xml:space="preserve"> = 0.41), however TFS was higher in the sequential group (1-, 3- and 5-year TFS 93.2%, 56.6% and 48.5%, compared with 68.5%, 37.3% and 29.7% in the synchronous group, </w:t>
      </w:r>
      <w:r w:rsidRPr="00C57A36">
        <w:rPr>
          <w:rFonts w:ascii="Book Antiqua" w:eastAsia="Book Antiqua" w:hAnsi="Book Antiqua" w:cs="Book Antiqua"/>
          <w:i/>
          <w:iCs/>
          <w:color w:val="000000"/>
        </w:rPr>
        <w:t>P</w:t>
      </w:r>
      <w:r w:rsidRPr="00C57A36">
        <w:rPr>
          <w:rFonts w:ascii="Book Antiqua" w:eastAsia="Book Antiqua" w:hAnsi="Book Antiqua" w:cs="Book Antiqua"/>
          <w:color w:val="000000"/>
        </w:rPr>
        <w:t xml:space="preserve"> = 0.02). This difference did not persist in multivariate analysis (</w:t>
      </w:r>
      <w:r w:rsidRPr="00C57A36">
        <w:rPr>
          <w:rFonts w:ascii="Book Antiqua" w:eastAsia="Book Antiqua" w:hAnsi="Book Antiqua" w:cs="Book Antiqua"/>
          <w:i/>
          <w:iCs/>
          <w:color w:val="000000"/>
        </w:rPr>
        <w:t>P</w:t>
      </w:r>
      <w:r w:rsidRPr="00C57A36">
        <w:rPr>
          <w:rFonts w:ascii="Book Antiqua" w:eastAsia="Book Antiqua" w:hAnsi="Book Antiqua" w:cs="Book Antiqua"/>
          <w:color w:val="000000"/>
        </w:rPr>
        <w:t xml:space="preserve"> = 0.24), with only MELD &gt;</w:t>
      </w:r>
      <w:r w:rsidR="00172ECC">
        <w:rPr>
          <w:rFonts w:ascii="Book Antiqua" w:eastAsia="Book Antiqua" w:hAnsi="Book Antiqua" w:cs="Book Antiqua"/>
          <w:color w:val="000000"/>
        </w:rPr>
        <w:t xml:space="preserve"> </w:t>
      </w:r>
      <w:r w:rsidRPr="00C57A36">
        <w:rPr>
          <w:rFonts w:ascii="Book Antiqua" w:eastAsia="Book Antiqua" w:hAnsi="Book Antiqua" w:cs="Book Antiqua"/>
          <w:color w:val="000000"/>
        </w:rPr>
        <w:t>14 being predictive of mortality in the model (hazard ratio 2.51, 95%</w:t>
      </w:r>
      <w:r w:rsidR="00172ECC">
        <w:rPr>
          <w:rFonts w:ascii="Book Antiqua" w:eastAsia="Book Antiqua" w:hAnsi="Book Antiqua" w:cs="Book Antiqua"/>
          <w:color w:val="000000"/>
        </w:rPr>
        <w:t xml:space="preserve">CI: </w:t>
      </w:r>
      <w:r w:rsidRPr="00C57A36">
        <w:rPr>
          <w:rFonts w:ascii="Book Antiqua" w:eastAsia="Book Antiqua" w:hAnsi="Book Antiqua" w:cs="Book Antiqua"/>
          <w:color w:val="000000"/>
        </w:rPr>
        <w:t xml:space="preserve">1.15-5.46, </w:t>
      </w:r>
      <w:r w:rsidRPr="00C57A36">
        <w:rPr>
          <w:rFonts w:ascii="Book Antiqua" w:eastAsia="Book Antiqua" w:hAnsi="Book Antiqua" w:cs="Book Antiqua"/>
          <w:i/>
          <w:iCs/>
          <w:color w:val="000000"/>
        </w:rPr>
        <w:t>P</w:t>
      </w:r>
      <w:r w:rsidRPr="00C57A36">
        <w:rPr>
          <w:rFonts w:ascii="Book Antiqua" w:eastAsia="Book Antiqua" w:hAnsi="Book Antiqua" w:cs="Book Antiqua"/>
          <w:color w:val="000000"/>
        </w:rPr>
        <w:t xml:space="preserve"> = 0.02).</w:t>
      </w:r>
    </w:p>
    <w:p w14:paraId="2A267558" w14:textId="77777777" w:rsidR="00A77B3E" w:rsidRPr="00C57A36" w:rsidRDefault="00A77B3E" w:rsidP="00C57A36">
      <w:pPr>
        <w:spacing w:line="360" w:lineRule="auto"/>
        <w:jc w:val="both"/>
        <w:rPr>
          <w:rFonts w:ascii="Book Antiqua" w:hAnsi="Book Antiqua"/>
        </w:rPr>
      </w:pPr>
    </w:p>
    <w:p w14:paraId="20707083" w14:textId="7777777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i/>
          <w:color w:val="000000"/>
        </w:rPr>
        <w:t>Research conclusions</w:t>
      </w:r>
    </w:p>
    <w:p w14:paraId="14990644" w14:textId="159A1742"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color w:val="000000"/>
        </w:rPr>
        <w:t>Transplant-free survival in patients with two HCCs</w:t>
      </w:r>
      <w:r w:rsidR="003E30AB">
        <w:rPr>
          <w:rFonts w:ascii="Book Antiqua" w:eastAsia="Book Antiqua" w:hAnsi="Book Antiqua" w:cs="Book Antiqua"/>
          <w:color w:val="000000"/>
        </w:rPr>
        <w:t xml:space="preserve"> </w:t>
      </w:r>
      <w:r w:rsidRPr="00C57A36">
        <w:rPr>
          <w:rFonts w:ascii="Book Antiqua" w:eastAsia="Book Antiqua" w:hAnsi="Book Antiqua" w:cs="Book Antiqua"/>
          <w:color w:val="000000"/>
        </w:rPr>
        <w:t>≤</w:t>
      </w:r>
      <w:r w:rsidR="003E30AB">
        <w:rPr>
          <w:rFonts w:ascii="Book Antiqua" w:eastAsia="Book Antiqua" w:hAnsi="Book Antiqua" w:cs="Book Antiqua"/>
          <w:color w:val="000000"/>
        </w:rPr>
        <w:t xml:space="preserve"> </w:t>
      </w:r>
      <w:r w:rsidRPr="00C57A36">
        <w:rPr>
          <w:rFonts w:ascii="Book Antiqua" w:eastAsia="Book Antiqua" w:hAnsi="Book Antiqua" w:cs="Book Antiqua"/>
          <w:color w:val="000000"/>
        </w:rPr>
        <w:t>3</w:t>
      </w:r>
      <w:r w:rsidR="003E30AB">
        <w:rPr>
          <w:rFonts w:ascii="Book Antiqua" w:eastAsia="Book Antiqua" w:hAnsi="Book Antiqua" w:cs="Book Antiqua"/>
          <w:color w:val="000000"/>
        </w:rPr>
        <w:t xml:space="preserve"> </w:t>
      </w:r>
      <w:r w:rsidRPr="00C57A36">
        <w:rPr>
          <w:rFonts w:ascii="Book Antiqua" w:eastAsia="Book Antiqua" w:hAnsi="Book Antiqua" w:cs="Book Antiqua"/>
          <w:color w:val="000000"/>
        </w:rPr>
        <w:t>cm is poor irrespective if diagnosed synchronously or sequentially, and so all patients with two small tumors should be assessed and considered for liver transplantation.</w:t>
      </w:r>
    </w:p>
    <w:p w14:paraId="4D922CC7" w14:textId="77777777" w:rsidR="00A77B3E" w:rsidRPr="00C57A36" w:rsidRDefault="00A77B3E" w:rsidP="00C57A36">
      <w:pPr>
        <w:spacing w:line="360" w:lineRule="auto"/>
        <w:jc w:val="both"/>
        <w:rPr>
          <w:rFonts w:ascii="Book Antiqua" w:hAnsi="Book Antiqua"/>
        </w:rPr>
      </w:pPr>
    </w:p>
    <w:p w14:paraId="7BCCB278" w14:textId="7777777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i/>
          <w:color w:val="000000"/>
        </w:rPr>
        <w:t>Research perspectives</w:t>
      </w:r>
    </w:p>
    <w:p w14:paraId="76E7A02C" w14:textId="537AEEA1"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color w:val="000000"/>
        </w:rPr>
        <w:lastRenderedPageBreak/>
        <w:t>Given limited availability of liver transplantation, future research should aim to define the molecular carcinogenetic signature in multifocal tumors, which can occur from multi-centric hepatocarcinogenesis or intrahepatic metastases, and whether this impacts recurrence, prognosis, and response to curative therapy.</w:t>
      </w:r>
    </w:p>
    <w:p w14:paraId="2EF8BE7B" w14:textId="77777777" w:rsidR="00A77B3E" w:rsidRPr="00C57A36" w:rsidRDefault="00A77B3E" w:rsidP="00C57A36">
      <w:pPr>
        <w:spacing w:line="360" w:lineRule="auto"/>
        <w:jc w:val="both"/>
        <w:rPr>
          <w:rFonts w:ascii="Book Antiqua" w:hAnsi="Book Antiqua"/>
        </w:rPr>
      </w:pPr>
    </w:p>
    <w:p w14:paraId="17B05053" w14:textId="7777777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color w:val="000000"/>
        </w:rPr>
        <w:t>REFERENCES</w:t>
      </w:r>
    </w:p>
    <w:p w14:paraId="677D499F" w14:textId="77777777" w:rsidR="00F73752" w:rsidRPr="007272D6" w:rsidRDefault="00F73752" w:rsidP="00F73752">
      <w:pPr>
        <w:spacing w:line="360" w:lineRule="auto"/>
        <w:jc w:val="both"/>
        <w:rPr>
          <w:rFonts w:ascii="Book Antiqua" w:hAnsi="Book Antiqua"/>
        </w:rPr>
      </w:pPr>
      <w:r w:rsidRPr="007272D6">
        <w:rPr>
          <w:rFonts w:ascii="Book Antiqua" w:hAnsi="Book Antiqua"/>
        </w:rPr>
        <w:t xml:space="preserve">1 </w:t>
      </w:r>
      <w:r w:rsidRPr="007272D6">
        <w:rPr>
          <w:rFonts w:ascii="Book Antiqua" w:hAnsi="Book Antiqua"/>
          <w:b/>
          <w:bCs/>
        </w:rPr>
        <w:t>Bray F,</w:t>
      </w:r>
      <w:r w:rsidRPr="007272D6">
        <w:rPr>
          <w:rFonts w:ascii="Book Antiqua" w:hAnsi="Book Antiqua"/>
        </w:rPr>
        <w:t xml:space="preserve"> </w:t>
      </w:r>
      <w:proofErr w:type="spellStart"/>
      <w:r w:rsidRPr="007272D6">
        <w:rPr>
          <w:rFonts w:ascii="Book Antiqua" w:hAnsi="Book Antiqua"/>
        </w:rPr>
        <w:t>Ferlay</w:t>
      </w:r>
      <w:proofErr w:type="spellEnd"/>
      <w:r w:rsidRPr="007272D6">
        <w:rPr>
          <w:rFonts w:ascii="Book Antiqua" w:hAnsi="Book Antiqua"/>
        </w:rPr>
        <w:t xml:space="preserve"> J, </w:t>
      </w:r>
      <w:proofErr w:type="spellStart"/>
      <w:r w:rsidRPr="007272D6">
        <w:rPr>
          <w:rFonts w:ascii="Book Antiqua" w:hAnsi="Book Antiqua"/>
        </w:rPr>
        <w:t>Soerjomataram</w:t>
      </w:r>
      <w:proofErr w:type="spellEnd"/>
      <w:r w:rsidRPr="007272D6">
        <w:rPr>
          <w:rFonts w:ascii="Book Antiqua" w:hAnsi="Book Antiqua"/>
        </w:rPr>
        <w:t xml:space="preserve"> I, Siegel RL, Torre LA, </w:t>
      </w:r>
      <w:r w:rsidRPr="00BE5DAF">
        <w:rPr>
          <w:rFonts w:ascii="Book Antiqua" w:hAnsi="Book Antiqua"/>
        </w:rPr>
        <w:t>Jemal A</w:t>
      </w:r>
      <w:r w:rsidRPr="007272D6">
        <w:rPr>
          <w:rFonts w:ascii="Book Antiqua" w:hAnsi="Book Antiqua"/>
        </w:rPr>
        <w:t xml:space="preserve">. Global cancer statistics 2018: GLOBOCAN estimates of incidence and mortality worldwide for 36 cancers in 185 countries. </w:t>
      </w:r>
      <w:r w:rsidRPr="009909F1">
        <w:rPr>
          <w:rFonts w:ascii="Book Antiqua" w:hAnsi="Book Antiqua"/>
          <w:i/>
          <w:iCs/>
        </w:rPr>
        <w:t>CA Cancer J Clin</w:t>
      </w:r>
      <w:r>
        <w:rPr>
          <w:rFonts w:ascii="Book Antiqua" w:hAnsi="Book Antiqua"/>
        </w:rPr>
        <w:t xml:space="preserve"> </w:t>
      </w:r>
      <w:r w:rsidRPr="007272D6">
        <w:rPr>
          <w:rFonts w:ascii="Book Antiqua" w:hAnsi="Book Antiqua"/>
        </w:rPr>
        <w:t>2018;</w:t>
      </w:r>
      <w:r>
        <w:rPr>
          <w:rFonts w:ascii="Book Antiqua" w:hAnsi="Book Antiqua"/>
        </w:rPr>
        <w:t xml:space="preserve"> </w:t>
      </w:r>
      <w:r w:rsidRPr="00F76752">
        <w:rPr>
          <w:rFonts w:ascii="Book Antiqua" w:hAnsi="Book Antiqua"/>
          <w:b/>
          <w:bCs/>
        </w:rPr>
        <w:t>68</w:t>
      </w:r>
      <w:r w:rsidRPr="007272D6">
        <w:rPr>
          <w:rFonts w:ascii="Book Antiqua" w:hAnsi="Book Antiqua"/>
        </w:rPr>
        <w:t>:</w:t>
      </w:r>
      <w:r>
        <w:rPr>
          <w:rFonts w:ascii="Book Antiqua" w:hAnsi="Book Antiqua"/>
        </w:rPr>
        <w:t xml:space="preserve"> </w:t>
      </w:r>
      <w:r w:rsidRPr="007272D6">
        <w:rPr>
          <w:rFonts w:ascii="Book Antiqua" w:hAnsi="Book Antiqua"/>
        </w:rPr>
        <w:t>394-424</w:t>
      </w:r>
      <w:r>
        <w:rPr>
          <w:rFonts w:ascii="Book Antiqua" w:hAnsi="Book Antiqua"/>
        </w:rPr>
        <w:t xml:space="preserve"> [PMID: </w:t>
      </w:r>
      <w:r w:rsidRPr="00FF6125">
        <w:rPr>
          <w:rFonts w:ascii="Book Antiqua" w:hAnsi="Book Antiqua"/>
        </w:rPr>
        <w:t>30207593</w:t>
      </w:r>
      <w:r>
        <w:rPr>
          <w:rFonts w:ascii="Book Antiqua" w:hAnsi="Book Antiqua"/>
        </w:rPr>
        <w:t xml:space="preserve"> DOI: </w:t>
      </w:r>
      <w:r w:rsidRPr="001D3299">
        <w:rPr>
          <w:rFonts w:ascii="Book Antiqua" w:hAnsi="Book Antiqua"/>
        </w:rPr>
        <w:t>10.3322/caac.21492</w:t>
      </w:r>
      <w:r>
        <w:rPr>
          <w:rFonts w:ascii="Book Antiqua" w:hAnsi="Book Antiqua"/>
        </w:rPr>
        <w:t>]</w:t>
      </w:r>
    </w:p>
    <w:p w14:paraId="4C7E39F1" w14:textId="77777777" w:rsidR="00F73752" w:rsidRPr="007272D6" w:rsidRDefault="00F73752" w:rsidP="00F73752">
      <w:pPr>
        <w:spacing w:line="360" w:lineRule="auto"/>
        <w:jc w:val="both"/>
        <w:rPr>
          <w:rFonts w:ascii="Book Antiqua" w:hAnsi="Book Antiqua"/>
        </w:rPr>
      </w:pPr>
      <w:r w:rsidRPr="007272D6">
        <w:rPr>
          <w:rFonts w:ascii="Book Antiqua" w:hAnsi="Book Antiqua"/>
        </w:rPr>
        <w:t xml:space="preserve">2 </w:t>
      </w:r>
      <w:r w:rsidRPr="007272D6">
        <w:rPr>
          <w:rFonts w:ascii="Book Antiqua" w:hAnsi="Book Antiqua"/>
          <w:b/>
          <w:bCs/>
        </w:rPr>
        <w:t xml:space="preserve">European Association </w:t>
      </w:r>
      <w:proofErr w:type="gramStart"/>
      <w:r w:rsidRPr="007272D6">
        <w:rPr>
          <w:rFonts w:ascii="Book Antiqua" w:hAnsi="Book Antiqua"/>
          <w:b/>
          <w:bCs/>
        </w:rPr>
        <w:t>For</w:t>
      </w:r>
      <w:proofErr w:type="gramEnd"/>
      <w:r w:rsidRPr="007272D6">
        <w:rPr>
          <w:rFonts w:ascii="Book Antiqua" w:hAnsi="Book Antiqua"/>
          <w:b/>
          <w:bCs/>
        </w:rPr>
        <w:t xml:space="preserve"> The Study Of The Liver.</w:t>
      </w:r>
      <w:r w:rsidRPr="007272D6">
        <w:rPr>
          <w:rFonts w:ascii="Book Antiqua" w:hAnsi="Book Antiqua"/>
        </w:rPr>
        <w:t xml:space="preserve">; European </w:t>
      </w:r>
      <w:proofErr w:type="spellStart"/>
      <w:r w:rsidRPr="007272D6">
        <w:rPr>
          <w:rFonts w:ascii="Book Antiqua" w:hAnsi="Book Antiqua"/>
        </w:rPr>
        <w:t>Organisation</w:t>
      </w:r>
      <w:proofErr w:type="spellEnd"/>
      <w:r w:rsidRPr="007272D6">
        <w:rPr>
          <w:rFonts w:ascii="Book Antiqua" w:hAnsi="Book Antiqua"/>
        </w:rPr>
        <w:t xml:space="preserve"> For Research And Treatment Of Cancer. EASL-EORTC clinical practice guidelines: management of hepatocellular carcinoma. </w:t>
      </w:r>
      <w:r w:rsidRPr="007272D6">
        <w:rPr>
          <w:rFonts w:ascii="Book Antiqua" w:hAnsi="Book Antiqua"/>
          <w:i/>
          <w:iCs/>
        </w:rPr>
        <w:t>J Hepatol</w:t>
      </w:r>
      <w:r w:rsidRPr="007272D6">
        <w:rPr>
          <w:rFonts w:ascii="Book Antiqua" w:hAnsi="Book Antiqua"/>
        </w:rPr>
        <w:t xml:space="preserve"> 2012; </w:t>
      </w:r>
      <w:r w:rsidRPr="007272D6">
        <w:rPr>
          <w:rFonts w:ascii="Book Antiqua" w:hAnsi="Book Antiqua"/>
          <w:b/>
          <w:bCs/>
        </w:rPr>
        <w:t>56</w:t>
      </w:r>
      <w:r w:rsidRPr="007272D6">
        <w:rPr>
          <w:rFonts w:ascii="Book Antiqua" w:hAnsi="Book Antiqua"/>
        </w:rPr>
        <w:t>: 908-943 [PMID: 22424438 DOI: 10.1016/j.jhep.2011.12.001]</w:t>
      </w:r>
    </w:p>
    <w:p w14:paraId="2181C2F2" w14:textId="77777777" w:rsidR="00F73752" w:rsidRPr="007272D6" w:rsidRDefault="00F73752" w:rsidP="00F73752">
      <w:pPr>
        <w:spacing w:line="360" w:lineRule="auto"/>
        <w:jc w:val="both"/>
        <w:rPr>
          <w:rFonts w:ascii="Book Antiqua" w:hAnsi="Book Antiqua"/>
        </w:rPr>
      </w:pPr>
      <w:r w:rsidRPr="007272D6">
        <w:rPr>
          <w:rFonts w:ascii="Book Antiqua" w:hAnsi="Book Antiqua"/>
        </w:rPr>
        <w:t xml:space="preserve">3 </w:t>
      </w:r>
      <w:proofErr w:type="spellStart"/>
      <w:r w:rsidRPr="007272D6">
        <w:rPr>
          <w:rFonts w:ascii="Book Antiqua" w:hAnsi="Book Antiqua"/>
          <w:b/>
          <w:bCs/>
        </w:rPr>
        <w:t>Heimbach</w:t>
      </w:r>
      <w:proofErr w:type="spellEnd"/>
      <w:r w:rsidRPr="007272D6">
        <w:rPr>
          <w:rFonts w:ascii="Book Antiqua" w:hAnsi="Book Antiqua"/>
          <w:b/>
          <w:bCs/>
        </w:rPr>
        <w:t xml:space="preserve"> JK</w:t>
      </w:r>
      <w:r w:rsidRPr="007272D6">
        <w:rPr>
          <w:rFonts w:ascii="Book Antiqua" w:hAnsi="Book Antiqua"/>
        </w:rPr>
        <w:t xml:space="preserve">, Kulik LM, Finn RS, </w:t>
      </w:r>
      <w:proofErr w:type="spellStart"/>
      <w:r w:rsidRPr="007272D6">
        <w:rPr>
          <w:rFonts w:ascii="Book Antiqua" w:hAnsi="Book Antiqua"/>
        </w:rPr>
        <w:t>Sirlin</w:t>
      </w:r>
      <w:proofErr w:type="spellEnd"/>
      <w:r w:rsidRPr="007272D6">
        <w:rPr>
          <w:rFonts w:ascii="Book Antiqua" w:hAnsi="Book Antiqua"/>
        </w:rPr>
        <w:t xml:space="preserve"> CB, </w:t>
      </w:r>
      <w:proofErr w:type="spellStart"/>
      <w:r w:rsidRPr="007272D6">
        <w:rPr>
          <w:rFonts w:ascii="Book Antiqua" w:hAnsi="Book Antiqua"/>
        </w:rPr>
        <w:t>Abecassis</w:t>
      </w:r>
      <w:proofErr w:type="spellEnd"/>
      <w:r w:rsidRPr="007272D6">
        <w:rPr>
          <w:rFonts w:ascii="Book Antiqua" w:hAnsi="Book Antiqua"/>
        </w:rPr>
        <w:t xml:space="preserve"> MM, Roberts LR, Zhu AX, Murad MH, Marrero JA. AASLD guidelines for the treatment of hepatocellular carcinoma. </w:t>
      </w:r>
      <w:r w:rsidRPr="007272D6">
        <w:rPr>
          <w:rFonts w:ascii="Book Antiqua" w:hAnsi="Book Antiqua"/>
          <w:i/>
          <w:iCs/>
        </w:rPr>
        <w:t>Hepatology</w:t>
      </w:r>
      <w:r w:rsidRPr="007272D6">
        <w:rPr>
          <w:rFonts w:ascii="Book Antiqua" w:hAnsi="Book Antiqua"/>
        </w:rPr>
        <w:t xml:space="preserve"> 2018; </w:t>
      </w:r>
      <w:r w:rsidRPr="007272D6">
        <w:rPr>
          <w:rFonts w:ascii="Book Antiqua" w:hAnsi="Book Antiqua"/>
          <w:b/>
          <w:bCs/>
        </w:rPr>
        <w:t>67</w:t>
      </w:r>
      <w:r w:rsidRPr="007272D6">
        <w:rPr>
          <w:rFonts w:ascii="Book Antiqua" w:hAnsi="Book Antiqua"/>
        </w:rPr>
        <w:t>: 358-380 [PMID: 28130846 DOI: 10.1002/hep.29086]</w:t>
      </w:r>
    </w:p>
    <w:p w14:paraId="0A208314" w14:textId="77777777" w:rsidR="00F73752" w:rsidRPr="007272D6" w:rsidRDefault="00F73752" w:rsidP="00F73752">
      <w:pPr>
        <w:spacing w:line="360" w:lineRule="auto"/>
        <w:jc w:val="both"/>
        <w:rPr>
          <w:rFonts w:ascii="Book Antiqua" w:hAnsi="Book Antiqua"/>
        </w:rPr>
      </w:pPr>
      <w:r w:rsidRPr="007272D6">
        <w:rPr>
          <w:rFonts w:ascii="Book Antiqua" w:hAnsi="Book Antiqua"/>
        </w:rPr>
        <w:t xml:space="preserve">4 </w:t>
      </w:r>
      <w:r w:rsidRPr="007272D6">
        <w:rPr>
          <w:rFonts w:ascii="Book Antiqua" w:hAnsi="Book Antiqua"/>
          <w:b/>
          <w:bCs/>
        </w:rPr>
        <w:t>Fitzmorris P,</w:t>
      </w:r>
      <w:r w:rsidRPr="007272D6">
        <w:rPr>
          <w:rFonts w:ascii="Book Antiqua" w:hAnsi="Book Antiqua"/>
        </w:rPr>
        <w:t xml:space="preserve"> </w:t>
      </w:r>
      <w:proofErr w:type="spellStart"/>
      <w:r w:rsidRPr="007272D6">
        <w:rPr>
          <w:rFonts w:ascii="Book Antiqua" w:hAnsi="Book Antiqua"/>
        </w:rPr>
        <w:t>Singal</w:t>
      </w:r>
      <w:proofErr w:type="spellEnd"/>
      <w:r w:rsidRPr="007272D6">
        <w:rPr>
          <w:rFonts w:ascii="Book Antiqua" w:hAnsi="Book Antiqua"/>
        </w:rPr>
        <w:t xml:space="preserve"> AK. Surveillance and Diagnosis of Hepatocellular Carcinoma. </w:t>
      </w:r>
      <w:r w:rsidRPr="00FE3335">
        <w:rPr>
          <w:rFonts w:ascii="Book Antiqua" w:hAnsi="Book Antiqua"/>
          <w:i/>
          <w:iCs/>
        </w:rPr>
        <w:t>Gastroenterol Hepatol (NY)</w:t>
      </w:r>
      <w:r w:rsidRPr="007272D6">
        <w:rPr>
          <w:rFonts w:ascii="Book Antiqua" w:hAnsi="Book Antiqua"/>
        </w:rPr>
        <w:t xml:space="preserve"> 2015;</w:t>
      </w:r>
      <w:r>
        <w:rPr>
          <w:rFonts w:ascii="Book Antiqua" w:hAnsi="Book Antiqua"/>
        </w:rPr>
        <w:t xml:space="preserve"> </w:t>
      </w:r>
      <w:r w:rsidRPr="003A084B">
        <w:rPr>
          <w:rFonts w:ascii="Book Antiqua" w:hAnsi="Book Antiqua"/>
          <w:b/>
          <w:bCs/>
        </w:rPr>
        <w:t>11</w:t>
      </w:r>
      <w:r w:rsidRPr="007272D6">
        <w:rPr>
          <w:rFonts w:ascii="Book Antiqua" w:hAnsi="Book Antiqua"/>
        </w:rPr>
        <w:t>:</w:t>
      </w:r>
      <w:r>
        <w:rPr>
          <w:rFonts w:ascii="Book Antiqua" w:hAnsi="Book Antiqua"/>
        </w:rPr>
        <w:t xml:space="preserve"> </w:t>
      </w:r>
      <w:r w:rsidRPr="007272D6">
        <w:rPr>
          <w:rFonts w:ascii="Book Antiqua" w:hAnsi="Book Antiqua"/>
        </w:rPr>
        <w:t>38-46</w:t>
      </w:r>
    </w:p>
    <w:p w14:paraId="1C513C7B" w14:textId="77777777" w:rsidR="00F73752" w:rsidRPr="007272D6" w:rsidRDefault="00F73752" w:rsidP="00F73752">
      <w:pPr>
        <w:spacing w:line="360" w:lineRule="auto"/>
        <w:jc w:val="both"/>
        <w:rPr>
          <w:rFonts w:ascii="Book Antiqua" w:hAnsi="Book Antiqua"/>
        </w:rPr>
      </w:pPr>
      <w:r w:rsidRPr="007272D6">
        <w:rPr>
          <w:rFonts w:ascii="Book Antiqua" w:hAnsi="Book Antiqua"/>
        </w:rPr>
        <w:t xml:space="preserve">5 </w:t>
      </w:r>
      <w:proofErr w:type="spellStart"/>
      <w:r w:rsidRPr="007272D6">
        <w:rPr>
          <w:rFonts w:ascii="Book Antiqua" w:hAnsi="Book Antiqua"/>
          <w:b/>
          <w:bCs/>
        </w:rPr>
        <w:t>Singal</w:t>
      </w:r>
      <w:proofErr w:type="spellEnd"/>
      <w:r w:rsidRPr="007272D6">
        <w:rPr>
          <w:rFonts w:ascii="Book Antiqua" w:hAnsi="Book Antiqua"/>
          <w:b/>
          <w:bCs/>
        </w:rPr>
        <w:t xml:space="preserve"> AG</w:t>
      </w:r>
      <w:r w:rsidRPr="007272D6">
        <w:rPr>
          <w:rFonts w:ascii="Book Antiqua" w:hAnsi="Book Antiqua"/>
        </w:rPr>
        <w:t xml:space="preserve">, Pillai A, </w:t>
      </w:r>
      <w:proofErr w:type="spellStart"/>
      <w:r w:rsidRPr="007272D6">
        <w:rPr>
          <w:rFonts w:ascii="Book Antiqua" w:hAnsi="Book Antiqua"/>
        </w:rPr>
        <w:t>Tiro</w:t>
      </w:r>
      <w:proofErr w:type="spellEnd"/>
      <w:r w:rsidRPr="007272D6">
        <w:rPr>
          <w:rFonts w:ascii="Book Antiqua" w:hAnsi="Book Antiqua"/>
        </w:rPr>
        <w:t xml:space="preserve"> J. Early detection, curative treatment, and survival rates for hepatocellular carcinoma surveillance in patients with cirrhosis: a meta-analysis. </w:t>
      </w:r>
      <w:proofErr w:type="spellStart"/>
      <w:r w:rsidRPr="007272D6">
        <w:rPr>
          <w:rFonts w:ascii="Book Antiqua" w:hAnsi="Book Antiqua"/>
          <w:i/>
          <w:iCs/>
        </w:rPr>
        <w:t>PLoS</w:t>
      </w:r>
      <w:proofErr w:type="spellEnd"/>
      <w:r w:rsidRPr="007272D6">
        <w:rPr>
          <w:rFonts w:ascii="Book Antiqua" w:hAnsi="Book Antiqua"/>
          <w:i/>
          <w:iCs/>
        </w:rPr>
        <w:t xml:space="preserve"> Med</w:t>
      </w:r>
      <w:r w:rsidRPr="007272D6">
        <w:rPr>
          <w:rFonts w:ascii="Book Antiqua" w:hAnsi="Book Antiqua"/>
        </w:rPr>
        <w:t xml:space="preserve"> 2014; </w:t>
      </w:r>
      <w:r w:rsidRPr="007272D6">
        <w:rPr>
          <w:rFonts w:ascii="Book Antiqua" w:hAnsi="Book Antiqua"/>
          <w:b/>
          <w:bCs/>
        </w:rPr>
        <w:t>11</w:t>
      </w:r>
      <w:r w:rsidRPr="007272D6">
        <w:rPr>
          <w:rFonts w:ascii="Book Antiqua" w:hAnsi="Book Antiqua"/>
        </w:rPr>
        <w:t>: e1001624 [PMID: 24691105 DOI: 10.1371/journal.pmed.1001624]</w:t>
      </w:r>
    </w:p>
    <w:p w14:paraId="738A0695" w14:textId="77777777" w:rsidR="00F73752" w:rsidRPr="007272D6" w:rsidRDefault="00F73752" w:rsidP="00F73752">
      <w:pPr>
        <w:spacing w:line="360" w:lineRule="auto"/>
        <w:jc w:val="both"/>
        <w:rPr>
          <w:rFonts w:ascii="Book Antiqua" w:hAnsi="Book Antiqua"/>
        </w:rPr>
      </w:pPr>
      <w:r w:rsidRPr="007272D6">
        <w:rPr>
          <w:rFonts w:ascii="Book Antiqua" w:hAnsi="Book Antiqua"/>
        </w:rPr>
        <w:t xml:space="preserve">6 </w:t>
      </w:r>
      <w:r w:rsidRPr="007272D6">
        <w:rPr>
          <w:rFonts w:ascii="Book Antiqua" w:hAnsi="Book Antiqua"/>
          <w:b/>
          <w:bCs/>
        </w:rPr>
        <w:t>Wallace MC</w:t>
      </w:r>
      <w:r w:rsidRPr="007272D6">
        <w:rPr>
          <w:rFonts w:ascii="Book Antiqua" w:hAnsi="Book Antiqua"/>
        </w:rPr>
        <w:t xml:space="preserve">, Preen DB, Short MW, Adams LA, Jeffrey GP. Hepatocellular carcinoma in Australia 1982-2014: Increasing incidence and improving survival. </w:t>
      </w:r>
      <w:r w:rsidRPr="007272D6">
        <w:rPr>
          <w:rFonts w:ascii="Book Antiqua" w:hAnsi="Book Antiqua"/>
          <w:i/>
          <w:iCs/>
        </w:rPr>
        <w:t>Liver Int</w:t>
      </w:r>
      <w:r w:rsidRPr="007272D6">
        <w:rPr>
          <w:rFonts w:ascii="Book Antiqua" w:hAnsi="Book Antiqua"/>
        </w:rPr>
        <w:t xml:space="preserve"> 2019; </w:t>
      </w:r>
      <w:r w:rsidRPr="007272D6">
        <w:rPr>
          <w:rFonts w:ascii="Book Antiqua" w:hAnsi="Book Antiqua"/>
          <w:b/>
          <w:bCs/>
        </w:rPr>
        <w:t>39</w:t>
      </w:r>
      <w:r w:rsidRPr="007272D6">
        <w:rPr>
          <w:rFonts w:ascii="Book Antiqua" w:hAnsi="Book Antiqua"/>
        </w:rPr>
        <w:t>: 522-530 [PMID: 30230194 DOI: 10.1111/liv.13966]</w:t>
      </w:r>
    </w:p>
    <w:p w14:paraId="112B8269" w14:textId="77777777" w:rsidR="00F73752" w:rsidRPr="007272D6" w:rsidRDefault="00F73752" w:rsidP="00F73752">
      <w:pPr>
        <w:spacing w:line="360" w:lineRule="auto"/>
        <w:jc w:val="both"/>
        <w:rPr>
          <w:rFonts w:ascii="Book Antiqua" w:hAnsi="Book Antiqua"/>
        </w:rPr>
      </w:pPr>
      <w:r w:rsidRPr="007272D6">
        <w:rPr>
          <w:rFonts w:ascii="Book Antiqua" w:hAnsi="Book Antiqua"/>
        </w:rPr>
        <w:t xml:space="preserve">7 </w:t>
      </w:r>
      <w:proofErr w:type="spellStart"/>
      <w:r w:rsidRPr="007272D6">
        <w:rPr>
          <w:rFonts w:ascii="Book Antiqua" w:hAnsi="Book Antiqua"/>
          <w:b/>
          <w:bCs/>
        </w:rPr>
        <w:t>Llovet</w:t>
      </w:r>
      <w:proofErr w:type="spellEnd"/>
      <w:r w:rsidRPr="007272D6">
        <w:rPr>
          <w:rFonts w:ascii="Book Antiqua" w:hAnsi="Book Antiqua"/>
          <w:b/>
          <w:bCs/>
        </w:rPr>
        <w:t xml:space="preserve"> JM</w:t>
      </w:r>
      <w:r w:rsidRPr="007272D6">
        <w:rPr>
          <w:rFonts w:ascii="Book Antiqua" w:hAnsi="Book Antiqua"/>
        </w:rPr>
        <w:t xml:space="preserve">, Schwartz M, Mazzaferro V. Resection and liver transplantation for hepatocellular carcinoma. </w:t>
      </w:r>
      <w:r w:rsidRPr="007272D6">
        <w:rPr>
          <w:rFonts w:ascii="Book Antiqua" w:hAnsi="Book Antiqua"/>
          <w:i/>
          <w:iCs/>
        </w:rPr>
        <w:t>Semin Liver Dis</w:t>
      </w:r>
      <w:r w:rsidRPr="007272D6">
        <w:rPr>
          <w:rFonts w:ascii="Book Antiqua" w:hAnsi="Book Antiqua"/>
        </w:rPr>
        <w:t xml:space="preserve"> 2005; </w:t>
      </w:r>
      <w:r w:rsidRPr="007272D6">
        <w:rPr>
          <w:rFonts w:ascii="Book Antiqua" w:hAnsi="Book Antiqua"/>
          <w:b/>
          <w:bCs/>
        </w:rPr>
        <w:t>25</w:t>
      </w:r>
      <w:r w:rsidRPr="007272D6">
        <w:rPr>
          <w:rFonts w:ascii="Book Antiqua" w:hAnsi="Book Antiqua"/>
        </w:rPr>
        <w:t>: 181-200 [PMID: 15918147 DOI: 10.1055/s-2005-871198]</w:t>
      </w:r>
    </w:p>
    <w:p w14:paraId="4D36A86C" w14:textId="77777777" w:rsidR="00F73752" w:rsidRPr="007272D6" w:rsidRDefault="00F73752" w:rsidP="00F73752">
      <w:pPr>
        <w:spacing w:line="360" w:lineRule="auto"/>
        <w:jc w:val="both"/>
        <w:rPr>
          <w:rFonts w:ascii="Book Antiqua" w:hAnsi="Book Antiqua"/>
        </w:rPr>
      </w:pPr>
      <w:r w:rsidRPr="007272D6">
        <w:rPr>
          <w:rFonts w:ascii="Book Antiqua" w:hAnsi="Book Antiqua"/>
        </w:rPr>
        <w:t xml:space="preserve">8 </w:t>
      </w:r>
      <w:r w:rsidRPr="007272D6">
        <w:rPr>
          <w:rFonts w:ascii="Book Antiqua" w:hAnsi="Book Antiqua"/>
          <w:b/>
          <w:bCs/>
        </w:rPr>
        <w:t>Mazzaferro V</w:t>
      </w:r>
      <w:r w:rsidRPr="007272D6">
        <w:rPr>
          <w:rFonts w:ascii="Book Antiqua" w:hAnsi="Book Antiqua"/>
        </w:rPr>
        <w:t xml:space="preserve">, Regalia E, </w:t>
      </w:r>
      <w:proofErr w:type="spellStart"/>
      <w:r w:rsidRPr="007272D6">
        <w:rPr>
          <w:rFonts w:ascii="Book Antiqua" w:hAnsi="Book Antiqua"/>
        </w:rPr>
        <w:t>Doci</w:t>
      </w:r>
      <w:proofErr w:type="spellEnd"/>
      <w:r w:rsidRPr="007272D6">
        <w:rPr>
          <w:rFonts w:ascii="Book Antiqua" w:hAnsi="Book Antiqua"/>
        </w:rPr>
        <w:t xml:space="preserve"> R, </w:t>
      </w:r>
      <w:proofErr w:type="spellStart"/>
      <w:r w:rsidRPr="007272D6">
        <w:rPr>
          <w:rFonts w:ascii="Book Antiqua" w:hAnsi="Book Antiqua"/>
        </w:rPr>
        <w:t>Andreola</w:t>
      </w:r>
      <w:proofErr w:type="spellEnd"/>
      <w:r w:rsidRPr="007272D6">
        <w:rPr>
          <w:rFonts w:ascii="Book Antiqua" w:hAnsi="Book Antiqua"/>
        </w:rPr>
        <w:t xml:space="preserve"> S, </w:t>
      </w:r>
      <w:proofErr w:type="spellStart"/>
      <w:r w:rsidRPr="007272D6">
        <w:rPr>
          <w:rFonts w:ascii="Book Antiqua" w:hAnsi="Book Antiqua"/>
        </w:rPr>
        <w:t>Pulvirenti</w:t>
      </w:r>
      <w:proofErr w:type="spellEnd"/>
      <w:r w:rsidRPr="007272D6">
        <w:rPr>
          <w:rFonts w:ascii="Book Antiqua" w:hAnsi="Book Antiqua"/>
        </w:rPr>
        <w:t xml:space="preserve"> A, Bozzetti F, Montalto F, </w:t>
      </w:r>
      <w:proofErr w:type="spellStart"/>
      <w:r w:rsidRPr="007272D6">
        <w:rPr>
          <w:rFonts w:ascii="Book Antiqua" w:hAnsi="Book Antiqua"/>
        </w:rPr>
        <w:t>Ammatuna</w:t>
      </w:r>
      <w:proofErr w:type="spellEnd"/>
      <w:r w:rsidRPr="007272D6">
        <w:rPr>
          <w:rFonts w:ascii="Book Antiqua" w:hAnsi="Book Antiqua"/>
        </w:rPr>
        <w:t xml:space="preserve"> M, Morabito A, </w:t>
      </w:r>
      <w:proofErr w:type="spellStart"/>
      <w:r w:rsidRPr="007272D6">
        <w:rPr>
          <w:rFonts w:ascii="Book Antiqua" w:hAnsi="Book Antiqua"/>
        </w:rPr>
        <w:t>Gennari</w:t>
      </w:r>
      <w:proofErr w:type="spellEnd"/>
      <w:r w:rsidRPr="007272D6">
        <w:rPr>
          <w:rFonts w:ascii="Book Antiqua" w:hAnsi="Book Antiqua"/>
        </w:rPr>
        <w:t xml:space="preserve"> L. Liver transplantation for the treatment of small </w:t>
      </w:r>
      <w:r w:rsidRPr="007272D6">
        <w:rPr>
          <w:rFonts w:ascii="Book Antiqua" w:hAnsi="Book Antiqua"/>
        </w:rPr>
        <w:lastRenderedPageBreak/>
        <w:t xml:space="preserve">hepatocellular carcinomas in patients with cirrhosis. </w:t>
      </w:r>
      <w:r w:rsidRPr="007272D6">
        <w:rPr>
          <w:rFonts w:ascii="Book Antiqua" w:hAnsi="Book Antiqua"/>
          <w:i/>
          <w:iCs/>
        </w:rPr>
        <w:t xml:space="preserve">N </w:t>
      </w:r>
      <w:proofErr w:type="spellStart"/>
      <w:r w:rsidRPr="007272D6">
        <w:rPr>
          <w:rFonts w:ascii="Book Antiqua" w:hAnsi="Book Antiqua"/>
          <w:i/>
          <w:iCs/>
        </w:rPr>
        <w:t>Engl</w:t>
      </w:r>
      <w:proofErr w:type="spellEnd"/>
      <w:r w:rsidRPr="007272D6">
        <w:rPr>
          <w:rFonts w:ascii="Book Antiqua" w:hAnsi="Book Antiqua"/>
          <w:i/>
          <w:iCs/>
        </w:rPr>
        <w:t xml:space="preserve"> J Med</w:t>
      </w:r>
      <w:r w:rsidRPr="007272D6">
        <w:rPr>
          <w:rFonts w:ascii="Book Antiqua" w:hAnsi="Book Antiqua"/>
        </w:rPr>
        <w:t xml:space="preserve"> 1996; </w:t>
      </w:r>
      <w:r w:rsidRPr="007272D6">
        <w:rPr>
          <w:rFonts w:ascii="Book Antiqua" w:hAnsi="Book Antiqua"/>
          <w:b/>
          <w:bCs/>
        </w:rPr>
        <w:t>334</w:t>
      </w:r>
      <w:r w:rsidRPr="007272D6">
        <w:rPr>
          <w:rFonts w:ascii="Book Antiqua" w:hAnsi="Book Antiqua"/>
        </w:rPr>
        <w:t>: 693-699 [PMID: 8594428 DOI: 10.1056/NEJM199603143341104]</w:t>
      </w:r>
    </w:p>
    <w:p w14:paraId="44E80C81" w14:textId="77777777" w:rsidR="00F73752" w:rsidRPr="007272D6" w:rsidRDefault="00F73752" w:rsidP="00F73752">
      <w:pPr>
        <w:spacing w:line="360" w:lineRule="auto"/>
        <w:jc w:val="both"/>
        <w:rPr>
          <w:rFonts w:ascii="Book Antiqua" w:hAnsi="Book Antiqua"/>
        </w:rPr>
      </w:pPr>
      <w:r w:rsidRPr="007272D6">
        <w:rPr>
          <w:rFonts w:ascii="Book Antiqua" w:hAnsi="Book Antiqua"/>
        </w:rPr>
        <w:t xml:space="preserve">9 </w:t>
      </w:r>
      <w:r w:rsidRPr="007272D6">
        <w:rPr>
          <w:rFonts w:ascii="Book Antiqua" w:hAnsi="Book Antiqua"/>
          <w:b/>
          <w:bCs/>
        </w:rPr>
        <w:t>Yao FY,</w:t>
      </w:r>
      <w:r w:rsidRPr="007272D6">
        <w:rPr>
          <w:rFonts w:ascii="Book Antiqua" w:hAnsi="Book Antiqua"/>
        </w:rPr>
        <w:t xml:space="preserve"> Ferrell L, Bass NM, Watson JJ, </w:t>
      </w:r>
      <w:proofErr w:type="spellStart"/>
      <w:r w:rsidRPr="007272D6">
        <w:rPr>
          <w:rFonts w:ascii="Book Antiqua" w:hAnsi="Book Antiqua"/>
        </w:rPr>
        <w:t>Bacchetti</w:t>
      </w:r>
      <w:proofErr w:type="spellEnd"/>
      <w:r w:rsidRPr="007272D6">
        <w:rPr>
          <w:rFonts w:ascii="Book Antiqua" w:hAnsi="Book Antiqua"/>
        </w:rPr>
        <w:t xml:space="preserve"> P, </w:t>
      </w:r>
      <w:proofErr w:type="spellStart"/>
      <w:r w:rsidRPr="007272D6">
        <w:rPr>
          <w:rFonts w:ascii="Book Antiqua" w:hAnsi="Book Antiqua"/>
        </w:rPr>
        <w:t>Venook</w:t>
      </w:r>
      <w:proofErr w:type="spellEnd"/>
      <w:r w:rsidRPr="007272D6">
        <w:rPr>
          <w:rFonts w:ascii="Book Antiqua" w:hAnsi="Book Antiqua"/>
        </w:rPr>
        <w:t xml:space="preserve"> A, Ascher NL, Roberts JP. Liver transplantation for hepatocellular carcinoma: expansion of the tumor size limits does not adversely impact survival. </w:t>
      </w:r>
      <w:r w:rsidRPr="00E3745F">
        <w:rPr>
          <w:rFonts w:ascii="Book Antiqua" w:hAnsi="Book Antiqua"/>
          <w:i/>
          <w:iCs/>
        </w:rPr>
        <w:t>Hepatology</w:t>
      </w:r>
      <w:r w:rsidRPr="007272D6">
        <w:rPr>
          <w:rFonts w:ascii="Book Antiqua" w:hAnsi="Book Antiqua"/>
        </w:rPr>
        <w:t xml:space="preserve"> 2001;</w:t>
      </w:r>
      <w:r>
        <w:rPr>
          <w:rFonts w:ascii="Book Antiqua" w:hAnsi="Book Antiqua"/>
        </w:rPr>
        <w:t xml:space="preserve"> </w:t>
      </w:r>
      <w:r w:rsidRPr="00E3745F">
        <w:rPr>
          <w:rFonts w:ascii="Book Antiqua" w:hAnsi="Book Antiqua"/>
          <w:b/>
          <w:bCs/>
        </w:rPr>
        <w:t>33</w:t>
      </w:r>
      <w:r w:rsidRPr="007272D6">
        <w:rPr>
          <w:rFonts w:ascii="Book Antiqua" w:hAnsi="Book Antiqua"/>
        </w:rPr>
        <w:t>:</w:t>
      </w:r>
      <w:r>
        <w:rPr>
          <w:rFonts w:ascii="Book Antiqua" w:hAnsi="Book Antiqua"/>
        </w:rPr>
        <w:t xml:space="preserve"> </w:t>
      </w:r>
      <w:r w:rsidRPr="007272D6">
        <w:rPr>
          <w:rFonts w:ascii="Book Antiqua" w:hAnsi="Book Antiqua"/>
        </w:rPr>
        <w:t>1394-</w:t>
      </w:r>
      <w:r>
        <w:rPr>
          <w:rFonts w:ascii="Book Antiqua" w:hAnsi="Book Antiqua"/>
        </w:rPr>
        <w:t>1</w:t>
      </w:r>
      <w:r w:rsidRPr="007272D6">
        <w:rPr>
          <w:rFonts w:ascii="Book Antiqua" w:hAnsi="Book Antiqua"/>
        </w:rPr>
        <w:t>403</w:t>
      </w:r>
      <w:r>
        <w:rPr>
          <w:rFonts w:ascii="Book Antiqua" w:hAnsi="Book Antiqua"/>
        </w:rPr>
        <w:t xml:space="preserve"> </w:t>
      </w:r>
      <w:r w:rsidRPr="007272D6">
        <w:rPr>
          <w:rFonts w:ascii="Book Antiqua" w:hAnsi="Book Antiqua"/>
        </w:rPr>
        <w:t>[DOI:</w:t>
      </w:r>
      <w:r w:rsidRPr="00011B55">
        <w:t xml:space="preserve"> </w:t>
      </w:r>
      <w:r w:rsidRPr="00011B55">
        <w:rPr>
          <w:rFonts w:ascii="Book Antiqua" w:hAnsi="Book Antiqua"/>
        </w:rPr>
        <w:t>10.1016/S0016-5085(01)80268-7</w:t>
      </w:r>
      <w:r w:rsidRPr="007272D6">
        <w:rPr>
          <w:rFonts w:ascii="Book Antiqua" w:hAnsi="Book Antiqua"/>
        </w:rPr>
        <w:t>]</w:t>
      </w:r>
    </w:p>
    <w:p w14:paraId="15347F77" w14:textId="77777777" w:rsidR="00F73752" w:rsidRPr="007272D6" w:rsidRDefault="00F73752" w:rsidP="00F73752">
      <w:pPr>
        <w:spacing w:line="360" w:lineRule="auto"/>
        <w:jc w:val="both"/>
        <w:rPr>
          <w:rFonts w:ascii="Book Antiqua" w:hAnsi="Book Antiqua"/>
        </w:rPr>
      </w:pPr>
      <w:r w:rsidRPr="007272D6">
        <w:rPr>
          <w:rFonts w:ascii="Book Antiqua" w:hAnsi="Book Antiqua"/>
        </w:rPr>
        <w:t xml:space="preserve">10 </w:t>
      </w:r>
      <w:proofErr w:type="spellStart"/>
      <w:r w:rsidRPr="003E7665">
        <w:rPr>
          <w:rFonts w:ascii="Book Antiqua" w:hAnsi="Book Antiqua"/>
          <w:b/>
          <w:bCs/>
        </w:rPr>
        <w:t>Pompili</w:t>
      </w:r>
      <w:proofErr w:type="spellEnd"/>
      <w:r w:rsidRPr="003E7665">
        <w:rPr>
          <w:rFonts w:ascii="Book Antiqua" w:hAnsi="Book Antiqua"/>
          <w:b/>
          <w:bCs/>
        </w:rPr>
        <w:t xml:space="preserve"> M</w:t>
      </w:r>
      <w:r w:rsidRPr="00F46C70">
        <w:rPr>
          <w:rFonts w:ascii="Book Antiqua" w:hAnsi="Book Antiqua"/>
        </w:rPr>
        <w:t xml:space="preserve">, Saviano A, de </w:t>
      </w:r>
      <w:proofErr w:type="spellStart"/>
      <w:r w:rsidRPr="00F46C70">
        <w:rPr>
          <w:rFonts w:ascii="Book Antiqua" w:hAnsi="Book Antiqua"/>
        </w:rPr>
        <w:t>Matthaeis</w:t>
      </w:r>
      <w:proofErr w:type="spellEnd"/>
      <w:r w:rsidRPr="00F46C70">
        <w:rPr>
          <w:rFonts w:ascii="Book Antiqua" w:hAnsi="Book Antiqua"/>
        </w:rPr>
        <w:t xml:space="preserve"> N, </w:t>
      </w:r>
      <w:proofErr w:type="spellStart"/>
      <w:r w:rsidRPr="00F46C70">
        <w:rPr>
          <w:rFonts w:ascii="Book Antiqua" w:hAnsi="Book Antiqua"/>
        </w:rPr>
        <w:t>Cucchetti</w:t>
      </w:r>
      <w:proofErr w:type="spellEnd"/>
      <w:r w:rsidRPr="00F46C70">
        <w:rPr>
          <w:rFonts w:ascii="Book Antiqua" w:hAnsi="Book Antiqua"/>
        </w:rPr>
        <w:t xml:space="preserve"> A, </w:t>
      </w:r>
      <w:proofErr w:type="spellStart"/>
      <w:r w:rsidRPr="00F46C70">
        <w:rPr>
          <w:rFonts w:ascii="Book Antiqua" w:hAnsi="Book Antiqua"/>
        </w:rPr>
        <w:t>Ardito</w:t>
      </w:r>
      <w:proofErr w:type="spellEnd"/>
      <w:r w:rsidRPr="00F46C70">
        <w:rPr>
          <w:rFonts w:ascii="Book Antiqua" w:hAnsi="Book Antiqua"/>
        </w:rPr>
        <w:t xml:space="preserve"> F, Federico B, Brunello F, Pinna AD, Giorgio A, </w:t>
      </w:r>
      <w:proofErr w:type="spellStart"/>
      <w:r w:rsidRPr="00F46C70">
        <w:rPr>
          <w:rFonts w:ascii="Book Antiqua" w:hAnsi="Book Antiqua"/>
        </w:rPr>
        <w:t>Giulini</w:t>
      </w:r>
      <w:proofErr w:type="spellEnd"/>
      <w:r w:rsidRPr="00F46C70">
        <w:rPr>
          <w:rFonts w:ascii="Book Antiqua" w:hAnsi="Book Antiqua"/>
        </w:rPr>
        <w:t xml:space="preserve"> SM, De </w:t>
      </w:r>
      <w:proofErr w:type="spellStart"/>
      <w:r w:rsidRPr="00F46C70">
        <w:rPr>
          <w:rFonts w:ascii="Book Antiqua" w:hAnsi="Book Antiqua"/>
        </w:rPr>
        <w:t>Sio</w:t>
      </w:r>
      <w:proofErr w:type="spellEnd"/>
      <w:r w:rsidRPr="00F46C70">
        <w:rPr>
          <w:rFonts w:ascii="Book Antiqua" w:hAnsi="Book Antiqua"/>
        </w:rPr>
        <w:t xml:space="preserve"> I, </w:t>
      </w:r>
      <w:proofErr w:type="spellStart"/>
      <w:r w:rsidRPr="00F46C70">
        <w:rPr>
          <w:rFonts w:ascii="Book Antiqua" w:hAnsi="Book Antiqua"/>
        </w:rPr>
        <w:t>Torzilli</w:t>
      </w:r>
      <w:proofErr w:type="spellEnd"/>
      <w:r w:rsidRPr="00F46C70">
        <w:rPr>
          <w:rFonts w:ascii="Book Antiqua" w:hAnsi="Book Antiqua"/>
        </w:rPr>
        <w:t xml:space="preserve"> G, </w:t>
      </w:r>
      <w:proofErr w:type="spellStart"/>
      <w:r w:rsidRPr="00F46C70">
        <w:rPr>
          <w:rFonts w:ascii="Book Antiqua" w:hAnsi="Book Antiqua"/>
        </w:rPr>
        <w:t>Fornari</w:t>
      </w:r>
      <w:proofErr w:type="spellEnd"/>
      <w:r w:rsidRPr="00F46C70">
        <w:rPr>
          <w:rFonts w:ascii="Book Antiqua" w:hAnsi="Book Antiqua"/>
        </w:rPr>
        <w:t xml:space="preserve"> F, </w:t>
      </w:r>
      <w:proofErr w:type="spellStart"/>
      <w:r w:rsidRPr="00F46C70">
        <w:rPr>
          <w:rFonts w:ascii="Book Antiqua" w:hAnsi="Book Antiqua"/>
        </w:rPr>
        <w:t>Capussotti</w:t>
      </w:r>
      <w:proofErr w:type="spellEnd"/>
      <w:r w:rsidRPr="00F46C70">
        <w:rPr>
          <w:rFonts w:ascii="Book Antiqua" w:hAnsi="Book Antiqua"/>
        </w:rPr>
        <w:t xml:space="preserve"> L, </w:t>
      </w:r>
      <w:proofErr w:type="spellStart"/>
      <w:r w:rsidRPr="00F46C70">
        <w:rPr>
          <w:rFonts w:ascii="Book Antiqua" w:hAnsi="Book Antiqua"/>
        </w:rPr>
        <w:t>Guglielmi</w:t>
      </w:r>
      <w:proofErr w:type="spellEnd"/>
      <w:r w:rsidRPr="00F46C70">
        <w:rPr>
          <w:rFonts w:ascii="Book Antiqua" w:hAnsi="Book Antiqua"/>
        </w:rPr>
        <w:t xml:space="preserve"> A, </w:t>
      </w:r>
      <w:proofErr w:type="spellStart"/>
      <w:r w:rsidRPr="00F46C70">
        <w:rPr>
          <w:rFonts w:ascii="Book Antiqua" w:hAnsi="Book Antiqua"/>
        </w:rPr>
        <w:t>Piscaglia</w:t>
      </w:r>
      <w:proofErr w:type="spellEnd"/>
      <w:r w:rsidRPr="00F46C70">
        <w:rPr>
          <w:rFonts w:ascii="Book Antiqua" w:hAnsi="Book Antiqua"/>
        </w:rPr>
        <w:t xml:space="preserve"> F, </w:t>
      </w:r>
      <w:proofErr w:type="spellStart"/>
      <w:r w:rsidRPr="00F46C70">
        <w:rPr>
          <w:rFonts w:ascii="Book Antiqua" w:hAnsi="Book Antiqua"/>
        </w:rPr>
        <w:t>Aldrighetti</w:t>
      </w:r>
      <w:proofErr w:type="spellEnd"/>
      <w:r w:rsidRPr="00F46C70">
        <w:rPr>
          <w:rFonts w:ascii="Book Antiqua" w:hAnsi="Book Antiqua"/>
        </w:rPr>
        <w:t xml:space="preserve"> L, </w:t>
      </w:r>
      <w:proofErr w:type="spellStart"/>
      <w:r w:rsidRPr="00F46C70">
        <w:rPr>
          <w:rFonts w:ascii="Book Antiqua" w:hAnsi="Book Antiqua"/>
        </w:rPr>
        <w:t>Caturelli</w:t>
      </w:r>
      <w:proofErr w:type="spellEnd"/>
      <w:r w:rsidRPr="00F46C70">
        <w:rPr>
          <w:rFonts w:ascii="Book Antiqua" w:hAnsi="Book Antiqua"/>
        </w:rPr>
        <w:t xml:space="preserve"> E, </w:t>
      </w:r>
      <w:proofErr w:type="spellStart"/>
      <w:r w:rsidRPr="00F46C70">
        <w:rPr>
          <w:rFonts w:ascii="Book Antiqua" w:hAnsi="Book Antiqua"/>
        </w:rPr>
        <w:t>Calise</w:t>
      </w:r>
      <w:proofErr w:type="spellEnd"/>
      <w:r w:rsidRPr="00F46C70">
        <w:rPr>
          <w:rFonts w:ascii="Book Antiqua" w:hAnsi="Book Antiqua"/>
        </w:rPr>
        <w:t xml:space="preserve"> F, Nuzzo G, </w:t>
      </w:r>
      <w:proofErr w:type="spellStart"/>
      <w:r w:rsidRPr="00F46C70">
        <w:rPr>
          <w:rFonts w:ascii="Book Antiqua" w:hAnsi="Book Antiqua"/>
        </w:rPr>
        <w:t>Rapaccini</w:t>
      </w:r>
      <w:proofErr w:type="spellEnd"/>
      <w:r w:rsidRPr="00F46C70">
        <w:rPr>
          <w:rFonts w:ascii="Book Antiqua" w:hAnsi="Book Antiqua"/>
        </w:rPr>
        <w:t xml:space="preserve"> GL, </w:t>
      </w:r>
      <w:proofErr w:type="spellStart"/>
      <w:r w:rsidRPr="00F46C70">
        <w:rPr>
          <w:rFonts w:ascii="Book Antiqua" w:hAnsi="Book Antiqua"/>
        </w:rPr>
        <w:t>Giu</w:t>
      </w:r>
      <w:r w:rsidRPr="00F46C70">
        <w:rPr>
          <w:rFonts w:ascii="Book Antiqua" w:hAnsi="Book Antiqua" w:hint="eastAsia"/>
        </w:rPr>
        <w:t>liante</w:t>
      </w:r>
      <w:proofErr w:type="spellEnd"/>
      <w:r w:rsidRPr="00F46C70">
        <w:rPr>
          <w:rFonts w:ascii="Book Antiqua" w:hAnsi="Book Antiqua" w:hint="eastAsia"/>
        </w:rPr>
        <w:t xml:space="preserve"> F. Long-term effectiveness of resection and radiofrequency ablation for single hepatocellular carcinoma </w:t>
      </w:r>
      <w:r w:rsidRPr="00F46C70">
        <w:rPr>
          <w:rFonts w:ascii="Book Antiqua" w:hAnsi="Book Antiqua" w:hint="eastAsia"/>
        </w:rPr>
        <w:t>≤</w:t>
      </w:r>
      <w:r w:rsidRPr="00F46C70">
        <w:rPr>
          <w:rFonts w:ascii="Book Antiqua" w:hAnsi="Book Antiqua" w:hint="eastAsia"/>
        </w:rPr>
        <w:t xml:space="preserve">3 cm. Results of a multicenter Italian survey. </w:t>
      </w:r>
      <w:r w:rsidRPr="00B32CD3">
        <w:rPr>
          <w:rFonts w:ascii="Book Antiqua" w:hAnsi="Book Antiqua" w:hint="eastAsia"/>
          <w:i/>
          <w:iCs/>
        </w:rPr>
        <w:t>J Hepatol</w:t>
      </w:r>
      <w:r w:rsidRPr="00F46C70">
        <w:rPr>
          <w:rFonts w:ascii="Book Antiqua" w:hAnsi="Book Antiqua" w:hint="eastAsia"/>
        </w:rPr>
        <w:t xml:space="preserve"> 2013; </w:t>
      </w:r>
      <w:r w:rsidRPr="00B32CD3">
        <w:rPr>
          <w:rFonts w:ascii="Book Antiqua" w:hAnsi="Book Antiqua" w:hint="eastAsia"/>
          <w:b/>
          <w:bCs/>
        </w:rPr>
        <w:t>59</w:t>
      </w:r>
      <w:r w:rsidRPr="00F46C70">
        <w:rPr>
          <w:rFonts w:ascii="Book Antiqua" w:hAnsi="Book Antiqua" w:hint="eastAsia"/>
        </w:rPr>
        <w:t>: 89-97</w:t>
      </w:r>
      <w:r w:rsidRPr="007272D6">
        <w:rPr>
          <w:rFonts w:ascii="Book Antiqua" w:hAnsi="Book Antiqua"/>
        </w:rPr>
        <w:t xml:space="preserve"> [</w:t>
      </w:r>
      <w:r w:rsidRPr="009D2597">
        <w:rPr>
          <w:rFonts w:ascii="Book Antiqua" w:hAnsi="Book Antiqua"/>
        </w:rPr>
        <w:t>PM</w:t>
      </w:r>
      <w:r>
        <w:rPr>
          <w:rFonts w:ascii="Book Antiqua" w:hAnsi="Book Antiqua"/>
        </w:rPr>
        <w:t>ID</w:t>
      </w:r>
      <w:r w:rsidRPr="009D2597">
        <w:rPr>
          <w:rFonts w:ascii="Book Antiqua" w:hAnsi="Book Antiqua"/>
        </w:rPr>
        <w:t>:</w:t>
      </w:r>
      <w:r>
        <w:rPr>
          <w:rFonts w:ascii="Book Antiqua" w:hAnsi="Book Antiqua"/>
        </w:rPr>
        <w:t xml:space="preserve"> </w:t>
      </w:r>
      <w:r w:rsidRPr="009D2597">
        <w:rPr>
          <w:rFonts w:ascii="Book Antiqua" w:hAnsi="Book Antiqua"/>
        </w:rPr>
        <w:t>23523578</w:t>
      </w:r>
      <w:r>
        <w:rPr>
          <w:rFonts w:ascii="Book Antiqua" w:hAnsi="Book Antiqua"/>
        </w:rPr>
        <w:t xml:space="preserve"> </w:t>
      </w:r>
      <w:r w:rsidRPr="007272D6">
        <w:rPr>
          <w:rFonts w:ascii="Book Antiqua" w:hAnsi="Book Antiqua"/>
        </w:rPr>
        <w:t>DOI:</w:t>
      </w:r>
      <w:r>
        <w:rPr>
          <w:rFonts w:ascii="Book Antiqua" w:hAnsi="Book Antiqua"/>
        </w:rPr>
        <w:t xml:space="preserve"> </w:t>
      </w:r>
      <w:r w:rsidRPr="007272D6">
        <w:rPr>
          <w:rFonts w:ascii="Book Antiqua" w:hAnsi="Book Antiqua"/>
        </w:rPr>
        <w:t>10.1016/j.jhep.2013.03.009]</w:t>
      </w:r>
    </w:p>
    <w:p w14:paraId="1A0AC077" w14:textId="77777777" w:rsidR="00F73752" w:rsidRPr="007272D6" w:rsidRDefault="00F73752" w:rsidP="00F73752">
      <w:pPr>
        <w:spacing w:line="360" w:lineRule="auto"/>
        <w:jc w:val="both"/>
        <w:rPr>
          <w:rFonts w:ascii="Book Antiqua" w:hAnsi="Book Antiqua"/>
        </w:rPr>
      </w:pPr>
      <w:r w:rsidRPr="007272D6">
        <w:rPr>
          <w:rFonts w:ascii="Book Antiqua" w:hAnsi="Book Antiqua"/>
        </w:rPr>
        <w:t xml:space="preserve">11 </w:t>
      </w:r>
      <w:r w:rsidRPr="007272D6">
        <w:rPr>
          <w:rFonts w:ascii="Book Antiqua" w:hAnsi="Book Antiqua"/>
          <w:b/>
          <w:bCs/>
        </w:rPr>
        <w:t>Cho YK,</w:t>
      </w:r>
      <w:r w:rsidRPr="007272D6">
        <w:rPr>
          <w:rFonts w:ascii="Book Antiqua" w:hAnsi="Book Antiqua"/>
        </w:rPr>
        <w:t xml:space="preserve"> </w:t>
      </w:r>
      <w:proofErr w:type="spellStart"/>
      <w:r w:rsidRPr="007272D6">
        <w:rPr>
          <w:rFonts w:ascii="Book Antiqua" w:hAnsi="Book Antiqua"/>
        </w:rPr>
        <w:t>Rhim</w:t>
      </w:r>
      <w:proofErr w:type="spellEnd"/>
      <w:r w:rsidRPr="007272D6">
        <w:rPr>
          <w:rFonts w:ascii="Book Antiqua" w:hAnsi="Book Antiqua"/>
        </w:rPr>
        <w:t xml:space="preserve"> H, Noh S. Radiofrequency ablation vs surgical resection as primary treatment of hepatocellular carcinoma meeting the Milan criteria: a systematic review. </w:t>
      </w:r>
      <w:r w:rsidRPr="00617596">
        <w:rPr>
          <w:rFonts w:ascii="Book Antiqua" w:hAnsi="Book Antiqua"/>
          <w:i/>
          <w:iCs/>
        </w:rPr>
        <w:t>J Gastroenterol Hepatol</w:t>
      </w:r>
      <w:r w:rsidRPr="007272D6">
        <w:rPr>
          <w:rFonts w:ascii="Book Antiqua" w:hAnsi="Book Antiqua"/>
        </w:rPr>
        <w:t xml:space="preserve"> 2011; </w:t>
      </w:r>
      <w:r w:rsidRPr="00617596">
        <w:rPr>
          <w:rFonts w:ascii="Book Antiqua" w:hAnsi="Book Antiqua"/>
          <w:b/>
          <w:bCs/>
        </w:rPr>
        <w:t>26</w:t>
      </w:r>
      <w:r w:rsidRPr="007272D6">
        <w:rPr>
          <w:rFonts w:ascii="Book Antiqua" w:hAnsi="Book Antiqua"/>
        </w:rPr>
        <w:t>: 1354-1360 [</w:t>
      </w:r>
      <w:r>
        <w:rPr>
          <w:rFonts w:ascii="Book Antiqua" w:hAnsi="Book Antiqua"/>
        </w:rPr>
        <w:t xml:space="preserve">PMID: </w:t>
      </w:r>
      <w:r w:rsidRPr="00903924">
        <w:rPr>
          <w:rFonts w:ascii="Book Antiqua" w:hAnsi="Book Antiqua"/>
        </w:rPr>
        <w:t>21679247</w:t>
      </w:r>
      <w:r>
        <w:rPr>
          <w:rFonts w:ascii="Book Antiqua" w:hAnsi="Book Antiqua"/>
        </w:rPr>
        <w:t xml:space="preserve"> </w:t>
      </w:r>
      <w:r w:rsidRPr="007272D6">
        <w:rPr>
          <w:rFonts w:ascii="Book Antiqua" w:hAnsi="Book Antiqua"/>
        </w:rPr>
        <w:t>DOI:</w:t>
      </w:r>
      <w:r>
        <w:rPr>
          <w:rFonts w:ascii="Book Antiqua" w:hAnsi="Book Antiqua"/>
        </w:rPr>
        <w:t xml:space="preserve"> </w:t>
      </w:r>
      <w:r w:rsidRPr="007272D6">
        <w:rPr>
          <w:rFonts w:ascii="Book Antiqua" w:hAnsi="Book Antiqua"/>
        </w:rPr>
        <w:t>10.1111/j.1440-1746.</w:t>
      </w:r>
      <w:proofErr w:type="gramStart"/>
      <w:r w:rsidRPr="007272D6">
        <w:rPr>
          <w:rFonts w:ascii="Book Antiqua" w:hAnsi="Book Antiqua"/>
        </w:rPr>
        <w:t>2011.06812.x</w:t>
      </w:r>
      <w:proofErr w:type="gramEnd"/>
      <w:r w:rsidRPr="007272D6">
        <w:rPr>
          <w:rFonts w:ascii="Book Antiqua" w:hAnsi="Book Antiqua"/>
        </w:rPr>
        <w:t>]</w:t>
      </w:r>
    </w:p>
    <w:p w14:paraId="29864C9B" w14:textId="77777777" w:rsidR="00F73752" w:rsidRPr="007272D6" w:rsidRDefault="00F73752" w:rsidP="00F73752">
      <w:pPr>
        <w:spacing w:line="360" w:lineRule="auto"/>
        <w:jc w:val="both"/>
        <w:rPr>
          <w:rFonts w:ascii="Book Antiqua" w:hAnsi="Book Antiqua"/>
        </w:rPr>
      </w:pPr>
      <w:r w:rsidRPr="007272D6">
        <w:rPr>
          <w:rFonts w:ascii="Book Antiqua" w:hAnsi="Book Antiqua"/>
        </w:rPr>
        <w:t xml:space="preserve">12 </w:t>
      </w:r>
      <w:r w:rsidRPr="007272D6">
        <w:rPr>
          <w:rFonts w:ascii="Book Antiqua" w:hAnsi="Book Antiqua"/>
          <w:b/>
          <w:bCs/>
        </w:rPr>
        <w:t>Li L</w:t>
      </w:r>
      <w:r w:rsidRPr="007272D6">
        <w:rPr>
          <w:rFonts w:ascii="Book Antiqua" w:hAnsi="Book Antiqua"/>
        </w:rPr>
        <w:t xml:space="preserve">, Zhang J, Liu X, Li X, Jiao B, Kang T. Clinical outcomes of radiofrequency ablation and surgical resection for small hepatocellular carcinoma: a meta-analysis. </w:t>
      </w:r>
      <w:r w:rsidRPr="007272D6">
        <w:rPr>
          <w:rFonts w:ascii="Book Antiqua" w:hAnsi="Book Antiqua"/>
          <w:i/>
          <w:iCs/>
        </w:rPr>
        <w:t>J Gastroenterol Hepatol</w:t>
      </w:r>
      <w:r w:rsidRPr="007272D6">
        <w:rPr>
          <w:rFonts w:ascii="Book Antiqua" w:hAnsi="Book Antiqua"/>
        </w:rPr>
        <w:t xml:space="preserve"> 2012; </w:t>
      </w:r>
      <w:r w:rsidRPr="007272D6">
        <w:rPr>
          <w:rFonts w:ascii="Book Antiqua" w:hAnsi="Book Antiqua"/>
          <w:b/>
          <w:bCs/>
        </w:rPr>
        <w:t>27</w:t>
      </w:r>
      <w:r w:rsidRPr="007272D6">
        <w:rPr>
          <w:rFonts w:ascii="Book Antiqua" w:hAnsi="Book Antiqua"/>
        </w:rPr>
        <w:t>: 51-58 [PMID: 22004366 DOI: 10.1111/j.1440-1746.</w:t>
      </w:r>
      <w:proofErr w:type="gramStart"/>
      <w:r w:rsidRPr="007272D6">
        <w:rPr>
          <w:rFonts w:ascii="Book Antiqua" w:hAnsi="Book Antiqua"/>
        </w:rPr>
        <w:t>2011.06947.x</w:t>
      </w:r>
      <w:proofErr w:type="gramEnd"/>
      <w:r w:rsidRPr="007272D6">
        <w:rPr>
          <w:rFonts w:ascii="Book Antiqua" w:hAnsi="Book Antiqua"/>
        </w:rPr>
        <w:t>]</w:t>
      </w:r>
    </w:p>
    <w:p w14:paraId="203592B4" w14:textId="77777777" w:rsidR="00F73752" w:rsidRPr="007272D6" w:rsidRDefault="00F73752" w:rsidP="00F73752">
      <w:pPr>
        <w:spacing w:line="360" w:lineRule="auto"/>
        <w:jc w:val="both"/>
        <w:rPr>
          <w:rFonts w:ascii="Book Antiqua" w:hAnsi="Book Antiqua"/>
        </w:rPr>
      </w:pPr>
      <w:r w:rsidRPr="007272D6">
        <w:rPr>
          <w:rFonts w:ascii="Book Antiqua" w:hAnsi="Book Antiqua"/>
        </w:rPr>
        <w:t xml:space="preserve">13 </w:t>
      </w:r>
      <w:r w:rsidRPr="007272D6">
        <w:rPr>
          <w:rFonts w:ascii="Book Antiqua" w:hAnsi="Book Antiqua"/>
          <w:b/>
          <w:bCs/>
        </w:rPr>
        <w:t>Xu XL,</w:t>
      </w:r>
      <w:r w:rsidRPr="007272D6">
        <w:rPr>
          <w:rFonts w:ascii="Book Antiqua" w:hAnsi="Book Antiqua"/>
        </w:rPr>
        <w:t xml:space="preserve"> Liu XD, Liang M, Luo BM. Radiofrequency Ablation vs Hepatic Resection for Small Hepatocellular Carcinoma: Systematic Review of Randomized Controlled Trials with Meta-Analysis and Trial Sequential Analysis. </w:t>
      </w:r>
      <w:r w:rsidRPr="00FD05AD">
        <w:rPr>
          <w:rFonts w:ascii="Book Antiqua" w:hAnsi="Book Antiqua"/>
          <w:i/>
          <w:iCs/>
        </w:rPr>
        <w:t>Radiology</w:t>
      </w:r>
      <w:r w:rsidRPr="007272D6">
        <w:rPr>
          <w:rFonts w:ascii="Book Antiqua" w:hAnsi="Book Antiqua"/>
        </w:rPr>
        <w:t xml:space="preserve"> 2018;</w:t>
      </w:r>
      <w:r w:rsidRPr="00FD05AD">
        <w:rPr>
          <w:rFonts w:ascii="Book Antiqua" w:hAnsi="Book Antiqua"/>
          <w:b/>
          <w:bCs/>
        </w:rPr>
        <w:t xml:space="preserve"> 287</w:t>
      </w:r>
      <w:r w:rsidRPr="007272D6">
        <w:rPr>
          <w:rFonts w:ascii="Book Antiqua" w:hAnsi="Book Antiqua"/>
        </w:rPr>
        <w:t>: 461-472 [</w:t>
      </w:r>
      <w:r w:rsidRPr="00071758">
        <w:rPr>
          <w:rFonts w:ascii="Book Antiqua" w:hAnsi="Book Antiqua"/>
        </w:rPr>
        <w:t>PM</w:t>
      </w:r>
      <w:r>
        <w:rPr>
          <w:rFonts w:ascii="Book Antiqua" w:hAnsi="Book Antiqua"/>
        </w:rPr>
        <w:t>ID</w:t>
      </w:r>
      <w:r w:rsidRPr="00071758">
        <w:rPr>
          <w:rFonts w:ascii="Book Antiqua" w:hAnsi="Book Antiqua"/>
        </w:rPr>
        <w:t>:</w:t>
      </w:r>
      <w:r>
        <w:rPr>
          <w:rFonts w:ascii="Book Antiqua" w:hAnsi="Book Antiqua"/>
        </w:rPr>
        <w:t xml:space="preserve"> </w:t>
      </w:r>
      <w:r w:rsidRPr="00071758">
        <w:rPr>
          <w:rFonts w:ascii="Book Antiqua" w:hAnsi="Book Antiqua"/>
        </w:rPr>
        <w:t>29135366</w:t>
      </w:r>
      <w:r>
        <w:rPr>
          <w:rFonts w:ascii="Book Antiqua" w:hAnsi="Book Antiqua"/>
        </w:rPr>
        <w:t xml:space="preserve"> </w:t>
      </w:r>
      <w:r w:rsidRPr="007272D6">
        <w:rPr>
          <w:rFonts w:ascii="Book Antiqua" w:hAnsi="Book Antiqua"/>
        </w:rPr>
        <w:t>DOI:</w:t>
      </w:r>
      <w:r>
        <w:rPr>
          <w:rFonts w:ascii="Book Antiqua" w:hAnsi="Book Antiqua"/>
        </w:rPr>
        <w:t xml:space="preserve"> </w:t>
      </w:r>
      <w:r w:rsidRPr="007272D6">
        <w:rPr>
          <w:rFonts w:ascii="Book Antiqua" w:hAnsi="Book Antiqua"/>
        </w:rPr>
        <w:t>10.1148/radiol.2017162756]</w:t>
      </w:r>
    </w:p>
    <w:p w14:paraId="4249C64D" w14:textId="77777777" w:rsidR="00F73752" w:rsidRPr="007272D6" w:rsidRDefault="00F73752" w:rsidP="00F73752">
      <w:pPr>
        <w:spacing w:line="360" w:lineRule="auto"/>
        <w:jc w:val="both"/>
        <w:rPr>
          <w:rFonts w:ascii="Book Antiqua" w:hAnsi="Book Antiqua"/>
        </w:rPr>
      </w:pPr>
      <w:r w:rsidRPr="007272D6">
        <w:rPr>
          <w:rFonts w:ascii="Book Antiqua" w:hAnsi="Book Antiqua"/>
        </w:rPr>
        <w:t xml:space="preserve">14 </w:t>
      </w:r>
      <w:proofErr w:type="spellStart"/>
      <w:r w:rsidRPr="007272D6">
        <w:rPr>
          <w:rFonts w:ascii="Book Antiqua" w:hAnsi="Book Antiqua"/>
          <w:b/>
          <w:bCs/>
        </w:rPr>
        <w:t>Bruix</w:t>
      </w:r>
      <w:proofErr w:type="spellEnd"/>
      <w:r w:rsidRPr="007272D6">
        <w:rPr>
          <w:rFonts w:ascii="Book Antiqua" w:hAnsi="Book Antiqua"/>
          <w:b/>
          <w:bCs/>
        </w:rPr>
        <w:t xml:space="preserve"> J</w:t>
      </w:r>
      <w:r w:rsidRPr="007272D6">
        <w:rPr>
          <w:rFonts w:ascii="Book Antiqua" w:hAnsi="Book Antiqua"/>
        </w:rPr>
        <w:t xml:space="preserve">, Sherman M, </w:t>
      </w:r>
      <w:proofErr w:type="spellStart"/>
      <w:r w:rsidRPr="007272D6">
        <w:rPr>
          <w:rFonts w:ascii="Book Antiqua" w:hAnsi="Book Antiqua"/>
        </w:rPr>
        <w:t>Llovet</w:t>
      </w:r>
      <w:proofErr w:type="spellEnd"/>
      <w:r w:rsidRPr="007272D6">
        <w:rPr>
          <w:rFonts w:ascii="Book Antiqua" w:hAnsi="Book Antiqua"/>
        </w:rPr>
        <w:t xml:space="preserve"> JM, </w:t>
      </w:r>
      <w:proofErr w:type="spellStart"/>
      <w:r w:rsidRPr="007272D6">
        <w:rPr>
          <w:rFonts w:ascii="Book Antiqua" w:hAnsi="Book Antiqua"/>
        </w:rPr>
        <w:t>Beaugrand</w:t>
      </w:r>
      <w:proofErr w:type="spellEnd"/>
      <w:r w:rsidRPr="007272D6">
        <w:rPr>
          <w:rFonts w:ascii="Book Antiqua" w:hAnsi="Book Antiqua"/>
        </w:rPr>
        <w:t xml:space="preserve"> M, Lencioni R, Burroughs AK, Christensen E, Pagliaro L, Colombo M, </w:t>
      </w:r>
      <w:proofErr w:type="spellStart"/>
      <w:r w:rsidRPr="007272D6">
        <w:rPr>
          <w:rFonts w:ascii="Book Antiqua" w:hAnsi="Book Antiqua"/>
        </w:rPr>
        <w:t>Rodés</w:t>
      </w:r>
      <w:proofErr w:type="spellEnd"/>
      <w:r w:rsidRPr="007272D6">
        <w:rPr>
          <w:rFonts w:ascii="Book Antiqua" w:hAnsi="Book Antiqua"/>
        </w:rPr>
        <w:t xml:space="preserve"> J; EASL Panel of Experts on HCC. Clinical management of hepatocellular carcinoma. Conclusions of the Barcelona-2000 EASL conference. European Association for the Study of the Liver. </w:t>
      </w:r>
      <w:r w:rsidRPr="007272D6">
        <w:rPr>
          <w:rFonts w:ascii="Book Antiqua" w:hAnsi="Book Antiqua"/>
          <w:i/>
          <w:iCs/>
        </w:rPr>
        <w:t>J Hepatol</w:t>
      </w:r>
      <w:r w:rsidRPr="007272D6">
        <w:rPr>
          <w:rFonts w:ascii="Book Antiqua" w:hAnsi="Book Antiqua"/>
        </w:rPr>
        <w:t xml:space="preserve"> 2001; </w:t>
      </w:r>
      <w:r w:rsidRPr="007272D6">
        <w:rPr>
          <w:rFonts w:ascii="Book Antiqua" w:hAnsi="Book Antiqua"/>
          <w:b/>
          <w:bCs/>
        </w:rPr>
        <w:t>35</w:t>
      </w:r>
      <w:r w:rsidRPr="007272D6">
        <w:rPr>
          <w:rFonts w:ascii="Book Antiqua" w:hAnsi="Book Antiqua"/>
        </w:rPr>
        <w:t>: 421-430 [PMID: 11592607 DOI: 10.1016/s0168-8278(01)00130-1]</w:t>
      </w:r>
    </w:p>
    <w:p w14:paraId="234959AE" w14:textId="77777777" w:rsidR="00F73752" w:rsidRPr="007272D6" w:rsidRDefault="00F73752" w:rsidP="00F73752">
      <w:pPr>
        <w:spacing w:line="360" w:lineRule="auto"/>
        <w:jc w:val="both"/>
        <w:rPr>
          <w:rFonts w:ascii="Book Antiqua" w:hAnsi="Book Antiqua"/>
        </w:rPr>
      </w:pPr>
      <w:r w:rsidRPr="007272D6">
        <w:rPr>
          <w:rFonts w:ascii="Book Antiqua" w:hAnsi="Book Antiqua"/>
        </w:rPr>
        <w:lastRenderedPageBreak/>
        <w:t xml:space="preserve">15 </w:t>
      </w:r>
      <w:r w:rsidRPr="007272D6">
        <w:rPr>
          <w:rFonts w:ascii="Book Antiqua" w:hAnsi="Book Antiqua"/>
          <w:b/>
          <w:bCs/>
        </w:rPr>
        <w:t>Kamath PS,</w:t>
      </w:r>
      <w:r w:rsidRPr="007272D6">
        <w:rPr>
          <w:rFonts w:ascii="Book Antiqua" w:hAnsi="Book Antiqua"/>
        </w:rPr>
        <w:t xml:space="preserve"> Wiesner RH, </w:t>
      </w:r>
      <w:proofErr w:type="spellStart"/>
      <w:r w:rsidRPr="007272D6">
        <w:rPr>
          <w:rFonts w:ascii="Book Antiqua" w:hAnsi="Book Antiqua"/>
        </w:rPr>
        <w:t>Malinchoc</w:t>
      </w:r>
      <w:proofErr w:type="spellEnd"/>
      <w:r w:rsidRPr="007272D6">
        <w:rPr>
          <w:rFonts w:ascii="Book Antiqua" w:hAnsi="Book Antiqua"/>
        </w:rPr>
        <w:t xml:space="preserve"> M, </w:t>
      </w:r>
      <w:proofErr w:type="spellStart"/>
      <w:r w:rsidRPr="007272D6">
        <w:rPr>
          <w:rFonts w:ascii="Book Antiqua" w:hAnsi="Book Antiqua"/>
        </w:rPr>
        <w:t>Kremers</w:t>
      </w:r>
      <w:proofErr w:type="spellEnd"/>
      <w:r w:rsidRPr="007272D6">
        <w:rPr>
          <w:rFonts w:ascii="Book Antiqua" w:hAnsi="Book Antiqua"/>
        </w:rPr>
        <w:t xml:space="preserve"> W, </w:t>
      </w:r>
      <w:proofErr w:type="spellStart"/>
      <w:r w:rsidRPr="007272D6">
        <w:rPr>
          <w:rFonts w:ascii="Book Antiqua" w:hAnsi="Book Antiqua"/>
        </w:rPr>
        <w:t>Therneau</w:t>
      </w:r>
      <w:proofErr w:type="spellEnd"/>
      <w:r w:rsidRPr="007272D6">
        <w:rPr>
          <w:rFonts w:ascii="Book Antiqua" w:hAnsi="Book Antiqua"/>
        </w:rPr>
        <w:t xml:space="preserve"> TM, </w:t>
      </w:r>
      <w:proofErr w:type="spellStart"/>
      <w:r w:rsidRPr="007272D6">
        <w:rPr>
          <w:rFonts w:ascii="Book Antiqua" w:hAnsi="Book Antiqua"/>
        </w:rPr>
        <w:t>Kosberg</w:t>
      </w:r>
      <w:proofErr w:type="spellEnd"/>
      <w:r w:rsidRPr="007272D6">
        <w:rPr>
          <w:rFonts w:ascii="Book Antiqua" w:hAnsi="Book Antiqua"/>
        </w:rPr>
        <w:t xml:space="preserve"> CL, D'Amico G, Dickson ER, Kim WR. A model to predict survival in patients with end-stage liver disease. </w:t>
      </w:r>
      <w:r w:rsidRPr="00E3465F">
        <w:rPr>
          <w:rFonts w:ascii="Book Antiqua" w:hAnsi="Book Antiqua"/>
          <w:i/>
          <w:iCs/>
        </w:rPr>
        <w:t>Hepatology</w:t>
      </w:r>
      <w:r>
        <w:rPr>
          <w:rFonts w:ascii="Book Antiqua" w:hAnsi="Book Antiqua"/>
        </w:rPr>
        <w:t xml:space="preserve"> </w:t>
      </w:r>
      <w:r w:rsidRPr="007272D6">
        <w:rPr>
          <w:rFonts w:ascii="Book Antiqua" w:hAnsi="Book Antiqua"/>
        </w:rPr>
        <w:t>2001;</w:t>
      </w:r>
      <w:r>
        <w:rPr>
          <w:rFonts w:ascii="Book Antiqua" w:hAnsi="Book Antiqua"/>
        </w:rPr>
        <w:t xml:space="preserve"> </w:t>
      </w:r>
      <w:r w:rsidRPr="00E3465F">
        <w:rPr>
          <w:rFonts w:ascii="Book Antiqua" w:hAnsi="Book Antiqua"/>
          <w:b/>
          <w:bCs/>
        </w:rPr>
        <w:t>33</w:t>
      </w:r>
      <w:r w:rsidRPr="007272D6">
        <w:rPr>
          <w:rFonts w:ascii="Book Antiqua" w:hAnsi="Book Antiqua"/>
        </w:rPr>
        <w:t>:</w:t>
      </w:r>
      <w:r>
        <w:rPr>
          <w:rFonts w:ascii="Book Antiqua" w:hAnsi="Book Antiqua"/>
        </w:rPr>
        <w:t xml:space="preserve"> </w:t>
      </w:r>
      <w:r w:rsidRPr="007272D6">
        <w:rPr>
          <w:rFonts w:ascii="Book Antiqua" w:hAnsi="Book Antiqua"/>
        </w:rPr>
        <w:t>464-</w:t>
      </w:r>
      <w:r>
        <w:rPr>
          <w:rFonts w:ascii="Book Antiqua" w:hAnsi="Book Antiqua"/>
        </w:rPr>
        <w:t>4</w:t>
      </w:r>
      <w:r w:rsidRPr="007272D6">
        <w:rPr>
          <w:rFonts w:ascii="Book Antiqua" w:hAnsi="Book Antiqua"/>
        </w:rPr>
        <w:t>70</w:t>
      </w:r>
      <w:r>
        <w:rPr>
          <w:rFonts w:ascii="Book Antiqua" w:hAnsi="Book Antiqua"/>
        </w:rPr>
        <w:t xml:space="preserve"> [</w:t>
      </w:r>
      <w:r w:rsidRPr="00A210A3">
        <w:rPr>
          <w:rFonts w:ascii="Book Antiqua" w:hAnsi="Book Antiqua"/>
        </w:rPr>
        <w:t>PM</w:t>
      </w:r>
      <w:r>
        <w:rPr>
          <w:rFonts w:ascii="Book Antiqua" w:hAnsi="Book Antiqua"/>
        </w:rPr>
        <w:t>ID</w:t>
      </w:r>
      <w:r w:rsidRPr="00A210A3">
        <w:rPr>
          <w:rFonts w:ascii="Book Antiqua" w:hAnsi="Book Antiqua"/>
        </w:rPr>
        <w:t>:</w:t>
      </w:r>
      <w:r>
        <w:rPr>
          <w:rFonts w:ascii="Book Antiqua" w:hAnsi="Book Antiqua"/>
        </w:rPr>
        <w:t xml:space="preserve"> </w:t>
      </w:r>
      <w:r w:rsidRPr="00A210A3">
        <w:rPr>
          <w:rFonts w:ascii="Book Antiqua" w:hAnsi="Book Antiqua"/>
        </w:rPr>
        <w:t>11172350</w:t>
      </w:r>
      <w:r>
        <w:rPr>
          <w:rFonts w:ascii="Book Antiqua" w:hAnsi="Book Antiqua"/>
        </w:rPr>
        <w:t xml:space="preserve"> DOI: </w:t>
      </w:r>
      <w:r w:rsidRPr="0073483C">
        <w:rPr>
          <w:rFonts w:ascii="Book Antiqua" w:hAnsi="Book Antiqua"/>
        </w:rPr>
        <w:t>10.1053/jhep.2001.22172</w:t>
      </w:r>
      <w:r>
        <w:rPr>
          <w:rFonts w:ascii="Book Antiqua" w:hAnsi="Book Antiqua"/>
        </w:rPr>
        <w:t>]</w:t>
      </w:r>
    </w:p>
    <w:p w14:paraId="50023CA8" w14:textId="77777777" w:rsidR="00F73752" w:rsidRPr="007272D6" w:rsidRDefault="00F73752" w:rsidP="00F73752">
      <w:pPr>
        <w:spacing w:line="360" w:lineRule="auto"/>
        <w:jc w:val="both"/>
        <w:rPr>
          <w:rFonts w:ascii="Book Antiqua" w:hAnsi="Book Antiqua"/>
        </w:rPr>
      </w:pPr>
      <w:r w:rsidRPr="007272D6">
        <w:rPr>
          <w:rFonts w:ascii="Book Antiqua" w:hAnsi="Book Antiqua"/>
        </w:rPr>
        <w:t xml:space="preserve">16 </w:t>
      </w:r>
      <w:r w:rsidRPr="007272D6">
        <w:rPr>
          <w:rFonts w:ascii="Book Antiqua" w:hAnsi="Book Antiqua"/>
          <w:b/>
          <w:bCs/>
        </w:rPr>
        <w:t>Lencioni R</w:t>
      </w:r>
      <w:r w:rsidRPr="007272D6">
        <w:rPr>
          <w:rFonts w:ascii="Book Antiqua" w:hAnsi="Book Antiqua"/>
        </w:rPr>
        <w:t xml:space="preserve">, </w:t>
      </w:r>
      <w:proofErr w:type="spellStart"/>
      <w:r w:rsidRPr="007272D6">
        <w:rPr>
          <w:rFonts w:ascii="Book Antiqua" w:hAnsi="Book Antiqua"/>
        </w:rPr>
        <w:t>Llovet</w:t>
      </w:r>
      <w:proofErr w:type="spellEnd"/>
      <w:r w:rsidRPr="007272D6">
        <w:rPr>
          <w:rFonts w:ascii="Book Antiqua" w:hAnsi="Book Antiqua"/>
        </w:rPr>
        <w:t xml:space="preserve"> JM. Modified RECIST (</w:t>
      </w:r>
      <w:proofErr w:type="spellStart"/>
      <w:r w:rsidRPr="007272D6">
        <w:rPr>
          <w:rFonts w:ascii="Book Antiqua" w:hAnsi="Book Antiqua"/>
        </w:rPr>
        <w:t>mRECIST</w:t>
      </w:r>
      <w:proofErr w:type="spellEnd"/>
      <w:r w:rsidRPr="007272D6">
        <w:rPr>
          <w:rFonts w:ascii="Book Antiqua" w:hAnsi="Book Antiqua"/>
        </w:rPr>
        <w:t xml:space="preserve">) assessment for hepatocellular carcinoma. </w:t>
      </w:r>
      <w:r w:rsidRPr="007272D6">
        <w:rPr>
          <w:rFonts w:ascii="Book Antiqua" w:hAnsi="Book Antiqua"/>
          <w:i/>
          <w:iCs/>
        </w:rPr>
        <w:t>Semin Liver Dis</w:t>
      </w:r>
      <w:r w:rsidRPr="007272D6">
        <w:rPr>
          <w:rFonts w:ascii="Book Antiqua" w:hAnsi="Book Antiqua"/>
        </w:rPr>
        <w:t xml:space="preserve"> 2010; </w:t>
      </w:r>
      <w:r w:rsidRPr="007272D6">
        <w:rPr>
          <w:rFonts w:ascii="Book Antiqua" w:hAnsi="Book Antiqua"/>
          <w:b/>
          <w:bCs/>
        </w:rPr>
        <w:t>30</w:t>
      </w:r>
      <w:r w:rsidRPr="007272D6">
        <w:rPr>
          <w:rFonts w:ascii="Book Antiqua" w:hAnsi="Book Antiqua"/>
        </w:rPr>
        <w:t>: 52-60 [PMID: 20175033 DOI: 10.1055/s-0030-1247132]</w:t>
      </w:r>
    </w:p>
    <w:p w14:paraId="00DDC7B6" w14:textId="77777777" w:rsidR="00F73752" w:rsidRPr="007272D6" w:rsidRDefault="00F73752" w:rsidP="00F73752">
      <w:pPr>
        <w:spacing w:line="360" w:lineRule="auto"/>
        <w:jc w:val="both"/>
        <w:rPr>
          <w:rFonts w:ascii="Book Antiqua" w:hAnsi="Book Antiqua"/>
        </w:rPr>
      </w:pPr>
      <w:r w:rsidRPr="007272D6">
        <w:rPr>
          <w:rFonts w:ascii="Book Antiqua" w:hAnsi="Book Antiqua"/>
        </w:rPr>
        <w:t xml:space="preserve">17 </w:t>
      </w:r>
      <w:proofErr w:type="spellStart"/>
      <w:r w:rsidRPr="007272D6">
        <w:rPr>
          <w:rFonts w:ascii="Book Antiqua" w:hAnsi="Book Antiqua"/>
          <w:b/>
          <w:bCs/>
        </w:rPr>
        <w:t>Tsilimigras</w:t>
      </w:r>
      <w:proofErr w:type="spellEnd"/>
      <w:r w:rsidRPr="007272D6">
        <w:rPr>
          <w:rFonts w:ascii="Book Antiqua" w:hAnsi="Book Antiqua"/>
          <w:b/>
          <w:bCs/>
        </w:rPr>
        <w:t xml:space="preserve"> DI</w:t>
      </w:r>
      <w:r w:rsidRPr="007272D6">
        <w:rPr>
          <w:rFonts w:ascii="Book Antiqua" w:hAnsi="Book Antiqua"/>
        </w:rPr>
        <w:t xml:space="preserve">, </w:t>
      </w:r>
      <w:proofErr w:type="spellStart"/>
      <w:r w:rsidRPr="007272D6">
        <w:rPr>
          <w:rFonts w:ascii="Book Antiqua" w:hAnsi="Book Antiqua"/>
        </w:rPr>
        <w:t>Bagante</w:t>
      </w:r>
      <w:proofErr w:type="spellEnd"/>
      <w:r w:rsidRPr="007272D6">
        <w:rPr>
          <w:rFonts w:ascii="Book Antiqua" w:hAnsi="Book Antiqua"/>
        </w:rPr>
        <w:t xml:space="preserve"> F, Sahara K, </w:t>
      </w:r>
      <w:proofErr w:type="spellStart"/>
      <w:r w:rsidRPr="007272D6">
        <w:rPr>
          <w:rFonts w:ascii="Book Antiqua" w:hAnsi="Book Antiqua"/>
        </w:rPr>
        <w:t>Moris</w:t>
      </w:r>
      <w:proofErr w:type="spellEnd"/>
      <w:r w:rsidRPr="007272D6">
        <w:rPr>
          <w:rFonts w:ascii="Book Antiqua" w:hAnsi="Book Antiqua"/>
        </w:rPr>
        <w:t xml:space="preserve"> D, </w:t>
      </w:r>
      <w:proofErr w:type="spellStart"/>
      <w:r w:rsidRPr="007272D6">
        <w:rPr>
          <w:rFonts w:ascii="Book Antiqua" w:hAnsi="Book Antiqua"/>
        </w:rPr>
        <w:t>Hyer</w:t>
      </w:r>
      <w:proofErr w:type="spellEnd"/>
      <w:r w:rsidRPr="007272D6">
        <w:rPr>
          <w:rFonts w:ascii="Book Antiqua" w:hAnsi="Book Antiqua"/>
        </w:rPr>
        <w:t xml:space="preserve"> JM, Wu L, </w:t>
      </w:r>
      <w:proofErr w:type="spellStart"/>
      <w:r w:rsidRPr="007272D6">
        <w:rPr>
          <w:rFonts w:ascii="Book Antiqua" w:hAnsi="Book Antiqua"/>
        </w:rPr>
        <w:t>Ratti</w:t>
      </w:r>
      <w:proofErr w:type="spellEnd"/>
      <w:r w:rsidRPr="007272D6">
        <w:rPr>
          <w:rFonts w:ascii="Book Antiqua" w:hAnsi="Book Antiqua"/>
        </w:rPr>
        <w:t xml:space="preserve"> F, Marques HP, </w:t>
      </w:r>
      <w:proofErr w:type="spellStart"/>
      <w:r w:rsidRPr="007272D6">
        <w:rPr>
          <w:rFonts w:ascii="Book Antiqua" w:hAnsi="Book Antiqua"/>
        </w:rPr>
        <w:t>Soubrane</w:t>
      </w:r>
      <w:proofErr w:type="spellEnd"/>
      <w:r w:rsidRPr="007272D6">
        <w:rPr>
          <w:rFonts w:ascii="Book Antiqua" w:hAnsi="Book Antiqua"/>
        </w:rPr>
        <w:t xml:space="preserve"> O, Paredes AZ, Lam V, </w:t>
      </w:r>
      <w:proofErr w:type="spellStart"/>
      <w:r w:rsidRPr="007272D6">
        <w:rPr>
          <w:rFonts w:ascii="Book Antiqua" w:hAnsi="Book Antiqua"/>
        </w:rPr>
        <w:t>Poultsides</w:t>
      </w:r>
      <w:proofErr w:type="spellEnd"/>
      <w:r w:rsidRPr="007272D6">
        <w:rPr>
          <w:rFonts w:ascii="Book Antiqua" w:hAnsi="Book Antiqua"/>
        </w:rPr>
        <w:t xml:space="preserve"> GA, Popescu I, </w:t>
      </w:r>
      <w:proofErr w:type="spellStart"/>
      <w:r w:rsidRPr="007272D6">
        <w:rPr>
          <w:rFonts w:ascii="Book Antiqua" w:hAnsi="Book Antiqua"/>
        </w:rPr>
        <w:t>Alexandrescu</w:t>
      </w:r>
      <w:proofErr w:type="spellEnd"/>
      <w:r w:rsidRPr="007272D6">
        <w:rPr>
          <w:rFonts w:ascii="Book Antiqua" w:hAnsi="Book Antiqua"/>
        </w:rPr>
        <w:t xml:space="preserve"> S, Martel G, </w:t>
      </w:r>
      <w:proofErr w:type="spellStart"/>
      <w:r w:rsidRPr="007272D6">
        <w:rPr>
          <w:rFonts w:ascii="Book Antiqua" w:hAnsi="Book Antiqua"/>
        </w:rPr>
        <w:t>Workneh</w:t>
      </w:r>
      <w:proofErr w:type="spellEnd"/>
      <w:r w:rsidRPr="007272D6">
        <w:rPr>
          <w:rFonts w:ascii="Book Antiqua" w:hAnsi="Book Antiqua"/>
        </w:rPr>
        <w:t xml:space="preserve"> A, </w:t>
      </w:r>
      <w:proofErr w:type="spellStart"/>
      <w:r w:rsidRPr="007272D6">
        <w:rPr>
          <w:rFonts w:ascii="Book Antiqua" w:hAnsi="Book Antiqua"/>
        </w:rPr>
        <w:t>Guglielmi</w:t>
      </w:r>
      <w:proofErr w:type="spellEnd"/>
      <w:r w:rsidRPr="007272D6">
        <w:rPr>
          <w:rFonts w:ascii="Book Antiqua" w:hAnsi="Book Antiqua"/>
        </w:rPr>
        <w:t xml:space="preserve"> A, Hugh T, </w:t>
      </w:r>
      <w:proofErr w:type="spellStart"/>
      <w:r w:rsidRPr="007272D6">
        <w:rPr>
          <w:rFonts w:ascii="Book Antiqua" w:hAnsi="Book Antiqua"/>
        </w:rPr>
        <w:t>Aldrighetti</w:t>
      </w:r>
      <w:proofErr w:type="spellEnd"/>
      <w:r w:rsidRPr="007272D6">
        <w:rPr>
          <w:rFonts w:ascii="Book Antiqua" w:hAnsi="Book Antiqua"/>
        </w:rPr>
        <w:t xml:space="preserve"> L, Endo I, </w:t>
      </w:r>
      <w:proofErr w:type="spellStart"/>
      <w:r w:rsidRPr="007272D6">
        <w:rPr>
          <w:rFonts w:ascii="Book Antiqua" w:hAnsi="Book Antiqua"/>
        </w:rPr>
        <w:t>Pawlik</w:t>
      </w:r>
      <w:proofErr w:type="spellEnd"/>
      <w:r w:rsidRPr="007272D6">
        <w:rPr>
          <w:rFonts w:ascii="Book Antiqua" w:hAnsi="Book Antiqua"/>
        </w:rPr>
        <w:t xml:space="preserve"> TM. Prognosis After Resection of Barcelona Clinic Liver Cancer (BCLC) Stage 0, A, and B Hepatocellular Carcinoma: A Comprehensive Assessment of the Current BCLC Classification. </w:t>
      </w:r>
      <w:r w:rsidRPr="007272D6">
        <w:rPr>
          <w:rFonts w:ascii="Book Antiqua" w:hAnsi="Book Antiqua"/>
          <w:i/>
          <w:iCs/>
        </w:rPr>
        <w:t>Ann Surg Oncol</w:t>
      </w:r>
      <w:r w:rsidRPr="007272D6">
        <w:rPr>
          <w:rFonts w:ascii="Book Antiqua" w:hAnsi="Book Antiqua"/>
        </w:rPr>
        <w:t xml:space="preserve"> 2019; </w:t>
      </w:r>
      <w:r w:rsidRPr="007272D6">
        <w:rPr>
          <w:rFonts w:ascii="Book Antiqua" w:hAnsi="Book Antiqua"/>
          <w:b/>
          <w:bCs/>
        </w:rPr>
        <w:t>26</w:t>
      </w:r>
      <w:r w:rsidRPr="007272D6">
        <w:rPr>
          <w:rFonts w:ascii="Book Antiqua" w:hAnsi="Book Antiqua"/>
        </w:rPr>
        <w:t>: 3693-3700 [PMID: 31267302 DOI: 10.1245/s10434-019-07580-9]</w:t>
      </w:r>
    </w:p>
    <w:p w14:paraId="574339F4" w14:textId="77777777" w:rsidR="00F73752" w:rsidRPr="007272D6" w:rsidRDefault="00F73752" w:rsidP="00F73752">
      <w:pPr>
        <w:spacing w:line="360" w:lineRule="auto"/>
        <w:jc w:val="both"/>
        <w:rPr>
          <w:rFonts w:ascii="Book Antiqua" w:hAnsi="Book Antiqua"/>
        </w:rPr>
      </w:pPr>
      <w:r w:rsidRPr="007272D6">
        <w:rPr>
          <w:rFonts w:ascii="Book Antiqua" w:hAnsi="Book Antiqua"/>
        </w:rPr>
        <w:t xml:space="preserve">18 </w:t>
      </w:r>
      <w:r w:rsidRPr="007272D6">
        <w:rPr>
          <w:rFonts w:ascii="Book Antiqua" w:hAnsi="Book Antiqua"/>
          <w:b/>
          <w:bCs/>
        </w:rPr>
        <w:t>Ho CM</w:t>
      </w:r>
      <w:r w:rsidRPr="007272D6">
        <w:rPr>
          <w:rFonts w:ascii="Book Antiqua" w:hAnsi="Book Antiqua"/>
        </w:rPr>
        <w:t xml:space="preserve">, Hu RH, Lee PH, Wu YM, Ho MC. Long-term survival in patients with T2 hepatocellular carcinoma after primary curative resection can be further stratified by tumor size. </w:t>
      </w:r>
      <w:r w:rsidRPr="007272D6">
        <w:rPr>
          <w:rFonts w:ascii="Book Antiqua" w:hAnsi="Book Antiqua"/>
          <w:i/>
          <w:iCs/>
        </w:rPr>
        <w:t>Medicine (Baltimore)</w:t>
      </w:r>
      <w:r w:rsidRPr="007272D6">
        <w:rPr>
          <w:rFonts w:ascii="Book Antiqua" w:hAnsi="Book Antiqua"/>
        </w:rPr>
        <w:t xml:space="preserve"> 2014; </w:t>
      </w:r>
      <w:r w:rsidRPr="007272D6">
        <w:rPr>
          <w:rFonts w:ascii="Book Antiqua" w:hAnsi="Book Antiqua"/>
          <w:b/>
          <w:bCs/>
        </w:rPr>
        <w:t>93</w:t>
      </w:r>
      <w:r w:rsidRPr="007272D6">
        <w:rPr>
          <w:rFonts w:ascii="Book Antiqua" w:hAnsi="Book Antiqua"/>
        </w:rPr>
        <w:t>: e203 [PMID: 25501076 DOI: 10.1097/MD.0000000000000203]</w:t>
      </w:r>
    </w:p>
    <w:p w14:paraId="49131F41" w14:textId="77777777" w:rsidR="00F73752" w:rsidRPr="007272D6" w:rsidRDefault="00F73752" w:rsidP="00F73752">
      <w:pPr>
        <w:spacing w:line="360" w:lineRule="auto"/>
        <w:jc w:val="both"/>
        <w:rPr>
          <w:rFonts w:ascii="Book Antiqua" w:hAnsi="Book Antiqua"/>
        </w:rPr>
      </w:pPr>
      <w:r w:rsidRPr="007272D6">
        <w:rPr>
          <w:rFonts w:ascii="Book Antiqua" w:hAnsi="Book Antiqua"/>
        </w:rPr>
        <w:t xml:space="preserve">19 </w:t>
      </w:r>
      <w:r w:rsidRPr="007272D6">
        <w:rPr>
          <w:rFonts w:ascii="Book Antiqua" w:hAnsi="Book Antiqua"/>
          <w:b/>
          <w:bCs/>
        </w:rPr>
        <w:t>Schoenberg MB,</w:t>
      </w:r>
      <w:r w:rsidRPr="007272D6">
        <w:rPr>
          <w:rFonts w:ascii="Book Antiqua" w:hAnsi="Book Antiqua"/>
        </w:rPr>
        <w:t xml:space="preserve"> Bucher JN, </w:t>
      </w:r>
      <w:proofErr w:type="spellStart"/>
      <w:r w:rsidRPr="007272D6">
        <w:rPr>
          <w:rFonts w:ascii="Book Antiqua" w:hAnsi="Book Antiqua"/>
        </w:rPr>
        <w:t>Vater</w:t>
      </w:r>
      <w:proofErr w:type="spellEnd"/>
      <w:r w:rsidRPr="007272D6">
        <w:rPr>
          <w:rFonts w:ascii="Book Antiqua" w:hAnsi="Book Antiqua"/>
        </w:rPr>
        <w:t xml:space="preserve"> A, </w:t>
      </w:r>
      <w:proofErr w:type="spellStart"/>
      <w:r w:rsidRPr="007272D6">
        <w:rPr>
          <w:rFonts w:ascii="Book Antiqua" w:hAnsi="Book Antiqua"/>
        </w:rPr>
        <w:t>Bazhin</w:t>
      </w:r>
      <w:proofErr w:type="spellEnd"/>
      <w:r w:rsidRPr="007272D6">
        <w:rPr>
          <w:rFonts w:ascii="Book Antiqua" w:hAnsi="Book Antiqua"/>
        </w:rPr>
        <w:t xml:space="preserve"> AV, Hao J, Guba MO, Angele MK, Werner J, </w:t>
      </w:r>
      <w:proofErr w:type="spellStart"/>
      <w:r w:rsidRPr="007272D6">
        <w:rPr>
          <w:rFonts w:ascii="Book Antiqua" w:hAnsi="Book Antiqua"/>
        </w:rPr>
        <w:t>Rentsch</w:t>
      </w:r>
      <w:proofErr w:type="spellEnd"/>
      <w:r w:rsidRPr="007272D6">
        <w:rPr>
          <w:rFonts w:ascii="Book Antiqua" w:hAnsi="Book Antiqua"/>
        </w:rPr>
        <w:t xml:space="preserve"> M. Resection or Transplant in Early Hepatocellular Carcinoma. </w:t>
      </w:r>
      <w:proofErr w:type="spellStart"/>
      <w:r w:rsidRPr="001B11A5">
        <w:rPr>
          <w:rFonts w:ascii="Book Antiqua" w:hAnsi="Book Antiqua"/>
          <w:i/>
          <w:iCs/>
        </w:rPr>
        <w:t>Dtsch</w:t>
      </w:r>
      <w:proofErr w:type="spellEnd"/>
      <w:r w:rsidRPr="001B11A5">
        <w:rPr>
          <w:rFonts w:ascii="Book Antiqua" w:hAnsi="Book Antiqua"/>
          <w:i/>
          <w:iCs/>
        </w:rPr>
        <w:t xml:space="preserve"> </w:t>
      </w:r>
      <w:proofErr w:type="spellStart"/>
      <w:r w:rsidRPr="001B11A5">
        <w:rPr>
          <w:rFonts w:ascii="Book Antiqua" w:hAnsi="Book Antiqua"/>
          <w:i/>
          <w:iCs/>
        </w:rPr>
        <w:t>Arztebl</w:t>
      </w:r>
      <w:proofErr w:type="spellEnd"/>
      <w:r w:rsidRPr="001B11A5">
        <w:rPr>
          <w:rFonts w:ascii="Book Antiqua" w:hAnsi="Book Antiqua"/>
          <w:i/>
          <w:iCs/>
        </w:rPr>
        <w:t xml:space="preserve"> Int</w:t>
      </w:r>
      <w:r>
        <w:rPr>
          <w:rFonts w:ascii="Book Antiqua" w:hAnsi="Book Antiqua"/>
        </w:rPr>
        <w:t xml:space="preserve"> </w:t>
      </w:r>
      <w:r w:rsidRPr="007272D6">
        <w:rPr>
          <w:rFonts w:ascii="Book Antiqua" w:hAnsi="Book Antiqua"/>
        </w:rPr>
        <w:t>2017;</w:t>
      </w:r>
      <w:r>
        <w:rPr>
          <w:rFonts w:ascii="Book Antiqua" w:hAnsi="Book Antiqua"/>
        </w:rPr>
        <w:t xml:space="preserve"> </w:t>
      </w:r>
      <w:r w:rsidRPr="009C1D96">
        <w:rPr>
          <w:rFonts w:ascii="Book Antiqua" w:hAnsi="Book Antiqua"/>
          <w:b/>
          <w:bCs/>
        </w:rPr>
        <w:t>114</w:t>
      </w:r>
      <w:r w:rsidRPr="007272D6">
        <w:rPr>
          <w:rFonts w:ascii="Book Antiqua" w:hAnsi="Book Antiqua"/>
        </w:rPr>
        <w:t>:</w:t>
      </w:r>
      <w:r>
        <w:rPr>
          <w:rFonts w:ascii="Book Antiqua" w:hAnsi="Book Antiqua"/>
        </w:rPr>
        <w:t xml:space="preserve"> </w:t>
      </w:r>
      <w:r w:rsidRPr="007272D6">
        <w:rPr>
          <w:rFonts w:ascii="Book Antiqua" w:hAnsi="Book Antiqua"/>
        </w:rPr>
        <w:t>519-526</w:t>
      </w:r>
      <w:r>
        <w:rPr>
          <w:rFonts w:ascii="Book Antiqua" w:hAnsi="Book Antiqua"/>
        </w:rPr>
        <w:t xml:space="preserve"> [</w:t>
      </w:r>
      <w:r w:rsidRPr="00475638">
        <w:rPr>
          <w:rFonts w:ascii="Book Antiqua" w:hAnsi="Book Antiqua"/>
        </w:rPr>
        <w:t>PM</w:t>
      </w:r>
      <w:r>
        <w:rPr>
          <w:rFonts w:ascii="Book Antiqua" w:hAnsi="Book Antiqua"/>
        </w:rPr>
        <w:t>ID</w:t>
      </w:r>
      <w:r w:rsidRPr="00475638">
        <w:rPr>
          <w:rFonts w:ascii="Book Antiqua" w:hAnsi="Book Antiqua"/>
        </w:rPr>
        <w:t>:</w:t>
      </w:r>
      <w:r>
        <w:rPr>
          <w:rFonts w:ascii="Book Antiqua" w:hAnsi="Book Antiqua"/>
        </w:rPr>
        <w:t xml:space="preserve"> </w:t>
      </w:r>
      <w:r w:rsidRPr="00475638">
        <w:rPr>
          <w:rFonts w:ascii="Book Antiqua" w:hAnsi="Book Antiqua"/>
        </w:rPr>
        <w:t>28835324</w:t>
      </w:r>
      <w:r>
        <w:rPr>
          <w:rFonts w:ascii="Book Antiqua" w:hAnsi="Book Antiqua"/>
        </w:rPr>
        <w:t xml:space="preserve"> DOI: </w:t>
      </w:r>
      <w:r w:rsidRPr="00351DF4">
        <w:rPr>
          <w:rFonts w:ascii="Book Antiqua" w:hAnsi="Book Antiqua"/>
        </w:rPr>
        <w:t>10.3238/arztebl.2017.0519</w:t>
      </w:r>
      <w:r>
        <w:rPr>
          <w:rFonts w:ascii="Book Antiqua" w:hAnsi="Book Antiqua"/>
        </w:rPr>
        <w:t>]</w:t>
      </w:r>
    </w:p>
    <w:p w14:paraId="7DA2EF34" w14:textId="77777777" w:rsidR="00F73752" w:rsidRPr="007272D6" w:rsidRDefault="00F73752" w:rsidP="00F73752">
      <w:pPr>
        <w:spacing w:line="360" w:lineRule="auto"/>
        <w:jc w:val="both"/>
        <w:rPr>
          <w:rFonts w:ascii="Book Antiqua" w:hAnsi="Book Antiqua"/>
        </w:rPr>
      </w:pPr>
      <w:r w:rsidRPr="007272D6">
        <w:rPr>
          <w:rFonts w:ascii="Book Antiqua" w:hAnsi="Book Antiqua"/>
        </w:rPr>
        <w:t xml:space="preserve">20 </w:t>
      </w:r>
      <w:r w:rsidRPr="007272D6">
        <w:rPr>
          <w:rFonts w:ascii="Book Antiqua" w:hAnsi="Book Antiqua"/>
          <w:b/>
          <w:bCs/>
        </w:rPr>
        <w:t>Marrero JA</w:t>
      </w:r>
      <w:r w:rsidRPr="007272D6">
        <w:rPr>
          <w:rFonts w:ascii="Book Antiqua" w:hAnsi="Book Antiqua"/>
        </w:rPr>
        <w:t xml:space="preserve">, Fontana RJ, </w:t>
      </w:r>
      <w:proofErr w:type="spellStart"/>
      <w:r w:rsidRPr="007272D6">
        <w:rPr>
          <w:rFonts w:ascii="Book Antiqua" w:hAnsi="Book Antiqua"/>
        </w:rPr>
        <w:t>Barrat</w:t>
      </w:r>
      <w:proofErr w:type="spellEnd"/>
      <w:r w:rsidRPr="007272D6">
        <w:rPr>
          <w:rFonts w:ascii="Book Antiqua" w:hAnsi="Book Antiqua"/>
        </w:rPr>
        <w:t xml:space="preserve"> A, Askari F, </w:t>
      </w:r>
      <w:proofErr w:type="spellStart"/>
      <w:r w:rsidRPr="007272D6">
        <w:rPr>
          <w:rFonts w:ascii="Book Antiqua" w:hAnsi="Book Antiqua"/>
        </w:rPr>
        <w:t>Conjeevaram</w:t>
      </w:r>
      <w:proofErr w:type="spellEnd"/>
      <w:r w:rsidRPr="007272D6">
        <w:rPr>
          <w:rFonts w:ascii="Book Antiqua" w:hAnsi="Book Antiqua"/>
        </w:rPr>
        <w:t xml:space="preserve"> HS, </w:t>
      </w:r>
      <w:proofErr w:type="spellStart"/>
      <w:r w:rsidRPr="007272D6">
        <w:rPr>
          <w:rFonts w:ascii="Book Antiqua" w:hAnsi="Book Antiqua"/>
        </w:rPr>
        <w:t>Su</w:t>
      </w:r>
      <w:proofErr w:type="spellEnd"/>
      <w:r w:rsidRPr="007272D6">
        <w:rPr>
          <w:rFonts w:ascii="Book Antiqua" w:hAnsi="Book Antiqua"/>
        </w:rPr>
        <w:t xml:space="preserve"> GL, Lok AS. Prognosis of hepatocellular carcinoma: comparison of 7 staging systems in an American cohort. </w:t>
      </w:r>
      <w:r w:rsidRPr="007272D6">
        <w:rPr>
          <w:rFonts w:ascii="Book Antiqua" w:hAnsi="Book Antiqua"/>
          <w:i/>
          <w:iCs/>
        </w:rPr>
        <w:t>Hepatology</w:t>
      </w:r>
      <w:r w:rsidRPr="007272D6">
        <w:rPr>
          <w:rFonts w:ascii="Book Antiqua" w:hAnsi="Book Antiqua"/>
        </w:rPr>
        <w:t xml:space="preserve"> 2005; </w:t>
      </w:r>
      <w:r w:rsidRPr="007272D6">
        <w:rPr>
          <w:rFonts w:ascii="Book Antiqua" w:hAnsi="Book Antiqua"/>
          <w:b/>
          <w:bCs/>
        </w:rPr>
        <w:t>41</w:t>
      </w:r>
      <w:r w:rsidRPr="007272D6">
        <w:rPr>
          <w:rFonts w:ascii="Book Antiqua" w:hAnsi="Book Antiqua"/>
        </w:rPr>
        <w:t>: 707-716 [PMID: 15795889 DOI: 10.1002/hep.20636]</w:t>
      </w:r>
    </w:p>
    <w:p w14:paraId="6EBFA1FD" w14:textId="77777777" w:rsidR="00F73752" w:rsidRPr="007272D6" w:rsidRDefault="00F73752" w:rsidP="00F73752">
      <w:pPr>
        <w:spacing w:line="360" w:lineRule="auto"/>
        <w:jc w:val="both"/>
        <w:rPr>
          <w:rFonts w:ascii="Book Antiqua" w:hAnsi="Book Antiqua"/>
        </w:rPr>
      </w:pPr>
      <w:r w:rsidRPr="007272D6">
        <w:rPr>
          <w:rFonts w:ascii="Book Antiqua" w:hAnsi="Book Antiqua"/>
        </w:rPr>
        <w:t xml:space="preserve">21 </w:t>
      </w:r>
      <w:r w:rsidRPr="007272D6">
        <w:rPr>
          <w:rFonts w:ascii="Book Antiqua" w:hAnsi="Book Antiqua"/>
          <w:b/>
          <w:bCs/>
        </w:rPr>
        <w:t>Park JW</w:t>
      </w:r>
      <w:r w:rsidRPr="007272D6">
        <w:rPr>
          <w:rFonts w:ascii="Book Antiqua" w:hAnsi="Book Antiqua"/>
        </w:rPr>
        <w:t xml:space="preserve">, Chen M, Colombo M, Roberts LR, Schwartz M, Chen PJ, Kudo M, Johnson P, Wagner S, Orsini LS, Sherman M. Global patterns of hepatocellular carcinoma management from diagnosis to death: the BRIDGE Study. </w:t>
      </w:r>
      <w:r w:rsidRPr="007272D6">
        <w:rPr>
          <w:rFonts w:ascii="Book Antiqua" w:hAnsi="Book Antiqua"/>
          <w:i/>
          <w:iCs/>
        </w:rPr>
        <w:t>Liver Int</w:t>
      </w:r>
      <w:r w:rsidRPr="007272D6">
        <w:rPr>
          <w:rFonts w:ascii="Book Antiqua" w:hAnsi="Book Antiqua"/>
        </w:rPr>
        <w:t xml:space="preserve"> 2015; </w:t>
      </w:r>
      <w:r w:rsidRPr="007272D6">
        <w:rPr>
          <w:rFonts w:ascii="Book Antiqua" w:hAnsi="Book Antiqua"/>
          <w:b/>
          <w:bCs/>
        </w:rPr>
        <w:t>35</w:t>
      </w:r>
      <w:r w:rsidRPr="007272D6">
        <w:rPr>
          <w:rFonts w:ascii="Book Antiqua" w:hAnsi="Book Antiqua"/>
        </w:rPr>
        <w:t>: 2155-2166 [PMID: 25752327 DOI: 10.1111/liv.12818]</w:t>
      </w:r>
    </w:p>
    <w:p w14:paraId="48B649BE" w14:textId="77777777" w:rsidR="00F73752" w:rsidRPr="007272D6" w:rsidRDefault="00F73752" w:rsidP="00F73752">
      <w:pPr>
        <w:spacing w:line="360" w:lineRule="auto"/>
        <w:jc w:val="both"/>
        <w:rPr>
          <w:rFonts w:ascii="Book Antiqua" w:hAnsi="Book Antiqua"/>
        </w:rPr>
      </w:pPr>
      <w:r w:rsidRPr="007272D6">
        <w:rPr>
          <w:rFonts w:ascii="Book Antiqua" w:hAnsi="Book Antiqua"/>
        </w:rPr>
        <w:t xml:space="preserve">22 </w:t>
      </w:r>
      <w:proofErr w:type="spellStart"/>
      <w:r w:rsidRPr="007272D6">
        <w:rPr>
          <w:rFonts w:ascii="Book Antiqua" w:hAnsi="Book Antiqua"/>
          <w:b/>
          <w:bCs/>
        </w:rPr>
        <w:t>Cillo</w:t>
      </w:r>
      <w:proofErr w:type="spellEnd"/>
      <w:r w:rsidRPr="007272D6">
        <w:rPr>
          <w:rFonts w:ascii="Book Antiqua" w:hAnsi="Book Antiqua"/>
          <w:b/>
          <w:bCs/>
        </w:rPr>
        <w:t xml:space="preserve"> U,</w:t>
      </w:r>
      <w:r w:rsidRPr="007272D6">
        <w:rPr>
          <w:rFonts w:ascii="Book Antiqua" w:hAnsi="Book Antiqua"/>
        </w:rPr>
        <w:t xml:space="preserve"> Vitale A, </w:t>
      </w:r>
      <w:proofErr w:type="spellStart"/>
      <w:r w:rsidRPr="007272D6">
        <w:rPr>
          <w:rFonts w:ascii="Book Antiqua" w:hAnsi="Book Antiqua"/>
        </w:rPr>
        <w:t>Bassanello</w:t>
      </w:r>
      <w:proofErr w:type="spellEnd"/>
      <w:r w:rsidRPr="007272D6">
        <w:rPr>
          <w:rFonts w:ascii="Book Antiqua" w:hAnsi="Book Antiqua"/>
        </w:rPr>
        <w:t xml:space="preserve"> M, </w:t>
      </w:r>
      <w:proofErr w:type="spellStart"/>
      <w:r w:rsidRPr="007272D6">
        <w:rPr>
          <w:rFonts w:ascii="Book Antiqua" w:hAnsi="Book Antiqua"/>
        </w:rPr>
        <w:t>Boccagni</w:t>
      </w:r>
      <w:proofErr w:type="spellEnd"/>
      <w:r w:rsidRPr="007272D6">
        <w:rPr>
          <w:rFonts w:ascii="Book Antiqua" w:hAnsi="Book Antiqua"/>
        </w:rPr>
        <w:t xml:space="preserve"> P, </w:t>
      </w:r>
      <w:proofErr w:type="spellStart"/>
      <w:r w:rsidRPr="007272D6">
        <w:rPr>
          <w:rFonts w:ascii="Book Antiqua" w:hAnsi="Book Antiqua"/>
        </w:rPr>
        <w:t>Brolese</w:t>
      </w:r>
      <w:proofErr w:type="spellEnd"/>
      <w:r w:rsidRPr="007272D6">
        <w:rPr>
          <w:rFonts w:ascii="Book Antiqua" w:hAnsi="Book Antiqua"/>
        </w:rPr>
        <w:t xml:space="preserve"> A, </w:t>
      </w:r>
      <w:proofErr w:type="spellStart"/>
      <w:r w:rsidRPr="007272D6">
        <w:rPr>
          <w:rFonts w:ascii="Book Antiqua" w:hAnsi="Book Antiqua"/>
        </w:rPr>
        <w:t>Zanus</w:t>
      </w:r>
      <w:proofErr w:type="spellEnd"/>
      <w:r w:rsidRPr="007272D6">
        <w:rPr>
          <w:rFonts w:ascii="Book Antiqua" w:hAnsi="Book Antiqua"/>
        </w:rPr>
        <w:t xml:space="preserve"> G, Burra P, </w:t>
      </w:r>
      <w:proofErr w:type="spellStart"/>
      <w:r w:rsidRPr="007272D6">
        <w:rPr>
          <w:rFonts w:ascii="Book Antiqua" w:hAnsi="Book Antiqua"/>
        </w:rPr>
        <w:t>Fagiuoli</w:t>
      </w:r>
      <w:proofErr w:type="spellEnd"/>
      <w:r w:rsidRPr="007272D6">
        <w:rPr>
          <w:rFonts w:ascii="Book Antiqua" w:hAnsi="Book Antiqua"/>
        </w:rPr>
        <w:t xml:space="preserve"> S, </w:t>
      </w:r>
      <w:proofErr w:type="spellStart"/>
      <w:r w:rsidRPr="007272D6">
        <w:rPr>
          <w:rFonts w:ascii="Book Antiqua" w:hAnsi="Book Antiqua"/>
        </w:rPr>
        <w:t>Farinati</w:t>
      </w:r>
      <w:proofErr w:type="spellEnd"/>
      <w:r w:rsidRPr="007272D6">
        <w:rPr>
          <w:rFonts w:ascii="Book Antiqua" w:hAnsi="Book Antiqua"/>
        </w:rPr>
        <w:t xml:space="preserve"> F, </w:t>
      </w:r>
      <w:proofErr w:type="spellStart"/>
      <w:r w:rsidRPr="007272D6">
        <w:rPr>
          <w:rFonts w:ascii="Book Antiqua" w:hAnsi="Book Antiqua"/>
        </w:rPr>
        <w:t>Rugge</w:t>
      </w:r>
      <w:proofErr w:type="spellEnd"/>
      <w:r w:rsidRPr="007272D6">
        <w:rPr>
          <w:rFonts w:ascii="Book Antiqua" w:hAnsi="Book Antiqua"/>
        </w:rPr>
        <w:t xml:space="preserve"> M, D'Amico DF. Liver transplantation for the treatment of moderately or well-differentiated hepatocellular carcinoma. </w:t>
      </w:r>
      <w:r w:rsidRPr="00EC4059">
        <w:rPr>
          <w:rFonts w:ascii="Book Antiqua" w:hAnsi="Book Antiqua"/>
          <w:i/>
          <w:iCs/>
        </w:rPr>
        <w:t>Ann Surg</w:t>
      </w:r>
      <w:r w:rsidRPr="007272D6">
        <w:rPr>
          <w:rFonts w:ascii="Book Antiqua" w:hAnsi="Book Antiqua"/>
        </w:rPr>
        <w:t xml:space="preserve"> 2004;</w:t>
      </w:r>
      <w:r w:rsidRPr="00290950">
        <w:rPr>
          <w:rFonts w:ascii="Book Antiqua" w:hAnsi="Book Antiqua"/>
          <w:b/>
          <w:bCs/>
        </w:rPr>
        <w:t xml:space="preserve"> 239</w:t>
      </w:r>
      <w:r w:rsidRPr="007272D6">
        <w:rPr>
          <w:rFonts w:ascii="Book Antiqua" w:hAnsi="Book Antiqua"/>
        </w:rPr>
        <w:t>:</w:t>
      </w:r>
      <w:r>
        <w:rPr>
          <w:rFonts w:ascii="Book Antiqua" w:hAnsi="Book Antiqua"/>
        </w:rPr>
        <w:t xml:space="preserve"> </w:t>
      </w:r>
      <w:r w:rsidRPr="007272D6">
        <w:rPr>
          <w:rFonts w:ascii="Book Antiqua" w:hAnsi="Book Antiqua"/>
        </w:rPr>
        <w:t>150-</w:t>
      </w:r>
      <w:r>
        <w:rPr>
          <w:rFonts w:ascii="Book Antiqua" w:hAnsi="Book Antiqua"/>
        </w:rPr>
        <w:t>15</w:t>
      </w:r>
      <w:r w:rsidRPr="007272D6">
        <w:rPr>
          <w:rFonts w:ascii="Book Antiqua" w:hAnsi="Book Antiqua"/>
        </w:rPr>
        <w:t>9</w:t>
      </w:r>
      <w:r>
        <w:rPr>
          <w:rFonts w:ascii="Book Antiqua" w:hAnsi="Book Antiqua"/>
        </w:rPr>
        <w:t xml:space="preserve"> [PMID: </w:t>
      </w:r>
      <w:r w:rsidRPr="0018580D">
        <w:rPr>
          <w:rFonts w:ascii="Book Antiqua" w:hAnsi="Book Antiqua"/>
        </w:rPr>
        <w:t>14745321</w:t>
      </w:r>
      <w:r>
        <w:rPr>
          <w:rFonts w:ascii="Book Antiqua" w:hAnsi="Book Antiqua"/>
        </w:rPr>
        <w:t xml:space="preserve"> DOI: </w:t>
      </w:r>
      <w:r w:rsidRPr="009F400C">
        <w:rPr>
          <w:rFonts w:ascii="Book Antiqua" w:hAnsi="Book Antiqua"/>
        </w:rPr>
        <w:t>10.1097/01.sla.0000109146.72827.76</w:t>
      </w:r>
      <w:r>
        <w:rPr>
          <w:rFonts w:ascii="Book Antiqua" w:hAnsi="Book Antiqua"/>
        </w:rPr>
        <w:t>]</w:t>
      </w:r>
    </w:p>
    <w:p w14:paraId="1437C7FB" w14:textId="77777777" w:rsidR="00F73752" w:rsidRPr="007272D6" w:rsidRDefault="00F73752" w:rsidP="00F73752">
      <w:pPr>
        <w:spacing w:line="360" w:lineRule="auto"/>
        <w:jc w:val="both"/>
        <w:rPr>
          <w:rFonts w:ascii="Book Antiqua" w:hAnsi="Book Antiqua"/>
        </w:rPr>
      </w:pPr>
      <w:r w:rsidRPr="007272D6">
        <w:rPr>
          <w:rFonts w:ascii="Book Antiqua" w:hAnsi="Book Antiqua"/>
        </w:rPr>
        <w:lastRenderedPageBreak/>
        <w:t xml:space="preserve">23 </w:t>
      </w:r>
      <w:proofErr w:type="spellStart"/>
      <w:r w:rsidRPr="007272D6">
        <w:rPr>
          <w:rFonts w:ascii="Book Antiqua" w:hAnsi="Book Antiqua"/>
          <w:b/>
          <w:bCs/>
        </w:rPr>
        <w:t>DuBay</w:t>
      </w:r>
      <w:proofErr w:type="spellEnd"/>
      <w:r w:rsidRPr="007272D6">
        <w:rPr>
          <w:rFonts w:ascii="Book Antiqua" w:hAnsi="Book Antiqua"/>
          <w:b/>
          <w:bCs/>
        </w:rPr>
        <w:t xml:space="preserve"> D</w:t>
      </w:r>
      <w:r w:rsidRPr="007272D6">
        <w:rPr>
          <w:rFonts w:ascii="Book Antiqua" w:hAnsi="Book Antiqua"/>
        </w:rPr>
        <w:t xml:space="preserve">, </w:t>
      </w:r>
      <w:proofErr w:type="spellStart"/>
      <w:r w:rsidRPr="007272D6">
        <w:rPr>
          <w:rFonts w:ascii="Book Antiqua" w:hAnsi="Book Antiqua"/>
        </w:rPr>
        <w:t>Sandroussi</w:t>
      </w:r>
      <w:proofErr w:type="spellEnd"/>
      <w:r w:rsidRPr="007272D6">
        <w:rPr>
          <w:rFonts w:ascii="Book Antiqua" w:hAnsi="Book Antiqua"/>
        </w:rPr>
        <w:t xml:space="preserve"> C, Sandhu L, Cleary S, Guba M, </w:t>
      </w:r>
      <w:proofErr w:type="spellStart"/>
      <w:r w:rsidRPr="007272D6">
        <w:rPr>
          <w:rFonts w:ascii="Book Antiqua" w:hAnsi="Book Antiqua"/>
        </w:rPr>
        <w:t>Cattral</w:t>
      </w:r>
      <w:proofErr w:type="spellEnd"/>
      <w:r w:rsidRPr="007272D6">
        <w:rPr>
          <w:rFonts w:ascii="Book Antiqua" w:hAnsi="Book Antiqua"/>
        </w:rPr>
        <w:t xml:space="preserve"> MS, </w:t>
      </w:r>
      <w:proofErr w:type="spellStart"/>
      <w:r w:rsidRPr="007272D6">
        <w:rPr>
          <w:rFonts w:ascii="Book Antiqua" w:hAnsi="Book Antiqua"/>
        </w:rPr>
        <w:t>McGilvray</w:t>
      </w:r>
      <w:proofErr w:type="spellEnd"/>
      <w:r w:rsidRPr="007272D6">
        <w:rPr>
          <w:rFonts w:ascii="Book Antiqua" w:hAnsi="Book Antiqua"/>
        </w:rPr>
        <w:t xml:space="preserve"> I, </w:t>
      </w:r>
      <w:proofErr w:type="spellStart"/>
      <w:r w:rsidRPr="007272D6">
        <w:rPr>
          <w:rFonts w:ascii="Book Antiqua" w:hAnsi="Book Antiqua"/>
        </w:rPr>
        <w:t>Ghanekar</w:t>
      </w:r>
      <w:proofErr w:type="spellEnd"/>
      <w:r w:rsidRPr="007272D6">
        <w:rPr>
          <w:rFonts w:ascii="Book Antiqua" w:hAnsi="Book Antiqua"/>
        </w:rPr>
        <w:t xml:space="preserve"> A, </w:t>
      </w:r>
      <w:proofErr w:type="spellStart"/>
      <w:r w:rsidRPr="007272D6">
        <w:rPr>
          <w:rFonts w:ascii="Book Antiqua" w:hAnsi="Book Antiqua"/>
        </w:rPr>
        <w:t>Selzner</w:t>
      </w:r>
      <w:proofErr w:type="spellEnd"/>
      <w:r w:rsidRPr="007272D6">
        <w:rPr>
          <w:rFonts w:ascii="Book Antiqua" w:hAnsi="Book Antiqua"/>
        </w:rPr>
        <w:t xml:space="preserve"> M, Greig PD, Grant DR. Liver transplantation for advanced hepatocellular carcinoma using poor tumor differentiation on biopsy as an exclusion criterion. </w:t>
      </w:r>
      <w:r w:rsidRPr="007272D6">
        <w:rPr>
          <w:rFonts w:ascii="Book Antiqua" w:hAnsi="Book Antiqua"/>
          <w:i/>
          <w:iCs/>
        </w:rPr>
        <w:t>Ann Surg</w:t>
      </w:r>
      <w:r w:rsidRPr="007272D6">
        <w:rPr>
          <w:rFonts w:ascii="Book Antiqua" w:hAnsi="Book Antiqua"/>
        </w:rPr>
        <w:t xml:space="preserve"> 2011; </w:t>
      </w:r>
      <w:r w:rsidRPr="007272D6">
        <w:rPr>
          <w:rFonts w:ascii="Book Antiqua" w:hAnsi="Book Antiqua"/>
          <w:b/>
          <w:bCs/>
        </w:rPr>
        <w:t>253</w:t>
      </w:r>
      <w:r w:rsidRPr="007272D6">
        <w:rPr>
          <w:rFonts w:ascii="Book Antiqua" w:hAnsi="Book Antiqua"/>
        </w:rPr>
        <w:t>: 166-172 [PMID: 21294289 DOI: 10.1097/sla.0b013e31820508f1]</w:t>
      </w:r>
    </w:p>
    <w:p w14:paraId="27DE7B47" w14:textId="77777777" w:rsidR="00A77B3E" w:rsidRPr="00C57A36" w:rsidRDefault="00A77B3E" w:rsidP="00C57A36">
      <w:pPr>
        <w:spacing w:line="360" w:lineRule="auto"/>
        <w:jc w:val="both"/>
        <w:rPr>
          <w:rFonts w:ascii="Book Antiqua" w:hAnsi="Book Antiqua"/>
        </w:rPr>
        <w:sectPr w:rsidR="00A77B3E" w:rsidRPr="00C57A36">
          <w:pgSz w:w="12240" w:h="15840"/>
          <w:pgMar w:top="1440" w:right="1440" w:bottom="1440" w:left="1440" w:header="720" w:footer="720" w:gutter="0"/>
          <w:cols w:space="720"/>
          <w:docGrid w:linePitch="360"/>
        </w:sectPr>
      </w:pPr>
    </w:p>
    <w:p w14:paraId="1D2C2A16" w14:textId="7777777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color w:val="000000"/>
        </w:rPr>
        <w:lastRenderedPageBreak/>
        <w:t>Footnotes</w:t>
      </w:r>
    </w:p>
    <w:p w14:paraId="425758EC" w14:textId="7777777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bCs/>
          <w:color w:val="000000"/>
        </w:rPr>
        <w:t xml:space="preserve">Institutional review board statement: </w:t>
      </w:r>
      <w:r w:rsidRPr="00C57A36">
        <w:rPr>
          <w:rFonts w:ascii="Book Antiqua" w:eastAsia="Book Antiqua" w:hAnsi="Book Antiqua" w:cs="Book Antiqua"/>
          <w:color w:val="000000"/>
        </w:rPr>
        <w:t>Institutional ethics committee approval was obtained from participating sites prior to commencement at each centre.</w:t>
      </w:r>
    </w:p>
    <w:p w14:paraId="499F04AF" w14:textId="77777777" w:rsidR="00952122" w:rsidRPr="00C57A36" w:rsidRDefault="00952122" w:rsidP="00C57A36">
      <w:pPr>
        <w:spacing w:line="360" w:lineRule="auto"/>
        <w:jc w:val="both"/>
        <w:rPr>
          <w:rFonts w:ascii="Book Antiqua" w:hAnsi="Book Antiqua"/>
          <w:b/>
          <w:bCs/>
        </w:rPr>
      </w:pPr>
    </w:p>
    <w:p w14:paraId="2BFB21CA" w14:textId="695AEC3D" w:rsidR="00A77B3E" w:rsidRPr="00C57A36" w:rsidRDefault="00952122" w:rsidP="00C57A36">
      <w:pPr>
        <w:spacing w:line="360" w:lineRule="auto"/>
        <w:jc w:val="both"/>
        <w:rPr>
          <w:rFonts w:ascii="Book Antiqua" w:hAnsi="Book Antiqua"/>
          <w:b/>
          <w:bCs/>
        </w:rPr>
      </w:pPr>
      <w:r w:rsidRPr="00C57A36">
        <w:rPr>
          <w:rFonts w:ascii="Book Antiqua" w:hAnsi="Book Antiqua"/>
          <w:b/>
          <w:bCs/>
        </w:rPr>
        <w:t xml:space="preserve">Informed consent statement: </w:t>
      </w:r>
      <w:r w:rsidR="00844BCF" w:rsidRPr="00C57A36">
        <w:rPr>
          <w:rFonts w:ascii="Book Antiqua" w:hAnsi="Book Antiqua"/>
        </w:rPr>
        <w:t>N</w:t>
      </w:r>
      <w:r w:rsidRPr="00C57A36">
        <w:rPr>
          <w:rFonts w:ascii="Book Antiqua" w:hAnsi="Book Antiqua"/>
        </w:rPr>
        <w:t>o signed consent form was required from individual patients included in this study, as deemed by our institutional ethics board.</w:t>
      </w:r>
    </w:p>
    <w:p w14:paraId="001DB355" w14:textId="77777777" w:rsidR="00952122" w:rsidRPr="00C57A36" w:rsidRDefault="00952122" w:rsidP="00C57A36">
      <w:pPr>
        <w:spacing w:line="360" w:lineRule="auto"/>
        <w:jc w:val="both"/>
        <w:rPr>
          <w:rFonts w:ascii="Book Antiqua" w:hAnsi="Book Antiqua"/>
          <w:b/>
          <w:bCs/>
        </w:rPr>
      </w:pPr>
    </w:p>
    <w:p w14:paraId="5C4C03DE" w14:textId="08F75CB5"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bCs/>
          <w:color w:val="000000"/>
        </w:rPr>
        <w:t xml:space="preserve">Conflict-of-interest statement: </w:t>
      </w:r>
      <w:r w:rsidRPr="00C57A36">
        <w:rPr>
          <w:rFonts w:ascii="Book Antiqua" w:eastAsia="Book Antiqua" w:hAnsi="Book Antiqua" w:cs="Book Antiqua"/>
          <w:color w:val="000000"/>
        </w:rPr>
        <w:t>The authors have no conflicts of interest to declare</w:t>
      </w:r>
      <w:r w:rsidR="00CB1B93">
        <w:rPr>
          <w:rFonts w:ascii="Book Antiqua" w:eastAsia="Book Antiqua" w:hAnsi="Book Antiqua" w:cs="Book Antiqua"/>
          <w:color w:val="000000"/>
        </w:rPr>
        <w:t>.</w:t>
      </w:r>
    </w:p>
    <w:p w14:paraId="6B3D5268" w14:textId="77777777" w:rsidR="00A77B3E" w:rsidRPr="00C57A36" w:rsidRDefault="00A77B3E" w:rsidP="00C57A36">
      <w:pPr>
        <w:spacing w:line="360" w:lineRule="auto"/>
        <w:jc w:val="both"/>
        <w:rPr>
          <w:rFonts w:ascii="Book Antiqua" w:hAnsi="Book Antiqua"/>
        </w:rPr>
      </w:pPr>
    </w:p>
    <w:p w14:paraId="2A8F5C2A" w14:textId="14AC38DD"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bCs/>
          <w:color w:val="000000"/>
        </w:rPr>
        <w:t xml:space="preserve">Data sharing statement: </w:t>
      </w:r>
      <w:r w:rsidRPr="00C57A36">
        <w:rPr>
          <w:rFonts w:ascii="Book Antiqua" w:eastAsia="Book Antiqua" w:hAnsi="Book Antiqua" w:cs="Book Antiqua"/>
          <w:color w:val="000000"/>
          <w:shd w:val="clear" w:color="auto" w:fill="FFFFFF"/>
        </w:rPr>
        <w:t>Technical appendix, statistical code, and dataset available from the corresponding author at karl.vaz@austin.org.au. Consent was not obtained but the presented data are anonymized and risk of identification is low</w:t>
      </w:r>
      <w:r w:rsidR="00CB1B93">
        <w:rPr>
          <w:rFonts w:ascii="Book Antiqua" w:eastAsia="Book Antiqua" w:hAnsi="Book Antiqua" w:cs="Book Antiqua"/>
          <w:color w:val="000000"/>
          <w:shd w:val="clear" w:color="auto" w:fill="FFFFFF"/>
        </w:rPr>
        <w:t>.</w:t>
      </w:r>
    </w:p>
    <w:p w14:paraId="58CF7ED0" w14:textId="77777777" w:rsidR="00A77B3E" w:rsidRPr="00C57A36" w:rsidRDefault="00A77B3E" w:rsidP="00C57A36">
      <w:pPr>
        <w:spacing w:line="360" w:lineRule="auto"/>
        <w:jc w:val="both"/>
        <w:rPr>
          <w:rFonts w:ascii="Book Antiqua" w:hAnsi="Book Antiqua"/>
        </w:rPr>
      </w:pPr>
    </w:p>
    <w:p w14:paraId="2B40DD50" w14:textId="6A6A7B72"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bCs/>
          <w:color w:val="000000"/>
        </w:rPr>
        <w:t xml:space="preserve">STROBE statement: </w:t>
      </w:r>
      <w:r w:rsidR="00CB1B93" w:rsidRPr="00CB1B93">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7277012E" w14:textId="77777777" w:rsidR="00A77B3E" w:rsidRPr="00C57A36" w:rsidRDefault="00A77B3E" w:rsidP="00C57A36">
      <w:pPr>
        <w:spacing w:line="360" w:lineRule="auto"/>
        <w:jc w:val="both"/>
        <w:rPr>
          <w:rFonts w:ascii="Book Antiqua" w:hAnsi="Book Antiqua"/>
        </w:rPr>
      </w:pPr>
    </w:p>
    <w:p w14:paraId="5A75279D" w14:textId="7777777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bCs/>
          <w:color w:val="000000"/>
        </w:rPr>
        <w:t xml:space="preserve">Open-Access: </w:t>
      </w:r>
      <w:r w:rsidRPr="00C57A3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57A36">
        <w:rPr>
          <w:rFonts w:ascii="Book Antiqua" w:eastAsia="Book Antiqua" w:hAnsi="Book Antiqua" w:cs="Book Antiqua"/>
          <w:color w:val="000000"/>
        </w:rPr>
        <w:t>NonCommercial</w:t>
      </w:r>
      <w:proofErr w:type="spellEnd"/>
      <w:r w:rsidRPr="00C57A3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B7D8D12" w14:textId="77777777" w:rsidR="00A77B3E" w:rsidRPr="00C57A36" w:rsidRDefault="00A77B3E" w:rsidP="00C57A36">
      <w:pPr>
        <w:spacing w:line="360" w:lineRule="auto"/>
        <w:jc w:val="both"/>
        <w:rPr>
          <w:rFonts w:ascii="Book Antiqua" w:hAnsi="Book Antiqua"/>
        </w:rPr>
      </w:pPr>
    </w:p>
    <w:p w14:paraId="7A99DFF9" w14:textId="2996D0DB"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color w:val="000000"/>
        </w:rPr>
        <w:t xml:space="preserve">Manuscript source: </w:t>
      </w:r>
      <w:r w:rsidRPr="00C57A36">
        <w:rPr>
          <w:rFonts w:ascii="Book Antiqua" w:eastAsia="Book Antiqua" w:hAnsi="Book Antiqua" w:cs="Book Antiqua"/>
          <w:color w:val="000000"/>
        </w:rPr>
        <w:t xml:space="preserve">Invited </w:t>
      </w:r>
      <w:r w:rsidR="006D1533">
        <w:rPr>
          <w:rFonts w:ascii="Book Antiqua" w:eastAsia="Book Antiqua" w:hAnsi="Book Antiqua" w:cs="Book Antiqua"/>
          <w:color w:val="000000"/>
        </w:rPr>
        <w:t>m</w:t>
      </w:r>
      <w:r w:rsidRPr="00C57A36">
        <w:rPr>
          <w:rFonts w:ascii="Book Antiqua" w:eastAsia="Book Antiqua" w:hAnsi="Book Antiqua" w:cs="Book Antiqua"/>
          <w:color w:val="000000"/>
        </w:rPr>
        <w:t>anuscript</w:t>
      </w:r>
    </w:p>
    <w:p w14:paraId="7C325DFF" w14:textId="77777777" w:rsidR="00A77B3E" w:rsidRPr="00C57A36" w:rsidRDefault="00A77B3E" w:rsidP="00C57A36">
      <w:pPr>
        <w:spacing w:line="360" w:lineRule="auto"/>
        <w:jc w:val="both"/>
        <w:rPr>
          <w:rFonts w:ascii="Book Antiqua" w:hAnsi="Book Antiqua"/>
        </w:rPr>
      </w:pPr>
    </w:p>
    <w:p w14:paraId="334CFA4C" w14:textId="7777777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color w:val="000000"/>
        </w:rPr>
        <w:t xml:space="preserve">Peer-review started: </w:t>
      </w:r>
      <w:r w:rsidRPr="00C57A36">
        <w:rPr>
          <w:rFonts w:ascii="Book Antiqua" w:eastAsia="Book Antiqua" w:hAnsi="Book Antiqua" w:cs="Book Antiqua"/>
          <w:color w:val="000000"/>
        </w:rPr>
        <w:t>April 25, 2021</w:t>
      </w:r>
    </w:p>
    <w:p w14:paraId="2B2AF66D" w14:textId="7777777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color w:val="000000"/>
        </w:rPr>
        <w:t xml:space="preserve">First decision: </w:t>
      </w:r>
      <w:r w:rsidRPr="00C57A36">
        <w:rPr>
          <w:rFonts w:ascii="Book Antiqua" w:eastAsia="Book Antiqua" w:hAnsi="Book Antiqua" w:cs="Book Antiqua"/>
          <w:color w:val="000000"/>
        </w:rPr>
        <w:t>June 15, 2021</w:t>
      </w:r>
    </w:p>
    <w:p w14:paraId="2A3C6BA5" w14:textId="7777777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color w:val="000000"/>
        </w:rPr>
        <w:t xml:space="preserve">Article in press: </w:t>
      </w:r>
    </w:p>
    <w:p w14:paraId="6AFA6DAF" w14:textId="77777777" w:rsidR="00A77B3E" w:rsidRPr="00C57A36" w:rsidRDefault="00A77B3E" w:rsidP="00C57A36">
      <w:pPr>
        <w:spacing w:line="360" w:lineRule="auto"/>
        <w:jc w:val="both"/>
        <w:rPr>
          <w:rFonts w:ascii="Book Antiqua" w:hAnsi="Book Antiqua"/>
        </w:rPr>
      </w:pPr>
    </w:p>
    <w:p w14:paraId="244EBD20" w14:textId="6C80CF7C"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color w:val="000000"/>
        </w:rPr>
        <w:t xml:space="preserve">Specialty type: </w:t>
      </w:r>
      <w:r w:rsidRPr="00C57A36">
        <w:rPr>
          <w:rFonts w:ascii="Book Antiqua" w:eastAsia="Book Antiqua" w:hAnsi="Book Antiqua" w:cs="Book Antiqua"/>
          <w:color w:val="000000"/>
        </w:rPr>
        <w:t xml:space="preserve">Gastroenterology and </w:t>
      </w:r>
      <w:r w:rsidR="00867559">
        <w:rPr>
          <w:rFonts w:ascii="Book Antiqua" w:eastAsia="Book Antiqua" w:hAnsi="Book Antiqua" w:cs="Book Antiqua"/>
          <w:color w:val="000000"/>
        </w:rPr>
        <w:t>h</w:t>
      </w:r>
      <w:r w:rsidRPr="00C57A36">
        <w:rPr>
          <w:rFonts w:ascii="Book Antiqua" w:eastAsia="Book Antiqua" w:hAnsi="Book Antiqua" w:cs="Book Antiqua"/>
          <w:color w:val="000000"/>
        </w:rPr>
        <w:t>epatology</w:t>
      </w:r>
    </w:p>
    <w:p w14:paraId="7BBA337D" w14:textId="7777777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color w:val="000000"/>
        </w:rPr>
        <w:t xml:space="preserve">Country/Territory of origin: </w:t>
      </w:r>
      <w:r w:rsidRPr="00C57A36">
        <w:rPr>
          <w:rFonts w:ascii="Book Antiqua" w:eastAsia="Book Antiqua" w:hAnsi="Book Antiqua" w:cs="Book Antiqua"/>
          <w:color w:val="000000"/>
        </w:rPr>
        <w:t>Australia</w:t>
      </w:r>
    </w:p>
    <w:p w14:paraId="31562B76" w14:textId="7777777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b/>
          <w:color w:val="000000"/>
        </w:rPr>
        <w:t>Peer-review report’s scientific quality classification</w:t>
      </w:r>
    </w:p>
    <w:p w14:paraId="51CE1AD1" w14:textId="7777777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color w:val="000000"/>
        </w:rPr>
        <w:t>Grade A (Excellent): 0</w:t>
      </w:r>
    </w:p>
    <w:p w14:paraId="6AE7B2AB" w14:textId="7777777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color w:val="000000"/>
        </w:rPr>
        <w:t>Grade B (Very good): B</w:t>
      </w:r>
    </w:p>
    <w:p w14:paraId="55BE35CB" w14:textId="7777777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color w:val="000000"/>
        </w:rPr>
        <w:t>Grade C (Good): 0</w:t>
      </w:r>
    </w:p>
    <w:p w14:paraId="7D228755" w14:textId="7777777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color w:val="000000"/>
        </w:rPr>
        <w:t>Grade D (Fair): 0</w:t>
      </w:r>
    </w:p>
    <w:p w14:paraId="30AEB8DF" w14:textId="77777777" w:rsidR="00A77B3E" w:rsidRPr="00C57A36" w:rsidRDefault="00696095" w:rsidP="00C57A36">
      <w:pPr>
        <w:spacing w:line="360" w:lineRule="auto"/>
        <w:jc w:val="both"/>
        <w:rPr>
          <w:rFonts w:ascii="Book Antiqua" w:hAnsi="Book Antiqua"/>
        </w:rPr>
      </w:pPr>
      <w:r w:rsidRPr="00C57A36">
        <w:rPr>
          <w:rFonts w:ascii="Book Antiqua" w:eastAsia="Book Antiqua" w:hAnsi="Book Antiqua" w:cs="Book Antiqua"/>
          <w:color w:val="000000"/>
        </w:rPr>
        <w:t>Grade E (Poor): 0</w:t>
      </w:r>
    </w:p>
    <w:p w14:paraId="39F7198E" w14:textId="77777777" w:rsidR="00A77B3E" w:rsidRPr="00C57A36" w:rsidRDefault="00A77B3E" w:rsidP="00C57A36">
      <w:pPr>
        <w:spacing w:line="360" w:lineRule="auto"/>
        <w:jc w:val="both"/>
        <w:rPr>
          <w:rFonts w:ascii="Book Antiqua" w:hAnsi="Book Antiqua"/>
        </w:rPr>
      </w:pPr>
    </w:p>
    <w:p w14:paraId="579C2E8E" w14:textId="3288AC02" w:rsidR="00A77B3E" w:rsidRDefault="00696095" w:rsidP="00C57A36">
      <w:pPr>
        <w:spacing w:line="360" w:lineRule="auto"/>
        <w:jc w:val="both"/>
        <w:rPr>
          <w:rFonts w:ascii="Book Antiqua" w:eastAsia="Book Antiqua" w:hAnsi="Book Antiqua" w:cs="Book Antiqua"/>
          <w:b/>
          <w:color w:val="000000"/>
        </w:rPr>
      </w:pPr>
      <w:r w:rsidRPr="00C57A36">
        <w:rPr>
          <w:rFonts w:ascii="Book Antiqua" w:eastAsia="Book Antiqua" w:hAnsi="Book Antiqua" w:cs="Book Antiqua"/>
          <w:b/>
          <w:color w:val="000000"/>
        </w:rPr>
        <w:t xml:space="preserve">P-Reviewer: </w:t>
      </w:r>
      <w:proofErr w:type="spellStart"/>
      <w:r w:rsidRPr="00C57A36">
        <w:rPr>
          <w:rFonts w:ascii="Book Antiqua" w:eastAsia="Book Antiqua" w:hAnsi="Book Antiqua" w:cs="Book Antiqua"/>
          <w:color w:val="000000"/>
        </w:rPr>
        <w:t>Shamaa</w:t>
      </w:r>
      <w:proofErr w:type="spellEnd"/>
      <w:r w:rsidRPr="00C57A36">
        <w:rPr>
          <w:rFonts w:ascii="Book Antiqua" w:eastAsia="Book Antiqua" w:hAnsi="Book Antiqua" w:cs="Book Antiqua"/>
          <w:color w:val="000000"/>
        </w:rPr>
        <w:t xml:space="preserve"> MM</w:t>
      </w:r>
      <w:r w:rsidRPr="00C57A36">
        <w:rPr>
          <w:rFonts w:ascii="Book Antiqua" w:eastAsia="Book Antiqua" w:hAnsi="Book Antiqua" w:cs="Book Antiqua"/>
          <w:b/>
          <w:color w:val="000000"/>
        </w:rPr>
        <w:t xml:space="preserve"> S-Editor: </w:t>
      </w:r>
      <w:r w:rsidR="00867559">
        <w:rPr>
          <w:rFonts w:ascii="Book Antiqua" w:eastAsia="Book Antiqua" w:hAnsi="Book Antiqua" w:cs="Book Antiqua"/>
          <w:color w:val="000000"/>
        </w:rPr>
        <w:t>Wu YXJ</w:t>
      </w:r>
      <w:r w:rsidRPr="00C57A36">
        <w:rPr>
          <w:rFonts w:ascii="Book Antiqua" w:eastAsia="Book Antiqua" w:hAnsi="Book Antiqua" w:cs="Book Antiqua"/>
          <w:b/>
          <w:color w:val="000000"/>
        </w:rPr>
        <w:t xml:space="preserve"> L-Editor:</w:t>
      </w:r>
      <w:r w:rsidR="0024484E">
        <w:rPr>
          <w:rFonts w:ascii="Book Antiqua" w:eastAsia="Book Antiqua" w:hAnsi="Book Antiqua" w:cs="Book Antiqua"/>
          <w:b/>
          <w:color w:val="000000"/>
        </w:rPr>
        <w:t xml:space="preserve"> </w:t>
      </w:r>
      <w:r w:rsidRPr="00C57A36">
        <w:rPr>
          <w:rFonts w:ascii="Book Antiqua" w:eastAsia="Book Antiqua" w:hAnsi="Book Antiqua" w:cs="Book Antiqua"/>
          <w:b/>
          <w:color w:val="000000"/>
        </w:rPr>
        <w:t xml:space="preserve">P-Editor: </w:t>
      </w:r>
    </w:p>
    <w:p w14:paraId="64A337BC" w14:textId="77777777" w:rsidR="00AE7D06" w:rsidRDefault="00AE7D06" w:rsidP="00C57A36">
      <w:pPr>
        <w:spacing w:line="360" w:lineRule="auto"/>
        <w:jc w:val="both"/>
        <w:rPr>
          <w:rFonts w:ascii="Book Antiqua" w:eastAsia="Book Antiqua" w:hAnsi="Book Antiqua" w:cs="Book Antiqua"/>
          <w:b/>
          <w:color w:val="000000"/>
        </w:rPr>
        <w:sectPr w:rsidR="00AE7D06">
          <w:pgSz w:w="12240" w:h="15840"/>
          <w:pgMar w:top="1440" w:right="1440" w:bottom="1440" w:left="1440" w:header="720" w:footer="720" w:gutter="0"/>
          <w:cols w:space="720"/>
          <w:docGrid w:linePitch="360"/>
        </w:sectPr>
      </w:pPr>
    </w:p>
    <w:p w14:paraId="403B9980" w14:textId="73C0F2A0" w:rsidR="00AE7D06" w:rsidRDefault="00AA5CDF" w:rsidP="00C57A36">
      <w:pPr>
        <w:spacing w:line="360" w:lineRule="auto"/>
        <w:jc w:val="both"/>
        <w:rPr>
          <w:rFonts w:ascii="Book Antiqua" w:eastAsia="Book Antiqua" w:hAnsi="Book Antiqua" w:cs="Book Antiqua"/>
          <w:b/>
          <w:color w:val="000000"/>
        </w:rPr>
      </w:pPr>
      <w:r w:rsidRPr="00AA5CDF">
        <w:rPr>
          <w:rFonts w:ascii="Book Antiqua" w:eastAsia="Book Antiqua" w:hAnsi="Book Antiqua" w:cs="Book Antiqua"/>
          <w:b/>
          <w:color w:val="000000"/>
        </w:rPr>
        <w:lastRenderedPageBreak/>
        <w:t>Figure Legends</w:t>
      </w:r>
    </w:p>
    <w:p w14:paraId="7CFF3B20" w14:textId="193FC976" w:rsidR="00167313" w:rsidRDefault="004920F2" w:rsidP="00AE65BB">
      <w:pPr>
        <w:spacing w:line="360" w:lineRule="auto"/>
        <w:jc w:val="both"/>
        <w:rPr>
          <w:rFonts w:ascii="Book Antiqua" w:eastAsia="Book Antiqua" w:hAnsi="Book Antiqua" w:cs="Book Antiqua"/>
          <w:b/>
          <w:color w:val="000000"/>
        </w:rPr>
      </w:pPr>
      <w:r>
        <w:rPr>
          <w:noProof/>
        </w:rPr>
        <w:drawing>
          <wp:inline distT="0" distB="0" distL="0" distR="0" wp14:anchorId="3F208564" wp14:editId="462D9DDA">
            <wp:extent cx="5943600" cy="13614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361440"/>
                    </a:xfrm>
                    <a:prstGeom prst="rect">
                      <a:avLst/>
                    </a:prstGeom>
                  </pic:spPr>
                </pic:pic>
              </a:graphicData>
            </a:graphic>
          </wp:inline>
        </w:drawing>
      </w:r>
    </w:p>
    <w:p w14:paraId="27042610" w14:textId="594D8650" w:rsidR="00AE65BB" w:rsidRPr="00AE65BB" w:rsidRDefault="00AE65BB" w:rsidP="00AE65BB">
      <w:pPr>
        <w:spacing w:line="360" w:lineRule="auto"/>
        <w:jc w:val="both"/>
        <w:rPr>
          <w:rFonts w:ascii="Book Antiqua" w:eastAsia="Book Antiqua" w:hAnsi="Book Antiqua" w:cs="Book Antiqua"/>
          <w:b/>
          <w:color w:val="000000"/>
        </w:rPr>
      </w:pPr>
      <w:r w:rsidRPr="00AE65BB">
        <w:rPr>
          <w:rFonts w:ascii="Book Antiqua" w:eastAsia="Book Antiqua" w:hAnsi="Book Antiqua" w:cs="Book Antiqua"/>
          <w:b/>
          <w:color w:val="000000"/>
        </w:rPr>
        <w:t>Figure 1</w:t>
      </w:r>
      <w:r>
        <w:rPr>
          <w:rFonts w:ascii="Book Antiqua" w:eastAsia="Book Antiqua" w:hAnsi="Book Antiqua" w:cs="Book Antiqua"/>
          <w:b/>
          <w:color w:val="000000"/>
        </w:rPr>
        <w:t xml:space="preserve"> </w:t>
      </w:r>
      <w:r w:rsidRPr="00AE65BB">
        <w:rPr>
          <w:rFonts w:ascii="Book Antiqua" w:eastAsia="Book Antiqua" w:hAnsi="Book Antiqua" w:cs="Book Antiqua"/>
          <w:b/>
          <w:color w:val="000000"/>
        </w:rPr>
        <w:t>Study flow diagram</w:t>
      </w:r>
      <w:r w:rsidR="008E4F04">
        <w:rPr>
          <w:rFonts w:ascii="Book Antiqua" w:eastAsia="Book Antiqua" w:hAnsi="Book Antiqua" w:cs="Book Antiqua"/>
          <w:b/>
          <w:color w:val="000000"/>
        </w:rPr>
        <w:t>.</w:t>
      </w:r>
      <w:r w:rsidR="00D96DAA">
        <w:rPr>
          <w:rFonts w:ascii="Book Antiqua" w:eastAsia="Book Antiqua" w:hAnsi="Book Antiqua" w:cs="Book Antiqua"/>
          <w:b/>
          <w:color w:val="000000"/>
        </w:rPr>
        <w:t xml:space="preserve"> </w:t>
      </w:r>
      <w:r w:rsidR="00D96DAA" w:rsidRPr="00D96DAA">
        <w:rPr>
          <w:rFonts w:ascii="Book Antiqua" w:eastAsia="Book Antiqua" w:hAnsi="Book Antiqua" w:cs="Book Antiqua"/>
          <w:bCs/>
          <w:color w:val="000000"/>
        </w:rPr>
        <w:t xml:space="preserve">HCC: </w:t>
      </w:r>
      <w:r w:rsidR="00D96DAA">
        <w:rPr>
          <w:rFonts w:ascii="Book Antiqua" w:eastAsia="Book Antiqua" w:hAnsi="Book Antiqua" w:cs="Book Antiqua"/>
          <w:color w:val="000000"/>
        </w:rPr>
        <w:t>H</w:t>
      </w:r>
      <w:r w:rsidR="00D96DAA" w:rsidRPr="00C57A36">
        <w:rPr>
          <w:rFonts w:ascii="Book Antiqua" w:eastAsia="Book Antiqua" w:hAnsi="Book Antiqua" w:cs="Book Antiqua"/>
          <w:color w:val="000000"/>
        </w:rPr>
        <w:t>epatocellular carcinoma</w:t>
      </w:r>
      <w:r w:rsidR="00D96DAA">
        <w:rPr>
          <w:rFonts w:ascii="Book Antiqua" w:eastAsia="Book Antiqua" w:hAnsi="Book Antiqua" w:cs="Book Antiqua"/>
          <w:color w:val="000000"/>
        </w:rPr>
        <w:t>.</w:t>
      </w:r>
    </w:p>
    <w:p w14:paraId="05E7101B" w14:textId="77777777" w:rsidR="00F82415" w:rsidRDefault="00F82415" w:rsidP="00C57A36">
      <w:pPr>
        <w:spacing w:line="360" w:lineRule="auto"/>
        <w:jc w:val="both"/>
        <w:rPr>
          <w:rFonts w:ascii="Book Antiqua" w:eastAsia="Book Antiqua" w:hAnsi="Book Antiqua" w:cs="Book Antiqua"/>
          <w:b/>
          <w:color w:val="000000"/>
        </w:rPr>
      </w:pPr>
    </w:p>
    <w:p w14:paraId="095D9BF7" w14:textId="2C4C4B07" w:rsidR="00D96DAA" w:rsidRDefault="00D96DAA" w:rsidP="00C57A36">
      <w:pPr>
        <w:spacing w:line="360" w:lineRule="auto"/>
        <w:jc w:val="both"/>
        <w:rPr>
          <w:rFonts w:ascii="Book Antiqua" w:eastAsia="Book Antiqua" w:hAnsi="Book Antiqua" w:cs="Book Antiqua"/>
          <w:b/>
          <w:color w:val="000000"/>
        </w:rPr>
        <w:sectPr w:rsidR="00D96DAA">
          <w:pgSz w:w="12240" w:h="15840"/>
          <w:pgMar w:top="1440" w:right="1440" w:bottom="1440" w:left="1440" w:header="720" w:footer="720" w:gutter="0"/>
          <w:cols w:space="720"/>
          <w:docGrid w:linePitch="360"/>
        </w:sectPr>
      </w:pPr>
    </w:p>
    <w:p w14:paraId="48A6EF1B" w14:textId="42B544E2" w:rsidR="00702FBA" w:rsidRDefault="00CC1C3A" w:rsidP="00C57A36">
      <w:pPr>
        <w:spacing w:line="360" w:lineRule="auto"/>
        <w:jc w:val="both"/>
        <w:rPr>
          <w:rFonts w:ascii="Book Antiqua" w:eastAsia="Book Antiqua" w:hAnsi="Book Antiqua" w:cs="Book Antiqua"/>
          <w:b/>
          <w:color w:val="000000"/>
        </w:rPr>
      </w:pPr>
      <w:r>
        <w:rPr>
          <w:noProof/>
        </w:rPr>
        <w:lastRenderedPageBreak/>
        <w:drawing>
          <wp:inline distT="0" distB="0" distL="0" distR="0" wp14:anchorId="3F2067AC" wp14:editId="4077BA57">
            <wp:extent cx="5943600" cy="28340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834005"/>
                    </a:xfrm>
                    <a:prstGeom prst="rect">
                      <a:avLst/>
                    </a:prstGeom>
                  </pic:spPr>
                </pic:pic>
              </a:graphicData>
            </a:graphic>
          </wp:inline>
        </w:drawing>
      </w:r>
    </w:p>
    <w:p w14:paraId="2BCDA555" w14:textId="104183D1" w:rsidR="0062607C" w:rsidRPr="0062607C" w:rsidRDefault="0062607C" w:rsidP="0062607C">
      <w:pPr>
        <w:spacing w:line="360" w:lineRule="auto"/>
        <w:jc w:val="both"/>
        <w:rPr>
          <w:rFonts w:ascii="Book Antiqua" w:eastAsia="Book Antiqua" w:hAnsi="Book Antiqua" w:cs="Book Antiqua"/>
          <w:bCs/>
          <w:color w:val="000000"/>
        </w:rPr>
      </w:pPr>
      <w:r w:rsidRPr="0062607C">
        <w:rPr>
          <w:rFonts w:ascii="Book Antiqua" w:eastAsia="Book Antiqua" w:hAnsi="Book Antiqua" w:cs="Book Antiqua"/>
          <w:b/>
          <w:color w:val="000000"/>
        </w:rPr>
        <w:t>Figure 2 Kaplan-Meier survival curve</w:t>
      </w:r>
      <w:r w:rsidR="00FE1124">
        <w:rPr>
          <w:rFonts w:ascii="Book Antiqua" w:eastAsia="Book Antiqua" w:hAnsi="Book Antiqua" w:cs="Book Antiqua"/>
          <w:b/>
          <w:color w:val="000000"/>
        </w:rPr>
        <w:t xml:space="preserve"> </w:t>
      </w:r>
      <w:r w:rsidRPr="0062607C">
        <w:rPr>
          <w:rFonts w:ascii="Book Antiqua" w:eastAsia="Book Antiqua" w:hAnsi="Book Antiqua" w:cs="Book Antiqua"/>
          <w:b/>
          <w:color w:val="000000"/>
        </w:rPr>
        <w:t xml:space="preserve">for synchronous </w:t>
      </w:r>
      <w:r w:rsidRPr="00180D48">
        <w:rPr>
          <w:rFonts w:ascii="Book Antiqua" w:eastAsia="Book Antiqua" w:hAnsi="Book Antiqua" w:cs="Book Antiqua"/>
          <w:b/>
          <w:i/>
          <w:iCs/>
          <w:color w:val="000000"/>
        </w:rPr>
        <w:t>vs</w:t>
      </w:r>
      <w:r w:rsidRPr="0062607C">
        <w:rPr>
          <w:rFonts w:ascii="Book Antiqua" w:eastAsia="Book Antiqua" w:hAnsi="Book Antiqua" w:cs="Book Antiqua"/>
          <w:b/>
          <w:color w:val="000000"/>
        </w:rPr>
        <w:t xml:space="preserve"> sequential groups</w:t>
      </w:r>
      <w:r w:rsidR="00FB3BC0">
        <w:rPr>
          <w:rFonts w:ascii="Book Antiqua" w:eastAsia="Book Antiqua" w:hAnsi="Book Antiqua" w:cs="Book Antiqua"/>
          <w:b/>
          <w:color w:val="000000"/>
        </w:rPr>
        <w:t xml:space="preserve">. </w:t>
      </w:r>
      <w:r w:rsidR="00FB3BC0" w:rsidRPr="00E262D5">
        <w:rPr>
          <w:rFonts w:ascii="Book Antiqua" w:eastAsia="Book Antiqua" w:hAnsi="Book Antiqua" w:cs="Book Antiqua"/>
          <w:bCs/>
          <w:color w:val="000000"/>
        </w:rPr>
        <w:t>A: Overall survival; B: Transplant-free survival.</w:t>
      </w:r>
    </w:p>
    <w:p w14:paraId="31499EC7" w14:textId="77777777" w:rsidR="004B3404" w:rsidRDefault="004B3404" w:rsidP="00C57A36">
      <w:pPr>
        <w:spacing w:line="360" w:lineRule="auto"/>
        <w:jc w:val="both"/>
        <w:rPr>
          <w:rFonts w:ascii="Book Antiqua" w:eastAsia="Book Antiqua" w:hAnsi="Book Antiqua" w:cs="Book Antiqua"/>
          <w:b/>
          <w:color w:val="000000"/>
        </w:rPr>
        <w:sectPr w:rsidR="004B3404">
          <w:pgSz w:w="12240" w:h="15840"/>
          <w:pgMar w:top="1440" w:right="1440" w:bottom="1440" w:left="1440" w:header="720" w:footer="720" w:gutter="0"/>
          <w:cols w:space="720"/>
          <w:docGrid w:linePitch="360"/>
        </w:sectPr>
      </w:pPr>
    </w:p>
    <w:p w14:paraId="582A4C24" w14:textId="6C89C220" w:rsidR="00E0351D" w:rsidRDefault="00E0351D" w:rsidP="00E0351D">
      <w:pPr>
        <w:pStyle w:val="a7"/>
        <w:spacing w:after="0" w:line="360" w:lineRule="auto"/>
        <w:jc w:val="both"/>
        <w:rPr>
          <w:rFonts w:ascii="Book Antiqua" w:hAnsi="Book Antiqua"/>
          <w:b/>
          <w:bCs/>
          <w:i w:val="0"/>
          <w:iCs w:val="0"/>
          <w:color w:val="auto"/>
          <w:sz w:val="24"/>
          <w:szCs w:val="24"/>
          <w:lang w:val="en-AU"/>
        </w:rPr>
      </w:pPr>
      <w:bookmarkStart w:id="3" w:name="_Hlk48985291"/>
      <w:r w:rsidRPr="004B51BD">
        <w:rPr>
          <w:rFonts w:ascii="Book Antiqua" w:hAnsi="Book Antiqua"/>
          <w:b/>
          <w:bCs/>
          <w:i w:val="0"/>
          <w:iCs w:val="0"/>
          <w:color w:val="auto"/>
          <w:sz w:val="24"/>
          <w:szCs w:val="24"/>
          <w:lang w:val="en-AU"/>
        </w:rPr>
        <w:lastRenderedPageBreak/>
        <w:t xml:space="preserve">Table 1 Baseline characteristics of 104 patients with two hepatocellular carcinomas according to synchronous or sequential </w:t>
      </w:r>
      <w:proofErr w:type="spellStart"/>
      <w:r w:rsidR="00376D4E" w:rsidRPr="004B51BD">
        <w:rPr>
          <w:rFonts w:ascii="Book Antiqua" w:hAnsi="Book Antiqua"/>
          <w:b/>
          <w:bCs/>
          <w:i w:val="0"/>
          <w:iCs w:val="0"/>
          <w:color w:val="auto"/>
          <w:sz w:val="24"/>
          <w:szCs w:val="24"/>
          <w:lang w:val="en-AU"/>
        </w:rPr>
        <w:t>tumor</w:t>
      </w:r>
      <w:proofErr w:type="spellEnd"/>
    </w:p>
    <w:tbl>
      <w:tblPr>
        <w:tblW w:w="5000" w:type="pct"/>
        <w:jc w:val="center"/>
        <w:tblCellMar>
          <w:left w:w="0" w:type="dxa"/>
          <w:right w:w="0" w:type="dxa"/>
        </w:tblCellMar>
        <w:tblLook w:val="04A0" w:firstRow="1" w:lastRow="0" w:firstColumn="1" w:lastColumn="0" w:noHBand="0" w:noVBand="1"/>
      </w:tblPr>
      <w:tblGrid>
        <w:gridCol w:w="2924"/>
        <w:gridCol w:w="2927"/>
        <w:gridCol w:w="2924"/>
        <w:gridCol w:w="2927"/>
        <w:gridCol w:w="1260"/>
      </w:tblGrid>
      <w:tr w:rsidR="00C24861" w:rsidRPr="00AB06CD" w14:paraId="2C580AC5" w14:textId="77777777" w:rsidTr="00C24861">
        <w:trPr>
          <w:cantSplit/>
          <w:trHeight w:val="447"/>
          <w:jc w:val="center"/>
        </w:trPr>
        <w:tc>
          <w:tcPr>
            <w:tcW w:w="1128" w:type="pct"/>
            <w:vMerge w:val="restart"/>
            <w:tcBorders>
              <w:top w:val="single" w:sz="4" w:space="0" w:color="auto"/>
              <w:bottom w:val="single" w:sz="4" w:space="0" w:color="auto"/>
            </w:tcBorders>
            <w:shd w:val="clear" w:color="auto" w:fill="FFFFFF"/>
            <w:vAlign w:val="center"/>
          </w:tcPr>
          <w:p w14:paraId="69B7EC60" w14:textId="77777777" w:rsidR="00E0351D" w:rsidRPr="00564C60" w:rsidRDefault="00E0351D" w:rsidP="006F4E9C">
            <w:pPr>
              <w:spacing w:line="360" w:lineRule="auto"/>
              <w:ind w:leftChars="50" w:left="120"/>
              <w:jc w:val="both"/>
              <w:rPr>
                <w:rFonts w:ascii="Book Antiqua" w:hAnsi="Book Antiqua" w:cstheme="minorHAnsi"/>
                <w:lang w:val="en-AU"/>
              </w:rPr>
            </w:pPr>
          </w:p>
        </w:tc>
        <w:tc>
          <w:tcPr>
            <w:tcW w:w="1129" w:type="pct"/>
            <w:vMerge w:val="restart"/>
            <w:tcBorders>
              <w:top w:val="single" w:sz="4" w:space="0" w:color="auto"/>
              <w:bottom w:val="single" w:sz="4" w:space="0" w:color="auto"/>
            </w:tcBorders>
            <w:shd w:val="clear" w:color="auto" w:fill="FFFFFF"/>
            <w:vAlign w:val="center"/>
          </w:tcPr>
          <w:p w14:paraId="4FF3FCE9" w14:textId="77777777" w:rsidR="00E0351D" w:rsidRPr="00AB06CD" w:rsidRDefault="00E0351D" w:rsidP="006F4E9C">
            <w:pPr>
              <w:spacing w:line="360" w:lineRule="auto"/>
              <w:ind w:leftChars="50" w:left="120"/>
              <w:jc w:val="both"/>
              <w:rPr>
                <w:rFonts w:ascii="Book Antiqua" w:hAnsi="Book Antiqua" w:cstheme="minorHAnsi"/>
                <w:b/>
                <w:lang w:val="en-AU"/>
              </w:rPr>
            </w:pPr>
            <w:r w:rsidRPr="00AB06CD">
              <w:rPr>
                <w:rFonts w:ascii="Book Antiqua" w:hAnsi="Book Antiqua" w:cstheme="minorHAnsi"/>
                <w:b/>
                <w:lang w:val="en-AU"/>
              </w:rPr>
              <w:t>All</w:t>
            </w:r>
            <w:r>
              <w:rPr>
                <w:rFonts w:ascii="Book Antiqua" w:eastAsia="宋体" w:hAnsi="Book Antiqua" w:cstheme="minorHAnsi" w:hint="eastAsia"/>
                <w:b/>
                <w:lang w:val="en-AU" w:eastAsia="zh-CN"/>
              </w:rPr>
              <w:t xml:space="preserve"> </w:t>
            </w:r>
            <w:r w:rsidRPr="00AB06CD">
              <w:rPr>
                <w:rFonts w:ascii="Book Antiqua" w:hAnsi="Book Antiqua" w:cstheme="minorHAnsi"/>
                <w:b/>
                <w:lang w:val="en-AU"/>
              </w:rPr>
              <w:t>(</w:t>
            </w:r>
            <w:r w:rsidRPr="001B721E">
              <w:rPr>
                <w:rFonts w:ascii="Book Antiqua" w:hAnsi="Book Antiqua" w:cstheme="minorHAnsi"/>
                <w:b/>
                <w:i/>
                <w:iCs/>
                <w:lang w:val="en-AU"/>
              </w:rPr>
              <w:t>n</w:t>
            </w:r>
            <w:r>
              <w:rPr>
                <w:rFonts w:ascii="Book Antiqua" w:hAnsi="Book Antiqua" w:cstheme="minorHAnsi"/>
                <w:b/>
                <w:lang w:val="en-AU"/>
              </w:rPr>
              <w:t xml:space="preserve"> </w:t>
            </w:r>
            <w:r w:rsidRPr="00AB06CD">
              <w:rPr>
                <w:rFonts w:ascii="Book Antiqua" w:hAnsi="Book Antiqua" w:cstheme="minorHAnsi"/>
                <w:b/>
                <w:lang w:val="en-AU"/>
              </w:rPr>
              <w:t>=</w:t>
            </w:r>
            <w:r>
              <w:rPr>
                <w:rFonts w:ascii="Book Antiqua" w:hAnsi="Book Antiqua" w:cstheme="minorHAnsi"/>
                <w:b/>
                <w:lang w:val="en-AU"/>
              </w:rPr>
              <w:t xml:space="preserve"> </w:t>
            </w:r>
            <w:r w:rsidRPr="00AB06CD">
              <w:rPr>
                <w:rFonts w:ascii="Book Antiqua" w:hAnsi="Book Antiqua" w:cstheme="minorHAnsi"/>
                <w:b/>
                <w:lang w:val="en-AU"/>
              </w:rPr>
              <w:t>104)</w:t>
            </w:r>
          </w:p>
        </w:tc>
        <w:tc>
          <w:tcPr>
            <w:tcW w:w="1128" w:type="pct"/>
            <w:vMerge w:val="restart"/>
            <w:tcBorders>
              <w:top w:val="single" w:sz="4" w:space="0" w:color="auto"/>
              <w:bottom w:val="single" w:sz="4" w:space="0" w:color="auto"/>
            </w:tcBorders>
            <w:shd w:val="clear" w:color="auto" w:fill="FFFFFF"/>
            <w:vAlign w:val="center"/>
          </w:tcPr>
          <w:p w14:paraId="7DF2196E" w14:textId="50EA47A1" w:rsidR="00E0351D" w:rsidRPr="00AB06CD" w:rsidRDefault="00E0351D" w:rsidP="003677AE">
            <w:pPr>
              <w:spacing w:line="360" w:lineRule="auto"/>
              <w:ind w:leftChars="50" w:left="120"/>
              <w:jc w:val="both"/>
              <w:rPr>
                <w:rFonts w:ascii="Book Antiqua" w:hAnsi="Book Antiqua" w:cstheme="minorHAnsi"/>
                <w:b/>
                <w:lang w:val="en-AU"/>
              </w:rPr>
            </w:pPr>
            <w:r w:rsidRPr="00AB06CD">
              <w:rPr>
                <w:rFonts w:ascii="Book Antiqua" w:hAnsi="Book Antiqua" w:cstheme="minorHAnsi"/>
                <w:b/>
                <w:lang w:val="en-AU"/>
              </w:rPr>
              <w:t>Synchronous group</w:t>
            </w:r>
            <w:r w:rsidR="003677AE">
              <w:rPr>
                <w:rFonts w:ascii="Book Antiqua" w:hAnsi="Book Antiqua" w:cstheme="minorHAnsi" w:hint="eastAsia"/>
                <w:b/>
                <w:lang w:val="en-AU" w:eastAsia="zh-CN"/>
              </w:rPr>
              <w:t xml:space="preserve"> </w:t>
            </w:r>
            <w:r w:rsidRPr="00AB06CD">
              <w:rPr>
                <w:rFonts w:ascii="Book Antiqua" w:hAnsi="Book Antiqua" w:cstheme="minorHAnsi"/>
                <w:b/>
                <w:lang w:val="en-AU"/>
              </w:rPr>
              <w:t>(</w:t>
            </w:r>
            <w:r w:rsidRPr="00BD7605">
              <w:rPr>
                <w:rFonts w:ascii="Book Antiqua" w:hAnsi="Book Antiqua" w:cstheme="minorHAnsi"/>
                <w:b/>
                <w:i/>
                <w:iCs/>
                <w:lang w:val="en-AU"/>
              </w:rPr>
              <w:t>n</w:t>
            </w:r>
            <w:r>
              <w:rPr>
                <w:rFonts w:ascii="Book Antiqua" w:hAnsi="Book Antiqua" w:cstheme="minorHAnsi"/>
                <w:b/>
                <w:lang w:val="en-AU"/>
              </w:rPr>
              <w:t xml:space="preserve"> </w:t>
            </w:r>
            <w:r w:rsidRPr="00AB06CD">
              <w:rPr>
                <w:rFonts w:ascii="Book Antiqua" w:hAnsi="Book Antiqua" w:cstheme="minorHAnsi"/>
                <w:b/>
                <w:lang w:val="en-AU"/>
              </w:rPr>
              <w:t>=</w:t>
            </w:r>
            <w:r>
              <w:rPr>
                <w:rFonts w:ascii="Book Antiqua" w:hAnsi="Book Antiqua" w:cstheme="minorHAnsi"/>
                <w:b/>
                <w:lang w:val="en-AU"/>
              </w:rPr>
              <w:t xml:space="preserve"> </w:t>
            </w:r>
            <w:r w:rsidRPr="00AB06CD">
              <w:rPr>
                <w:rFonts w:ascii="Book Antiqua" w:hAnsi="Book Antiqua" w:cstheme="minorHAnsi"/>
                <w:b/>
                <w:lang w:val="en-AU"/>
              </w:rPr>
              <w:t>59)</w:t>
            </w:r>
          </w:p>
        </w:tc>
        <w:tc>
          <w:tcPr>
            <w:tcW w:w="1129" w:type="pct"/>
            <w:vMerge w:val="restart"/>
            <w:tcBorders>
              <w:top w:val="single" w:sz="4" w:space="0" w:color="auto"/>
              <w:bottom w:val="single" w:sz="4" w:space="0" w:color="auto"/>
            </w:tcBorders>
            <w:shd w:val="clear" w:color="auto" w:fill="FFFFFF"/>
            <w:vAlign w:val="center"/>
          </w:tcPr>
          <w:p w14:paraId="1D2319C4" w14:textId="18411242" w:rsidR="00E0351D" w:rsidRPr="00AB06CD" w:rsidRDefault="00E0351D" w:rsidP="003677AE">
            <w:pPr>
              <w:spacing w:line="360" w:lineRule="auto"/>
              <w:ind w:leftChars="50" w:left="120"/>
              <w:jc w:val="both"/>
              <w:rPr>
                <w:rFonts w:ascii="Book Antiqua" w:hAnsi="Book Antiqua" w:cstheme="minorHAnsi"/>
                <w:b/>
                <w:lang w:val="en-AU"/>
              </w:rPr>
            </w:pPr>
            <w:r w:rsidRPr="00AB06CD">
              <w:rPr>
                <w:rFonts w:ascii="Book Antiqua" w:hAnsi="Book Antiqua" w:cstheme="minorHAnsi"/>
                <w:b/>
                <w:lang w:val="en-AU"/>
              </w:rPr>
              <w:t>Sequential group</w:t>
            </w:r>
            <w:r w:rsidR="003677AE">
              <w:rPr>
                <w:rFonts w:ascii="Book Antiqua" w:hAnsi="Book Antiqua" w:cstheme="minorHAnsi" w:hint="eastAsia"/>
                <w:b/>
                <w:lang w:val="en-AU" w:eastAsia="zh-CN"/>
              </w:rPr>
              <w:t xml:space="preserve"> </w:t>
            </w:r>
            <w:r w:rsidRPr="00AB06CD">
              <w:rPr>
                <w:rFonts w:ascii="Book Antiqua" w:hAnsi="Book Antiqua" w:cstheme="minorHAnsi"/>
                <w:b/>
                <w:lang w:val="en-AU"/>
              </w:rPr>
              <w:t>(</w:t>
            </w:r>
            <w:r w:rsidRPr="00CC189D">
              <w:rPr>
                <w:rFonts w:ascii="Book Antiqua" w:hAnsi="Book Antiqua" w:cstheme="minorHAnsi"/>
                <w:b/>
                <w:i/>
                <w:iCs/>
                <w:lang w:val="en-AU"/>
              </w:rPr>
              <w:t>n</w:t>
            </w:r>
            <w:r>
              <w:rPr>
                <w:rFonts w:ascii="Book Antiqua" w:hAnsi="Book Antiqua" w:cstheme="minorHAnsi"/>
                <w:b/>
                <w:lang w:val="en-AU"/>
              </w:rPr>
              <w:t xml:space="preserve"> </w:t>
            </w:r>
            <w:r w:rsidRPr="00AB06CD">
              <w:rPr>
                <w:rFonts w:ascii="Book Antiqua" w:hAnsi="Book Antiqua" w:cstheme="minorHAnsi"/>
                <w:b/>
                <w:lang w:val="en-AU"/>
              </w:rPr>
              <w:t>=</w:t>
            </w:r>
            <w:r>
              <w:rPr>
                <w:rFonts w:ascii="Book Antiqua" w:hAnsi="Book Antiqua" w:cstheme="minorHAnsi"/>
                <w:b/>
                <w:lang w:val="en-AU"/>
              </w:rPr>
              <w:t xml:space="preserve"> </w:t>
            </w:r>
            <w:r w:rsidRPr="00AB06CD">
              <w:rPr>
                <w:rFonts w:ascii="Book Antiqua" w:hAnsi="Book Antiqua" w:cstheme="minorHAnsi"/>
                <w:b/>
                <w:lang w:val="en-AU"/>
              </w:rPr>
              <w:t>45)</w:t>
            </w:r>
          </w:p>
        </w:tc>
        <w:tc>
          <w:tcPr>
            <w:tcW w:w="486" w:type="pct"/>
            <w:vMerge w:val="restart"/>
            <w:tcBorders>
              <w:top w:val="single" w:sz="4" w:space="0" w:color="auto"/>
              <w:bottom w:val="single" w:sz="4" w:space="0" w:color="auto"/>
            </w:tcBorders>
            <w:shd w:val="clear" w:color="auto" w:fill="FFFFFF"/>
            <w:vAlign w:val="center"/>
          </w:tcPr>
          <w:p w14:paraId="66A03D2E" w14:textId="77777777" w:rsidR="00E0351D" w:rsidRPr="00AB06CD" w:rsidRDefault="00E0351D" w:rsidP="006F4E9C">
            <w:pPr>
              <w:spacing w:line="360" w:lineRule="auto"/>
              <w:ind w:leftChars="50" w:left="120"/>
              <w:jc w:val="both"/>
              <w:rPr>
                <w:rFonts w:ascii="Book Antiqua" w:hAnsi="Book Antiqua" w:cstheme="minorHAnsi"/>
                <w:b/>
                <w:lang w:val="en-AU"/>
              </w:rPr>
            </w:pPr>
            <w:r w:rsidRPr="00A62C96">
              <w:rPr>
                <w:rFonts w:ascii="Book Antiqua" w:hAnsi="Book Antiqua" w:cstheme="minorHAnsi"/>
                <w:b/>
                <w:i/>
                <w:iCs/>
                <w:lang w:val="en-AU"/>
              </w:rPr>
              <w:t>P</w:t>
            </w:r>
            <w:r>
              <w:rPr>
                <w:rFonts w:ascii="Book Antiqua" w:hAnsi="Book Antiqua" w:cstheme="minorHAnsi"/>
                <w:b/>
                <w:lang w:val="en-AU"/>
              </w:rPr>
              <w:t xml:space="preserve"> </w:t>
            </w:r>
            <w:r w:rsidRPr="00AB06CD">
              <w:rPr>
                <w:rFonts w:ascii="Book Antiqua" w:hAnsi="Book Antiqua" w:cstheme="minorHAnsi"/>
                <w:b/>
                <w:lang w:val="en-AU"/>
              </w:rPr>
              <w:t>value</w:t>
            </w:r>
          </w:p>
        </w:tc>
      </w:tr>
      <w:tr w:rsidR="00C24861" w:rsidRPr="00AB06CD" w14:paraId="0CE4FD9D" w14:textId="77777777" w:rsidTr="00C24861">
        <w:trPr>
          <w:cantSplit/>
          <w:trHeight w:val="447"/>
          <w:jc w:val="center"/>
        </w:trPr>
        <w:tc>
          <w:tcPr>
            <w:tcW w:w="1128" w:type="pct"/>
            <w:vMerge/>
            <w:tcBorders>
              <w:bottom w:val="single" w:sz="4" w:space="0" w:color="auto"/>
            </w:tcBorders>
            <w:shd w:val="clear" w:color="auto" w:fill="FFFFFF"/>
            <w:vAlign w:val="center"/>
          </w:tcPr>
          <w:p w14:paraId="48A1E11C" w14:textId="77777777" w:rsidR="00E0351D" w:rsidRPr="00564C60" w:rsidRDefault="00E0351D" w:rsidP="006F4E9C">
            <w:pPr>
              <w:spacing w:line="360" w:lineRule="auto"/>
              <w:ind w:leftChars="50" w:left="120"/>
              <w:jc w:val="both"/>
              <w:rPr>
                <w:rFonts w:ascii="Book Antiqua" w:hAnsi="Book Antiqua" w:cstheme="minorHAnsi"/>
                <w:lang w:val="en-AU"/>
              </w:rPr>
            </w:pPr>
          </w:p>
        </w:tc>
        <w:tc>
          <w:tcPr>
            <w:tcW w:w="1129" w:type="pct"/>
            <w:vMerge/>
            <w:tcBorders>
              <w:bottom w:val="single" w:sz="4" w:space="0" w:color="auto"/>
            </w:tcBorders>
            <w:shd w:val="clear" w:color="auto" w:fill="FFFFFF"/>
            <w:vAlign w:val="center"/>
          </w:tcPr>
          <w:p w14:paraId="0545DC32" w14:textId="77777777" w:rsidR="00E0351D" w:rsidRPr="00AB06CD" w:rsidRDefault="00E0351D" w:rsidP="006F4E9C">
            <w:pPr>
              <w:spacing w:line="360" w:lineRule="auto"/>
              <w:ind w:leftChars="50" w:left="120"/>
              <w:jc w:val="both"/>
              <w:rPr>
                <w:rFonts w:ascii="Book Antiqua" w:hAnsi="Book Antiqua" w:cstheme="minorHAnsi"/>
                <w:b/>
                <w:lang w:val="en-AU"/>
              </w:rPr>
            </w:pPr>
          </w:p>
        </w:tc>
        <w:tc>
          <w:tcPr>
            <w:tcW w:w="1128" w:type="pct"/>
            <w:vMerge/>
            <w:tcBorders>
              <w:bottom w:val="single" w:sz="4" w:space="0" w:color="auto"/>
            </w:tcBorders>
            <w:shd w:val="clear" w:color="auto" w:fill="FFFFFF"/>
            <w:vAlign w:val="center"/>
          </w:tcPr>
          <w:p w14:paraId="641D28A7" w14:textId="77777777" w:rsidR="00E0351D" w:rsidRPr="00AB06CD" w:rsidRDefault="00E0351D" w:rsidP="006F4E9C">
            <w:pPr>
              <w:spacing w:line="360" w:lineRule="auto"/>
              <w:ind w:leftChars="50" w:left="120"/>
              <w:jc w:val="both"/>
              <w:rPr>
                <w:rFonts w:ascii="Book Antiqua" w:hAnsi="Book Antiqua" w:cstheme="minorHAnsi"/>
                <w:b/>
                <w:lang w:val="en-AU"/>
              </w:rPr>
            </w:pPr>
          </w:p>
        </w:tc>
        <w:tc>
          <w:tcPr>
            <w:tcW w:w="1129" w:type="pct"/>
            <w:vMerge/>
            <w:tcBorders>
              <w:bottom w:val="single" w:sz="4" w:space="0" w:color="auto"/>
            </w:tcBorders>
            <w:shd w:val="clear" w:color="auto" w:fill="FFFFFF"/>
            <w:vAlign w:val="center"/>
          </w:tcPr>
          <w:p w14:paraId="4DAD7B3D" w14:textId="77777777" w:rsidR="00E0351D" w:rsidRPr="00AB06CD" w:rsidRDefault="00E0351D" w:rsidP="006F4E9C">
            <w:pPr>
              <w:spacing w:line="360" w:lineRule="auto"/>
              <w:ind w:leftChars="50" w:left="120"/>
              <w:jc w:val="both"/>
              <w:rPr>
                <w:rFonts w:ascii="Book Antiqua" w:hAnsi="Book Antiqua" w:cstheme="minorHAnsi"/>
                <w:b/>
                <w:lang w:val="en-AU"/>
              </w:rPr>
            </w:pPr>
          </w:p>
        </w:tc>
        <w:tc>
          <w:tcPr>
            <w:tcW w:w="486" w:type="pct"/>
            <w:vMerge/>
            <w:tcBorders>
              <w:bottom w:val="single" w:sz="4" w:space="0" w:color="auto"/>
            </w:tcBorders>
            <w:shd w:val="clear" w:color="auto" w:fill="FFFFFF"/>
            <w:vAlign w:val="center"/>
          </w:tcPr>
          <w:p w14:paraId="135DB492" w14:textId="77777777" w:rsidR="00E0351D" w:rsidRPr="00AB06CD" w:rsidRDefault="00E0351D" w:rsidP="006F4E9C">
            <w:pPr>
              <w:spacing w:line="360" w:lineRule="auto"/>
              <w:ind w:leftChars="50" w:left="120"/>
              <w:jc w:val="both"/>
              <w:rPr>
                <w:rFonts w:ascii="Book Antiqua" w:hAnsi="Book Antiqua" w:cstheme="minorHAnsi"/>
                <w:b/>
                <w:lang w:val="en-AU"/>
              </w:rPr>
            </w:pPr>
          </w:p>
        </w:tc>
      </w:tr>
      <w:tr w:rsidR="00C24861" w:rsidRPr="00AB06CD" w14:paraId="763197A3" w14:textId="77777777" w:rsidTr="00C24861">
        <w:trPr>
          <w:cantSplit/>
          <w:trHeight w:val="310"/>
          <w:jc w:val="center"/>
        </w:trPr>
        <w:tc>
          <w:tcPr>
            <w:tcW w:w="1128" w:type="pct"/>
            <w:tcBorders>
              <w:top w:val="single" w:sz="4" w:space="0" w:color="auto"/>
            </w:tcBorders>
          </w:tcPr>
          <w:p w14:paraId="47E228D5" w14:textId="25DDC671" w:rsidR="00E0351D" w:rsidRPr="00564C60" w:rsidRDefault="00E0351D" w:rsidP="006F4E9C">
            <w:pPr>
              <w:spacing w:line="360" w:lineRule="auto"/>
              <w:ind w:leftChars="50" w:left="120"/>
              <w:jc w:val="both"/>
              <w:rPr>
                <w:rFonts w:ascii="Book Antiqua" w:hAnsi="Book Antiqua" w:cstheme="minorHAnsi"/>
                <w:lang w:val="en-AU"/>
              </w:rPr>
            </w:pPr>
            <w:r w:rsidRPr="00564C60">
              <w:rPr>
                <w:rFonts w:ascii="Book Antiqua" w:hAnsi="Book Antiqua" w:cstheme="minorHAnsi"/>
                <w:lang w:val="en-AU"/>
              </w:rPr>
              <w:t>Age</w:t>
            </w:r>
            <w:r w:rsidR="00123F3E">
              <w:rPr>
                <w:rFonts w:ascii="Book Antiqua" w:hAnsi="Book Antiqua" w:cstheme="minorHAnsi"/>
                <w:lang w:val="en-AU"/>
              </w:rPr>
              <w:t xml:space="preserve">, </w:t>
            </w:r>
            <w:proofErr w:type="spellStart"/>
            <w:r w:rsidRPr="00564C60">
              <w:rPr>
                <w:rFonts w:ascii="Book Antiqua" w:hAnsi="Book Antiqua" w:cstheme="minorHAnsi"/>
                <w:lang w:val="en-AU"/>
              </w:rPr>
              <w:t>y</w:t>
            </w:r>
            <w:r>
              <w:rPr>
                <w:rFonts w:ascii="Book Antiqua" w:hAnsi="Book Antiqua" w:cstheme="minorHAnsi"/>
                <w:lang w:val="en-AU"/>
              </w:rPr>
              <w:t>r</w:t>
            </w:r>
            <w:proofErr w:type="spellEnd"/>
            <w:r w:rsidR="00D5726F">
              <w:rPr>
                <w:rFonts w:ascii="Book Antiqua" w:hAnsi="Book Antiqua" w:cstheme="minorHAnsi"/>
                <w:lang w:val="en-AU"/>
              </w:rPr>
              <w:t>,</w:t>
            </w:r>
            <w:r w:rsidR="00123F3E">
              <w:rPr>
                <w:rFonts w:ascii="Book Antiqua" w:hAnsi="Book Antiqua" w:cstheme="minorHAnsi"/>
                <w:lang w:val="en-AU"/>
              </w:rPr>
              <w:t xml:space="preserve"> </w:t>
            </w:r>
            <w:r w:rsidR="00123F3E" w:rsidRPr="00AB06CD">
              <w:rPr>
                <w:rFonts w:ascii="Book Antiqua" w:hAnsi="Book Antiqua"/>
                <w:lang w:val="en-AU"/>
              </w:rPr>
              <w:t>median (</w:t>
            </w:r>
            <w:r w:rsidR="00F87D04">
              <w:rPr>
                <w:rFonts w:ascii="Book Antiqua" w:hAnsi="Book Antiqua"/>
                <w:lang w:val="en-AU"/>
              </w:rPr>
              <w:t>IQR</w:t>
            </w:r>
            <w:r w:rsidR="00123F3E" w:rsidRPr="00AB06CD">
              <w:rPr>
                <w:rFonts w:ascii="Book Antiqua" w:hAnsi="Book Antiqua"/>
                <w:lang w:val="en-AU"/>
              </w:rPr>
              <w:t>)</w:t>
            </w:r>
          </w:p>
        </w:tc>
        <w:tc>
          <w:tcPr>
            <w:tcW w:w="1129" w:type="pct"/>
            <w:tcBorders>
              <w:top w:val="single" w:sz="4" w:space="0" w:color="auto"/>
            </w:tcBorders>
            <w:shd w:val="clear" w:color="auto" w:fill="FFFFFF"/>
          </w:tcPr>
          <w:p w14:paraId="4A454114"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63 (10)</w:t>
            </w:r>
          </w:p>
        </w:tc>
        <w:tc>
          <w:tcPr>
            <w:tcW w:w="1128" w:type="pct"/>
            <w:tcBorders>
              <w:top w:val="single" w:sz="4" w:space="0" w:color="auto"/>
            </w:tcBorders>
            <w:shd w:val="clear" w:color="auto" w:fill="FFFFFF"/>
          </w:tcPr>
          <w:p w14:paraId="5DDE83F7"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63 (10)</w:t>
            </w:r>
          </w:p>
        </w:tc>
        <w:tc>
          <w:tcPr>
            <w:tcW w:w="1129" w:type="pct"/>
            <w:tcBorders>
              <w:top w:val="single" w:sz="4" w:space="0" w:color="auto"/>
            </w:tcBorders>
            <w:shd w:val="clear" w:color="auto" w:fill="FFFFFF"/>
          </w:tcPr>
          <w:p w14:paraId="3C79838E"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63 (9)</w:t>
            </w:r>
          </w:p>
        </w:tc>
        <w:tc>
          <w:tcPr>
            <w:tcW w:w="486" w:type="pct"/>
            <w:tcBorders>
              <w:top w:val="single" w:sz="4" w:space="0" w:color="auto"/>
            </w:tcBorders>
            <w:shd w:val="clear" w:color="auto" w:fill="FFFFFF"/>
          </w:tcPr>
          <w:p w14:paraId="1CB8BCD9"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0.41</w:t>
            </w:r>
          </w:p>
        </w:tc>
      </w:tr>
      <w:tr w:rsidR="00E0351D" w:rsidRPr="00AB06CD" w14:paraId="2E1DCBD0" w14:textId="77777777" w:rsidTr="00C24861">
        <w:trPr>
          <w:cantSplit/>
          <w:jc w:val="center"/>
        </w:trPr>
        <w:tc>
          <w:tcPr>
            <w:tcW w:w="1128" w:type="pct"/>
            <w:shd w:val="clear" w:color="auto" w:fill="FFFFFF"/>
          </w:tcPr>
          <w:p w14:paraId="67933B01" w14:textId="596D35DA" w:rsidR="00E0351D" w:rsidRPr="00564C60" w:rsidRDefault="00E0351D" w:rsidP="006F4E9C">
            <w:pPr>
              <w:spacing w:line="360" w:lineRule="auto"/>
              <w:ind w:leftChars="50" w:left="120"/>
              <w:jc w:val="both"/>
              <w:rPr>
                <w:rFonts w:ascii="Book Antiqua" w:hAnsi="Book Antiqua" w:cstheme="minorHAnsi"/>
                <w:lang w:val="en-AU"/>
              </w:rPr>
            </w:pPr>
            <w:r w:rsidRPr="00564C60">
              <w:rPr>
                <w:rFonts w:ascii="Book Antiqua" w:hAnsi="Book Antiqua" w:cstheme="minorHAnsi"/>
                <w:lang w:val="en-AU"/>
              </w:rPr>
              <w:t>Gender</w:t>
            </w:r>
            <w:r w:rsidR="00356810">
              <w:rPr>
                <w:rFonts w:ascii="Book Antiqua" w:hAnsi="Book Antiqua" w:cstheme="minorHAnsi"/>
                <w:lang w:val="en-AU"/>
              </w:rPr>
              <w:t xml:space="preserve">, </w:t>
            </w:r>
            <w:r w:rsidR="00356810" w:rsidRPr="00CE2528">
              <w:rPr>
                <w:rFonts w:ascii="Book Antiqua" w:hAnsi="Book Antiqua" w:cstheme="minorHAnsi"/>
                <w:i/>
                <w:iCs/>
                <w:lang w:val="en-AU"/>
              </w:rPr>
              <w:t>n</w:t>
            </w:r>
            <w:r w:rsidR="00356810">
              <w:rPr>
                <w:rFonts w:ascii="Book Antiqua" w:hAnsi="Book Antiqua" w:cstheme="minorHAnsi"/>
                <w:lang w:val="en-AU"/>
              </w:rPr>
              <w:t xml:space="preserve"> (%)</w:t>
            </w:r>
          </w:p>
        </w:tc>
        <w:tc>
          <w:tcPr>
            <w:tcW w:w="1129" w:type="pct"/>
            <w:shd w:val="clear" w:color="auto" w:fill="FFFFFF"/>
            <w:vAlign w:val="center"/>
          </w:tcPr>
          <w:p w14:paraId="164B79B2" w14:textId="77777777" w:rsidR="00E0351D" w:rsidRPr="00AB06CD" w:rsidRDefault="00E0351D" w:rsidP="006F4E9C">
            <w:pPr>
              <w:spacing w:line="360" w:lineRule="auto"/>
              <w:ind w:leftChars="50" w:left="120"/>
              <w:jc w:val="both"/>
              <w:rPr>
                <w:rFonts w:ascii="Book Antiqua" w:hAnsi="Book Antiqua" w:cstheme="minorHAnsi"/>
                <w:lang w:val="en-AU"/>
              </w:rPr>
            </w:pPr>
          </w:p>
        </w:tc>
        <w:tc>
          <w:tcPr>
            <w:tcW w:w="1128" w:type="pct"/>
            <w:shd w:val="clear" w:color="auto" w:fill="FFFFFF"/>
            <w:vAlign w:val="center"/>
          </w:tcPr>
          <w:p w14:paraId="68885D74" w14:textId="77777777" w:rsidR="00E0351D" w:rsidRPr="00AB06CD" w:rsidRDefault="00E0351D" w:rsidP="006F4E9C">
            <w:pPr>
              <w:spacing w:line="360" w:lineRule="auto"/>
              <w:ind w:leftChars="50" w:left="120"/>
              <w:jc w:val="both"/>
              <w:rPr>
                <w:rFonts w:ascii="Book Antiqua" w:hAnsi="Book Antiqua" w:cstheme="minorHAnsi"/>
                <w:lang w:val="en-AU"/>
              </w:rPr>
            </w:pPr>
          </w:p>
        </w:tc>
        <w:tc>
          <w:tcPr>
            <w:tcW w:w="1129" w:type="pct"/>
            <w:shd w:val="clear" w:color="auto" w:fill="FFFFFF"/>
            <w:vAlign w:val="center"/>
          </w:tcPr>
          <w:p w14:paraId="52762965" w14:textId="77777777" w:rsidR="00E0351D" w:rsidRPr="00AB06CD" w:rsidRDefault="00E0351D" w:rsidP="006F4E9C">
            <w:pPr>
              <w:spacing w:line="360" w:lineRule="auto"/>
              <w:ind w:leftChars="50" w:left="120"/>
              <w:jc w:val="both"/>
              <w:rPr>
                <w:rFonts w:ascii="Book Antiqua" w:hAnsi="Book Antiqua" w:cstheme="minorHAnsi"/>
                <w:lang w:val="en-AU"/>
              </w:rPr>
            </w:pPr>
          </w:p>
        </w:tc>
        <w:tc>
          <w:tcPr>
            <w:tcW w:w="486" w:type="pct"/>
            <w:shd w:val="clear" w:color="auto" w:fill="FFFFFF"/>
            <w:vAlign w:val="center"/>
          </w:tcPr>
          <w:p w14:paraId="1A1EE401"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0.08</w:t>
            </w:r>
          </w:p>
        </w:tc>
      </w:tr>
      <w:tr w:rsidR="00E0351D" w:rsidRPr="00AB06CD" w14:paraId="3F19CFE5" w14:textId="77777777" w:rsidTr="00C24861">
        <w:trPr>
          <w:cantSplit/>
          <w:jc w:val="center"/>
        </w:trPr>
        <w:tc>
          <w:tcPr>
            <w:tcW w:w="1128" w:type="pct"/>
            <w:shd w:val="clear" w:color="auto" w:fill="FFFFFF"/>
          </w:tcPr>
          <w:p w14:paraId="4820AF0C" w14:textId="77777777" w:rsidR="00E0351D" w:rsidRPr="00564C60" w:rsidRDefault="00E0351D" w:rsidP="006F4E9C">
            <w:pPr>
              <w:spacing w:line="360" w:lineRule="auto"/>
              <w:ind w:leftChars="50" w:left="120"/>
              <w:jc w:val="both"/>
              <w:rPr>
                <w:rFonts w:ascii="Book Antiqua" w:hAnsi="Book Antiqua" w:cstheme="minorHAnsi"/>
                <w:lang w:val="en-AU"/>
              </w:rPr>
            </w:pPr>
            <w:r w:rsidRPr="00564C60">
              <w:rPr>
                <w:rFonts w:ascii="Book Antiqua" w:hAnsi="Book Antiqua" w:cstheme="minorHAnsi"/>
                <w:lang w:val="en-AU"/>
              </w:rPr>
              <w:t>Male</w:t>
            </w:r>
          </w:p>
        </w:tc>
        <w:tc>
          <w:tcPr>
            <w:tcW w:w="1129" w:type="pct"/>
            <w:shd w:val="clear" w:color="auto" w:fill="FFFFFF"/>
            <w:vAlign w:val="center"/>
          </w:tcPr>
          <w:p w14:paraId="28E839F3"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89 (85.6)</w:t>
            </w:r>
          </w:p>
        </w:tc>
        <w:tc>
          <w:tcPr>
            <w:tcW w:w="1128" w:type="pct"/>
            <w:shd w:val="clear" w:color="auto" w:fill="FFFFFF"/>
          </w:tcPr>
          <w:p w14:paraId="7003E9E7"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rPr>
              <w:t>51 (86.4)</w:t>
            </w:r>
          </w:p>
        </w:tc>
        <w:tc>
          <w:tcPr>
            <w:tcW w:w="1129" w:type="pct"/>
            <w:shd w:val="clear" w:color="auto" w:fill="FFFFFF"/>
          </w:tcPr>
          <w:p w14:paraId="61313FD2"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rPr>
              <w:t>38 (84.4)</w:t>
            </w:r>
          </w:p>
        </w:tc>
        <w:tc>
          <w:tcPr>
            <w:tcW w:w="486" w:type="pct"/>
            <w:shd w:val="clear" w:color="auto" w:fill="FFFFFF"/>
            <w:vAlign w:val="center"/>
          </w:tcPr>
          <w:p w14:paraId="396A53B3" w14:textId="77777777" w:rsidR="00E0351D" w:rsidRPr="00AB06CD" w:rsidRDefault="00E0351D" w:rsidP="006F4E9C">
            <w:pPr>
              <w:spacing w:line="360" w:lineRule="auto"/>
              <w:ind w:leftChars="50" w:left="120"/>
              <w:jc w:val="both"/>
              <w:rPr>
                <w:rFonts w:ascii="Book Antiqua" w:hAnsi="Book Antiqua" w:cstheme="minorHAnsi"/>
                <w:lang w:val="en-AU"/>
              </w:rPr>
            </w:pPr>
          </w:p>
        </w:tc>
      </w:tr>
      <w:tr w:rsidR="00E0351D" w:rsidRPr="00AB06CD" w14:paraId="508750BD" w14:textId="77777777" w:rsidTr="00C24861">
        <w:trPr>
          <w:cantSplit/>
          <w:jc w:val="center"/>
        </w:trPr>
        <w:tc>
          <w:tcPr>
            <w:tcW w:w="1128" w:type="pct"/>
            <w:shd w:val="clear" w:color="auto" w:fill="FFFFFF"/>
          </w:tcPr>
          <w:p w14:paraId="5C49642C" w14:textId="77777777" w:rsidR="00E0351D" w:rsidRPr="00564C60" w:rsidRDefault="00E0351D" w:rsidP="006F4E9C">
            <w:pPr>
              <w:spacing w:line="360" w:lineRule="auto"/>
              <w:ind w:leftChars="50" w:left="120"/>
              <w:jc w:val="both"/>
              <w:rPr>
                <w:rFonts w:ascii="Book Antiqua" w:hAnsi="Book Antiqua" w:cstheme="minorHAnsi"/>
                <w:lang w:val="en-AU"/>
              </w:rPr>
            </w:pPr>
            <w:r w:rsidRPr="00564C60">
              <w:rPr>
                <w:rFonts w:ascii="Book Antiqua" w:hAnsi="Book Antiqua" w:cstheme="minorHAnsi"/>
                <w:lang w:val="en-AU"/>
              </w:rPr>
              <w:t>Female</w:t>
            </w:r>
          </w:p>
        </w:tc>
        <w:tc>
          <w:tcPr>
            <w:tcW w:w="1129" w:type="pct"/>
            <w:shd w:val="clear" w:color="auto" w:fill="FFFFFF"/>
            <w:vAlign w:val="center"/>
          </w:tcPr>
          <w:p w14:paraId="0694DFFA"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15 (14.4)</w:t>
            </w:r>
          </w:p>
        </w:tc>
        <w:tc>
          <w:tcPr>
            <w:tcW w:w="1128" w:type="pct"/>
            <w:shd w:val="clear" w:color="auto" w:fill="FFFFFF"/>
          </w:tcPr>
          <w:p w14:paraId="18613431"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rPr>
              <w:t>8 (13.6)</w:t>
            </w:r>
          </w:p>
        </w:tc>
        <w:tc>
          <w:tcPr>
            <w:tcW w:w="1129" w:type="pct"/>
            <w:shd w:val="clear" w:color="auto" w:fill="FFFFFF"/>
          </w:tcPr>
          <w:p w14:paraId="641C0262"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rPr>
              <w:t>7 (15.6)</w:t>
            </w:r>
          </w:p>
        </w:tc>
        <w:tc>
          <w:tcPr>
            <w:tcW w:w="486" w:type="pct"/>
            <w:shd w:val="clear" w:color="auto" w:fill="FFFFFF"/>
            <w:vAlign w:val="center"/>
          </w:tcPr>
          <w:p w14:paraId="2194477D" w14:textId="77777777" w:rsidR="00E0351D" w:rsidRPr="00AB06CD" w:rsidRDefault="00E0351D" w:rsidP="006F4E9C">
            <w:pPr>
              <w:spacing w:line="360" w:lineRule="auto"/>
              <w:ind w:leftChars="50" w:left="120"/>
              <w:jc w:val="both"/>
              <w:rPr>
                <w:rFonts w:ascii="Book Antiqua" w:hAnsi="Book Antiqua" w:cstheme="minorHAnsi"/>
                <w:lang w:val="en-AU"/>
              </w:rPr>
            </w:pPr>
          </w:p>
        </w:tc>
      </w:tr>
      <w:tr w:rsidR="00E0351D" w:rsidRPr="00AB06CD" w14:paraId="0950AEEF" w14:textId="77777777" w:rsidTr="00C24861">
        <w:trPr>
          <w:cantSplit/>
          <w:jc w:val="center"/>
        </w:trPr>
        <w:tc>
          <w:tcPr>
            <w:tcW w:w="1128" w:type="pct"/>
            <w:shd w:val="clear" w:color="auto" w:fill="FFFFFF"/>
          </w:tcPr>
          <w:p w14:paraId="723143B1" w14:textId="77B2EFC0" w:rsidR="00E0351D" w:rsidRPr="00564C60" w:rsidRDefault="00E0351D" w:rsidP="006F4E9C">
            <w:pPr>
              <w:spacing w:line="360" w:lineRule="auto"/>
              <w:ind w:leftChars="50" w:left="120"/>
              <w:jc w:val="both"/>
              <w:rPr>
                <w:rFonts w:ascii="Book Antiqua" w:hAnsi="Book Antiqua" w:cstheme="minorHAnsi"/>
                <w:lang w:val="en-AU"/>
              </w:rPr>
            </w:pPr>
            <w:r w:rsidRPr="00564C60">
              <w:rPr>
                <w:rFonts w:ascii="Book Antiqua" w:hAnsi="Book Antiqua" w:cstheme="minorHAnsi"/>
                <w:lang w:val="en-AU"/>
              </w:rPr>
              <w:t>Aetiology</w:t>
            </w:r>
            <w:r w:rsidR="00ED6B9F">
              <w:rPr>
                <w:rFonts w:ascii="Book Antiqua" w:hAnsi="Book Antiqua" w:cstheme="minorHAnsi"/>
                <w:lang w:val="en-AU"/>
              </w:rPr>
              <w:t xml:space="preserve">, </w:t>
            </w:r>
            <w:r w:rsidR="00ED6B9F" w:rsidRPr="00CE2528">
              <w:rPr>
                <w:rFonts w:ascii="Book Antiqua" w:hAnsi="Book Antiqua" w:cstheme="minorHAnsi"/>
                <w:i/>
                <w:iCs/>
                <w:lang w:val="en-AU"/>
              </w:rPr>
              <w:t>n</w:t>
            </w:r>
            <w:r w:rsidR="00ED6B9F">
              <w:rPr>
                <w:rFonts w:ascii="Book Antiqua" w:hAnsi="Book Antiqua" w:cstheme="minorHAnsi"/>
                <w:lang w:val="en-AU"/>
              </w:rPr>
              <w:t xml:space="preserve"> (%)</w:t>
            </w:r>
          </w:p>
        </w:tc>
        <w:tc>
          <w:tcPr>
            <w:tcW w:w="1129" w:type="pct"/>
            <w:shd w:val="clear" w:color="auto" w:fill="FFFFFF"/>
            <w:vAlign w:val="center"/>
          </w:tcPr>
          <w:p w14:paraId="66FEBFC1" w14:textId="77777777" w:rsidR="00E0351D" w:rsidRPr="00AB06CD" w:rsidRDefault="00E0351D" w:rsidP="006F4E9C">
            <w:pPr>
              <w:spacing w:line="360" w:lineRule="auto"/>
              <w:ind w:leftChars="50" w:left="120"/>
              <w:jc w:val="both"/>
              <w:rPr>
                <w:rFonts w:ascii="Book Antiqua" w:hAnsi="Book Antiqua" w:cstheme="minorHAnsi"/>
                <w:lang w:val="en-AU"/>
              </w:rPr>
            </w:pPr>
          </w:p>
        </w:tc>
        <w:tc>
          <w:tcPr>
            <w:tcW w:w="1128" w:type="pct"/>
            <w:shd w:val="clear" w:color="auto" w:fill="FFFFFF"/>
            <w:vAlign w:val="center"/>
          </w:tcPr>
          <w:p w14:paraId="560F4307" w14:textId="77777777" w:rsidR="00E0351D" w:rsidRPr="00AB06CD" w:rsidRDefault="00E0351D" w:rsidP="006F4E9C">
            <w:pPr>
              <w:spacing w:line="360" w:lineRule="auto"/>
              <w:ind w:leftChars="50" w:left="120"/>
              <w:jc w:val="both"/>
              <w:rPr>
                <w:rFonts w:ascii="Book Antiqua" w:hAnsi="Book Antiqua" w:cstheme="minorHAnsi"/>
                <w:lang w:val="en-AU"/>
              </w:rPr>
            </w:pPr>
          </w:p>
        </w:tc>
        <w:tc>
          <w:tcPr>
            <w:tcW w:w="1129" w:type="pct"/>
            <w:shd w:val="clear" w:color="auto" w:fill="FFFFFF"/>
            <w:vAlign w:val="center"/>
          </w:tcPr>
          <w:p w14:paraId="228B3D4F" w14:textId="77777777" w:rsidR="00E0351D" w:rsidRPr="00AB06CD" w:rsidRDefault="00E0351D" w:rsidP="006F4E9C">
            <w:pPr>
              <w:spacing w:line="360" w:lineRule="auto"/>
              <w:ind w:leftChars="50" w:left="120"/>
              <w:jc w:val="both"/>
              <w:rPr>
                <w:rFonts w:ascii="Book Antiqua" w:hAnsi="Book Antiqua" w:cstheme="minorHAnsi"/>
                <w:lang w:val="en-AU"/>
              </w:rPr>
            </w:pPr>
          </w:p>
        </w:tc>
        <w:tc>
          <w:tcPr>
            <w:tcW w:w="486" w:type="pct"/>
            <w:shd w:val="clear" w:color="auto" w:fill="FFFFFF"/>
            <w:vAlign w:val="center"/>
          </w:tcPr>
          <w:p w14:paraId="52BBCA67"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0.73</w:t>
            </w:r>
          </w:p>
        </w:tc>
      </w:tr>
      <w:tr w:rsidR="00E0351D" w:rsidRPr="00AB06CD" w14:paraId="46BA8968" w14:textId="77777777" w:rsidTr="00C24861">
        <w:trPr>
          <w:cantSplit/>
          <w:jc w:val="center"/>
        </w:trPr>
        <w:tc>
          <w:tcPr>
            <w:tcW w:w="1128" w:type="pct"/>
            <w:shd w:val="clear" w:color="auto" w:fill="FFFFFF"/>
          </w:tcPr>
          <w:p w14:paraId="7753AE4F" w14:textId="77777777" w:rsidR="00E0351D" w:rsidRPr="00564C60" w:rsidRDefault="00E0351D" w:rsidP="006F4E9C">
            <w:pPr>
              <w:spacing w:line="360" w:lineRule="auto"/>
              <w:ind w:leftChars="50" w:left="120"/>
              <w:jc w:val="both"/>
              <w:rPr>
                <w:rFonts w:ascii="Book Antiqua" w:hAnsi="Book Antiqua" w:cstheme="minorHAnsi"/>
                <w:lang w:val="en-AU"/>
              </w:rPr>
            </w:pPr>
            <w:r w:rsidRPr="00564C60">
              <w:rPr>
                <w:rFonts w:ascii="Book Antiqua" w:hAnsi="Book Antiqua" w:cstheme="minorHAnsi"/>
                <w:lang w:val="en-AU"/>
              </w:rPr>
              <w:t>Alcohol</w:t>
            </w:r>
          </w:p>
        </w:tc>
        <w:tc>
          <w:tcPr>
            <w:tcW w:w="1129" w:type="pct"/>
            <w:shd w:val="clear" w:color="auto" w:fill="FFFFFF"/>
            <w:vAlign w:val="center"/>
          </w:tcPr>
          <w:p w14:paraId="60530256"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12 (11.5)</w:t>
            </w:r>
          </w:p>
        </w:tc>
        <w:tc>
          <w:tcPr>
            <w:tcW w:w="1128" w:type="pct"/>
            <w:shd w:val="clear" w:color="auto" w:fill="FFFFFF"/>
          </w:tcPr>
          <w:p w14:paraId="6B8D7DF9"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Arial"/>
              </w:rPr>
              <w:t>8 (13.6)</w:t>
            </w:r>
          </w:p>
        </w:tc>
        <w:tc>
          <w:tcPr>
            <w:tcW w:w="1129" w:type="pct"/>
            <w:shd w:val="clear" w:color="auto" w:fill="FFFFFF"/>
          </w:tcPr>
          <w:p w14:paraId="2E26A667"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Arial"/>
              </w:rPr>
              <w:t>4</w:t>
            </w:r>
            <w:r w:rsidRPr="00AB06CD">
              <w:rPr>
                <w:rFonts w:ascii="Book Antiqua" w:hAnsi="Book Antiqua" w:cstheme="minorHAnsi"/>
                <w:lang w:val="en-AU"/>
              </w:rPr>
              <w:t xml:space="preserve"> (</w:t>
            </w:r>
            <w:r w:rsidRPr="00AB06CD">
              <w:rPr>
                <w:rFonts w:ascii="Book Antiqua" w:hAnsi="Book Antiqua" w:cs="Arial"/>
              </w:rPr>
              <w:t>8.9</w:t>
            </w:r>
            <w:r w:rsidRPr="00AB06CD">
              <w:rPr>
                <w:rFonts w:ascii="Book Antiqua" w:hAnsi="Book Antiqua" w:cstheme="minorHAnsi"/>
                <w:lang w:val="en-AU"/>
              </w:rPr>
              <w:t>)</w:t>
            </w:r>
          </w:p>
        </w:tc>
        <w:tc>
          <w:tcPr>
            <w:tcW w:w="486" w:type="pct"/>
            <w:shd w:val="clear" w:color="auto" w:fill="FFFFFF"/>
            <w:vAlign w:val="center"/>
          </w:tcPr>
          <w:p w14:paraId="1BCA9B75" w14:textId="77777777" w:rsidR="00E0351D" w:rsidRPr="00AB06CD" w:rsidRDefault="00E0351D" w:rsidP="006F4E9C">
            <w:pPr>
              <w:spacing w:line="360" w:lineRule="auto"/>
              <w:ind w:leftChars="50" w:left="120"/>
              <w:jc w:val="both"/>
              <w:rPr>
                <w:rFonts w:ascii="Book Antiqua" w:hAnsi="Book Antiqua" w:cstheme="minorHAnsi"/>
                <w:lang w:val="en-AU"/>
              </w:rPr>
            </w:pPr>
          </w:p>
        </w:tc>
      </w:tr>
      <w:tr w:rsidR="00E0351D" w:rsidRPr="00AB06CD" w14:paraId="44A9D560" w14:textId="77777777" w:rsidTr="00C24861">
        <w:trPr>
          <w:cantSplit/>
          <w:jc w:val="center"/>
        </w:trPr>
        <w:tc>
          <w:tcPr>
            <w:tcW w:w="1128" w:type="pct"/>
            <w:shd w:val="clear" w:color="auto" w:fill="FFFFFF"/>
          </w:tcPr>
          <w:p w14:paraId="7D363391" w14:textId="77777777" w:rsidR="00E0351D" w:rsidRPr="00564C60" w:rsidRDefault="00E0351D" w:rsidP="006F4E9C">
            <w:pPr>
              <w:spacing w:line="360" w:lineRule="auto"/>
              <w:ind w:leftChars="50" w:left="120"/>
              <w:jc w:val="both"/>
              <w:rPr>
                <w:rFonts w:ascii="Book Antiqua" w:hAnsi="Book Antiqua" w:cstheme="minorHAnsi"/>
                <w:lang w:val="en-AU"/>
              </w:rPr>
            </w:pPr>
            <w:r w:rsidRPr="00564C60">
              <w:rPr>
                <w:rFonts w:ascii="Book Antiqua" w:hAnsi="Book Antiqua" w:cstheme="minorHAnsi"/>
                <w:lang w:val="en-AU"/>
              </w:rPr>
              <w:t>HCV</w:t>
            </w:r>
          </w:p>
        </w:tc>
        <w:tc>
          <w:tcPr>
            <w:tcW w:w="1129" w:type="pct"/>
            <w:shd w:val="clear" w:color="auto" w:fill="FFFFFF"/>
            <w:vAlign w:val="center"/>
          </w:tcPr>
          <w:p w14:paraId="23654B3F"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42 (40.4)</w:t>
            </w:r>
          </w:p>
        </w:tc>
        <w:tc>
          <w:tcPr>
            <w:tcW w:w="1128" w:type="pct"/>
            <w:shd w:val="clear" w:color="auto" w:fill="FFFFFF"/>
          </w:tcPr>
          <w:p w14:paraId="00047640"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22 (37.3)</w:t>
            </w:r>
          </w:p>
        </w:tc>
        <w:tc>
          <w:tcPr>
            <w:tcW w:w="1129" w:type="pct"/>
            <w:shd w:val="clear" w:color="auto" w:fill="FFFFFF"/>
          </w:tcPr>
          <w:p w14:paraId="463917DE"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20 (44.4)</w:t>
            </w:r>
          </w:p>
        </w:tc>
        <w:tc>
          <w:tcPr>
            <w:tcW w:w="486" w:type="pct"/>
            <w:shd w:val="clear" w:color="auto" w:fill="FFFFFF"/>
            <w:vAlign w:val="center"/>
          </w:tcPr>
          <w:p w14:paraId="17557658" w14:textId="77777777" w:rsidR="00E0351D" w:rsidRPr="00AB06CD" w:rsidRDefault="00E0351D" w:rsidP="006F4E9C">
            <w:pPr>
              <w:spacing w:line="360" w:lineRule="auto"/>
              <w:ind w:leftChars="50" w:left="120"/>
              <w:jc w:val="both"/>
              <w:rPr>
                <w:rFonts w:ascii="Book Antiqua" w:hAnsi="Book Antiqua" w:cstheme="minorHAnsi"/>
                <w:lang w:val="en-AU"/>
              </w:rPr>
            </w:pPr>
          </w:p>
        </w:tc>
      </w:tr>
      <w:tr w:rsidR="00E0351D" w:rsidRPr="00AB06CD" w14:paraId="095D4C8C" w14:textId="77777777" w:rsidTr="00C24861">
        <w:trPr>
          <w:cantSplit/>
          <w:jc w:val="center"/>
        </w:trPr>
        <w:tc>
          <w:tcPr>
            <w:tcW w:w="1128" w:type="pct"/>
            <w:shd w:val="clear" w:color="auto" w:fill="FFFFFF"/>
          </w:tcPr>
          <w:p w14:paraId="426BA1AF" w14:textId="77777777" w:rsidR="00E0351D" w:rsidRPr="00564C60" w:rsidRDefault="00E0351D" w:rsidP="006F4E9C">
            <w:pPr>
              <w:spacing w:line="360" w:lineRule="auto"/>
              <w:ind w:leftChars="50" w:left="120"/>
              <w:jc w:val="both"/>
              <w:rPr>
                <w:rFonts w:ascii="Book Antiqua" w:hAnsi="Book Antiqua" w:cstheme="minorHAnsi"/>
                <w:lang w:val="en-AU"/>
              </w:rPr>
            </w:pPr>
            <w:r w:rsidRPr="00564C60">
              <w:rPr>
                <w:rFonts w:ascii="Book Antiqua" w:hAnsi="Book Antiqua" w:cstheme="minorHAnsi"/>
                <w:lang w:val="en-AU"/>
              </w:rPr>
              <w:t>HBV</w:t>
            </w:r>
          </w:p>
        </w:tc>
        <w:tc>
          <w:tcPr>
            <w:tcW w:w="1129" w:type="pct"/>
            <w:shd w:val="clear" w:color="auto" w:fill="FFFFFF"/>
            <w:vAlign w:val="center"/>
          </w:tcPr>
          <w:p w14:paraId="3626A04D"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15 (14.4)</w:t>
            </w:r>
          </w:p>
        </w:tc>
        <w:tc>
          <w:tcPr>
            <w:tcW w:w="1128" w:type="pct"/>
            <w:shd w:val="clear" w:color="auto" w:fill="FFFFFF"/>
          </w:tcPr>
          <w:p w14:paraId="02E068C4"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8 (13.6)</w:t>
            </w:r>
          </w:p>
        </w:tc>
        <w:tc>
          <w:tcPr>
            <w:tcW w:w="1129" w:type="pct"/>
            <w:shd w:val="clear" w:color="auto" w:fill="FFFFFF"/>
          </w:tcPr>
          <w:p w14:paraId="761FE2EB"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Arial"/>
              </w:rPr>
              <w:t>7</w:t>
            </w:r>
            <w:r w:rsidRPr="00AB06CD">
              <w:rPr>
                <w:rFonts w:ascii="Book Antiqua" w:hAnsi="Book Antiqua" w:cstheme="minorHAnsi"/>
                <w:lang w:val="en-AU"/>
              </w:rPr>
              <w:t xml:space="preserve"> (</w:t>
            </w:r>
            <w:r w:rsidRPr="00AB06CD">
              <w:rPr>
                <w:rFonts w:ascii="Book Antiqua" w:hAnsi="Book Antiqua" w:cs="Arial"/>
              </w:rPr>
              <w:t>15.6</w:t>
            </w:r>
            <w:r w:rsidRPr="00AB06CD">
              <w:rPr>
                <w:rFonts w:ascii="Book Antiqua" w:hAnsi="Book Antiqua" w:cstheme="minorHAnsi"/>
                <w:lang w:val="en-AU"/>
              </w:rPr>
              <w:t>)</w:t>
            </w:r>
          </w:p>
        </w:tc>
        <w:tc>
          <w:tcPr>
            <w:tcW w:w="486" w:type="pct"/>
            <w:shd w:val="clear" w:color="auto" w:fill="FFFFFF"/>
            <w:vAlign w:val="center"/>
          </w:tcPr>
          <w:p w14:paraId="405148A9" w14:textId="77777777" w:rsidR="00E0351D" w:rsidRPr="00AB06CD" w:rsidRDefault="00E0351D" w:rsidP="006F4E9C">
            <w:pPr>
              <w:spacing w:line="360" w:lineRule="auto"/>
              <w:ind w:leftChars="50" w:left="120"/>
              <w:jc w:val="both"/>
              <w:rPr>
                <w:rFonts w:ascii="Book Antiqua" w:hAnsi="Book Antiqua" w:cstheme="minorHAnsi"/>
                <w:lang w:val="en-AU"/>
              </w:rPr>
            </w:pPr>
          </w:p>
        </w:tc>
      </w:tr>
      <w:tr w:rsidR="00E0351D" w:rsidRPr="00AB06CD" w14:paraId="3DF614A7" w14:textId="77777777" w:rsidTr="00C24861">
        <w:trPr>
          <w:cantSplit/>
          <w:jc w:val="center"/>
        </w:trPr>
        <w:tc>
          <w:tcPr>
            <w:tcW w:w="1128" w:type="pct"/>
            <w:shd w:val="clear" w:color="auto" w:fill="FFFFFF"/>
          </w:tcPr>
          <w:p w14:paraId="5B4E3F78" w14:textId="77777777" w:rsidR="00E0351D" w:rsidRPr="00564C60" w:rsidRDefault="00E0351D" w:rsidP="006F4E9C">
            <w:pPr>
              <w:spacing w:line="360" w:lineRule="auto"/>
              <w:ind w:leftChars="50" w:left="120"/>
              <w:jc w:val="both"/>
              <w:rPr>
                <w:rFonts w:ascii="Book Antiqua" w:hAnsi="Book Antiqua" w:cstheme="minorHAnsi"/>
                <w:lang w:val="en-AU"/>
              </w:rPr>
            </w:pPr>
            <w:r w:rsidRPr="00564C60">
              <w:rPr>
                <w:rFonts w:ascii="Book Antiqua" w:hAnsi="Book Antiqua" w:cstheme="minorHAnsi"/>
                <w:lang w:val="en-AU"/>
              </w:rPr>
              <w:t>NASH</w:t>
            </w:r>
          </w:p>
        </w:tc>
        <w:tc>
          <w:tcPr>
            <w:tcW w:w="1129" w:type="pct"/>
            <w:shd w:val="clear" w:color="auto" w:fill="FFFFFF"/>
            <w:vAlign w:val="center"/>
          </w:tcPr>
          <w:p w14:paraId="63E5C9AA"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5 (4.8)</w:t>
            </w:r>
          </w:p>
        </w:tc>
        <w:tc>
          <w:tcPr>
            <w:tcW w:w="1128" w:type="pct"/>
            <w:shd w:val="clear" w:color="auto" w:fill="FFFFFF"/>
          </w:tcPr>
          <w:p w14:paraId="01766E41"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Arial"/>
              </w:rPr>
              <w:t>4</w:t>
            </w:r>
            <w:r w:rsidRPr="00AB06CD">
              <w:rPr>
                <w:rFonts w:ascii="Book Antiqua" w:hAnsi="Book Antiqua" w:cstheme="minorHAnsi"/>
                <w:lang w:val="en-AU"/>
              </w:rPr>
              <w:t xml:space="preserve"> (</w:t>
            </w:r>
            <w:r w:rsidRPr="00AB06CD">
              <w:rPr>
                <w:rFonts w:ascii="Book Antiqua" w:hAnsi="Book Antiqua" w:cs="Arial"/>
              </w:rPr>
              <w:t>6.8</w:t>
            </w:r>
            <w:r w:rsidRPr="00AB06CD">
              <w:rPr>
                <w:rFonts w:ascii="Book Antiqua" w:hAnsi="Book Antiqua" w:cstheme="minorHAnsi"/>
                <w:lang w:val="en-AU"/>
              </w:rPr>
              <w:t>)</w:t>
            </w:r>
          </w:p>
        </w:tc>
        <w:tc>
          <w:tcPr>
            <w:tcW w:w="1129" w:type="pct"/>
            <w:shd w:val="clear" w:color="auto" w:fill="FFFFFF"/>
          </w:tcPr>
          <w:p w14:paraId="377071E1"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1 (</w:t>
            </w:r>
            <w:r w:rsidRPr="00AB06CD">
              <w:rPr>
                <w:rFonts w:ascii="Book Antiqua" w:hAnsi="Book Antiqua" w:cs="Arial"/>
              </w:rPr>
              <w:t>2.2</w:t>
            </w:r>
            <w:r w:rsidRPr="00AB06CD">
              <w:rPr>
                <w:rFonts w:ascii="Book Antiqua" w:hAnsi="Book Antiqua" w:cstheme="minorHAnsi"/>
                <w:lang w:val="en-AU"/>
              </w:rPr>
              <w:t>)</w:t>
            </w:r>
          </w:p>
        </w:tc>
        <w:tc>
          <w:tcPr>
            <w:tcW w:w="486" w:type="pct"/>
            <w:shd w:val="clear" w:color="auto" w:fill="FFFFFF"/>
            <w:vAlign w:val="center"/>
          </w:tcPr>
          <w:p w14:paraId="6FCD9C67" w14:textId="77777777" w:rsidR="00E0351D" w:rsidRPr="00AB06CD" w:rsidRDefault="00E0351D" w:rsidP="006F4E9C">
            <w:pPr>
              <w:spacing w:line="360" w:lineRule="auto"/>
              <w:ind w:leftChars="50" w:left="120"/>
              <w:jc w:val="both"/>
              <w:rPr>
                <w:rFonts w:ascii="Book Antiqua" w:hAnsi="Book Antiqua" w:cstheme="minorHAnsi"/>
                <w:lang w:val="en-AU"/>
              </w:rPr>
            </w:pPr>
          </w:p>
        </w:tc>
      </w:tr>
      <w:tr w:rsidR="00E0351D" w:rsidRPr="00AB06CD" w14:paraId="172AA239" w14:textId="77777777" w:rsidTr="00C24861">
        <w:trPr>
          <w:cantSplit/>
          <w:jc w:val="center"/>
        </w:trPr>
        <w:tc>
          <w:tcPr>
            <w:tcW w:w="1128" w:type="pct"/>
            <w:shd w:val="clear" w:color="auto" w:fill="FFFFFF"/>
          </w:tcPr>
          <w:p w14:paraId="2483209D" w14:textId="3FEFD116" w:rsidR="00E0351D" w:rsidRPr="00564C60" w:rsidRDefault="00E0351D" w:rsidP="006F4E9C">
            <w:pPr>
              <w:spacing w:line="360" w:lineRule="auto"/>
              <w:ind w:leftChars="50" w:left="120"/>
              <w:jc w:val="both"/>
              <w:rPr>
                <w:rFonts w:ascii="Book Antiqua" w:hAnsi="Book Antiqua" w:cstheme="minorHAnsi"/>
                <w:lang w:val="en-AU"/>
              </w:rPr>
            </w:pPr>
            <w:r w:rsidRPr="00564C60">
              <w:rPr>
                <w:rFonts w:ascii="Book Antiqua" w:hAnsi="Book Antiqua" w:cstheme="minorHAnsi"/>
                <w:lang w:val="en-AU"/>
              </w:rPr>
              <w:t>Alcohol</w:t>
            </w:r>
            <w:r w:rsidR="003D3B0B">
              <w:rPr>
                <w:rFonts w:ascii="Book Antiqua" w:hAnsi="Book Antiqua" w:cstheme="minorHAnsi"/>
                <w:lang w:val="en-AU"/>
              </w:rPr>
              <w:t xml:space="preserve"> and</w:t>
            </w:r>
            <w:r w:rsidRPr="00564C60">
              <w:rPr>
                <w:rFonts w:ascii="Book Antiqua" w:hAnsi="Book Antiqua" w:cstheme="minorHAnsi"/>
                <w:lang w:val="en-AU"/>
              </w:rPr>
              <w:t xml:space="preserve"> HCV</w:t>
            </w:r>
          </w:p>
        </w:tc>
        <w:tc>
          <w:tcPr>
            <w:tcW w:w="1129" w:type="pct"/>
            <w:shd w:val="clear" w:color="auto" w:fill="FFFFFF"/>
            <w:vAlign w:val="center"/>
          </w:tcPr>
          <w:p w14:paraId="5586E79F"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18 (17.3)</w:t>
            </w:r>
          </w:p>
        </w:tc>
        <w:tc>
          <w:tcPr>
            <w:tcW w:w="1128" w:type="pct"/>
            <w:shd w:val="clear" w:color="auto" w:fill="FFFFFF"/>
          </w:tcPr>
          <w:p w14:paraId="3370AEA1" w14:textId="77777777" w:rsidR="00E0351D" w:rsidRPr="00AB06CD" w:rsidRDefault="00E0351D" w:rsidP="006F4E9C">
            <w:pPr>
              <w:spacing w:line="360" w:lineRule="auto"/>
              <w:ind w:leftChars="50" w:left="120"/>
              <w:jc w:val="both"/>
              <w:rPr>
                <w:rFonts w:ascii="Book Antiqua" w:hAnsi="Book Antiqua" w:cs="Arial"/>
              </w:rPr>
            </w:pPr>
            <w:r w:rsidRPr="00AB06CD">
              <w:rPr>
                <w:rFonts w:ascii="Book Antiqua" w:hAnsi="Book Antiqua" w:cs="Arial"/>
              </w:rPr>
              <w:t>9</w:t>
            </w:r>
            <w:r w:rsidRPr="00AB06CD">
              <w:rPr>
                <w:rFonts w:ascii="Book Antiqua" w:hAnsi="Book Antiqua" w:cstheme="minorHAnsi"/>
                <w:lang w:val="en-AU"/>
              </w:rPr>
              <w:t xml:space="preserve"> (</w:t>
            </w:r>
            <w:r w:rsidRPr="00AB06CD">
              <w:rPr>
                <w:rFonts w:ascii="Book Antiqua" w:hAnsi="Book Antiqua" w:cs="Arial"/>
              </w:rPr>
              <w:t>15.3</w:t>
            </w:r>
            <w:r w:rsidRPr="00AB06CD">
              <w:rPr>
                <w:rFonts w:ascii="Book Antiqua" w:hAnsi="Book Antiqua" w:cstheme="minorHAnsi"/>
                <w:lang w:val="en-AU"/>
              </w:rPr>
              <w:t>)</w:t>
            </w:r>
          </w:p>
        </w:tc>
        <w:tc>
          <w:tcPr>
            <w:tcW w:w="1129" w:type="pct"/>
            <w:shd w:val="clear" w:color="auto" w:fill="FFFFFF"/>
          </w:tcPr>
          <w:p w14:paraId="04E83799"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9 (</w:t>
            </w:r>
            <w:r w:rsidRPr="00AB06CD">
              <w:rPr>
                <w:rFonts w:ascii="Book Antiqua" w:hAnsi="Book Antiqua" w:cs="Arial"/>
              </w:rPr>
              <w:t>20.0</w:t>
            </w:r>
            <w:r w:rsidRPr="00AB06CD">
              <w:rPr>
                <w:rFonts w:ascii="Book Antiqua" w:hAnsi="Book Antiqua" w:cstheme="minorHAnsi"/>
                <w:lang w:val="en-AU"/>
              </w:rPr>
              <w:t>)</w:t>
            </w:r>
          </w:p>
        </w:tc>
        <w:tc>
          <w:tcPr>
            <w:tcW w:w="486" w:type="pct"/>
            <w:shd w:val="clear" w:color="auto" w:fill="FFFFFF"/>
            <w:vAlign w:val="center"/>
          </w:tcPr>
          <w:p w14:paraId="5BA9ABA4" w14:textId="77777777" w:rsidR="00E0351D" w:rsidRPr="00AB06CD" w:rsidRDefault="00E0351D" w:rsidP="006F4E9C">
            <w:pPr>
              <w:spacing w:line="360" w:lineRule="auto"/>
              <w:ind w:leftChars="50" w:left="120"/>
              <w:jc w:val="both"/>
              <w:rPr>
                <w:rFonts w:ascii="Book Antiqua" w:hAnsi="Book Antiqua" w:cstheme="minorHAnsi"/>
                <w:lang w:val="en-AU"/>
              </w:rPr>
            </w:pPr>
          </w:p>
        </w:tc>
      </w:tr>
      <w:tr w:rsidR="00E0351D" w:rsidRPr="00AB06CD" w14:paraId="213F1BB8" w14:textId="77777777" w:rsidTr="00C24861">
        <w:trPr>
          <w:cantSplit/>
          <w:jc w:val="center"/>
        </w:trPr>
        <w:tc>
          <w:tcPr>
            <w:tcW w:w="1128" w:type="pct"/>
            <w:shd w:val="clear" w:color="auto" w:fill="FFFFFF"/>
          </w:tcPr>
          <w:p w14:paraId="599E30E8" w14:textId="43207898" w:rsidR="00E0351D" w:rsidRPr="00564C60" w:rsidRDefault="00E0351D" w:rsidP="006F4E9C">
            <w:pPr>
              <w:spacing w:line="360" w:lineRule="auto"/>
              <w:ind w:leftChars="50" w:left="120"/>
              <w:jc w:val="both"/>
              <w:rPr>
                <w:rFonts w:ascii="Book Antiqua" w:hAnsi="Book Antiqua" w:cstheme="minorHAnsi"/>
                <w:lang w:val="en-AU"/>
              </w:rPr>
            </w:pPr>
            <w:r w:rsidRPr="00564C60">
              <w:rPr>
                <w:rFonts w:ascii="Book Antiqua" w:hAnsi="Book Antiqua" w:cstheme="minorHAnsi"/>
                <w:lang w:val="en-AU"/>
              </w:rPr>
              <w:t>Other</w:t>
            </w:r>
            <w:r w:rsidR="00C07C64">
              <w:rPr>
                <w:rFonts w:ascii="Book Antiqua" w:hAnsi="Book Antiqua" w:cstheme="minorHAnsi"/>
                <w:vertAlign w:val="superscript"/>
                <w:lang w:val="en-AU"/>
              </w:rPr>
              <w:t>1</w:t>
            </w:r>
          </w:p>
        </w:tc>
        <w:tc>
          <w:tcPr>
            <w:tcW w:w="1129" w:type="pct"/>
            <w:shd w:val="clear" w:color="auto" w:fill="FFFFFF"/>
            <w:vAlign w:val="center"/>
          </w:tcPr>
          <w:p w14:paraId="24C72A12"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12 (11.5)</w:t>
            </w:r>
          </w:p>
        </w:tc>
        <w:tc>
          <w:tcPr>
            <w:tcW w:w="1128" w:type="pct"/>
            <w:shd w:val="clear" w:color="auto" w:fill="FFFFFF"/>
          </w:tcPr>
          <w:p w14:paraId="07A5BCB3"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Arial"/>
              </w:rPr>
              <w:t>8</w:t>
            </w:r>
            <w:r w:rsidRPr="00AB06CD">
              <w:rPr>
                <w:rFonts w:ascii="Book Antiqua" w:hAnsi="Book Antiqua" w:cstheme="minorHAnsi"/>
                <w:lang w:val="en-AU"/>
              </w:rPr>
              <w:t xml:space="preserve"> (13.6)</w:t>
            </w:r>
          </w:p>
        </w:tc>
        <w:tc>
          <w:tcPr>
            <w:tcW w:w="1129" w:type="pct"/>
            <w:shd w:val="clear" w:color="auto" w:fill="FFFFFF"/>
          </w:tcPr>
          <w:p w14:paraId="7C44CF6D"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4 (</w:t>
            </w:r>
            <w:r w:rsidRPr="00AB06CD">
              <w:rPr>
                <w:rFonts w:ascii="Book Antiqua" w:hAnsi="Book Antiqua" w:cs="Arial"/>
              </w:rPr>
              <w:t>8.9</w:t>
            </w:r>
            <w:r w:rsidRPr="00AB06CD">
              <w:rPr>
                <w:rFonts w:ascii="Book Antiqua" w:hAnsi="Book Antiqua" w:cstheme="minorHAnsi"/>
                <w:lang w:val="en-AU"/>
              </w:rPr>
              <w:t>)</w:t>
            </w:r>
          </w:p>
        </w:tc>
        <w:tc>
          <w:tcPr>
            <w:tcW w:w="486" w:type="pct"/>
            <w:shd w:val="clear" w:color="auto" w:fill="FFFFFF"/>
            <w:vAlign w:val="center"/>
          </w:tcPr>
          <w:p w14:paraId="76D695D6" w14:textId="77777777" w:rsidR="00E0351D" w:rsidRPr="00AB06CD" w:rsidRDefault="00E0351D" w:rsidP="006F4E9C">
            <w:pPr>
              <w:spacing w:line="360" w:lineRule="auto"/>
              <w:ind w:leftChars="50" w:left="120"/>
              <w:jc w:val="both"/>
              <w:rPr>
                <w:rFonts w:ascii="Book Antiqua" w:hAnsi="Book Antiqua" w:cstheme="minorHAnsi"/>
                <w:lang w:val="en-AU"/>
              </w:rPr>
            </w:pPr>
          </w:p>
        </w:tc>
      </w:tr>
      <w:tr w:rsidR="00E0351D" w:rsidRPr="00AB06CD" w14:paraId="516334E7" w14:textId="77777777" w:rsidTr="00C24861">
        <w:trPr>
          <w:cantSplit/>
          <w:jc w:val="center"/>
        </w:trPr>
        <w:tc>
          <w:tcPr>
            <w:tcW w:w="1128" w:type="pct"/>
            <w:shd w:val="clear" w:color="auto" w:fill="FFFFFF"/>
          </w:tcPr>
          <w:p w14:paraId="0D1727C1" w14:textId="26A47FC7" w:rsidR="00E0351D" w:rsidRPr="00564C60" w:rsidRDefault="00E0351D" w:rsidP="006F4E9C">
            <w:pPr>
              <w:spacing w:line="360" w:lineRule="auto"/>
              <w:ind w:leftChars="50" w:left="120"/>
              <w:jc w:val="both"/>
              <w:rPr>
                <w:rFonts w:ascii="Book Antiqua" w:hAnsi="Book Antiqua" w:cstheme="minorHAnsi"/>
                <w:lang w:val="en-AU"/>
              </w:rPr>
            </w:pPr>
            <w:r w:rsidRPr="00564C60">
              <w:rPr>
                <w:rFonts w:ascii="Book Antiqua" w:hAnsi="Book Antiqua" w:cstheme="minorHAnsi"/>
                <w:lang w:val="en-AU"/>
              </w:rPr>
              <w:t>Cirrhosis status</w:t>
            </w:r>
            <w:r w:rsidR="00ED6B9F">
              <w:rPr>
                <w:rFonts w:ascii="Book Antiqua" w:hAnsi="Book Antiqua" w:cstheme="minorHAnsi"/>
                <w:lang w:val="en-AU"/>
              </w:rPr>
              <w:t xml:space="preserve">, </w:t>
            </w:r>
            <w:r w:rsidR="00ED6B9F" w:rsidRPr="00CE2528">
              <w:rPr>
                <w:rFonts w:ascii="Book Antiqua" w:hAnsi="Book Antiqua" w:cstheme="minorHAnsi"/>
                <w:i/>
                <w:iCs/>
                <w:lang w:val="en-AU"/>
              </w:rPr>
              <w:t>n</w:t>
            </w:r>
            <w:r w:rsidR="00ED6B9F">
              <w:rPr>
                <w:rFonts w:ascii="Book Antiqua" w:hAnsi="Book Antiqua" w:cstheme="minorHAnsi"/>
                <w:lang w:val="en-AU"/>
              </w:rPr>
              <w:t xml:space="preserve"> (%)</w:t>
            </w:r>
          </w:p>
        </w:tc>
        <w:tc>
          <w:tcPr>
            <w:tcW w:w="1129" w:type="pct"/>
            <w:vAlign w:val="center"/>
          </w:tcPr>
          <w:p w14:paraId="4C5CDCA5" w14:textId="77777777" w:rsidR="00E0351D" w:rsidRPr="00AB06CD" w:rsidRDefault="00E0351D" w:rsidP="006F4E9C">
            <w:pPr>
              <w:spacing w:line="360" w:lineRule="auto"/>
              <w:ind w:leftChars="50" w:left="120"/>
              <w:jc w:val="both"/>
              <w:rPr>
                <w:rFonts w:ascii="Book Antiqua" w:hAnsi="Book Antiqua" w:cstheme="minorHAnsi"/>
                <w:lang w:val="en-AU"/>
              </w:rPr>
            </w:pPr>
          </w:p>
        </w:tc>
        <w:tc>
          <w:tcPr>
            <w:tcW w:w="1128" w:type="pct"/>
            <w:shd w:val="clear" w:color="auto" w:fill="FFFFFF"/>
            <w:vAlign w:val="center"/>
          </w:tcPr>
          <w:p w14:paraId="2189955D" w14:textId="77777777" w:rsidR="00E0351D" w:rsidRPr="00AB06CD" w:rsidRDefault="00E0351D" w:rsidP="006F4E9C">
            <w:pPr>
              <w:spacing w:line="360" w:lineRule="auto"/>
              <w:ind w:leftChars="50" w:left="120"/>
              <w:jc w:val="both"/>
              <w:rPr>
                <w:rFonts w:ascii="Book Antiqua" w:hAnsi="Book Antiqua" w:cstheme="minorHAnsi"/>
                <w:lang w:val="en-AU"/>
              </w:rPr>
            </w:pPr>
          </w:p>
        </w:tc>
        <w:tc>
          <w:tcPr>
            <w:tcW w:w="1129" w:type="pct"/>
            <w:shd w:val="clear" w:color="auto" w:fill="FFFFFF"/>
            <w:vAlign w:val="center"/>
          </w:tcPr>
          <w:p w14:paraId="3633C815" w14:textId="77777777" w:rsidR="00E0351D" w:rsidRPr="00AB06CD" w:rsidRDefault="00E0351D" w:rsidP="006F4E9C">
            <w:pPr>
              <w:spacing w:line="360" w:lineRule="auto"/>
              <w:ind w:leftChars="50" w:left="120"/>
              <w:jc w:val="both"/>
              <w:rPr>
                <w:rFonts w:ascii="Book Antiqua" w:hAnsi="Book Antiqua" w:cstheme="minorHAnsi"/>
                <w:lang w:val="en-AU"/>
              </w:rPr>
            </w:pPr>
          </w:p>
        </w:tc>
        <w:tc>
          <w:tcPr>
            <w:tcW w:w="486" w:type="pct"/>
            <w:shd w:val="clear" w:color="auto" w:fill="FFFFFF"/>
            <w:vAlign w:val="center"/>
          </w:tcPr>
          <w:p w14:paraId="7B8FA96A"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0.07</w:t>
            </w:r>
          </w:p>
        </w:tc>
      </w:tr>
      <w:tr w:rsidR="00E0351D" w:rsidRPr="00AB06CD" w14:paraId="5344EC24" w14:textId="77777777" w:rsidTr="00C24861">
        <w:trPr>
          <w:cantSplit/>
          <w:jc w:val="center"/>
        </w:trPr>
        <w:tc>
          <w:tcPr>
            <w:tcW w:w="1128" w:type="pct"/>
            <w:shd w:val="clear" w:color="auto" w:fill="FFFFFF"/>
          </w:tcPr>
          <w:p w14:paraId="65F1633F" w14:textId="77777777" w:rsidR="00E0351D" w:rsidRPr="00564C60" w:rsidRDefault="00E0351D" w:rsidP="006F4E9C">
            <w:pPr>
              <w:spacing w:line="360" w:lineRule="auto"/>
              <w:ind w:leftChars="50" w:left="120"/>
              <w:jc w:val="both"/>
              <w:rPr>
                <w:rFonts w:ascii="Book Antiqua" w:hAnsi="Book Antiqua" w:cstheme="minorHAnsi"/>
                <w:lang w:val="en-AU"/>
              </w:rPr>
            </w:pPr>
            <w:r w:rsidRPr="00564C60">
              <w:rPr>
                <w:rFonts w:ascii="Book Antiqua" w:hAnsi="Book Antiqua" w:cstheme="minorHAnsi"/>
                <w:lang w:val="en-AU"/>
              </w:rPr>
              <w:t>Non-cirrhotic</w:t>
            </w:r>
          </w:p>
        </w:tc>
        <w:tc>
          <w:tcPr>
            <w:tcW w:w="1129" w:type="pct"/>
            <w:vAlign w:val="center"/>
          </w:tcPr>
          <w:p w14:paraId="78796636"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10 (9.6)</w:t>
            </w:r>
          </w:p>
        </w:tc>
        <w:tc>
          <w:tcPr>
            <w:tcW w:w="1128" w:type="pct"/>
            <w:shd w:val="clear" w:color="auto" w:fill="FFFFFF"/>
          </w:tcPr>
          <w:p w14:paraId="64532F42"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3 (5.1)</w:t>
            </w:r>
          </w:p>
        </w:tc>
        <w:tc>
          <w:tcPr>
            <w:tcW w:w="1129" w:type="pct"/>
            <w:shd w:val="clear" w:color="auto" w:fill="FFFFFF"/>
          </w:tcPr>
          <w:p w14:paraId="6648EABD"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7 (15.6)</w:t>
            </w:r>
          </w:p>
        </w:tc>
        <w:tc>
          <w:tcPr>
            <w:tcW w:w="486" w:type="pct"/>
            <w:shd w:val="clear" w:color="auto" w:fill="FFFFFF"/>
            <w:vAlign w:val="center"/>
          </w:tcPr>
          <w:p w14:paraId="166246DB" w14:textId="77777777" w:rsidR="00E0351D" w:rsidRPr="00AB06CD" w:rsidRDefault="00E0351D" w:rsidP="006F4E9C">
            <w:pPr>
              <w:spacing w:line="360" w:lineRule="auto"/>
              <w:ind w:leftChars="50" w:left="120"/>
              <w:jc w:val="both"/>
              <w:rPr>
                <w:rFonts w:ascii="Book Antiqua" w:hAnsi="Book Antiqua" w:cstheme="minorHAnsi"/>
                <w:lang w:val="en-AU"/>
              </w:rPr>
            </w:pPr>
          </w:p>
        </w:tc>
      </w:tr>
      <w:tr w:rsidR="00E0351D" w:rsidRPr="00AB06CD" w14:paraId="073E05EB" w14:textId="77777777" w:rsidTr="00C24861">
        <w:trPr>
          <w:cantSplit/>
          <w:jc w:val="center"/>
        </w:trPr>
        <w:tc>
          <w:tcPr>
            <w:tcW w:w="1128" w:type="pct"/>
            <w:shd w:val="clear" w:color="auto" w:fill="FFFFFF"/>
          </w:tcPr>
          <w:p w14:paraId="1623FDD8" w14:textId="77777777" w:rsidR="00E0351D" w:rsidRPr="00564C60" w:rsidRDefault="00E0351D" w:rsidP="006F4E9C">
            <w:pPr>
              <w:spacing w:line="360" w:lineRule="auto"/>
              <w:ind w:leftChars="50" w:left="120"/>
              <w:jc w:val="both"/>
              <w:rPr>
                <w:rFonts w:ascii="Book Antiqua" w:hAnsi="Book Antiqua" w:cstheme="minorHAnsi"/>
                <w:lang w:val="en-AU"/>
              </w:rPr>
            </w:pPr>
            <w:r w:rsidRPr="00564C60">
              <w:rPr>
                <w:rFonts w:ascii="Book Antiqua" w:hAnsi="Book Antiqua" w:cstheme="minorHAnsi"/>
                <w:lang w:val="en-AU"/>
              </w:rPr>
              <w:t>Cirrhotic</w:t>
            </w:r>
          </w:p>
        </w:tc>
        <w:tc>
          <w:tcPr>
            <w:tcW w:w="1129" w:type="pct"/>
            <w:vAlign w:val="center"/>
          </w:tcPr>
          <w:p w14:paraId="7DCDF5FF"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94 (90.4)</w:t>
            </w:r>
          </w:p>
        </w:tc>
        <w:tc>
          <w:tcPr>
            <w:tcW w:w="1128" w:type="pct"/>
            <w:shd w:val="clear" w:color="auto" w:fill="FFFFFF"/>
          </w:tcPr>
          <w:p w14:paraId="6163301F"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56 (94.9)</w:t>
            </w:r>
          </w:p>
        </w:tc>
        <w:tc>
          <w:tcPr>
            <w:tcW w:w="1129" w:type="pct"/>
            <w:shd w:val="clear" w:color="auto" w:fill="FFFFFF"/>
          </w:tcPr>
          <w:p w14:paraId="3539F219"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38 (84.4)</w:t>
            </w:r>
          </w:p>
        </w:tc>
        <w:tc>
          <w:tcPr>
            <w:tcW w:w="486" w:type="pct"/>
            <w:shd w:val="clear" w:color="auto" w:fill="FFFFFF"/>
            <w:vAlign w:val="center"/>
          </w:tcPr>
          <w:p w14:paraId="0B0984F3" w14:textId="77777777" w:rsidR="00E0351D" w:rsidRPr="00AB06CD" w:rsidRDefault="00E0351D" w:rsidP="006F4E9C">
            <w:pPr>
              <w:spacing w:line="360" w:lineRule="auto"/>
              <w:ind w:leftChars="50" w:left="120"/>
              <w:jc w:val="both"/>
              <w:rPr>
                <w:rFonts w:ascii="Book Antiqua" w:hAnsi="Book Antiqua" w:cstheme="minorHAnsi"/>
                <w:lang w:val="en-AU"/>
              </w:rPr>
            </w:pPr>
          </w:p>
        </w:tc>
      </w:tr>
      <w:tr w:rsidR="00E0351D" w:rsidRPr="00AB06CD" w14:paraId="61124BE4" w14:textId="77777777" w:rsidTr="00C24861">
        <w:trPr>
          <w:cantSplit/>
          <w:jc w:val="center"/>
        </w:trPr>
        <w:tc>
          <w:tcPr>
            <w:tcW w:w="1128" w:type="pct"/>
            <w:shd w:val="clear" w:color="auto" w:fill="FFFFFF"/>
          </w:tcPr>
          <w:p w14:paraId="7175BF37" w14:textId="21EFB7E4" w:rsidR="00E0351D" w:rsidRPr="00564C60" w:rsidRDefault="00E0351D" w:rsidP="006F4E9C">
            <w:pPr>
              <w:spacing w:line="360" w:lineRule="auto"/>
              <w:ind w:leftChars="50" w:left="120"/>
              <w:jc w:val="both"/>
              <w:rPr>
                <w:rFonts w:ascii="Book Antiqua" w:hAnsi="Book Antiqua" w:cstheme="minorHAnsi"/>
                <w:lang w:val="en-AU"/>
              </w:rPr>
            </w:pPr>
            <w:r w:rsidRPr="00564C60">
              <w:rPr>
                <w:rFonts w:ascii="Book Antiqua" w:hAnsi="Book Antiqua" w:cstheme="minorHAnsi"/>
                <w:lang w:val="en-AU"/>
              </w:rPr>
              <w:t>CTP class</w:t>
            </w:r>
            <w:r w:rsidR="005E06D3">
              <w:rPr>
                <w:rFonts w:ascii="Book Antiqua" w:hAnsi="Book Antiqua" w:cstheme="minorHAnsi"/>
                <w:lang w:val="en-AU"/>
              </w:rPr>
              <w:t xml:space="preserve">, </w:t>
            </w:r>
            <w:r w:rsidR="005E06D3" w:rsidRPr="00CE2528">
              <w:rPr>
                <w:rFonts w:ascii="Book Antiqua" w:hAnsi="Book Antiqua" w:cstheme="minorHAnsi"/>
                <w:i/>
                <w:iCs/>
                <w:lang w:val="en-AU"/>
              </w:rPr>
              <w:t>n</w:t>
            </w:r>
            <w:r w:rsidR="005E06D3">
              <w:rPr>
                <w:rFonts w:ascii="Book Antiqua" w:hAnsi="Book Antiqua" w:cstheme="minorHAnsi"/>
                <w:lang w:val="en-AU"/>
              </w:rPr>
              <w:t xml:space="preserve"> (%)</w:t>
            </w:r>
          </w:p>
        </w:tc>
        <w:tc>
          <w:tcPr>
            <w:tcW w:w="1129" w:type="pct"/>
            <w:vAlign w:val="center"/>
          </w:tcPr>
          <w:p w14:paraId="4D359FAF" w14:textId="77777777" w:rsidR="00E0351D" w:rsidRPr="00AB06CD" w:rsidRDefault="00E0351D" w:rsidP="006F4E9C">
            <w:pPr>
              <w:spacing w:line="360" w:lineRule="auto"/>
              <w:ind w:leftChars="50" w:left="120"/>
              <w:jc w:val="both"/>
              <w:rPr>
                <w:rFonts w:ascii="Book Antiqua" w:hAnsi="Book Antiqua" w:cstheme="minorHAnsi"/>
                <w:lang w:val="en-AU"/>
              </w:rPr>
            </w:pPr>
          </w:p>
        </w:tc>
        <w:tc>
          <w:tcPr>
            <w:tcW w:w="1128" w:type="pct"/>
            <w:shd w:val="clear" w:color="auto" w:fill="FFFFFF"/>
            <w:vAlign w:val="center"/>
          </w:tcPr>
          <w:p w14:paraId="1D3BDC69" w14:textId="77777777" w:rsidR="00E0351D" w:rsidRPr="00AB06CD" w:rsidRDefault="00E0351D" w:rsidP="006F4E9C">
            <w:pPr>
              <w:spacing w:line="360" w:lineRule="auto"/>
              <w:ind w:leftChars="50" w:left="120"/>
              <w:jc w:val="both"/>
              <w:rPr>
                <w:rFonts w:ascii="Book Antiqua" w:hAnsi="Book Antiqua" w:cstheme="minorHAnsi"/>
                <w:lang w:val="en-AU"/>
              </w:rPr>
            </w:pPr>
          </w:p>
        </w:tc>
        <w:tc>
          <w:tcPr>
            <w:tcW w:w="1129" w:type="pct"/>
            <w:shd w:val="clear" w:color="auto" w:fill="FFFFFF"/>
            <w:vAlign w:val="center"/>
          </w:tcPr>
          <w:p w14:paraId="1C8367D6" w14:textId="77777777" w:rsidR="00E0351D" w:rsidRPr="00AB06CD" w:rsidRDefault="00E0351D" w:rsidP="006F4E9C">
            <w:pPr>
              <w:spacing w:line="360" w:lineRule="auto"/>
              <w:ind w:leftChars="50" w:left="120"/>
              <w:jc w:val="both"/>
              <w:rPr>
                <w:rFonts w:ascii="Book Antiqua" w:hAnsi="Book Antiqua" w:cstheme="minorHAnsi"/>
                <w:lang w:val="en-AU"/>
              </w:rPr>
            </w:pPr>
          </w:p>
        </w:tc>
        <w:tc>
          <w:tcPr>
            <w:tcW w:w="486" w:type="pct"/>
            <w:shd w:val="clear" w:color="auto" w:fill="FFFFFF"/>
            <w:vAlign w:val="center"/>
          </w:tcPr>
          <w:p w14:paraId="78333F5A"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0.10</w:t>
            </w:r>
          </w:p>
        </w:tc>
      </w:tr>
      <w:tr w:rsidR="00E0351D" w:rsidRPr="00AB06CD" w14:paraId="5062DC77" w14:textId="77777777" w:rsidTr="00C24861">
        <w:trPr>
          <w:cantSplit/>
          <w:jc w:val="center"/>
        </w:trPr>
        <w:tc>
          <w:tcPr>
            <w:tcW w:w="1128" w:type="pct"/>
            <w:shd w:val="clear" w:color="auto" w:fill="FFFFFF"/>
          </w:tcPr>
          <w:p w14:paraId="15F64EC2" w14:textId="77777777" w:rsidR="00E0351D" w:rsidRPr="00564C60" w:rsidRDefault="00E0351D" w:rsidP="006F4E9C">
            <w:pPr>
              <w:spacing w:line="360" w:lineRule="auto"/>
              <w:ind w:leftChars="50" w:left="120"/>
              <w:jc w:val="both"/>
              <w:rPr>
                <w:rFonts w:ascii="Book Antiqua" w:hAnsi="Book Antiqua" w:cstheme="minorHAnsi"/>
                <w:lang w:val="en-AU"/>
              </w:rPr>
            </w:pPr>
            <w:r w:rsidRPr="00564C60">
              <w:rPr>
                <w:rFonts w:ascii="Book Antiqua" w:hAnsi="Book Antiqua" w:cstheme="minorHAnsi"/>
                <w:lang w:val="en-AU"/>
              </w:rPr>
              <w:t>A</w:t>
            </w:r>
          </w:p>
        </w:tc>
        <w:tc>
          <w:tcPr>
            <w:tcW w:w="1129" w:type="pct"/>
            <w:vAlign w:val="center"/>
          </w:tcPr>
          <w:p w14:paraId="253835A8"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66 (63.5)</w:t>
            </w:r>
          </w:p>
        </w:tc>
        <w:tc>
          <w:tcPr>
            <w:tcW w:w="1128" w:type="pct"/>
            <w:shd w:val="clear" w:color="auto" w:fill="FFFFFF"/>
          </w:tcPr>
          <w:p w14:paraId="786F24F3"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35 (59.3)</w:t>
            </w:r>
          </w:p>
        </w:tc>
        <w:tc>
          <w:tcPr>
            <w:tcW w:w="1129" w:type="pct"/>
            <w:shd w:val="clear" w:color="auto" w:fill="FFFFFF"/>
          </w:tcPr>
          <w:p w14:paraId="5AE983F3"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31 (68.9)</w:t>
            </w:r>
          </w:p>
        </w:tc>
        <w:tc>
          <w:tcPr>
            <w:tcW w:w="486" w:type="pct"/>
            <w:shd w:val="clear" w:color="auto" w:fill="FFFFFF"/>
            <w:vAlign w:val="center"/>
          </w:tcPr>
          <w:p w14:paraId="4B77DCEA" w14:textId="77777777" w:rsidR="00E0351D" w:rsidRPr="00AB06CD" w:rsidRDefault="00E0351D" w:rsidP="006F4E9C">
            <w:pPr>
              <w:spacing w:line="360" w:lineRule="auto"/>
              <w:ind w:leftChars="50" w:left="120"/>
              <w:jc w:val="both"/>
              <w:rPr>
                <w:rFonts w:ascii="Book Antiqua" w:hAnsi="Book Antiqua" w:cstheme="minorHAnsi"/>
                <w:lang w:val="en-AU"/>
              </w:rPr>
            </w:pPr>
          </w:p>
        </w:tc>
      </w:tr>
      <w:tr w:rsidR="00E0351D" w:rsidRPr="00AB06CD" w14:paraId="6DDB9F05" w14:textId="77777777" w:rsidTr="00C24861">
        <w:trPr>
          <w:cantSplit/>
          <w:jc w:val="center"/>
        </w:trPr>
        <w:tc>
          <w:tcPr>
            <w:tcW w:w="1128" w:type="pct"/>
            <w:shd w:val="clear" w:color="auto" w:fill="FFFFFF"/>
          </w:tcPr>
          <w:p w14:paraId="7BB0AACD" w14:textId="77777777" w:rsidR="00E0351D" w:rsidRPr="00564C60" w:rsidRDefault="00E0351D" w:rsidP="006F4E9C">
            <w:pPr>
              <w:spacing w:line="360" w:lineRule="auto"/>
              <w:ind w:leftChars="50" w:left="120"/>
              <w:jc w:val="both"/>
              <w:rPr>
                <w:rFonts w:ascii="Book Antiqua" w:hAnsi="Book Antiqua" w:cstheme="minorHAnsi"/>
                <w:lang w:val="en-AU"/>
              </w:rPr>
            </w:pPr>
            <w:r w:rsidRPr="00564C60">
              <w:rPr>
                <w:rFonts w:ascii="Book Antiqua" w:hAnsi="Book Antiqua" w:cstheme="minorHAnsi"/>
                <w:lang w:val="en-AU"/>
              </w:rPr>
              <w:lastRenderedPageBreak/>
              <w:t>B</w:t>
            </w:r>
          </w:p>
        </w:tc>
        <w:tc>
          <w:tcPr>
            <w:tcW w:w="1129" w:type="pct"/>
            <w:vAlign w:val="center"/>
          </w:tcPr>
          <w:p w14:paraId="4395780D"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25 (24.0)</w:t>
            </w:r>
          </w:p>
        </w:tc>
        <w:tc>
          <w:tcPr>
            <w:tcW w:w="1128" w:type="pct"/>
            <w:shd w:val="clear" w:color="auto" w:fill="FFFFFF"/>
          </w:tcPr>
          <w:p w14:paraId="582B750B"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13 (22.0)</w:t>
            </w:r>
          </w:p>
        </w:tc>
        <w:tc>
          <w:tcPr>
            <w:tcW w:w="1129" w:type="pct"/>
            <w:shd w:val="clear" w:color="auto" w:fill="FFFFFF"/>
          </w:tcPr>
          <w:p w14:paraId="16361D89"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12 (26.7)</w:t>
            </w:r>
          </w:p>
        </w:tc>
        <w:tc>
          <w:tcPr>
            <w:tcW w:w="486" w:type="pct"/>
            <w:shd w:val="clear" w:color="auto" w:fill="FFFFFF"/>
            <w:vAlign w:val="center"/>
          </w:tcPr>
          <w:p w14:paraId="3517D1E2" w14:textId="77777777" w:rsidR="00E0351D" w:rsidRPr="00AB06CD" w:rsidRDefault="00E0351D" w:rsidP="006F4E9C">
            <w:pPr>
              <w:spacing w:line="360" w:lineRule="auto"/>
              <w:ind w:leftChars="50" w:left="120"/>
              <w:jc w:val="both"/>
              <w:rPr>
                <w:rFonts w:ascii="Book Antiqua" w:hAnsi="Book Antiqua" w:cstheme="minorHAnsi"/>
                <w:lang w:val="en-AU"/>
              </w:rPr>
            </w:pPr>
          </w:p>
        </w:tc>
      </w:tr>
      <w:tr w:rsidR="00E0351D" w:rsidRPr="00AB06CD" w14:paraId="014552BC" w14:textId="77777777" w:rsidTr="00C24861">
        <w:trPr>
          <w:cantSplit/>
          <w:jc w:val="center"/>
        </w:trPr>
        <w:tc>
          <w:tcPr>
            <w:tcW w:w="1128" w:type="pct"/>
            <w:shd w:val="clear" w:color="auto" w:fill="FFFFFF"/>
          </w:tcPr>
          <w:p w14:paraId="1D706D71" w14:textId="77777777" w:rsidR="00E0351D" w:rsidRPr="00564C60" w:rsidRDefault="00E0351D" w:rsidP="006F4E9C">
            <w:pPr>
              <w:spacing w:line="360" w:lineRule="auto"/>
              <w:ind w:leftChars="50" w:left="120"/>
              <w:jc w:val="both"/>
              <w:rPr>
                <w:rFonts w:ascii="Book Antiqua" w:hAnsi="Book Antiqua" w:cstheme="minorHAnsi"/>
                <w:lang w:val="en-AU"/>
              </w:rPr>
            </w:pPr>
            <w:r w:rsidRPr="00564C60">
              <w:rPr>
                <w:rFonts w:ascii="Book Antiqua" w:hAnsi="Book Antiqua" w:cstheme="minorHAnsi"/>
                <w:lang w:val="en-AU"/>
              </w:rPr>
              <w:t>C</w:t>
            </w:r>
          </w:p>
        </w:tc>
        <w:tc>
          <w:tcPr>
            <w:tcW w:w="1129" w:type="pct"/>
            <w:vAlign w:val="center"/>
          </w:tcPr>
          <w:p w14:paraId="7D234DCE"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13 (12.5)</w:t>
            </w:r>
          </w:p>
        </w:tc>
        <w:tc>
          <w:tcPr>
            <w:tcW w:w="1128" w:type="pct"/>
            <w:shd w:val="clear" w:color="auto" w:fill="FFFFFF"/>
          </w:tcPr>
          <w:p w14:paraId="4E6CDC29"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11 (18.6)</w:t>
            </w:r>
          </w:p>
        </w:tc>
        <w:tc>
          <w:tcPr>
            <w:tcW w:w="1129" w:type="pct"/>
            <w:shd w:val="clear" w:color="auto" w:fill="FFFFFF"/>
          </w:tcPr>
          <w:p w14:paraId="4146E258"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2 (4.4)</w:t>
            </w:r>
          </w:p>
        </w:tc>
        <w:tc>
          <w:tcPr>
            <w:tcW w:w="486" w:type="pct"/>
            <w:shd w:val="clear" w:color="auto" w:fill="FFFFFF"/>
            <w:vAlign w:val="center"/>
          </w:tcPr>
          <w:p w14:paraId="57660E74" w14:textId="77777777" w:rsidR="00E0351D" w:rsidRPr="00AB06CD" w:rsidRDefault="00E0351D" w:rsidP="006F4E9C">
            <w:pPr>
              <w:spacing w:line="360" w:lineRule="auto"/>
              <w:ind w:leftChars="50" w:left="120"/>
              <w:jc w:val="both"/>
              <w:rPr>
                <w:rFonts w:ascii="Book Antiqua" w:hAnsi="Book Antiqua" w:cstheme="minorHAnsi"/>
                <w:lang w:val="en-AU"/>
              </w:rPr>
            </w:pPr>
          </w:p>
        </w:tc>
      </w:tr>
      <w:tr w:rsidR="00E0351D" w:rsidRPr="00AB06CD" w14:paraId="010C2A12" w14:textId="77777777" w:rsidTr="00C24861">
        <w:trPr>
          <w:cantSplit/>
          <w:jc w:val="center"/>
        </w:trPr>
        <w:tc>
          <w:tcPr>
            <w:tcW w:w="1128" w:type="pct"/>
            <w:shd w:val="clear" w:color="auto" w:fill="FFFFFF"/>
          </w:tcPr>
          <w:p w14:paraId="5B839A90" w14:textId="3600E000" w:rsidR="00E0351D" w:rsidRPr="00564C60" w:rsidRDefault="00E0351D" w:rsidP="006F4E9C">
            <w:pPr>
              <w:spacing w:line="360" w:lineRule="auto"/>
              <w:ind w:leftChars="50" w:left="120"/>
              <w:jc w:val="both"/>
              <w:rPr>
                <w:rFonts w:ascii="Book Antiqua" w:hAnsi="Book Antiqua" w:cstheme="minorHAnsi"/>
                <w:lang w:val="en-AU"/>
              </w:rPr>
            </w:pPr>
            <w:r w:rsidRPr="00564C60">
              <w:rPr>
                <w:rFonts w:ascii="Book Antiqua" w:hAnsi="Book Antiqua" w:cstheme="minorHAnsi"/>
                <w:lang w:val="en-AU"/>
              </w:rPr>
              <w:t>MELD</w:t>
            </w:r>
            <w:r w:rsidR="005D4B74">
              <w:rPr>
                <w:rFonts w:ascii="Book Antiqua" w:hAnsi="Book Antiqua" w:cstheme="minorHAnsi"/>
                <w:lang w:val="en-AU"/>
              </w:rPr>
              <w:t xml:space="preserve">, </w:t>
            </w:r>
            <w:r w:rsidR="005D4B74" w:rsidRPr="00AB06CD">
              <w:rPr>
                <w:rFonts w:ascii="Book Antiqua" w:hAnsi="Book Antiqua"/>
                <w:lang w:val="en-AU"/>
              </w:rPr>
              <w:t>median (</w:t>
            </w:r>
            <w:r w:rsidR="005D4B74">
              <w:rPr>
                <w:rFonts w:ascii="Book Antiqua" w:hAnsi="Book Antiqua"/>
                <w:lang w:val="en-AU"/>
              </w:rPr>
              <w:t>IQR</w:t>
            </w:r>
            <w:r w:rsidR="005D4B74" w:rsidRPr="00AB06CD">
              <w:rPr>
                <w:rFonts w:ascii="Book Antiqua" w:hAnsi="Book Antiqua"/>
                <w:lang w:val="en-AU"/>
              </w:rPr>
              <w:t>)</w:t>
            </w:r>
          </w:p>
        </w:tc>
        <w:tc>
          <w:tcPr>
            <w:tcW w:w="1129" w:type="pct"/>
            <w:shd w:val="clear" w:color="auto" w:fill="FFFFFF"/>
            <w:vAlign w:val="center"/>
          </w:tcPr>
          <w:p w14:paraId="62CD5CDB" w14:textId="77777777" w:rsidR="00E0351D" w:rsidRPr="00C40EEC" w:rsidRDefault="00E0351D" w:rsidP="006F4E9C">
            <w:pPr>
              <w:spacing w:line="360" w:lineRule="auto"/>
              <w:ind w:leftChars="50" w:left="120"/>
              <w:jc w:val="both"/>
              <w:rPr>
                <w:rFonts w:ascii="Book Antiqua" w:hAnsi="Book Antiqua" w:cstheme="minorHAnsi"/>
                <w:lang w:val="en-AU"/>
              </w:rPr>
            </w:pPr>
            <w:r w:rsidRPr="00C40EEC">
              <w:rPr>
                <w:rFonts w:ascii="Book Antiqua" w:hAnsi="Book Antiqua" w:cstheme="minorHAnsi"/>
                <w:lang w:val="en-AU"/>
              </w:rPr>
              <w:t>9.6 (6)</w:t>
            </w:r>
          </w:p>
        </w:tc>
        <w:tc>
          <w:tcPr>
            <w:tcW w:w="1128" w:type="pct"/>
            <w:shd w:val="clear" w:color="auto" w:fill="FFFFFF"/>
          </w:tcPr>
          <w:p w14:paraId="7B701AFE" w14:textId="77777777" w:rsidR="00E0351D" w:rsidRPr="00C40EEC" w:rsidRDefault="00E0351D" w:rsidP="006F4E9C">
            <w:pPr>
              <w:spacing w:line="360" w:lineRule="auto"/>
              <w:ind w:leftChars="50" w:left="120"/>
              <w:jc w:val="both"/>
              <w:rPr>
                <w:rFonts w:ascii="Book Antiqua" w:hAnsi="Book Antiqua" w:cstheme="minorHAnsi"/>
                <w:lang w:val="en-AU"/>
              </w:rPr>
            </w:pPr>
            <w:r w:rsidRPr="00C40EEC">
              <w:rPr>
                <w:rFonts w:ascii="Book Antiqua" w:hAnsi="Book Antiqua" w:cstheme="minorHAnsi"/>
                <w:lang w:val="en-AU"/>
              </w:rPr>
              <w:t>11 (7)</w:t>
            </w:r>
          </w:p>
        </w:tc>
        <w:tc>
          <w:tcPr>
            <w:tcW w:w="1129" w:type="pct"/>
            <w:shd w:val="clear" w:color="auto" w:fill="FFFFFF"/>
          </w:tcPr>
          <w:p w14:paraId="16C86F86" w14:textId="77777777" w:rsidR="00E0351D" w:rsidRPr="00C40EEC" w:rsidRDefault="00E0351D" w:rsidP="006F4E9C">
            <w:pPr>
              <w:spacing w:line="360" w:lineRule="auto"/>
              <w:ind w:leftChars="50" w:left="120"/>
              <w:jc w:val="both"/>
              <w:rPr>
                <w:rFonts w:ascii="Book Antiqua" w:hAnsi="Book Antiqua" w:cstheme="minorHAnsi"/>
                <w:lang w:val="en-AU"/>
              </w:rPr>
            </w:pPr>
            <w:r w:rsidRPr="00C40EEC">
              <w:rPr>
                <w:rFonts w:ascii="Book Antiqua" w:hAnsi="Book Antiqua" w:cstheme="minorHAnsi"/>
                <w:lang w:val="en-AU"/>
              </w:rPr>
              <w:t>8 (5)</w:t>
            </w:r>
          </w:p>
        </w:tc>
        <w:tc>
          <w:tcPr>
            <w:tcW w:w="486" w:type="pct"/>
            <w:shd w:val="clear" w:color="auto" w:fill="FFFFFF"/>
          </w:tcPr>
          <w:p w14:paraId="226B14DD" w14:textId="77777777" w:rsidR="00E0351D" w:rsidRPr="00C40EEC" w:rsidRDefault="00E0351D" w:rsidP="006F4E9C">
            <w:pPr>
              <w:spacing w:line="360" w:lineRule="auto"/>
              <w:ind w:leftChars="50" w:left="120"/>
              <w:jc w:val="both"/>
              <w:rPr>
                <w:rFonts w:ascii="Book Antiqua" w:hAnsi="Book Antiqua" w:cstheme="minorHAnsi"/>
                <w:lang w:val="en-AU"/>
              </w:rPr>
            </w:pPr>
            <w:r w:rsidRPr="00C40EEC">
              <w:rPr>
                <w:rFonts w:ascii="Book Antiqua" w:hAnsi="Book Antiqua" w:cstheme="minorHAnsi"/>
                <w:lang w:val="en-AU"/>
              </w:rPr>
              <w:t>0.01</w:t>
            </w:r>
          </w:p>
        </w:tc>
      </w:tr>
      <w:tr w:rsidR="00E0351D" w:rsidRPr="00AB06CD" w14:paraId="0D91F12C" w14:textId="77777777" w:rsidTr="00C24861">
        <w:trPr>
          <w:cantSplit/>
          <w:jc w:val="center"/>
        </w:trPr>
        <w:tc>
          <w:tcPr>
            <w:tcW w:w="1128" w:type="pct"/>
            <w:shd w:val="clear" w:color="auto" w:fill="FFFFFF"/>
          </w:tcPr>
          <w:p w14:paraId="4AB6A877" w14:textId="4A0D62A3" w:rsidR="00E0351D" w:rsidRPr="00564C60" w:rsidRDefault="00E0351D" w:rsidP="006F4E9C">
            <w:pPr>
              <w:spacing w:line="360" w:lineRule="auto"/>
              <w:ind w:leftChars="50" w:left="120"/>
              <w:jc w:val="both"/>
              <w:rPr>
                <w:rFonts w:ascii="Book Antiqua" w:hAnsi="Book Antiqua" w:cstheme="minorHAnsi"/>
                <w:lang w:val="en-AU"/>
              </w:rPr>
            </w:pPr>
            <w:r w:rsidRPr="00564C60">
              <w:rPr>
                <w:rFonts w:ascii="Book Antiqua" w:hAnsi="Book Antiqua" w:cstheme="minorHAnsi"/>
                <w:lang w:val="en-AU"/>
              </w:rPr>
              <w:t>AFP (</w:t>
            </w:r>
            <w:proofErr w:type="spellStart"/>
            <w:r w:rsidR="009E4F01">
              <w:rPr>
                <w:rFonts w:ascii="Book Antiqua" w:hAnsi="Book Antiqua" w:cstheme="minorHAnsi"/>
                <w:lang w:val="en-AU"/>
              </w:rPr>
              <w:t>μ</w:t>
            </w:r>
            <w:r w:rsidRPr="00564C60">
              <w:rPr>
                <w:rFonts w:ascii="Book Antiqua" w:hAnsi="Book Antiqua" w:cstheme="minorHAnsi"/>
                <w:lang w:val="en-AU"/>
              </w:rPr>
              <w:t>g</w:t>
            </w:r>
            <w:proofErr w:type="spellEnd"/>
            <w:r w:rsidRPr="00564C60">
              <w:rPr>
                <w:rFonts w:ascii="Book Antiqua" w:hAnsi="Book Antiqua" w:cstheme="minorHAnsi"/>
                <w:lang w:val="en-AU"/>
              </w:rPr>
              <w:t>/L)</w:t>
            </w:r>
            <w:r w:rsidR="00F96651">
              <w:rPr>
                <w:rFonts w:ascii="Book Antiqua" w:hAnsi="Book Antiqua" w:cstheme="minorHAnsi"/>
                <w:lang w:val="en-AU"/>
              </w:rPr>
              <w:t xml:space="preserve">, </w:t>
            </w:r>
            <w:r w:rsidR="00F96651" w:rsidRPr="00AB06CD">
              <w:rPr>
                <w:rFonts w:ascii="Book Antiqua" w:hAnsi="Book Antiqua"/>
                <w:lang w:val="en-AU"/>
              </w:rPr>
              <w:t>median (</w:t>
            </w:r>
            <w:r w:rsidR="00F96651">
              <w:rPr>
                <w:rFonts w:ascii="Book Antiqua" w:hAnsi="Book Antiqua"/>
                <w:lang w:val="en-AU"/>
              </w:rPr>
              <w:t>IQR</w:t>
            </w:r>
            <w:r w:rsidR="00F96651" w:rsidRPr="00AB06CD">
              <w:rPr>
                <w:rFonts w:ascii="Book Antiqua" w:hAnsi="Book Antiqua"/>
                <w:lang w:val="en-AU"/>
              </w:rPr>
              <w:t>)</w:t>
            </w:r>
          </w:p>
        </w:tc>
        <w:tc>
          <w:tcPr>
            <w:tcW w:w="1129" w:type="pct"/>
            <w:shd w:val="clear" w:color="auto" w:fill="FFFFFF"/>
          </w:tcPr>
          <w:p w14:paraId="5C69B259"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9.6 (24.0)</w:t>
            </w:r>
          </w:p>
        </w:tc>
        <w:tc>
          <w:tcPr>
            <w:tcW w:w="1128" w:type="pct"/>
            <w:shd w:val="clear" w:color="auto" w:fill="FFFFFF"/>
          </w:tcPr>
          <w:p w14:paraId="5DEBF2D2"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8.6 (26.0)</w:t>
            </w:r>
          </w:p>
        </w:tc>
        <w:tc>
          <w:tcPr>
            <w:tcW w:w="1129" w:type="pct"/>
            <w:shd w:val="clear" w:color="auto" w:fill="FFFFFF"/>
          </w:tcPr>
          <w:p w14:paraId="3FCF511C"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10.4 (22.8)</w:t>
            </w:r>
          </w:p>
        </w:tc>
        <w:tc>
          <w:tcPr>
            <w:tcW w:w="486" w:type="pct"/>
            <w:shd w:val="clear" w:color="auto" w:fill="FFFFFF"/>
          </w:tcPr>
          <w:p w14:paraId="0F676B74"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0.61</w:t>
            </w:r>
          </w:p>
        </w:tc>
      </w:tr>
      <w:tr w:rsidR="00E0351D" w:rsidRPr="00AB06CD" w14:paraId="762FC491" w14:textId="77777777" w:rsidTr="00C24861">
        <w:trPr>
          <w:cantSplit/>
          <w:jc w:val="center"/>
        </w:trPr>
        <w:tc>
          <w:tcPr>
            <w:tcW w:w="1128" w:type="pct"/>
            <w:shd w:val="clear" w:color="auto" w:fill="FFFFFF"/>
          </w:tcPr>
          <w:p w14:paraId="32DDE905" w14:textId="619AEC77" w:rsidR="00E0351D" w:rsidRPr="00564C60" w:rsidRDefault="00E0351D" w:rsidP="006F4E9C">
            <w:pPr>
              <w:spacing w:line="360" w:lineRule="auto"/>
              <w:ind w:leftChars="50" w:left="120"/>
              <w:jc w:val="both"/>
              <w:rPr>
                <w:rFonts w:ascii="Book Antiqua" w:hAnsi="Book Antiqua" w:cstheme="minorHAnsi"/>
                <w:lang w:val="en-AU"/>
              </w:rPr>
            </w:pPr>
            <w:r w:rsidRPr="00564C60">
              <w:rPr>
                <w:rFonts w:ascii="Book Antiqua" w:hAnsi="Book Antiqua" w:cstheme="minorHAnsi"/>
                <w:lang w:val="en-AU"/>
              </w:rPr>
              <w:t>Combined tumour diameter (cm)</w:t>
            </w:r>
            <w:r w:rsidR="00105C1F">
              <w:rPr>
                <w:rFonts w:ascii="Book Antiqua" w:hAnsi="Book Antiqua" w:cstheme="minorHAnsi"/>
                <w:lang w:val="en-AU"/>
              </w:rPr>
              <w:t xml:space="preserve">, </w:t>
            </w:r>
            <w:r w:rsidR="00105C1F" w:rsidRPr="00AB06CD">
              <w:rPr>
                <w:rFonts w:ascii="Book Antiqua" w:hAnsi="Book Antiqua"/>
                <w:lang w:val="en-AU"/>
              </w:rPr>
              <w:t>median (</w:t>
            </w:r>
            <w:r w:rsidR="00105C1F">
              <w:rPr>
                <w:rFonts w:ascii="Book Antiqua" w:hAnsi="Book Antiqua"/>
                <w:lang w:val="en-AU"/>
              </w:rPr>
              <w:t>IQR</w:t>
            </w:r>
            <w:r w:rsidR="00105C1F" w:rsidRPr="00AB06CD">
              <w:rPr>
                <w:rFonts w:ascii="Book Antiqua" w:hAnsi="Book Antiqua"/>
                <w:lang w:val="en-AU"/>
              </w:rPr>
              <w:t>)</w:t>
            </w:r>
          </w:p>
        </w:tc>
        <w:tc>
          <w:tcPr>
            <w:tcW w:w="1129" w:type="pct"/>
            <w:shd w:val="clear" w:color="auto" w:fill="FFFFFF"/>
          </w:tcPr>
          <w:p w14:paraId="06413BF6"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3.5 (1.7)</w:t>
            </w:r>
          </w:p>
        </w:tc>
        <w:tc>
          <w:tcPr>
            <w:tcW w:w="1128" w:type="pct"/>
            <w:shd w:val="clear" w:color="auto" w:fill="FFFFFF"/>
          </w:tcPr>
          <w:p w14:paraId="0FA6095D"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3.8 (1.7)</w:t>
            </w:r>
          </w:p>
        </w:tc>
        <w:tc>
          <w:tcPr>
            <w:tcW w:w="1129" w:type="pct"/>
            <w:shd w:val="clear" w:color="auto" w:fill="FFFFFF"/>
          </w:tcPr>
          <w:p w14:paraId="6FC1E2B7"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3.4 (1.2)</w:t>
            </w:r>
          </w:p>
        </w:tc>
        <w:tc>
          <w:tcPr>
            <w:tcW w:w="486" w:type="pct"/>
            <w:shd w:val="clear" w:color="auto" w:fill="FFFFFF"/>
          </w:tcPr>
          <w:p w14:paraId="7C236D94"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0.28</w:t>
            </w:r>
          </w:p>
        </w:tc>
      </w:tr>
      <w:tr w:rsidR="00E0351D" w:rsidRPr="00AB06CD" w14:paraId="736E0BCB" w14:textId="77777777" w:rsidTr="006228F2">
        <w:trPr>
          <w:cantSplit/>
          <w:jc w:val="center"/>
        </w:trPr>
        <w:tc>
          <w:tcPr>
            <w:tcW w:w="1128" w:type="pct"/>
            <w:shd w:val="clear" w:color="auto" w:fill="FFFFFF"/>
          </w:tcPr>
          <w:p w14:paraId="2194EDFB" w14:textId="48E3CA66" w:rsidR="00E0351D" w:rsidRPr="00564C60" w:rsidRDefault="00E0351D" w:rsidP="006F4E9C">
            <w:pPr>
              <w:spacing w:line="360" w:lineRule="auto"/>
              <w:ind w:leftChars="50" w:left="120"/>
              <w:jc w:val="both"/>
              <w:rPr>
                <w:rFonts w:ascii="Book Antiqua" w:hAnsi="Book Antiqua" w:cstheme="minorHAnsi"/>
                <w:lang w:val="en-AU"/>
              </w:rPr>
            </w:pPr>
            <w:r w:rsidRPr="00564C60">
              <w:rPr>
                <w:rFonts w:ascii="Book Antiqua" w:hAnsi="Book Antiqua" w:cstheme="minorHAnsi"/>
                <w:lang w:val="en-AU"/>
              </w:rPr>
              <w:t>Transplanted</w:t>
            </w:r>
            <w:r w:rsidR="00F13714">
              <w:rPr>
                <w:rFonts w:ascii="Book Antiqua" w:hAnsi="Book Antiqua" w:cstheme="minorHAnsi"/>
                <w:lang w:val="en-AU"/>
              </w:rPr>
              <w:t xml:space="preserve">, </w:t>
            </w:r>
            <w:r w:rsidR="00F13714" w:rsidRPr="00CE2528">
              <w:rPr>
                <w:rFonts w:ascii="Book Antiqua" w:hAnsi="Book Antiqua" w:cstheme="minorHAnsi"/>
                <w:i/>
                <w:iCs/>
                <w:lang w:val="en-AU"/>
              </w:rPr>
              <w:t>n</w:t>
            </w:r>
            <w:r w:rsidR="00F13714">
              <w:rPr>
                <w:rFonts w:ascii="Book Antiqua" w:hAnsi="Book Antiqua" w:cstheme="minorHAnsi"/>
                <w:lang w:val="en-AU"/>
              </w:rPr>
              <w:t xml:space="preserve"> (%)</w:t>
            </w:r>
          </w:p>
        </w:tc>
        <w:tc>
          <w:tcPr>
            <w:tcW w:w="1129" w:type="pct"/>
            <w:shd w:val="clear" w:color="auto" w:fill="FFFFFF"/>
          </w:tcPr>
          <w:p w14:paraId="697A8109"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25 (24)</w:t>
            </w:r>
          </w:p>
        </w:tc>
        <w:tc>
          <w:tcPr>
            <w:tcW w:w="1128" w:type="pct"/>
            <w:shd w:val="clear" w:color="auto" w:fill="FFFFFF"/>
          </w:tcPr>
          <w:p w14:paraId="1BB521B8"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18 (30.5)</w:t>
            </w:r>
          </w:p>
        </w:tc>
        <w:tc>
          <w:tcPr>
            <w:tcW w:w="1129" w:type="pct"/>
            <w:shd w:val="clear" w:color="auto" w:fill="FFFFFF"/>
          </w:tcPr>
          <w:p w14:paraId="0EDB5575"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7 (15.6)</w:t>
            </w:r>
          </w:p>
        </w:tc>
        <w:tc>
          <w:tcPr>
            <w:tcW w:w="486" w:type="pct"/>
            <w:shd w:val="clear" w:color="auto" w:fill="FFFFFF"/>
          </w:tcPr>
          <w:p w14:paraId="0F6A132B"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0.08</w:t>
            </w:r>
          </w:p>
        </w:tc>
      </w:tr>
      <w:tr w:rsidR="00E0351D" w:rsidRPr="00AB06CD" w14:paraId="330B70EB" w14:textId="77777777" w:rsidTr="006228F2">
        <w:trPr>
          <w:cantSplit/>
          <w:jc w:val="center"/>
        </w:trPr>
        <w:tc>
          <w:tcPr>
            <w:tcW w:w="1128" w:type="pct"/>
            <w:tcBorders>
              <w:bottom w:val="single" w:sz="4" w:space="0" w:color="auto"/>
            </w:tcBorders>
            <w:shd w:val="clear" w:color="auto" w:fill="FFFFFF"/>
          </w:tcPr>
          <w:p w14:paraId="5FC76D45" w14:textId="5CC83296" w:rsidR="00E0351D" w:rsidRPr="00564C60" w:rsidRDefault="00E0351D" w:rsidP="006F4E9C">
            <w:pPr>
              <w:spacing w:line="360" w:lineRule="auto"/>
              <w:ind w:leftChars="50" w:left="120"/>
              <w:jc w:val="both"/>
              <w:rPr>
                <w:rFonts w:ascii="Book Antiqua" w:hAnsi="Book Antiqua" w:cstheme="minorHAnsi"/>
                <w:lang w:val="en-AU"/>
              </w:rPr>
            </w:pPr>
            <w:r w:rsidRPr="00564C60">
              <w:rPr>
                <w:rFonts w:ascii="Book Antiqua" w:hAnsi="Book Antiqua" w:cstheme="minorHAnsi"/>
                <w:lang w:val="en-AU"/>
              </w:rPr>
              <w:t>Death</w:t>
            </w:r>
            <w:r w:rsidR="00927831">
              <w:rPr>
                <w:rFonts w:ascii="Book Antiqua" w:hAnsi="Book Antiqua" w:cstheme="minorHAnsi"/>
                <w:lang w:val="en-AU"/>
              </w:rPr>
              <w:t xml:space="preserve">, </w:t>
            </w:r>
            <w:r w:rsidR="00927831" w:rsidRPr="00CE2528">
              <w:rPr>
                <w:rFonts w:ascii="Book Antiqua" w:hAnsi="Book Antiqua" w:cstheme="minorHAnsi"/>
                <w:i/>
                <w:iCs/>
                <w:lang w:val="en-AU"/>
              </w:rPr>
              <w:t>n</w:t>
            </w:r>
            <w:r w:rsidR="00927831">
              <w:rPr>
                <w:rFonts w:ascii="Book Antiqua" w:hAnsi="Book Antiqua" w:cstheme="minorHAnsi"/>
                <w:lang w:val="en-AU"/>
              </w:rPr>
              <w:t xml:space="preserve"> (%)</w:t>
            </w:r>
          </w:p>
        </w:tc>
        <w:tc>
          <w:tcPr>
            <w:tcW w:w="1129" w:type="pct"/>
            <w:tcBorders>
              <w:bottom w:val="single" w:sz="4" w:space="0" w:color="auto"/>
            </w:tcBorders>
            <w:shd w:val="clear" w:color="auto" w:fill="FFFFFF"/>
          </w:tcPr>
          <w:p w14:paraId="00B7DA18"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36 (34.6)</w:t>
            </w:r>
          </w:p>
        </w:tc>
        <w:tc>
          <w:tcPr>
            <w:tcW w:w="1128" w:type="pct"/>
            <w:tcBorders>
              <w:bottom w:val="single" w:sz="4" w:space="0" w:color="auto"/>
            </w:tcBorders>
            <w:shd w:val="clear" w:color="auto" w:fill="FFFFFF"/>
          </w:tcPr>
          <w:p w14:paraId="28367F05"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23 (39.0)</w:t>
            </w:r>
          </w:p>
        </w:tc>
        <w:tc>
          <w:tcPr>
            <w:tcW w:w="1129" w:type="pct"/>
            <w:tcBorders>
              <w:bottom w:val="single" w:sz="4" w:space="0" w:color="auto"/>
            </w:tcBorders>
            <w:shd w:val="clear" w:color="auto" w:fill="FFFFFF"/>
          </w:tcPr>
          <w:p w14:paraId="4DB3B46A"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13 (28.9)</w:t>
            </w:r>
          </w:p>
        </w:tc>
        <w:tc>
          <w:tcPr>
            <w:tcW w:w="486" w:type="pct"/>
            <w:tcBorders>
              <w:bottom w:val="single" w:sz="4" w:space="0" w:color="auto"/>
            </w:tcBorders>
            <w:shd w:val="clear" w:color="auto" w:fill="FFFFFF"/>
          </w:tcPr>
          <w:p w14:paraId="021D246F" w14:textId="77777777" w:rsidR="00E0351D" w:rsidRPr="00AB06CD" w:rsidRDefault="00E0351D" w:rsidP="006F4E9C">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0.28</w:t>
            </w:r>
          </w:p>
        </w:tc>
      </w:tr>
    </w:tbl>
    <w:p w14:paraId="58F7C2DC" w14:textId="097B5D18" w:rsidR="00E0351D" w:rsidRPr="00AB06CD" w:rsidRDefault="00C07C64" w:rsidP="00E0351D">
      <w:pPr>
        <w:pStyle w:val="a7"/>
        <w:spacing w:after="0" w:line="360" w:lineRule="auto"/>
        <w:jc w:val="both"/>
        <w:rPr>
          <w:rFonts w:ascii="Book Antiqua" w:hAnsi="Book Antiqua"/>
          <w:sz w:val="24"/>
          <w:szCs w:val="24"/>
          <w:lang w:val="en-AU"/>
        </w:rPr>
      </w:pPr>
      <w:r>
        <w:rPr>
          <w:rFonts w:ascii="Book Antiqua" w:hAnsi="Book Antiqua"/>
          <w:i w:val="0"/>
          <w:iCs w:val="0"/>
          <w:color w:val="auto"/>
          <w:sz w:val="24"/>
          <w:szCs w:val="24"/>
          <w:vertAlign w:val="superscript"/>
          <w:lang w:val="en-AU"/>
        </w:rPr>
        <w:t>1</w:t>
      </w:r>
      <w:r w:rsidR="00E0351D" w:rsidRPr="00AB06CD">
        <w:rPr>
          <w:rFonts w:ascii="Book Antiqua" w:hAnsi="Book Antiqua"/>
          <w:i w:val="0"/>
          <w:iCs w:val="0"/>
          <w:color w:val="auto"/>
          <w:sz w:val="24"/>
          <w:szCs w:val="24"/>
          <w:lang w:val="en-AU"/>
        </w:rPr>
        <w:t xml:space="preserve">Other refers to aetiologies not listed here and is inclusive of: Mixed aetiologies, autoimmune hepatitis, hereditary haemochromatosis, </w:t>
      </w:r>
      <w:r w:rsidR="00AD4208">
        <w:rPr>
          <w:rFonts w:ascii="Book Antiqua" w:hAnsi="Book Antiqua"/>
          <w:i w:val="0"/>
          <w:iCs w:val="0"/>
          <w:color w:val="auto"/>
          <w:sz w:val="24"/>
          <w:szCs w:val="24"/>
          <w:lang w:val="en-AU"/>
        </w:rPr>
        <w:t>α</w:t>
      </w:r>
      <w:r w:rsidR="00E0351D" w:rsidRPr="00AB06CD">
        <w:rPr>
          <w:rFonts w:ascii="Book Antiqua" w:hAnsi="Book Antiqua"/>
          <w:i w:val="0"/>
          <w:iCs w:val="0"/>
          <w:color w:val="auto"/>
          <w:sz w:val="24"/>
          <w:szCs w:val="24"/>
          <w:lang w:val="en-AU"/>
        </w:rPr>
        <w:t>-1-antitrypsin deficiency and cryptogenic liver disease</w:t>
      </w:r>
      <w:r w:rsidR="00E0351D">
        <w:rPr>
          <w:rFonts w:ascii="Book Antiqua" w:hAnsi="Book Antiqua"/>
          <w:i w:val="0"/>
          <w:iCs w:val="0"/>
          <w:color w:val="auto"/>
          <w:sz w:val="24"/>
          <w:szCs w:val="24"/>
          <w:lang w:val="en-AU"/>
        </w:rPr>
        <w:t>.</w:t>
      </w:r>
      <w:r w:rsidR="00E0351D" w:rsidRPr="00AD4208">
        <w:rPr>
          <w:rFonts w:ascii="Book Antiqua" w:hAnsi="Book Antiqua" w:hint="eastAsia"/>
          <w:i w:val="0"/>
          <w:iCs w:val="0"/>
          <w:color w:val="auto"/>
          <w:sz w:val="24"/>
          <w:szCs w:val="24"/>
          <w:lang w:val="en-AU"/>
        </w:rPr>
        <w:t xml:space="preserve"> </w:t>
      </w:r>
      <w:r w:rsidR="00AD4208" w:rsidRPr="00AD4208">
        <w:rPr>
          <w:rFonts w:ascii="Book Antiqua" w:hAnsi="Book Antiqua"/>
          <w:i w:val="0"/>
          <w:iCs w:val="0"/>
          <w:color w:val="auto"/>
          <w:sz w:val="24"/>
          <w:szCs w:val="24"/>
          <w:lang w:val="en-AU"/>
        </w:rPr>
        <w:t xml:space="preserve">IQR: </w:t>
      </w:r>
      <w:r w:rsidR="00AD4208">
        <w:rPr>
          <w:rFonts w:ascii="Book Antiqua" w:hAnsi="Book Antiqua"/>
          <w:i w:val="0"/>
          <w:iCs w:val="0"/>
          <w:color w:val="auto"/>
          <w:sz w:val="24"/>
          <w:szCs w:val="24"/>
          <w:lang w:val="en-AU"/>
        </w:rPr>
        <w:t>I</w:t>
      </w:r>
      <w:r w:rsidR="00AD4208" w:rsidRPr="00AB06CD">
        <w:rPr>
          <w:rFonts w:ascii="Book Antiqua" w:hAnsi="Book Antiqua"/>
          <w:i w:val="0"/>
          <w:iCs w:val="0"/>
          <w:color w:val="auto"/>
          <w:sz w:val="24"/>
          <w:szCs w:val="24"/>
          <w:lang w:val="en-AU"/>
        </w:rPr>
        <w:t>nterquartile range</w:t>
      </w:r>
      <w:r w:rsidR="00AD4208">
        <w:rPr>
          <w:rFonts w:ascii="Book Antiqua" w:hAnsi="Book Antiqua"/>
          <w:i w:val="0"/>
          <w:iCs w:val="0"/>
          <w:color w:val="auto"/>
          <w:sz w:val="24"/>
          <w:szCs w:val="24"/>
          <w:lang w:val="en-AU"/>
        </w:rPr>
        <w:t xml:space="preserve">; </w:t>
      </w:r>
      <w:r w:rsidR="00E0351D" w:rsidRPr="00AB06CD">
        <w:rPr>
          <w:rFonts w:ascii="Book Antiqua" w:hAnsi="Book Antiqua"/>
          <w:i w:val="0"/>
          <w:iCs w:val="0"/>
          <w:color w:val="auto"/>
          <w:sz w:val="24"/>
          <w:szCs w:val="24"/>
          <w:lang w:val="en-AU"/>
        </w:rPr>
        <w:t>AFP</w:t>
      </w:r>
      <w:r w:rsidR="00E0351D" w:rsidRPr="00AB06CD">
        <w:rPr>
          <w:rFonts w:ascii="Book Antiqua" w:hAnsi="Book Antiqua"/>
          <w:i w:val="0"/>
          <w:iCs w:val="0"/>
          <w:sz w:val="24"/>
          <w:szCs w:val="24"/>
          <w:lang w:val="en-AU"/>
        </w:rPr>
        <w:t>:</w:t>
      </w:r>
      <w:r w:rsidR="00E0351D" w:rsidRPr="00AB06CD">
        <w:rPr>
          <w:rFonts w:ascii="Book Antiqua" w:hAnsi="Book Antiqua"/>
          <w:i w:val="0"/>
          <w:iCs w:val="0"/>
          <w:color w:val="auto"/>
          <w:sz w:val="24"/>
          <w:szCs w:val="24"/>
          <w:lang w:val="en-AU"/>
        </w:rPr>
        <w:t xml:space="preserve"> </w:t>
      </w:r>
      <w:r w:rsidR="00E0351D">
        <w:rPr>
          <w:rFonts w:ascii="Book Antiqua" w:hAnsi="Book Antiqua"/>
          <w:i w:val="0"/>
          <w:iCs w:val="0"/>
          <w:color w:val="auto"/>
          <w:sz w:val="24"/>
          <w:szCs w:val="24"/>
          <w:lang w:val="en-AU"/>
        </w:rPr>
        <w:t>α</w:t>
      </w:r>
      <w:r w:rsidR="00E0351D" w:rsidRPr="00AB06CD">
        <w:rPr>
          <w:rFonts w:ascii="Book Antiqua" w:hAnsi="Book Antiqua"/>
          <w:i w:val="0"/>
          <w:iCs w:val="0"/>
          <w:color w:val="auto"/>
          <w:sz w:val="24"/>
          <w:szCs w:val="24"/>
          <w:lang w:val="en-AU"/>
        </w:rPr>
        <w:t>-</w:t>
      </w:r>
      <w:proofErr w:type="spellStart"/>
      <w:r w:rsidR="00E0351D" w:rsidRPr="00AB06CD">
        <w:rPr>
          <w:rFonts w:ascii="Book Antiqua" w:hAnsi="Book Antiqua"/>
          <w:i w:val="0"/>
          <w:iCs w:val="0"/>
          <w:color w:val="auto"/>
          <w:sz w:val="24"/>
          <w:szCs w:val="24"/>
          <w:lang w:val="en-AU"/>
        </w:rPr>
        <w:t>feto</w:t>
      </w:r>
      <w:proofErr w:type="spellEnd"/>
      <w:r w:rsidR="00E0351D" w:rsidRPr="00AB06CD">
        <w:rPr>
          <w:rFonts w:ascii="Book Antiqua" w:hAnsi="Book Antiqua"/>
          <w:i w:val="0"/>
          <w:iCs w:val="0"/>
          <w:color w:val="auto"/>
          <w:sz w:val="24"/>
          <w:szCs w:val="24"/>
          <w:lang w:val="en-AU"/>
        </w:rPr>
        <w:t xml:space="preserve"> protein</w:t>
      </w:r>
      <w:r w:rsidR="00E0351D">
        <w:rPr>
          <w:rFonts w:ascii="Book Antiqua" w:hAnsi="Book Antiqua"/>
          <w:i w:val="0"/>
          <w:iCs w:val="0"/>
          <w:color w:val="auto"/>
          <w:sz w:val="24"/>
          <w:szCs w:val="24"/>
          <w:lang w:val="en-AU"/>
        </w:rPr>
        <w:t>;</w:t>
      </w:r>
      <w:r w:rsidR="00E0351D" w:rsidRPr="00AB06CD">
        <w:rPr>
          <w:rFonts w:ascii="Book Antiqua" w:hAnsi="Book Antiqua"/>
          <w:i w:val="0"/>
          <w:iCs w:val="0"/>
          <w:color w:val="auto"/>
          <w:sz w:val="24"/>
          <w:szCs w:val="24"/>
          <w:lang w:val="en-AU"/>
        </w:rPr>
        <w:t xml:space="preserve"> CTP</w:t>
      </w:r>
      <w:r w:rsidR="00E0351D" w:rsidRPr="00AB06CD">
        <w:rPr>
          <w:rFonts w:ascii="Book Antiqua" w:hAnsi="Book Antiqua"/>
          <w:i w:val="0"/>
          <w:iCs w:val="0"/>
          <w:sz w:val="24"/>
          <w:szCs w:val="24"/>
          <w:lang w:val="en-AU"/>
        </w:rPr>
        <w:t>:</w:t>
      </w:r>
      <w:r w:rsidR="00E0351D" w:rsidRPr="00AB06CD">
        <w:rPr>
          <w:rFonts w:ascii="Book Antiqua" w:hAnsi="Book Antiqua"/>
          <w:i w:val="0"/>
          <w:iCs w:val="0"/>
          <w:color w:val="auto"/>
          <w:sz w:val="24"/>
          <w:szCs w:val="24"/>
          <w:lang w:val="en-AU"/>
        </w:rPr>
        <w:t xml:space="preserve"> Child-Turcotte-Pugh</w:t>
      </w:r>
      <w:r w:rsidR="00E0351D">
        <w:rPr>
          <w:rFonts w:ascii="Book Antiqua" w:hAnsi="Book Antiqua"/>
          <w:i w:val="0"/>
          <w:iCs w:val="0"/>
          <w:color w:val="auto"/>
          <w:sz w:val="24"/>
          <w:szCs w:val="24"/>
          <w:lang w:val="en-AU"/>
        </w:rPr>
        <w:t>;</w:t>
      </w:r>
      <w:r w:rsidR="00E0351D" w:rsidRPr="00AB06CD">
        <w:rPr>
          <w:rFonts w:ascii="Book Antiqua" w:hAnsi="Book Antiqua"/>
          <w:i w:val="0"/>
          <w:iCs w:val="0"/>
          <w:color w:val="auto"/>
          <w:sz w:val="24"/>
          <w:szCs w:val="24"/>
          <w:lang w:val="en-AU"/>
        </w:rPr>
        <w:t xml:space="preserve"> HBV</w:t>
      </w:r>
      <w:r w:rsidR="00E0351D" w:rsidRPr="00AB06CD">
        <w:rPr>
          <w:rFonts w:ascii="Book Antiqua" w:hAnsi="Book Antiqua"/>
          <w:i w:val="0"/>
          <w:iCs w:val="0"/>
          <w:sz w:val="24"/>
          <w:szCs w:val="24"/>
          <w:lang w:val="en-AU"/>
        </w:rPr>
        <w:t>:</w:t>
      </w:r>
      <w:r w:rsidR="00E0351D" w:rsidRPr="00AB06CD">
        <w:rPr>
          <w:rFonts w:ascii="Book Antiqua" w:hAnsi="Book Antiqua"/>
          <w:i w:val="0"/>
          <w:iCs w:val="0"/>
          <w:color w:val="auto"/>
          <w:sz w:val="24"/>
          <w:szCs w:val="24"/>
          <w:lang w:val="en-AU"/>
        </w:rPr>
        <w:t xml:space="preserve"> Hepatitis B virus</w:t>
      </w:r>
      <w:r w:rsidR="00E0351D">
        <w:rPr>
          <w:rFonts w:ascii="Book Antiqua" w:hAnsi="Book Antiqua"/>
          <w:i w:val="0"/>
          <w:iCs w:val="0"/>
          <w:color w:val="auto"/>
          <w:sz w:val="24"/>
          <w:szCs w:val="24"/>
          <w:lang w:val="en-AU"/>
        </w:rPr>
        <w:t>;</w:t>
      </w:r>
      <w:r w:rsidR="00E0351D" w:rsidRPr="00AB06CD">
        <w:rPr>
          <w:rFonts w:ascii="Book Antiqua" w:hAnsi="Book Antiqua"/>
          <w:i w:val="0"/>
          <w:iCs w:val="0"/>
          <w:color w:val="auto"/>
          <w:sz w:val="24"/>
          <w:szCs w:val="24"/>
          <w:lang w:val="en-AU"/>
        </w:rPr>
        <w:t xml:space="preserve"> HCV</w:t>
      </w:r>
      <w:r w:rsidR="00E0351D" w:rsidRPr="00AB06CD">
        <w:rPr>
          <w:rFonts w:ascii="Book Antiqua" w:hAnsi="Book Antiqua"/>
          <w:i w:val="0"/>
          <w:iCs w:val="0"/>
          <w:sz w:val="24"/>
          <w:szCs w:val="24"/>
          <w:lang w:val="en-AU"/>
        </w:rPr>
        <w:t>:</w:t>
      </w:r>
      <w:r w:rsidR="00E0351D" w:rsidRPr="00AB06CD">
        <w:rPr>
          <w:rFonts w:ascii="Book Antiqua" w:hAnsi="Book Antiqua"/>
          <w:i w:val="0"/>
          <w:iCs w:val="0"/>
          <w:color w:val="auto"/>
          <w:sz w:val="24"/>
          <w:szCs w:val="24"/>
          <w:lang w:val="en-AU"/>
        </w:rPr>
        <w:t xml:space="preserve"> </w:t>
      </w:r>
      <w:r w:rsidR="00E0351D">
        <w:rPr>
          <w:rFonts w:ascii="Book Antiqua" w:hAnsi="Book Antiqua"/>
          <w:i w:val="0"/>
          <w:iCs w:val="0"/>
          <w:color w:val="auto"/>
          <w:sz w:val="24"/>
          <w:szCs w:val="24"/>
          <w:lang w:val="en-AU"/>
        </w:rPr>
        <w:t>H</w:t>
      </w:r>
      <w:r w:rsidR="00E0351D" w:rsidRPr="00AB06CD">
        <w:rPr>
          <w:rFonts w:ascii="Book Antiqua" w:hAnsi="Book Antiqua"/>
          <w:i w:val="0"/>
          <w:iCs w:val="0"/>
          <w:color w:val="auto"/>
          <w:sz w:val="24"/>
          <w:szCs w:val="24"/>
          <w:lang w:val="en-AU"/>
        </w:rPr>
        <w:t>epatitis C virus</w:t>
      </w:r>
      <w:r w:rsidR="00E0351D">
        <w:rPr>
          <w:rFonts w:ascii="Book Antiqua" w:hAnsi="Book Antiqua"/>
          <w:i w:val="0"/>
          <w:iCs w:val="0"/>
          <w:color w:val="auto"/>
          <w:sz w:val="24"/>
          <w:szCs w:val="24"/>
          <w:lang w:val="en-AU"/>
        </w:rPr>
        <w:t>;</w:t>
      </w:r>
      <w:r w:rsidR="00E0351D" w:rsidRPr="00AB06CD">
        <w:rPr>
          <w:rFonts w:ascii="Book Antiqua" w:hAnsi="Book Antiqua"/>
          <w:i w:val="0"/>
          <w:iCs w:val="0"/>
          <w:color w:val="auto"/>
          <w:sz w:val="24"/>
          <w:szCs w:val="24"/>
          <w:lang w:val="en-AU"/>
        </w:rPr>
        <w:t xml:space="preserve"> MELD: Model for End-Stage Liver Disease score</w:t>
      </w:r>
      <w:r w:rsidR="00E0351D">
        <w:rPr>
          <w:rFonts w:ascii="Book Antiqua" w:hAnsi="Book Antiqua"/>
          <w:i w:val="0"/>
          <w:iCs w:val="0"/>
          <w:color w:val="auto"/>
          <w:sz w:val="24"/>
          <w:szCs w:val="24"/>
          <w:lang w:val="en-AU"/>
        </w:rPr>
        <w:t>;</w:t>
      </w:r>
      <w:r w:rsidR="00E0351D" w:rsidRPr="00AB06CD">
        <w:rPr>
          <w:rFonts w:ascii="Book Antiqua" w:hAnsi="Book Antiqua"/>
          <w:i w:val="0"/>
          <w:iCs w:val="0"/>
          <w:color w:val="auto"/>
          <w:sz w:val="24"/>
          <w:szCs w:val="24"/>
          <w:lang w:val="en-AU"/>
        </w:rPr>
        <w:t xml:space="preserve"> NASH</w:t>
      </w:r>
      <w:r w:rsidR="00E0351D" w:rsidRPr="00AB06CD">
        <w:rPr>
          <w:rFonts w:ascii="Book Antiqua" w:hAnsi="Book Antiqua"/>
          <w:i w:val="0"/>
          <w:iCs w:val="0"/>
          <w:sz w:val="24"/>
          <w:szCs w:val="24"/>
          <w:lang w:val="en-AU"/>
        </w:rPr>
        <w:t>:</w:t>
      </w:r>
      <w:r w:rsidR="00E0351D" w:rsidRPr="00AB06CD">
        <w:rPr>
          <w:rFonts w:ascii="Book Antiqua" w:hAnsi="Book Antiqua"/>
          <w:i w:val="0"/>
          <w:iCs w:val="0"/>
          <w:color w:val="auto"/>
          <w:sz w:val="24"/>
          <w:szCs w:val="24"/>
          <w:lang w:val="en-AU"/>
        </w:rPr>
        <w:t xml:space="preserve"> </w:t>
      </w:r>
      <w:r w:rsidR="00E0351D">
        <w:rPr>
          <w:rFonts w:ascii="Book Antiqua" w:hAnsi="Book Antiqua"/>
          <w:i w:val="0"/>
          <w:iCs w:val="0"/>
          <w:color w:val="auto"/>
          <w:sz w:val="24"/>
          <w:szCs w:val="24"/>
          <w:lang w:val="en-AU"/>
        </w:rPr>
        <w:t>N</w:t>
      </w:r>
      <w:r w:rsidR="00E0351D" w:rsidRPr="00AB06CD">
        <w:rPr>
          <w:rFonts w:ascii="Book Antiqua" w:hAnsi="Book Antiqua"/>
          <w:i w:val="0"/>
          <w:iCs w:val="0"/>
          <w:color w:val="auto"/>
          <w:sz w:val="24"/>
          <w:szCs w:val="24"/>
          <w:lang w:val="en-AU"/>
        </w:rPr>
        <w:t xml:space="preserve">on-alcoholic steatohepatitis. </w:t>
      </w:r>
      <w:bookmarkEnd w:id="3"/>
    </w:p>
    <w:p w14:paraId="33FB5A73" w14:textId="77777777" w:rsidR="00E0351D" w:rsidRDefault="00E0351D" w:rsidP="00E0351D">
      <w:pPr>
        <w:spacing w:line="360" w:lineRule="auto"/>
        <w:jc w:val="both"/>
        <w:rPr>
          <w:rFonts w:ascii="Book Antiqua" w:hAnsi="Book Antiqua"/>
          <w:b/>
          <w:bCs/>
          <w:iCs/>
          <w:color w:val="000000" w:themeColor="text1"/>
          <w:lang w:val="en-AU"/>
        </w:rPr>
        <w:sectPr w:rsidR="00E0351D" w:rsidSect="00102000">
          <w:pgSz w:w="15842" w:h="12242" w:orient="landscape" w:code="119"/>
          <w:pgMar w:top="1440" w:right="1440" w:bottom="1440" w:left="1440" w:header="720" w:footer="720" w:gutter="0"/>
          <w:cols w:space="720"/>
          <w:docGrid w:linePitch="360"/>
        </w:sectPr>
      </w:pPr>
    </w:p>
    <w:p w14:paraId="4CC9B02A" w14:textId="2ACFCDEC" w:rsidR="00E0351D" w:rsidRPr="0039285D" w:rsidRDefault="00E0351D" w:rsidP="00E0351D">
      <w:pPr>
        <w:spacing w:line="360" w:lineRule="auto"/>
        <w:jc w:val="both"/>
        <w:rPr>
          <w:rFonts w:ascii="Book Antiqua" w:hAnsi="Book Antiqua"/>
          <w:b/>
          <w:bCs/>
          <w:iCs/>
          <w:color w:val="000000" w:themeColor="text1"/>
          <w:lang w:val="en-AU"/>
        </w:rPr>
      </w:pPr>
      <w:r w:rsidRPr="00AB06CD">
        <w:rPr>
          <w:rFonts w:ascii="Book Antiqua" w:hAnsi="Book Antiqua"/>
          <w:b/>
          <w:bCs/>
          <w:iCs/>
          <w:color w:val="000000" w:themeColor="text1"/>
          <w:lang w:val="en-AU"/>
        </w:rPr>
        <w:lastRenderedPageBreak/>
        <w:t>Table 2</w:t>
      </w:r>
      <w:r>
        <w:rPr>
          <w:rFonts w:ascii="Book Antiqua" w:hAnsi="Book Antiqua"/>
          <w:b/>
          <w:bCs/>
          <w:iCs/>
          <w:color w:val="000000" w:themeColor="text1"/>
          <w:lang w:val="en-AU"/>
        </w:rPr>
        <w:t xml:space="preserve"> </w:t>
      </w:r>
      <w:r w:rsidR="00D96DAA">
        <w:rPr>
          <w:rFonts w:ascii="Book Antiqua" w:hAnsi="Book Antiqua"/>
          <w:b/>
          <w:bCs/>
          <w:iCs/>
          <w:color w:val="000000" w:themeColor="text1"/>
          <w:lang w:val="en-AU"/>
        </w:rPr>
        <w:t>One</w:t>
      </w:r>
      <w:r w:rsidRPr="00AB06CD">
        <w:rPr>
          <w:rFonts w:ascii="Book Antiqua" w:hAnsi="Book Antiqua"/>
          <w:b/>
          <w:bCs/>
          <w:iCs/>
          <w:color w:val="000000" w:themeColor="text1"/>
          <w:lang w:val="en-AU"/>
        </w:rPr>
        <w:t xml:space="preserve">-, </w:t>
      </w:r>
      <w:r w:rsidR="00D96DAA">
        <w:rPr>
          <w:rFonts w:ascii="Book Antiqua" w:hAnsi="Book Antiqua"/>
          <w:b/>
          <w:bCs/>
          <w:iCs/>
          <w:color w:val="000000" w:themeColor="text1"/>
          <w:lang w:val="en-AU"/>
        </w:rPr>
        <w:t>three</w:t>
      </w:r>
      <w:r w:rsidRPr="00AB06CD">
        <w:rPr>
          <w:rFonts w:ascii="Book Antiqua" w:hAnsi="Book Antiqua"/>
          <w:b/>
          <w:bCs/>
          <w:iCs/>
          <w:color w:val="000000" w:themeColor="text1"/>
          <w:lang w:val="en-AU"/>
        </w:rPr>
        <w:t xml:space="preserve">-, and </w:t>
      </w:r>
      <w:r w:rsidR="00D96DAA">
        <w:rPr>
          <w:rFonts w:ascii="Book Antiqua" w:hAnsi="Book Antiqua"/>
          <w:b/>
          <w:bCs/>
          <w:iCs/>
          <w:color w:val="000000" w:themeColor="text1"/>
          <w:lang w:val="en-AU"/>
        </w:rPr>
        <w:t>five</w:t>
      </w:r>
      <w:r w:rsidRPr="00AB06CD">
        <w:rPr>
          <w:rFonts w:ascii="Book Antiqua" w:hAnsi="Book Antiqua"/>
          <w:b/>
          <w:bCs/>
          <w:iCs/>
          <w:color w:val="000000" w:themeColor="text1"/>
          <w:lang w:val="en-AU"/>
        </w:rPr>
        <w:t>-year survival analysis of patients with two hepatocellular carcinomas</w:t>
      </w:r>
    </w:p>
    <w:tbl>
      <w:tblPr>
        <w:tblStyle w:val="a8"/>
        <w:tblW w:w="5000" w:type="pct"/>
        <w:jc w:val="center"/>
        <w:tblLook w:val="04A0" w:firstRow="1" w:lastRow="0" w:firstColumn="1" w:lastColumn="0" w:noHBand="0" w:noVBand="1"/>
      </w:tblPr>
      <w:tblGrid>
        <w:gridCol w:w="2196"/>
        <w:gridCol w:w="1272"/>
        <w:gridCol w:w="1616"/>
        <w:gridCol w:w="1363"/>
        <w:gridCol w:w="1683"/>
        <w:gridCol w:w="1496"/>
        <w:gridCol w:w="1616"/>
        <w:gridCol w:w="1718"/>
      </w:tblGrid>
      <w:tr w:rsidR="000E66CC" w:rsidRPr="00AB06CD" w14:paraId="6A0AD42F" w14:textId="77777777" w:rsidTr="006F4E9C">
        <w:trPr>
          <w:jc w:val="center"/>
        </w:trPr>
        <w:tc>
          <w:tcPr>
            <w:tcW w:w="864" w:type="pct"/>
            <w:tcBorders>
              <w:left w:val="nil"/>
              <w:bottom w:val="nil"/>
              <w:right w:val="nil"/>
            </w:tcBorders>
          </w:tcPr>
          <w:p w14:paraId="7078128C" w14:textId="77777777" w:rsidR="00E0351D" w:rsidRPr="00AB06CD" w:rsidRDefault="00E0351D" w:rsidP="006F4E9C">
            <w:pPr>
              <w:spacing w:line="360" w:lineRule="auto"/>
              <w:jc w:val="both"/>
              <w:rPr>
                <w:rFonts w:ascii="Book Antiqua" w:hAnsi="Book Antiqua"/>
                <w:b/>
                <w:bCs/>
                <w:iCs/>
                <w:color w:val="000000" w:themeColor="text1"/>
                <w:lang w:val="en-AU"/>
              </w:rPr>
            </w:pPr>
          </w:p>
        </w:tc>
        <w:tc>
          <w:tcPr>
            <w:tcW w:w="507" w:type="pct"/>
            <w:tcBorders>
              <w:left w:val="nil"/>
              <w:bottom w:val="single" w:sz="4" w:space="0" w:color="auto"/>
              <w:right w:val="nil"/>
            </w:tcBorders>
          </w:tcPr>
          <w:p w14:paraId="60FD8238" w14:textId="6B1D2635" w:rsidR="00E0351D" w:rsidRPr="00AB06CD" w:rsidRDefault="00E0351D" w:rsidP="006F4E9C">
            <w:pPr>
              <w:spacing w:line="360" w:lineRule="auto"/>
              <w:jc w:val="both"/>
              <w:rPr>
                <w:rFonts w:ascii="Book Antiqua" w:hAnsi="Book Antiqua"/>
                <w:b/>
                <w:bCs/>
                <w:iCs/>
                <w:color w:val="000000" w:themeColor="text1"/>
                <w:lang w:val="en-AU"/>
              </w:rPr>
            </w:pPr>
            <w:r w:rsidRPr="00AB06CD">
              <w:rPr>
                <w:rFonts w:ascii="Book Antiqua" w:hAnsi="Book Antiqua"/>
                <w:b/>
                <w:bCs/>
                <w:iCs/>
                <w:color w:val="000000" w:themeColor="text1"/>
                <w:lang w:val="en-AU"/>
              </w:rPr>
              <w:t>Overall survival</w:t>
            </w:r>
            <w:r w:rsidR="000E66CC">
              <w:rPr>
                <w:rFonts w:ascii="Book Antiqua" w:eastAsiaTheme="minorEastAsia" w:hAnsi="Book Antiqua" w:hint="eastAsia"/>
                <w:b/>
                <w:bCs/>
                <w:iCs/>
                <w:color w:val="000000" w:themeColor="text1"/>
                <w:lang w:val="en-AU" w:eastAsia="zh-CN"/>
              </w:rPr>
              <w:t xml:space="preserve"> </w:t>
            </w:r>
            <w:r w:rsidRPr="00AB06CD">
              <w:rPr>
                <w:rFonts w:ascii="Book Antiqua" w:hAnsi="Book Antiqua"/>
                <w:b/>
                <w:bCs/>
                <w:iCs/>
                <w:color w:val="000000" w:themeColor="text1"/>
                <w:lang w:val="en-AU"/>
              </w:rPr>
              <w:t>(</w:t>
            </w:r>
            <w:r w:rsidRPr="00CF32E8">
              <w:rPr>
                <w:rFonts w:ascii="Book Antiqua" w:hAnsi="Book Antiqua"/>
                <w:b/>
                <w:bCs/>
                <w:i/>
                <w:color w:val="000000" w:themeColor="text1"/>
                <w:lang w:val="en-AU"/>
              </w:rPr>
              <w:t>n</w:t>
            </w:r>
            <w:r w:rsidR="006F18AF">
              <w:rPr>
                <w:rFonts w:ascii="Book Antiqua" w:hAnsi="Book Antiqua"/>
                <w:b/>
                <w:bCs/>
                <w:i/>
                <w:color w:val="000000" w:themeColor="text1"/>
                <w:lang w:val="en-AU"/>
              </w:rPr>
              <w:t xml:space="preserve"> </w:t>
            </w:r>
            <w:r w:rsidRPr="00AB06CD">
              <w:rPr>
                <w:rFonts w:ascii="Book Antiqua" w:hAnsi="Book Antiqua"/>
                <w:b/>
                <w:bCs/>
                <w:iCs/>
                <w:color w:val="000000" w:themeColor="text1"/>
                <w:lang w:val="en-AU"/>
              </w:rPr>
              <w:t>=</w:t>
            </w:r>
            <w:r w:rsidR="006F18AF">
              <w:rPr>
                <w:rFonts w:ascii="Book Antiqua" w:hAnsi="Book Antiqua"/>
                <w:b/>
                <w:bCs/>
                <w:iCs/>
                <w:color w:val="000000" w:themeColor="text1"/>
                <w:lang w:val="en-AU"/>
              </w:rPr>
              <w:t xml:space="preserve"> </w:t>
            </w:r>
            <w:r w:rsidRPr="00AB06CD">
              <w:rPr>
                <w:rFonts w:ascii="Book Antiqua" w:hAnsi="Book Antiqua"/>
                <w:b/>
                <w:bCs/>
                <w:iCs/>
                <w:color w:val="000000" w:themeColor="text1"/>
                <w:lang w:val="en-AU"/>
              </w:rPr>
              <w:t>104)</w:t>
            </w:r>
          </w:p>
        </w:tc>
        <w:tc>
          <w:tcPr>
            <w:tcW w:w="613" w:type="pct"/>
            <w:tcBorders>
              <w:left w:val="nil"/>
              <w:bottom w:val="single" w:sz="4" w:space="0" w:color="auto"/>
              <w:right w:val="nil"/>
            </w:tcBorders>
          </w:tcPr>
          <w:p w14:paraId="78798631" w14:textId="77777777" w:rsidR="00E0351D" w:rsidRPr="00AB06CD" w:rsidRDefault="00E0351D" w:rsidP="006F4E9C">
            <w:pPr>
              <w:spacing w:line="360" w:lineRule="auto"/>
              <w:jc w:val="both"/>
              <w:rPr>
                <w:rFonts w:ascii="Book Antiqua" w:hAnsi="Book Antiqua"/>
                <w:b/>
                <w:bCs/>
                <w:iCs/>
                <w:color w:val="000000" w:themeColor="text1"/>
                <w:lang w:val="en-AU"/>
              </w:rPr>
            </w:pPr>
            <w:r w:rsidRPr="00AB06CD">
              <w:rPr>
                <w:rFonts w:ascii="Book Antiqua" w:hAnsi="Book Antiqua"/>
                <w:b/>
                <w:bCs/>
                <w:iCs/>
                <w:color w:val="000000" w:themeColor="text1"/>
                <w:lang w:val="en-AU"/>
              </w:rPr>
              <w:t>Overall survival</w:t>
            </w:r>
          </w:p>
          <w:p w14:paraId="3E6EF668" w14:textId="635CA48F" w:rsidR="00E0351D" w:rsidRPr="00AB06CD" w:rsidRDefault="00E0351D" w:rsidP="006F4E9C">
            <w:pPr>
              <w:spacing w:line="360" w:lineRule="auto"/>
              <w:jc w:val="both"/>
              <w:rPr>
                <w:rFonts w:ascii="Book Antiqua" w:hAnsi="Book Antiqua"/>
                <w:b/>
                <w:bCs/>
                <w:iCs/>
                <w:color w:val="000000" w:themeColor="text1"/>
                <w:lang w:val="en-AU"/>
              </w:rPr>
            </w:pPr>
            <w:r w:rsidRPr="00AB06CD">
              <w:rPr>
                <w:rFonts w:ascii="Book Antiqua" w:hAnsi="Book Antiqua"/>
                <w:b/>
                <w:bCs/>
                <w:iCs/>
                <w:color w:val="000000" w:themeColor="text1"/>
                <w:lang w:val="en-AU"/>
              </w:rPr>
              <w:t>synchronous group</w:t>
            </w:r>
            <w:r w:rsidR="006F18AF">
              <w:rPr>
                <w:rFonts w:ascii="Book Antiqua" w:eastAsiaTheme="minorEastAsia" w:hAnsi="Book Antiqua" w:hint="eastAsia"/>
                <w:b/>
                <w:bCs/>
                <w:iCs/>
                <w:color w:val="000000" w:themeColor="text1"/>
                <w:lang w:val="en-AU" w:eastAsia="zh-CN"/>
              </w:rPr>
              <w:t xml:space="preserve"> </w:t>
            </w:r>
            <w:r w:rsidRPr="00AB06CD">
              <w:rPr>
                <w:rFonts w:ascii="Book Antiqua" w:hAnsi="Book Antiqua"/>
                <w:b/>
                <w:bCs/>
                <w:iCs/>
                <w:color w:val="000000" w:themeColor="text1"/>
                <w:lang w:val="en-AU"/>
              </w:rPr>
              <w:t>(</w:t>
            </w:r>
            <w:r w:rsidR="006F18AF" w:rsidRPr="00CF32E8">
              <w:rPr>
                <w:rFonts w:ascii="Book Antiqua" w:hAnsi="Book Antiqua"/>
                <w:b/>
                <w:bCs/>
                <w:i/>
                <w:color w:val="000000" w:themeColor="text1"/>
                <w:lang w:val="en-AU"/>
              </w:rPr>
              <w:t>n</w:t>
            </w:r>
            <w:r w:rsidR="006F18AF">
              <w:rPr>
                <w:rFonts w:ascii="Book Antiqua" w:hAnsi="Book Antiqua"/>
                <w:b/>
                <w:bCs/>
                <w:i/>
                <w:color w:val="000000" w:themeColor="text1"/>
                <w:lang w:val="en-AU"/>
              </w:rPr>
              <w:t xml:space="preserve"> </w:t>
            </w:r>
            <w:r w:rsidR="006F18AF" w:rsidRPr="00AB06CD">
              <w:rPr>
                <w:rFonts w:ascii="Book Antiqua" w:hAnsi="Book Antiqua"/>
                <w:b/>
                <w:bCs/>
                <w:iCs/>
                <w:color w:val="000000" w:themeColor="text1"/>
                <w:lang w:val="en-AU"/>
              </w:rPr>
              <w:t>=</w:t>
            </w:r>
            <w:r w:rsidR="006F18AF">
              <w:rPr>
                <w:rFonts w:ascii="Book Antiqua" w:hAnsi="Book Antiqua"/>
                <w:b/>
                <w:bCs/>
                <w:iCs/>
                <w:color w:val="000000" w:themeColor="text1"/>
                <w:lang w:val="en-AU"/>
              </w:rPr>
              <w:t xml:space="preserve"> </w:t>
            </w:r>
            <w:r w:rsidRPr="00AB06CD">
              <w:rPr>
                <w:rFonts w:ascii="Book Antiqua" w:hAnsi="Book Antiqua"/>
                <w:b/>
                <w:bCs/>
                <w:iCs/>
                <w:color w:val="000000" w:themeColor="text1"/>
                <w:lang w:val="en-AU"/>
              </w:rPr>
              <w:t>59)</w:t>
            </w:r>
          </w:p>
        </w:tc>
        <w:tc>
          <w:tcPr>
            <w:tcW w:w="517" w:type="pct"/>
            <w:tcBorders>
              <w:left w:val="nil"/>
              <w:bottom w:val="single" w:sz="4" w:space="0" w:color="auto"/>
              <w:right w:val="nil"/>
            </w:tcBorders>
          </w:tcPr>
          <w:p w14:paraId="41EFC24E" w14:textId="77777777" w:rsidR="00E0351D" w:rsidRPr="00AB06CD" w:rsidRDefault="00E0351D" w:rsidP="006F4E9C">
            <w:pPr>
              <w:spacing w:line="360" w:lineRule="auto"/>
              <w:jc w:val="both"/>
              <w:rPr>
                <w:rFonts w:ascii="Book Antiqua" w:hAnsi="Book Antiqua"/>
                <w:b/>
                <w:bCs/>
                <w:iCs/>
                <w:color w:val="000000" w:themeColor="text1"/>
                <w:lang w:val="en-AU"/>
              </w:rPr>
            </w:pPr>
            <w:r w:rsidRPr="00AB06CD">
              <w:rPr>
                <w:rFonts w:ascii="Book Antiqua" w:hAnsi="Book Antiqua"/>
                <w:b/>
                <w:bCs/>
                <w:iCs/>
                <w:color w:val="000000" w:themeColor="text1"/>
                <w:lang w:val="en-AU"/>
              </w:rPr>
              <w:t xml:space="preserve">Overall survival </w:t>
            </w:r>
          </w:p>
          <w:p w14:paraId="1F03EC3A" w14:textId="62BD8042" w:rsidR="00E0351D" w:rsidRPr="00AB06CD" w:rsidRDefault="00E0351D" w:rsidP="006F4E9C">
            <w:pPr>
              <w:spacing w:line="360" w:lineRule="auto"/>
              <w:jc w:val="both"/>
              <w:rPr>
                <w:rFonts w:ascii="Book Antiqua" w:hAnsi="Book Antiqua"/>
                <w:b/>
                <w:bCs/>
                <w:iCs/>
                <w:color w:val="000000" w:themeColor="text1"/>
                <w:lang w:val="en-AU"/>
              </w:rPr>
            </w:pPr>
            <w:r w:rsidRPr="00AB06CD">
              <w:rPr>
                <w:rFonts w:ascii="Book Antiqua" w:hAnsi="Book Antiqua"/>
                <w:b/>
                <w:bCs/>
                <w:iCs/>
                <w:color w:val="000000" w:themeColor="text1"/>
                <w:lang w:val="en-AU"/>
              </w:rPr>
              <w:t>sequential group</w:t>
            </w:r>
            <w:r w:rsidR="00380C43">
              <w:rPr>
                <w:rFonts w:ascii="Book Antiqua" w:eastAsiaTheme="minorEastAsia" w:hAnsi="Book Antiqua" w:hint="eastAsia"/>
                <w:b/>
                <w:bCs/>
                <w:iCs/>
                <w:color w:val="000000" w:themeColor="text1"/>
                <w:lang w:val="en-AU" w:eastAsia="zh-CN"/>
              </w:rPr>
              <w:t xml:space="preserve"> </w:t>
            </w:r>
            <w:r w:rsidRPr="00AB06CD">
              <w:rPr>
                <w:rFonts w:ascii="Book Antiqua" w:hAnsi="Book Antiqua"/>
                <w:b/>
                <w:bCs/>
                <w:iCs/>
                <w:color w:val="000000" w:themeColor="text1"/>
                <w:lang w:val="en-AU"/>
              </w:rPr>
              <w:t>(</w:t>
            </w:r>
            <w:r w:rsidR="00380C43" w:rsidRPr="00CF32E8">
              <w:rPr>
                <w:rFonts w:ascii="Book Antiqua" w:hAnsi="Book Antiqua"/>
                <w:b/>
                <w:bCs/>
                <w:i/>
                <w:color w:val="000000" w:themeColor="text1"/>
                <w:lang w:val="en-AU"/>
              </w:rPr>
              <w:t>n</w:t>
            </w:r>
            <w:r w:rsidR="00380C43">
              <w:rPr>
                <w:rFonts w:ascii="Book Antiqua" w:hAnsi="Book Antiqua"/>
                <w:b/>
                <w:bCs/>
                <w:i/>
                <w:color w:val="000000" w:themeColor="text1"/>
                <w:lang w:val="en-AU"/>
              </w:rPr>
              <w:t xml:space="preserve"> </w:t>
            </w:r>
            <w:r w:rsidR="00380C43" w:rsidRPr="00AB06CD">
              <w:rPr>
                <w:rFonts w:ascii="Book Antiqua" w:hAnsi="Book Antiqua"/>
                <w:b/>
                <w:bCs/>
                <w:iCs/>
                <w:color w:val="000000" w:themeColor="text1"/>
                <w:lang w:val="en-AU"/>
              </w:rPr>
              <w:t>=</w:t>
            </w:r>
            <w:r w:rsidR="00380C43">
              <w:rPr>
                <w:rFonts w:ascii="Book Antiqua" w:hAnsi="Book Antiqua"/>
                <w:b/>
                <w:bCs/>
                <w:iCs/>
                <w:color w:val="000000" w:themeColor="text1"/>
                <w:lang w:val="en-AU"/>
              </w:rPr>
              <w:t xml:space="preserve"> </w:t>
            </w:r>
            <w:r w:rsidRPr="00AB06CD">
              <w:rPr>
                <w:rFonts w:ascii="Book Antiqua" w:hAnsi="Book Antiqua"/>
                <w:b/>
                <w:bCs/>
                <w:iCs/>
                <w:color w:val="000000" w:themeColor="text1"/>
                <w:lang w:val="en-AU"/>
              </w:rPr>
              <w:t>45)</w:t>
            </w:r>
          </w:p>
        </w:tc>
        <w:tc>
          <w:tcPr>
            <w:tcW w:w="639" w:type="pct"/>
            <w:tcBorders>
              <w:left w:val="nil"/>
              <w:bottom w:val="single" w:sz="4" w:space="0" w:color="auto"/>
              <w:right w:val="nil"/>
            </w:tcBorders>
          </w:tcPr>
          <w:p w14:paraId="73571DC9" w14:textId="0AE39FC4" w:rsidR="00E0351D" w:rsidRPr="00AB06CD" w:rsidRDefault="00E0351D" w:rsidP="006F4E9C">
            <w:pPr>
              <w:spacing w:line="360" w:lineRule="auto"/>
              <w:jc w:val="both"/>
              <w:rPr>
                <w:rFonts w:ascii="Book Antiqua" w:hAnsi="Book Antiqua"/>
                <w:b/>
                <w:bCs/>
                <w:iCs/>
                <w:color w:val="000000" w:themeColor="text1"/>
                <w:lang w:val="en-AU"/>
              </w:rPr>
            </w:pPr>
            <w:r w:rsidRPr="00AB06CD">
              <w:rPr>
                <w:rFonts w:ascii="Book Antiqua" w:hAnsi="Book Antiqua"/>
                <w:b/>
                <w:bCs/>
                <w:iCs/>
                <w:color w:val="000000" w:themeColor="text1"/>
                <w:lang w:val="en-AU"/>
              </w:rPr>
              <w:t>Transplanted survival</w:t>
            </w:r>
            <w:r w:rsidR="005B7C2D">
              <w:rPr>
                <w:rFonts w:ascii="Book Antiqua" w:eastAsiaTheme="minorEastAsia" w:hAnsi="Book Antiqua" w:hint="eastAsia"/>
                <w:b/>
                <w:bCs/>
                <w:iCs/>
                <w:color w:val="000000" w:themeColor="text1"/>
                <w:lang w:val="en-AU" w:eastAsia="zh-CN"/>
              </w:rPr>
              <w:t xml:space="preserve"> </w:t>
            </w:r>
            <w:r w:rsidRPr="00AB06CD">
              <w:rPr>
                <w:rFonts w:ascii="Book Antiqua" w:hAnsi="Book Antiqua"/>
                <w:b/>
                <w:bCs/>
                <w:iCs/>
                <w:color w:val="000000" w:themeColor="text1"/>
                <w:lang w:val="en-AU"/>
              </w:rPr>
              <w:t>(</w:t>
            </w:r>
            <w:r w:rsidR="005B7C2D" w:rsidRPr="00CF32E8">
              <w:rPr>
                <w:rFonts w:ascii="Book Antiqua" w:hAnsi="Book Antiqua"/>
                <w:b/>
                <w:bCs/>
                <w:i/>
                <w:color w:val="000000" w:themeColor="text1"/>
                <w:lang w:val="en-AU"/>
              </w:rPr>
              <w:t>n</w:t>
            </w:r>
            <w:r w:rsidR="005B7C2D">
              <w:rPr>
                <w:rFonts w:ascii="Book Antiqua" w:hAnsi="Book Antiqua"/>
                <w:b/>
                <w:bCs/>
                <w:i/>
                <w:color w:val="000000" w:themeColor="text1"/>
                <w:lang w:val="en-AU"/>
              </w:rPr>
              <w:t xml:space="preserve"> </w:t>
            </w:r>
            <w:r w:rsidR="005B7C2D" w:rsidRPr="00AB06CD">
              <w:rPr>
                <w:rFonts w:ascii="Book Antiqua" w:hAnsi="Book Antiqua"/>
                <w:b/>
                <w:bCs/>
                <w:iCs/>
                <w:color w:val="000000" w:themeColor="text1"/>
                <w:lang w:val="en-AU"/>
              </w:rPr>
              <w:t>=</w:t>
            </w:r>
            <w:r w:rsidR="005B7C2D">
              <w:rPr>
                <w:rFonts w:ascii="Book Antiqua" w:hAnsi="Book Antiqua"/>
                <w:b/>
                <w:bCs/>
                <w:iCs/>
                <w:color w:val="000000" w:themeColor="text1"/>
                <w:lang w:val="en-AU"/>
              </w:rPr>
              <w:t xml:space="preserve"> </w:t>
            </w:r>
            <w:r w:rsidRPr="00AB06CD">
              <w:rPr>
                <w:rFonts w:ascii="Book Antiqua" w:hAnsi="Book Antiqua"/>
                <w:b/>
                <w:bCs/>
                <w:iCs/>
                <w:color w:val="000000" w:themeColor="text1"/>
                <w:lang w:val="en-AU"/>
              </w:rPr>
              <w:t>25)</w:t>
            </w:r>
          </w:p>
        </w:tc>
        <w:tc>
          <w:tcPr>
            <w:tcW w:w="568" w:type="pct"/>
            <w:tcBorders>
              <w:left w:val="nil"/>
              <w:bottom w:val="single" w:sz="4" w:space="0" w:color="auto"/>
              <w:right w:val="nil"/>
            </w:tcBorders>
          </w:tcPr>
          <w:p w14:paraId="61ACF586" w14:textId="266C535C" w:rsidR="00E0351D" w:rsidRPr="00AB06CD" w:rsidRDefault="00E0351D" w:rsidP="006F4E9C">
            <w:pPr>
              <w:spacing w:line="360" w:lineRule="auto"/>
              <w:jc w:val="both"/>
              <w:rPr>
                <w:rFonts w:ascii="Book Antiqua" w:hAnsi="Book Antiqua"/>
                <w:b/>
                <w:bCs/>
                <w:iCs/>
                <w:color w:val="000000" w:themeColor="text1"/>
                <w:lang w:val="en-AU"/>
              </w:rPr>
            </w:pPr>
            <w:r w:rsidRPr="00AB06CD">
              <w:rPr>
                <w:rFonts w:ascii="Book Antiqua" w:hAnsi="Book Antiqua"/>
                <w:b/>
                <w:bCs/>
                <w:iCs/>
                <w:color w:val="000000" w:themeColor="text1"/>
                <w:lang w:val="en-AU"/>
              </w:rPr>
              <w:t>Transplant-free survival</w:t>
            </w:r>
            <w:r w:rsidR="00B249F6">
              <w:rPr>
                <w:rFonts w:ascii="Book Antiqua" w:eastAsiaTheme="minorEastAsia" w:hAnsi="Book Antiqua" w:hint="eastAsia"/>
                <w:b/>
                <w:bCs/>
                <w:iCs/>
                <w:color w:val="000000" w:themeColor="text1"/>
                <w:lang w:val="en-AU" w:eastAsia="zh-CN"/>
              </w:rPr>
              <w:t xml:space="preserve"> </w:t>
            </w:r>
            <w:r w:rsidRPr="00AB06CD">
              <w:rPr>
                <w:rFonts w:ascii="Book Antiqua" w:hAnsi="Book Antiqua"/>
                <w:b/>
                <w:bCs/>
                <w:iCs/>
                <w:color w:val="000000" w:themeColor="text1"/>
                <w:lang w:val="en-AU"/>
              </w:rPr>
              <w:t>(</w:t>
            </w:r>
            <w:r w:rsidR="00B249F6" w:rsidRPr="00CF32E8">
              <w:rPr>
                <w:rFonts w:ascii="Book Antiqua" w:hAnsi="Book Antiqua"/>
                <w:b/>
                <w:bCs/>
                <w:i/>
                <w:color w:val="000000" w:themeColor="text1"/>
                <w:lang w:val="en-AU"/>
              </w:rPr>
              <w:t>n</w:t>
            </w:r>
            <w:r w:rsidR="00B249F6">
              <w:rPr>
                <w:rFonts w:ascii="Book Antiqua" w:hAnsi="Book Antiqua"/>
                <w:b/>
                <w:bCs/>
                <w:i/>
                <w:color w:val="000000" w:themeColor="text1"/>
                <w:lang w:val="en-AU"/>
              </w:rPr>
              <w:t xml:space="preserve"> </w:t>
            </w:r>
            <w:r w:rsidR="00B249F6" w:rsidRPr="00AB06CD">
              <w:rPr>
                <w:rFonts w:ascii="Book Antiqua" w:hAnsi="Book Antiqua"/>
                <w:b/>
                <w:bCs/>
                <w:iCs/>
                <w:color w:val="000000" w:themeColor="text1"/>
                <w:lang w:val="en-AU"/>
              </w:rPr>
              <w:t>=</w:t>
            </w:r>
            <w:r w:rsidR="00B249F6">
              <w:rPr>
                <w:rFonts w:ascii="Book Antiqua" w:hAnsi="Book Antiqua"/>
                <w:b/>
                <w:bCs/>
                <w:iCs/>
                <w:color w:val="000000" w:themeColor="text1"/>
                <w:lang w:val="en-AU"/>
              </w:rPr>
              <w:t xml:space="preserve"> </w:t>
            </w:r>
            <w:r w:rsidRPr="00AB06CD">
              <w:rPr>
                <w:rFonts w:ascii="Book Antiqua" w:hAnsi="Book Antiqua"/>
                <w:b/>
                <w:bCs/>
                <w:iCs/>
                <w:color w:val="000000" w:themeColor="text1"/>
                <w:lang w:val="en-AU"/>
              </w:rPr>
              <w:t>104)</w:t>
            </w:r>
          </w:p>
        </w:tc>
        <w:tc>
          <w:tcPr>
            <w:tcW w:w="613" w:type="pct"/>
            <w:tcBorders>
              <w:left w:val="nil"/>
              <w:bottom w:val="single" w:sz="4" w:space="0" w:color="auto"/>
              <w:right w:val="nil"/>
            </w:tcBorders>
          </w:tcPr>
          <w:p w14:paraId="4353FD02" w14:textId="77777777" w:rsidR="00E0351D" w:rsidRPr="00AB06CD" w:rsidRDefault="00E0351D" w:rsidP="006F4E9C">
            <w:pPr>
              <w:spacing w:line="360" w:lineRule="auto"/>
              <w:jc w:val="both"/>
              <w:rPr>
                <w:rFonts w:ascii="Book Antiqua" w:hAnsi="Book Antiqua"/>
                <w:b/>
                <w:bCs/>
                <w:iCs/>
                <w:color w:val="000000" w:themeColor="text1"/>
                <w:lang w:val="en-AU"/>
              </w:rPr>
            </w:pPr>
            <w:r w:rsidRPr="00AB06CD">
              <w:rPr>
                <w:rFonts w:ascii="Book Antiqua" w:hAnsi="Book Antiqua"/>
                <w:b/>
                <w:bCs/>
                <w:iCs/>
                <w:color w:val="000000" w:themeColor="text1"/>
                <w:lang w:val="en-AU"/>
              </w:rPr>
              <w:t xml:space="preserve">Transplant-free survival </w:t>
            </w:r>
          </w:p>
          <w:p w14:paraId="014E41A0" w14:textId="59B92F3E" w:rsidR="00E0351D" w:rsidRPr="00AB06CD" w:rsidRDefault="00E0351D" w:rsidP="006F4E9C">
            <w:pPr>
              <w:spacing w:line="360" w:lineRule="auto"/>
              <w:jc w:val="both"/>
              <w:rPr>
                <w:rFonts w:ascii="Book Antiqua" w:hAnsi="Book Antiqua"/>
                <w:b/>
                <w:bCs/>
                <w:iCs/>
                <w:color w:val="000000" w:themeColor="text1"/>
                <w:lang w:val="en-AU"/>
              </w:rPr>
            </w:pPr>
            <w:r w:rsidRPr="00AB06CD">
              <w:rPr>
                <w:rFonts w:ascii="Book Antiqua" w:hAnsi="Book Antiqua"/>
                <w:b/>
                <w:bCs/>
                <w:iCs/>
                <w:color w:val="000000" w:themeColor="text1"/>
                <w:lang w:val="en-AU"/>
              </w:rPr>
              <w:t>synchronous group</w:t>
            </w:r>
            <w:r w:rsidR="00F92618">
              <w:rPr>
                <w:rFonts w:ascii="Book Antiqua" w:eastAsiaTheme="minorEastAsia" w:hAnsi="Book Antiqua" w:hint="eastAsia"/>
                <w:b/>
                <w:bCs/>
                <w:iCs/>
                <w:color w:val="000000" w:themeColor="text1"/>
                <w:lang w:val="en-AU" w:eastAsia="zh-CN"/>
              </w:rPr>
              <w:t xml:space="preserve"> </w:t>
            </w:r>
            <w:r w:rsidRPr="00AB06CD">
              <w:rPr>
                <w:rFonts w:ascii="Book Antiqua" w:hAnsi="Book Antiqua"/>
                <w:b/>
                <w:bCs/>
                <w:iCs/>
                <w:color w:val="000000" w:themeColor="text1"/>
                <w:lang w:val="en-AU"/>
              </w:rPr>
              <w:t>(</w:t>
            </w:r>
            <w:r w:rsidR="00F92618" w:rsidRPr="00CF32E8">
              <w:rPr>
                <w:rFonts w:ascii="Book Antiqua" w:hAnsi="Book Antiqua"/>
                <w:b/>
                <w:bCs/>
                <w:i/>
                <w:color w:val="000000" w:themeColor="text1"/>
                <w:lang w:val="en-AU"/>
              </w:rPr>
              <w:t>n</w:t>
            </w:r>
            <w:r w:rsidR="00F92618">
              <w:rPr>
                <w:rFonts w:ascii="Book Antiqua" w:hAnsi="Book Antiqua"/>
                <w:b/>
                <w:bCs/>
                <w:i/>
                <w:color w:val="000000" w:themeColor="text1"/>
                <w:lang w:val="en-AU"/>
              </w:rPr>
              <w:t xml:space="preserve"> </w:t>
            </w:r>
            <w:r w:rsidR="00F92618" w:rsidRPr="00AB06CD">
              <w:rPr>
                <w:rFonts w:ascii="Book Antiqua" w:hAnsi="Book Antiqua"/>
                <w:b/>
                <w:bCs/>
                <w:iCs/>
                <w:color w:val="000000" w:themeColor="text1"/>
                <w:lang w:val="en-AU"/>
              </w:rPr>
              <w:t>=</w:t>
            </w:r>
            <w:r w:rsidR="00F92618">
              <w:rPr>
                <w:rFonts w:ascii="Book Antiqua" w:hAnsi="Book Antiqua"/>
                <w:b/>
                <w:bCs/>
                <w:iCs/>
                <w:color w:val="000000" w:themeColor="text1"/>
                <w:lang w:val="en-AU"/>
              </w:rPr>
              <w:t xml:space="preserve"> </w:t>
            </w:r>
            <w:r w:rsidRPr="00AB06CD">
              <w:rPr>
                <w:rFonts w:ascii="Book Antiqua" w:hAnsi="Book Antiqua"/>
                <w:b/>
                <w:bCs/>
                <w:iCs/>
                <w:color w:val="000000" w:themeColor="text1"/>
                <w:lang w:val="en-AU"/>
              </w:rPr>
              <w:t>59)</w:t>
            </w:r>
          </w:p>
        </w:tc>
        <w:tc>
          <w:tcPr>
            <w:tcW w:w="680" w:type="pct"/>
            <w:tcBorders>
              <w:left w:val="nil"/>
              <w:bottom w:val="single" w:sz="4" w:space="0" w:color="auto"/>
              <w:right w:val="nil"/>
            </w:tcBorders>
          </w:tcPr>
          <w:p w14:paraId="323835B2" w14:textId="77777777" w:rsidR="00E0351D" w:rsidRPr="00AB06CD" w:rsidRDefault="00E0351D" w:rsidP="006F4E9C">
            <w:pPr>
              <w:spacing w:line="360" w:lineRule="auto"/>
              <w:jc w:val="both"/>
              <w:rPr>
                <w:rFonts w:ascii="Book Antiqua" w:hAnsi="Book Antiqua"/>
                <w:b/>
                <w:bCs/>
                <w:iCs/>
                <w:color w:val="000000" w:themeColor="text1"/>
                <w:lang w:val="en-AU"/>
              </w:rPr>
            </w:pPr>
            <w:r w:rsidRPr="00AB06CD">
              <w:rPr>
                <w:rFonts w:ascii="Book Antiqua" w:hAnsi="Book Antiqua"/>
                <w:b/>
                <w:bCs/>
                <w:iCs/>
                <w:color w:val="000000" w:themeColor="text1"/>
                <w:lang w:val="en-AU"/>
              </w:rPr>
              <w:t xml:space="preserve">Transplant-free survival </w:t>
            </w:r>
          </w:p>
          <w:p w14:paraId="4F4375CB" w14:textId="69C76396" w:rsidR="00E0351D" w:rsidRPr="00AB06CD" w:rsidRDefault="00E0351D" w:rsidP="006F4E9C">
            <w:pPr>
              <w:spacing w:line="360" w:lineRule="auto"/>
              <w:jc w:val="both"/>
              <w:rPr>
                <w:rFonts w:ascii="Book Antiqua" w:hAnsi="Book Antiqua"/>
                <w:b/>
                <w:bCs/>
                <w:iCs/>
                <w:color w:val="000000" w:themeColor="text1"/>
                <w:lang w:val="en-AU"/>
              </w:rPr>
            </w:pPr>
            <w:r w:rsidRPr="00AB06CD">
              <w:rPr>
                <w:rFonts w:ascii="Book Antiqua" w:hAnsi="Book Antiqua"/>
                <w:b/>
                <w:bCs/>
                <w:iCs/>
                <w:color w:val="000000" w:themeColor="text1"/>
                <w:lang w:val="en-AU"/>
              </w:rPr>
              <w:t>sequential group</w:t>
            </w:r>
            <w:r w:rsidR="00BF2B09">
              <w:rPr>
                <w:rFonts w:ascii="Book Antiqua" w:eastAsiaTheme="minorEastAsia" w:hAnsi="Book Antiqua" w:hint="eastAsia"/>
                <w:b/>
                <w:bCs/>
                <w:iCs/>
                <w:color w:val="000000" w:themeColor="text1"/>
                <w:lang w:val="en-AU" w:eastAsia="zh-CN"/>
              </w:rPr>
              <w:t xml:space="preserve"> </w:t>
            </w:r>
            <w:r w:rsidRPr="00AB06CD">
              <w:rPr>
                <w:rFonts w:ascii="Book Antiqua" w:hAnsi="Book Antiqua"/>
                <w:b/>
                <w:bCs/>
                <w:iCs/>
                <w:color w:val="000000" w:themeColor="text1"/>
                <w:lang w:val="en-AU"/>
              </w:rPr>
              <w:t>(</w:t>
            </w:r>
            <w:r w:rsidR="00BF2B09" w:rsidRPr="00CF32E8">
              <w:rPr>
                <w:rFonts w:ascii="Book Antiqua" w:hAnsi="Book Antiqua"/>
                <w:b/>
                <w:bCs/>
                <w:i/>
                <w:color w:val="000000" w:themeColor="text1"/>
                <w:lang w:val="en-AU"/>
              </w:rPr>
              <w:t>n</w:t>
            </w:r>
            <w:r w:rsidR="00BF2B09">
              <w:rPr>
                <w:rFonts w:ascii="Book Antiqua" w:hAnsi="Book Antiqua"/>
                <w:b/>
                <w:bCs/>
                <w:i/>
                <w:color w:val="000000" w:themeColor="text1"/>
                <w:lang w:val="en-AU"/>
              </w:rPr>
              <w:t xml:space="preserve"> </w:t>
            </w:r>
            <w:r w:rsidR="00BF2B09" w:rsidRPr="00AB06CD">
              <w:rPr>
                <w:rFonts w:ascii="Book Antiqua" w:hAnsi="Book Antiqua"/>
                <w:b/>
                <w:bCs/>
                <w:iCs/>
                <w:color w:val="000000" w:themeColor="text1"/>
                <w:lang w:val="en-AU"/>
              </w:rPr>
              <w:t>=</w:t>
            </w:r>
            <w:r w:rsidR="00BF2B09">
              <w:rPr>
                <w:rFonts w:ascii="Book Antiqua" w:hAnsi="Book Antiqua"/>
                <w:b/>
                <w:bCs/>
                <w:iCs/>
                <w:color w:val="000000" w:themeColor="text1"/>
                <w:lang w:val="en-AU"/>
              </w:rPr>
              <w:t xml:space="preserve"> </w:t>
            </w:r>
            <w:r w:rsidRPr="00AB06CD">
              <w:rPr>
                <w:rFonts w:ascii="Book Antiqua" w:hAnsi="Book Antiqua"/>
                <w:b/>
                <w:bCs/>
                <w:iCs/>
                <w:color w:val="000000" w:themeColor="text1"/>
                <w:lang w:val="en-AU"/>
              </w:rPr>
              <w:t>45)</w:t>
            </w:r>
          </w:p>
        </w:tc>
      </w:tr>
      <w:tr w:rsidR="000E66CC" w:rsidRPr="00AB06CD" w14:paraId="72C0471A" w14:textId="77777777" w:rsidTr="006F4E9C">
        <w:trPr>
          <w:jc w:val="center"/>
        </w:trPr>
        <w:tc>
          <w:tcPr>
            <w:tcW w:w="864" w:type="pct"/>
            <w:tcBorders>
              <w:top w:val="single" w:sz="4" w:space="0" w:color="auto"/>
              <w:left w:val="nil"/>
              <w:bottom w:val="nil"/>
              <w:right w:val="nil"/>
            </w:tcBorders>
          </w:tcPr>
          <w:p w14:paraId="3C7AF2BB" w14:textId="72F85996" w:rsidR="00E0351D" w:rsidRPr="000E66CC" w:rsidRDefault="00E0351D" w:rsidP="006F4E9C">
            <w:pPr>
              <w:spacing w:line="360" w:lineRule="auto"/>
              <w:jc w:val="both"/>
              <w:rPr>
                <w:rFonts w:ascii="Book Antiqua" w:hAnsi="Book Antiqua"/>
                <w:color w:val="000000" w:themeColor="text1"/>
                <w:lang w:val="en-AU"/>
              </w:rPr>
            </w:pPr>
            <w:r w:rsidRPr="000E66CC">
              <w:rPr>
                <w:rFonts w:ascii="Book Antiqua" w:hAnsi="Book Antiqua"/>
                <w:color w:val="000000" w:themeColor="text1"/>
                <w:lang w:val="en-AU"/>
              </w:rPr>
              <w:t>1-yr survival (%)</w:t>
            </w:r>
          </w:p>
        </w:tc>
        <w:tc>
          <w:tcPr>
            <w:tcW w:w="507" w:type="pct"/>
            <w:tcBorders>
              <w:top w:val="single" w:sz="4" w:space="0" w:color="auto"/>
              <w:left w:val="nil"/>
              <w:bottom w:val="nil"/>
              <w:right w:val="nil"/>
            </w:tcBorders>
          </w:tcPr>
          <w:p w14:paraId="53BEB9BD" w14:textId="77777777" w:rsidR="00E0351D" w:rsidRPr="00AB06CD" w:rsidRDefault="00E0351D" w:rsidP="006F4E9C">
            <w:pPr>
              <w:spacing w:line="360" w:lineRule="auto"/>
              <w:jc w:val="both"/>
              <w:rPr>
                <w:rFonts w:ascii="Book Antiqua" w:hAnsi="Book Antiqua"/>
                <w:iCs/>
                <w:color w:val="000000" w:themeColor="text1"/>
                <w:lang w:val="en-AU"/>
              </w:rPr>
            </w:pPr>
            <w:r w:rsidRPr="00AB06CD">
              <w:rPr>
                <w:rFonts w:ascii="Book Antiqua" w:hAnsi="Book Antiqua"/>
                <w:iCs/>
                <w:color w:val="000000" w:themeColor="text1"/>
                <w:lang w:val="en-AU"/>
              </w:rPr>
              <w:t>93.0</w:t>
            </w:r>
          </w:p>
        </w:tc>
        <w:tc>
          <w:tcPr>
            <w:tcW w:w="613" w:type="pct"/>
            <w:tcBorders>
              <w:top w:val="single" w:sz="4" w:space="0" w:color="auto"/>
              <w:left w:val="nil"/>
              <w:bottom w:val="nil"/>
              <w:right w:val="nil"/>
            </w:tcBorders>
          </w:tcPr>
          <w:p w14:paraId="56E85E47" w14:textId="77777777" w:rsidR="00E0351D" w:rsidRPr="00AB06CD" w:rsidRDefault="00E0351D" w:rsidP="006F4E9C">
            <w:pPr>
              <w:spacing w:line="360" w:lineRule="auto"/>
              <w:jc w:val="both"/>
              <w:rPr>
                <w:rFonts w:ascii="Book Antiqua" w:hAnsi="Book Antiqua"/>
                <w:iCs/>
                <w:color w:val="000000" w:themeColor="text1"/>
                <w:lang w:val="en-AU"/>
              </w:rPr>
            </w:pPr>
            <w:r w:rsidRPr="00AB06CD">
              <w:rPr>
                <w:rFonts w:ascii="Book Antiqua" w:hAnsi="Book Antiqua"/>
                <w:iCs/>
                <w:color w:val="000000" w:themeColor="text1"/>
                <w:lang w:val="en-AU"/>
              </w:rPr>
              <w:t>91.3</w:t>
            </w:r>
          </w:p>
        </w:tc>
        <w:tc>
          <w:tcPr>
            <w:tcW w:w="517" w:type="pct"/>
            <w:tcBorders>
              <w:top w:val="single" w:sz="4" w:space="0" w:color="auto"/>
              <w:left w:val="nil"/>
              <w:bottom w:val="nil"/>
              <w:right w:val="nil"/>
            </w:tcBorders>
          </w:tcPr>
          <w:p w14:paraId="2B75A2BC" w14:textId="77777777" w:rsidR="00E0351D" w:rsidRPr="00AB06CD" w:rsidRDefault="00E0351D" w:rsidP="006F4E9C">
            <w:pPr>
              <w:spacing w:line="360" w:lineRule="auto"/>
              <w:jc w:val="both"/>
              <w:rPr>
                <w:rFonts w:ascii="Book Antiqua" w:hAnsi="Book Antiqua"/>
                <w:iCs/>
                <w:color w:val="000000" w:themeColor="text1"/>
                <w:lang w:val="en-AU"/>
              </w:rPr>
            </w:pPr>
            <w:r w:rsidRPr="00AB06CD">
              <w:rPr>
                <w:rFonts w:ascii="Book Antiqua" w:hAnsi="Book Antiqua"/>
                <w:iCs/>
                <w:color w:val="000000" w:themeColor="text1"/>
                <w:lang w:val="en-AU"/>
              </w:rPr>
              <w:t>95.3</w:t>
            </w:r>
          </w:p>
        </w:tc>
        <w:tc>
          <w:tcPr>
            <w:tcW w:w="639" w:type="pct"/>
            <w:tcBorders>
              <w:top w:val="single" w:sz="4" w:space="0" w:color="auto"/>
              <w:left w:val="nil"/>
              <w:bottom w:val="nil"/>
              <w:right w:val="nil"/>
            </w:tcBorders>
          </w:tcPr>
          <w:p w14:paraId="5AF0D113" w14:textId="77777777" w:rsidR="00E0351D" w:rsidRPr="00AB06CD" w:rsidRDefault="00E0351D" w:rsidP="006F4E9C">
            <w:pPr>
              <w:spacing w:line="360" w:lineRule="auto"/>
              <w:jc w:val="both"/>
              <w:rPr>
                <w:rFonts w:ascii="Book Antiqua" w:hAnsi="Book Antiqua"/>
                <w:iCs/>
                <w:color w:val="000000" w:themeColor="text1"/>
                <w:lang w:val="en-AU"/>
              </w:rPr>
            </w:pPr>
            <w:r w:rsidRPr="00AB06CD">
              <w:rPr>
                <w:rFonts w:ascii="Book Antiqua" w:hAnsi="Book Antiqua"/>
                <w:iCs/>
                <w:color w:val="000000" w:themeColor="text1"/>
                <w:lang w:val="en-AU"/>
              </w:rPr>
              <w:t>100</w:t>
            </w:r>
          </w:p>
        </w:tc>
        <w:tc>
          <w:tcPr>
            <w:tcW w:w="568" w:type="pct"/>
            <w:tcBorders>
              <w:top w:val="single" w:sz="4" w:space="0" w:color="auto"/>
              <w:left w:val="nil"/>
              <w:bottom w:val="nil"/>
              <w:right w:val="nil"/>
            </w:tcBorders>
          </w:tcPr>
          <w:p w14:paraId="6391AA61" w14:textId="77777777" w:rsidR="00E0351D" w:rsidRPr="00AB06CD" w:rsidRDefault="00E0351D" w:rsidP="006F4E9C">
            <w:pPr>
              <w:spacing w:line="360" w:lineRule="auto"/>
              <w:jc w:val="both"/>
              <w:rPr>
                <w:rFonts w:ascii="Book Antiqua" w:hAnsi="Book Antiqua"/>
                <w:iCs/>
                <w:color w:val="000000" w:themeColor="text1"/>
                <w:lang w:val="en-AU"/>
              </w:rPr>
            </w:pPr>
            <w:r w:rsidRPr="00AB06CD">
              <w:rPr>
                <w:rFonts w:ascii="Book Antiqua" w:hAnsi="Book Antiqua"/>
                <w:iCs/>
                <w:color w:val="000000" w:themeColor="text1"/>
                <w:lang w:val="en-AU"/>
              </w:rPr>
              <w:t>77.1</w:t>
            </w:r>
          </w:p>
        </w:tc>
        <w:tc>
          <w:tcPr>
            <w:tcW w:w="613" w:type="pct"/>
            <w:tcBorders>
              <w:top w:val="single" w:sz="4" w:space="0" w:color="auto"/>
              <w:left w:val="nil"/>
              <w:bottom w:val="nil"/>
              <w:right w:val="nil"/>
            </w:tcBorders>
          </w:tcPr>
          <w:p w14:paraId="66423B54" w14:textId="77777777" w:rsidR="00E0351D" w:rsidRPr="00AB06CD" w:rsidRDefault="00E0351D" w:rsidP="006F4E9C">
            <w:pPr>
              <w:spacing w:line="360" w:lineRule="auto"/>
              <w:jc w:val="both"/>
              <w:rPr>
                <w:rFonts w:ascii="Book Antiqua" w:hAnsi="Book Antiqua"/>
                <w:iCs/>
                <w:color w:val="000000" w:themeColor="text1"/>
                <w:lang w:val="en-AU"/>
              </w:rPr>
            </w:pPr>
            <w:r w:rsidRPr="00AB06CD">
              <w:rPr>
                <w:rFonts w:ascii="Book Antiqua" w:hAnsi="Book Antiqua"/>
                <w:iCs/>
                <w:color w:val="000000" w:themeColor="text1"/>
                <w:lang w:val="en-AU"/>
              </w:rPr>
              <w:t>68.5</w:t>
            </w:r>
          </w:p>
        </w:tc>
        <w:tc>
          <w:tcPr>
            <w:tcW w:w="680" w:type="pct"/>
            <w:tcBorders>
              <w:top w:val="single" w:sz="4" w:space="0" w:color="auto"/>
              <w:left w:val="nil"/>
              <w:bottom w:val="nil"/>
              <w:right w:val="nil"/>
            </w:tcBorders>
          </w:tcPr>
          <w:p w14:paraId="15EAFB88" w14:textId="77777777" w:rsidR="00E0351D" w:rsidRPr="00AB06CD" w:rsidRDefault="00E0351D" w:rsidP="006F4E9C">
            <w:pPr>
              <w:spacing w:line="360" w:lineRule="auto"/>
              <w:jc w:val="both"/>
              <w:rPr>
                <w:rFonts w:ascii="Book Antiqua" w:hAnsi="Book Antiqua"/>
                <w:iCs/>
                <w:color w:val="000000" w:themeColor="text1"/>
                <w:lang w:val="en-AU"/>
              </w:rPr>
            </w:pPr>
            <w:r w:rsidRPr="00AB06CD">
              <w:rPr>
                <w:rFonts w:ascii="Book Antiqua" w:hAnsi="Book Antiqua"/>
                <w:iCs/>
                <w:color w:val="000000" w:themeColor="text1"/>
                <w:lang w:val="en-AU"/>
              </w:rPr>
              <w:t>93.2</w:t>
            </w:r>
          </w:p>
        </w:tc>
      </w:tr>
      <w:tr w:rsidR="000E66CC" w:rsidRPr="00AB06CD" w14:paraId="43C51949" w14:textId="77777777" w:rsidTr="006F4E9C">
        <w:trPr>
          <w:jc w:val="center"/>
        </w:trPr>
        <w:tc>
          <w:tcPr>
            <w:tcW w:w="864" w:type="pct"/>
            <w:tcBorders>
              <w:top w:val="nil"/>
              <w:left w:val="nil"/>
              <w:bottom w:val="nil"/>
              <w:right w:val="nil"/>
            </w:tcBorders>
          </w:tcPr>
          <w:p w14:paraId="5574A136" w14:textId="3C91D2FE" w:rsidR="00E0351D" w:rsidRPr="000E66CC" w:rsidRDefault="00E0351D" w:rsidP="006F4E9C">
            <w:pPr>
              <w:spacing w:line="360" w:lineRule="auto"/>
              <w:jc w:val="both"/>
              <w:rPr>
                <w:rFonts w:ascii="Book Antiqua" w:hAnsi="Book Antiqua"/>
                <w:color w:val="000000" w:themeColor="text1"/>
                <w:lang w:val="en-AU"/>
              </w:rPr>
            </w:pPr>
            <w:r w:rsidRPr="000E66CC">
              <w:rPr>
                <w:rFonts w:ascii="Book Antiqua" w:hAnsi="Book Antiqua"/>
                <w:color w:val="000000" w:themeColor="text1"/>
                <w:lang w:val="en-AU"/>
              </w:rPr>
              <w:t>3-yr survival (%)</w:t>
            </w:r>
          </w:p>
        </w:tc>
        <w:tc>
          <w:tcPr>
            <w:tcW w:w="507" w:type="pct"/>
            <w:tcBorders>
              <w:top w:val="nil"/>
              <w:left w:val="nil"/>
              <w:bottom w:val="nil"/>
              <w:right w:val="nil"/>
            </w:tcBorders>
          </w:tcPr>
          <w:p w14:paraId="76597CB1" w14:textId="77777777" w:rsidR="00E0351D" w:rsidRPr="00AB06CD" w:rsidRDefault="00E0351D" w:rsidP="006F4E9C">
            <w:pPr>
              <w:spacing w:line="360" w:lineRule="auto"/>
              <w:jc w:val="both"/>
              <w:rPr>
                <w:rFonts w:ascii="Book Antiqua" w:hAnsi="Book Antiqua"/>
                <w:iCs/>
                <w:color w:val="000000" w:themeColor="text1"/>
                <w:lang w:val="en-AU"/>
              </w:rPr>
            </w:pPr>
            <w:r w:rsidRPr="00AB06CD">
              <w:rPr>
                <w:rFonts w:ascii="Book Antiqua" w:hAnsi="Book Antiqua"/>
                <w:iCs/>
                <w:color w:val="000000" w:themeColor="text1"/>
                <w:lang w:val="en-AU"/>
              </w:rPr>
              <w:t>66.1</w:t>
            </w:r>
          </w:p>
        </w:tc>
        <w:tc>
          <w:tcPr>
            <w:tcW w:w="613" w:type="pct"/>
            <w:tcBorders>
              <w:top w:val="nil"/>
              <w:left w:val="nil"/>
              <w:bottom w:val="nil"/>
              <w:right w:val="nil"/>
            </w:tcBorders>
          </w:tcPr>
          <w:p w14:paraId="6211779A" w14:textId="77777777" w:rsidR="00E0351D" w:rsidRPr="00AB06CD" w:rsidRDefault="00E0351D" w:rsidP="006F4E9C">
            <w:pPr>
              <w:spacing w:line="360" w:lineRule="auto"/>
              <w:jc w:val="both"/>
              <w:rPr>
                <w:rFonts w:ascii="Book Antiqua" w:hAnsi="Book Antiqua"/>
                <w:iCs/>
                <w:color w:val="000000" w:themeColor="text1"/>
                <w:lang w:val="en-AU"/>
              </w:rPr>
            </w:pPr>
            <w:r w:rsidRPr="00AB06CD">
              <w:rPr>
                <w:rFonts w:ascii="Book Antiqua" w:hAnsi="Book Antiqua"/>
                <w:iCs/>
                <w:color w:val="000000" w:themeColor="text1"/>
                <w:lang w:val="en-AU"/>
              </w:rPr>
              <w:t>63.8</w:t>
            </w:r>
          </w:p>
        </w:tc>
        <w:tc>
          <w:tcPr>
            <w:tcW w:w="517" w:type="pct"/>
            <w:tcBorders>
              <w:top w:val="nil"/>
              <w:left w:val="nil"/>
              <w:bottom w:val="nil"/>
              <w:right w:val="nil"/>
            </w:tcBorders>
          </w:tcPr>
          <w:p w14:paraId="53263EF6" w14:textId="77777777" w:rsidR="00E0351D" w:rsidRPr="00AB06CD" w:rsidRDefault="00E0351D" w:rsidP="006F4E9C">
            <w:pPr>
              <w:spacing w:line="360" w:lineRule="auto"/>
              <w:jc w:val="both"/>
              <w:rPr>
                <w:rFonts w:ascii="Book Antiqua" w:hAnsi="Book Antiqua"/>
                <w:iCs/>
                <w:color w:val="000000" w:themeColor="text1"/>
                <w:lang w:val="en-AU"/>
              </w:rPr>
            </w:pPr>
            <w:r w:rsidRPr="00AB06CD">
              <w:rPr>
                <w:rFonts w:ascii="Book Antiqua" w:hAnsi="Book Antiqua"/>
                <w:iCs/>
                <w:color w:val="000000" w:themeColor="text1"/>
                <w:lang w:val="en-AU"/>
              </w:rPr>
              <w:t>69.5</w:t>
            </w:r>
          </w:p>
        </w:tc>
        <w:tc>
          <w:tcPr>
            <w:tcW w:w="639" w:type="pct"/>
            <w:tcBorders>
              <w:top w:val="nil"/>
              <w:left w:val="nil"/>
              <w:bottom w:val="nil"/>
              <w:right w:val="nil"/>
            </w:tcBorders>
          </w:tcPr>
          <w:p w14:paraId="7D4A5268" w14:textId="77777777" w:rsidR="00E0351D" w:rsidRPr="00AB06CD" w:rsidRDefault="00E0351D" w:rsidP="006F4E9C">
            <w:pPr>
              <w:spacing w:line="360" w:lineRule="auto"/>
              <w:jc w:val="both"/>
              <w:rPr>
                <w:rFonts w:ascii="Book Antiqua" w:hAnsi="Book Antiqua"/>
                <w:iCs/>
                <w:color w:val="000000" w:themeColor="text1"/>
                <w:lang w:val="en-AU"/>
              </w:rPr>
            </w:pPr>
            <w:r w:rsidRPr="00AB06CD">
              <w:rPr>
                <w:rFonts w:ascii="Book Antiqua" w:hAnsi="Book Antiqua"/>
                <w:iCs/>
                <w:color w:val="000000" w:themeColor="text1"/>
                <w:lang w:val="en-AU"/>
              </w:rPr>
              <w:t>95.8</w:t>
            </w:r>
          </w:p>
        </w:tc>
        <w:tc>
          <w:tcPr>
            <w:tcW w:w="568" w:type="pct"/>
            <w:tcBorders>
              <w:top w:val="nil"/>
              <w:left w:val="nil"/>
              <w:bottom w:val="nil"/>
              <w:right w:val="nil"/>
            </w:tcBorders>
          </w:tcPr>
          <w:p w14:paraId="27486754" w14:textId="77777777" w:rsidR="00E0351D" w:rsidRPr="00AB06CD" w:rsidRDefault="00E0351D" w:rsidP="006F4E9C">
            <w:pPr>
              <w:spacing w:line="360" w:lineRule="auto"/>
              <w:jc w:val="both"/>
              <w:rPr>
                <w:rFonts w:ascii="Book Antiqua" w:hAnsi="Book Antiqua"/>
                <w:iCs/>
                <w:color w:val="000000" w:themeColor="text1"/>
                <w:lang w:val="en-AU"/>
              </w:rPr>
            </w:pPr>
            <w:r w:rsidRPr="00AB06CD">
              <w:rPr>
                <w:rFonts w:ascii="Book Antiqua" w:hAnsi="Book Antiqua"/>
                <w:iCs/>
                <w:color w:val="000000" w:themeColor="text1"/>
                <w:lang w:val="en-AU"/>
              </w:rPr>
              <w:t>45.4</w:t>
            </w:r>
          </w:p>
        </w:tc>
        <w:tc>
          <w:tcPr>
            <w:tcW w:w="613" w:type="pct"/>
            <w:tcBorders>
              <w:top w:val="nil"/>
              <w:left w:val="nil"/>
              <w:bottom w:val="nil"/>
              <w:right w:val="nil"/>
            </w:tcBorders>
          </w:tcPr>
          <w:p w14:paraId="1FB0CB9F" w14:textId="77777777" w:rsidR="00E0351D" w:rsidRPr="00AB06CD" w:rsidRDefault="00E0351D" w:rsidP="006F4E9C">
            <w:pPr>
              <w:spacing w:line="360" w:lineRule="auto"/>
              <w:jc w:val="both"/>
              <w:rPr>
                <w:rFonts w:ascii="Book Antiqua" w:hAnsi="Book Antiqua"/>
                <w:iCs/>
                <w:color w:val="000000" w:themeColor="text1"/>
                <w:lang w:val="en-AU"/>
              </w:rPr>
            </w:pPr>
            <w:r w:rsidRPr="00AB06CD">
              <w:rPr>
                <w:rFonts w:ascii="Book Antiqua" w:hAnsi="Book Antiqua"/>
                <w:iCs/>
                <w:color w:val="000000" w:themeColor="text1"/>
                <w:lang w:val="en-AU"/>
              </w:rPr>
              <w:t>37.3</w:t>
            </w:r>
          </w:p>
        </w:tc>
        <w:tc>
          <w:tcPr>
            <w:tcW w:w="680" w:type="pct"/>
            <w:tcBorders>
              <w:top w:val="nil"/>
              <w:left w:val="nil"/>
              <w:bottom w:val="nil"/>
              <w:right w:val="nil"/>
            </w:tcBorders>
          </w:tcPr>
          <w:p w14:paraId="5C805EE3" w14:textId="77777777" w:rsidR="00E0351D" w:rsidRPr="00AB06CD" w:rsidRDefault="00E0351D" w:rsidP="006F4E9C">
            <w:pPr>
              <w:spacing w:line="360" w:lineRule="auto"/>
              <w:jc w:val="both"/>
              <w:rPr>
                <w:rFonts w:ascii="Book Antiqua" w:hAnsi="Book Antiqua"/>
                <w:iCs/>
                <w:color w:val="000000" w:themeColor="text1"/>
                <w:lang w:val="en-AU"/>
              </w:rPr>
            </w:pPr>
            <w:r w:rsidRPr="00AB06CD">
              <w:rPr>
                <w:rFonts w:ascii="Book Antiqua" w:hAnsi="Book Antiqua"/>
                <w:iCs/>
                <w:color w:val="000000" w:themeColor="text1"/>
                <w:lang w:val="en-AU"/>
              </w:rPr>
              <w:t>56.6</w:t>
            </w:r>
          </w:p>
        </w:tc>
      </w:tr>
      <w:tr w:rsidR="000E66CC" w:rsidRPr="00AB06CD" w14:paraId="3E82744F" w14:textId="77777777" w:rsidTr="006F4E9C">
        <w:trPr>
          <w:jc w:val="center"/>
        </w:trPr>
        <w:tc>
          <w:tcPr>
            <w:tcW w:w="864" w:type="pct"/>
            <w:tcBorders>
              <w:top w:val="nil"/>
              <w:left w:val="nil"/>
              <w:right w:val="nil"/>
            </w:tcBorders>
          </w:tcPr>
          <w:p w14:paraId="7B67D1CB" w14:textId="41582BB9" w:rsidR="00E0351D" w:rsidRPr="000E66CC" w:rsidRDefault="00E0351D" w:rsidP="006F4E9C">
            <w:pPr>
              <w:spacing w:line="360" w:lineRule="auto"/>
              <w:jc w:val="both"/>
              <w:rPr>
                <w:rFonts w:ascii="Book Antiqua" w:hAnsi="Book Antiqua"/>
                <w:color w:val="000000" w:themeColor="text1"/>
                <w:lang w:val="en-AU"/>
              </w:rPr>
            </w:pPr>
            <w:r w:rsidRPr="000E66CC">
              <w:rPr>
                <w:rFonts w:ascii="Book Antiqua" w:hAnsi="Book Antiqua"/>
                <w:color w:val="000000" w:themeColor="text1"/>
                <w:lang w:val="en-AU"/>
              </w:rPr>
              <w:t>5-yr survival (%)</w:t>
            </w:r>
          </w:p>
        </w:tc>
        <w:tc>
          <w:tcPr>
            <w:tcW w:w="507" w:type="pct"/>
            <w:tcBorders>
              <w:top w:val="nil"/>
              <w:left w:val="nil"/>
              <w:right w:val="nil"/>
            </w:tcBorders>
          </w:tcPr>
          <w:p w14:paraId="58E85580" w14:textId="77777777" w:rsidR="00E0351D" w:rsidRPr="00AB06CD" w:rsidRDefault="00E0351D" w:rsidP="006F4E9C">
            <w:pPr>
              <w:spacing w:line="360" w:lineRule="auto"/>
              <w:jc w:val="both"/>
              <w:rPr>
                <w:rFonts w:ascii="Book Antiqua" w:hAnsi="Book Antiqua"/>
                <w:iCs/>
                <w:color w:val="000000" w:themeColor="text1"/>
                <w:lang w:val="en-AU"/>
              </w:rPr>
            </w:pPr>
            <w:r w:rsidRPr="00AB06CD">
              <w:rPr>
                <w:rFonts w:ascii="Book Antiqua" w:hAnsi="Book Antiqua"/>
                <w:iCs/>
                <w:color w:val="000000" w:themeColor="text1"/>
                <w:lang w:val="en-AU"/>
              </w:rPr>
              <w:t>62.3</w:t>
            </w:r>
          </w:p>
        </w:tc>
        <w:tc>
          <w:tcPr>
            <w:tcW w:w="613" w:type="pct"/>
            <w:tcBorders>
              <w:top w:val="nil"/>
              <w:left w:val="nil"/>
              <w:right w:val="nil"/>
            </w:tcBorders>
          </w:tcPr>
          <w:p w14:paraId="6424F9F9" w14:textId="77777777" w:rsidR="00E0351D" w:rsidRPr="00AB06CD" w:rsidRDefault="00E0351D" w:rsidP="006F4E9C">
            <w:pPr>
              <w:spacing w:line="360" w:lineRule="auto"/>
              <w:jc w:val="both"/>
              <w:rPr>
                <w:rFonts w:ascii="Book Antiqua" w:hAnsi="Book Antiqua"/>
                <w:iCs/>
                <w:color w:val="000000" w:themeColor="text1"/>
                <w:lang w:val="en-AU"/>
              </w:rPr>
            </w:pPr>
            <w:r w:rsidRPr="00AB06CD">
              <w:rPr>
                <w:rFonts w:ascii="Book Antiqua" w:hAnsi="Book Antiqua"/>
                <w:iCs/>
                <w:color w:val="000000" w:themeColor="text1"/>
                <w:lang w:val="en-AU"/>
              </w:rPr>
              <w:t>61.1</w:t>
            </w:r>
          </w:p>
        </w:tc>
        <w:tc>
          <w:tcPr>
            <w:tcW w:w="517" w:type="pct"/>
            <w:tcBorders>
              <w:top w:val="nil"/>
              <w:left w:val="nil"/>
              <w:right w:val="nil"/>
            </w:tcBorders>
          </w:tcPr>
          <w:p w14:paraId="7996A390" w14:textId="77777777" w:rsidR="00E0351D" w:rsidRPr="00AB06CD" w:rsidRDefault="00E0351D" w:rsidP="006F4E9C">
            <w:pPr>
              <w:spacing w:line="360" w:lineRule="auto"/>
              <w:jc w:val="both"/>
              <w:rPr>
                <w:rFonts w:ascii="Book Antiqua" w:hAnsi="Book Antiqua"/>
                <w:iCs/>
                <w:color w:val="000000" w:themeColor="text1"/>
                <w:lang w:val="en-AU"/>
              </w:rPr>
            </w:pPr>
            <w:r w:rsidRPr="00AB06CD">
              <w:rPr>
                <w:rFonts w:ascii="Book Antiqua" w:hAnsi="Book Antiqua"/>
                <w:iCs/>
                <w:color w:val="000000" w:themeColor="text1"/>
                <w:lang w:val="en-AU"/>
              </w:rPr>
              <w:t>64.6</w:t>
            </w:r>
          </w:p>
        </w:tc>
        <w:tc>
          <w:tcPr>
            <w:tcW w:w="639" w:type="pct"/>
            <w:tcBorders>
              <w:top w:val="nil"/>
              <w:left w:val="nil"/>
              <w:right w:val="nil"/>
            </w:tcBorders>
          </w:tcPr>
          <w:p w14:paraId="230DD0E9" w14:textId="77777777" w:rsidR="00E0351D" w:rsidRPr="00AB06CD" w:rsidRDefault="00E0351D" w:rsidP="006F4E9C">
            <w:pPr>
              <w:spacing w:line="360" w:lineRule="auto"/>
              <w:jc w:val="both"/>
              <w:rPr>
                <w:rFonts w:ascii="Book Antiqua" w:hAnsi="Book Antiqua"/>
                <w:iCs/>
                <w:color w:val="000000" w:themeColor="text1"/>
                <w:lang w:val="en-AU"/>
              </w:rPr>
            </w:pPr>
            <w:r w:rsidRPr="00AB06CD">
              <w:rPr>
                <w:rFonts w:ascii="Book Antiqua" w:hAnsi="Book Antiqua"/>
                <w:iCs/>
                <w:color w:val="000000" w:themeColor="text1"/>
                <w:lang w:val="en-AU"/>
              </w:rPr>
              <w:t>95.8</w:t>
            </w:r>
          </w:p>
        </w:tc>
        <w:tc>
          <w:tcPr>
            <w:tcW w:w="568" w:type="pct"/>
            <w:tcBorders>
              <w:top w:val="nil"/>
              <w:left w:val="nil"/>
              <w:right w:val="nil"/>
            </w:tcBorders>
          </w:tcPr>
          <w:p w14:paraId="64144F63" w14:textId="77777777" w:rsidR="00E0351D" w:rsidRPr="00AB06CD" w:rsidRDefault="00E0351D" w:rsidP="006F4E9C">
            <w:pPr>
              <w:spacing w:line="360" w:lineRule="auto"/>
              <w:jc w:val="both"/>
              <w:rPr>
                <w:rFonts w:ascii="Book Antiqua" w:hAnsi="Book Antiqua"/>
                <w:iCs/>
                <w:color w:val="000000" w:themeColor="text1"/>
                <w:lang w:val="en-AU"/>
              </w:rPr>
            </w:pPr>
            <w:r w:rsidRPr="00AB06CD">
              <w:rPr>
                <w:rFonts w:ascii="Book Antiqua" w:hAnsi="Book Antiqua"/>
                <w:iCs/>
                <w:color w:val="000000" w:themeColor="text1"/>
                <w:lang w:val="en-AU"/>
              </w:rPr>
              <w:t>37.8</w:t>
            </w:r>
          </w:p>
        </w:tc>
        <w:tc>
          <w:tcPr>
            <w:tcW w:w="613" w:type="pct"/>
            <w:tcBorders>
              <w:top w:val="nil"/>
              <w:left w:val="nil"/>
              <w:right w:val="nil"/>
            </w:tcBorders>
          </w:tcPr>
          <w:p w14:paraId="7A367382" w14:textId="77777777" w:rsidR="00E0351D" w:rsidRPr="00AB06CD" w:rsidRDefault="00E0351D" w:rsidP="006F4E9C">
            <w:pPr>
              <w:spacing w:line="360" w:lineRule="auto"/>
              <w:jc w:val="both"/>
              <w:rPr>
                <w:rFonts w:ascii="Book Antiqua" w:hAnsi="Book Antiqua"/>
                <w:iCs/>
                <w:color w:val="000000" w:themeColor="text1"/>
                <w:lang w:val="en-AU"/>
              </w:rPr>
            </w:pPr>
            <w:r w:rsidRPr="00AB06CD">
              <w:rPr>
                <w:rFonts w:ascii="Book Antiqua" w:hAnsi="Book Antiqua"/>
                <w:iCs/>
                <w:color w:val="000000" w:themeColor="text1"/>
                <w:lang w:val="en-AU"/>
              </w:rPr>
              <w:t>29.7</w:t>
            </w:r>
          </w:p>
        </w:tc>
        <w:tc>
          <w:tcPr>
            <w:tcW w:w="680" w:type="pct"/>
            <w:tcBorders>
              <w:top w:val="nil"/>
              <w:left w:val="nil"/>
              <w:right w:val="nil"/>
            </w:tcBorders>
          </w:tcPr>
          <w:p w14:paraId="15FA4DAC" w14:textId="77777777" w:rsidR="00E0351D" w:rsidRPr="00AB06CD" w:rsidRDefault="00E0351D" w:rsidP="006F4E9C">
            <w:pPr>
              <w:spacing w:line="360" w:lineRule="auto"/>
              <w:jc w:val="both"/>
              <w:rPr>
                <w:rFonts w:ascii="Book Antiqua" w:hAnsi="Book Antiqua"/>
                <w:iCs/>
                <w:color w:val="000000" w:themeColor="text1"/>
                <w:lang w:val="en-AU"/>
              </w:rPr>
            </w:pPr>
            <w:r w:rsidRPr="00AB06CD">
              <w:rPr>
                <w:rFonts w:ascii="Book Antiqua" w:hAnsi="Book Antiqua"/>
                <w:iCs/>
                <w:color w:val="000000" w:themeColor="text1"/>
                <w:lang w:val="en-AU"/>
              </w:rPr>
              <w:t>48.5</w:t>
            </w:r>
          </w:p>
        </w:tc>
      </w:tr>
    </w:tbl>
    <w:p w14:paraId="0D9DE00F" w14:textId="77777777" w:rsidR="00E0351D" w:rsidRPr="00AB06CD" w:rsidRDefault="00E0351D" w:rsidP="00E0351D">
      <w:pPr>
        <w:spacing w:line="360" w:lineRule="auto"/>
        <w:jc w:val="both"/>
        <w:rPr>
          <w:rFonts w:ascii="Book Antiqua" w:hAnsi="Book Antiqua"/>
        </w:rPr>
      </w:pPr>
    </w:p>
    <w:p w14:paraId="3C5F146C" w14:textId="77777777" w:rsidR="00C966DB" w:rsidRDefault="00C966DB" w:rsidP="00E0351D">
      <w:pPr>
        <w:spacing w:line="360" w:lineRule="auto"/>
        <w:jc w:val="both"/>
        <w:rPr>
          <w:rFonts w:ascii="Book Antiqua" w:hAnsi="Book Antiqua"/>
          <w:b/>
          <w:bCs/>
          <w:iCs/>
          <w:lang w:val="en-AU"/>
        </w:rPr>
        <w:sectPr w:rsidR="00C966DB" w:rsidSect="000E66CC">
          <w:pgSz w:w="15840" w:h="12240" w:orient="landscape"/>
          <w:pgMar w:top="1440" w:right="1440" w:bottom="1440" w:left="1440" w:header="720" w:footer="720" w:gutter="0"/>
          <w:cols w:space="720"/>
          <w:docGrid w:linePitch="360"/>
        </w:sectPr>
      </w:pPr>
    </w:p>
    <w:p w14:paraId="7CA94E0D" w14:textId="1CDBEEA6" w:rsidR="00E0351D" w:rsidRPr="00C966DB" w:rsidRDefault="009C7D7A" w:rsidP="00E0351D">
      <w:pPr>
        <w:spacing w:line="360" w:lineRule="auto"/>
        <w:jc w:val="both"/>
        <w:rPr>
          <w:rFonts w:ascii="Book Antiqua" w:hAnsi="Book Antiqua"/>
          <w:b/>
          <w:bCs/>
          <w:iCs/>
          <w:lang w:val="en-AU"/>
        </w:rPr>
      </w:pPr>
      <w:r w:rsidRPr="00AB06CD">
        <w:rPr>
          <w:rFonts w:ascii="Book Antiqua" w:hAnsi="Book Antiqua"/>
          <w:b/>
          <w:bCs/>
          <w:iCs/>
          <w:lang w:val="en-AU"/>
        </w:rPr>
        <w:lastRenderedPageBreak/>
        <w:t>Table 3</w:t>
      </w:r>
      <w:r>
        <w:rPr>
          <w:rFonts w:ascii="Book Antiqua" w:hAnsi="Book Antiqua"/>
          <w:b/>
          <w:bCs/>
          <w:iCs/>
          <w:lang w:val="en-AU"/>
        </w:rPr>
        <w:t xml:space="preserve"> </w:t>
      </w:r>
      <w:r w:rsidRPr="00AB06CD">
        <w:rPr>
          <w:rFonts w:ascii="Book Antiqua" w:hAnsi="Book Antiqua"/>
          <w:b/>
          <w:bCs/>
          <w:iCs/>
          <w:lang w:val="en-AU"/>
        </w:rPr>
        <w:t>Multivariate analysis of factors impacting transplant-free survival</w:t>
      </w:r>
    </w:p>
    <w:tbl>
      <w:tblPr>
        <w:tblW w:w="5000" w:type="pct"/>
        <w:jc w:val="center"/>
        <w:tblCellMar>
          <w:left w:w="0" w:type="dxa"/>
          <w:right w:w="0" w:type="dxa"/>
        </w:tblCellMar>
        <w:tblLook w:val="04A0" w:firstRow="1" w:lastRow="0" w:firstColumn="1" w:lastColumn="0" w:noHBand="0" w:noVBand="1"/>
      </w:tblPr>
      <w:tblGrid>
        <w:gridCol w:w="4728"/>
        <w:gridCol w:w="1791"/>
        <w:gridCol w:w="1791"/>
        <w:gridCol w:w="3100"/>
        <w:gridCol w:w="1550"/>
      </w:tblGrid>
      <w:tr w:rsidR="009C7D7A" w:rsidRPr="00AB06CD" w14:paraId="4D384C7F" w14:textId="77777777" w:rsidTr="006F4E9C">
        <w:trPr>
          <w:cantSplit/>
          <w:trHeight w:val="529"/>
          <w:jc w:val="center"/>
        </w:trPr>
        <w:tc>
          <w:tcPr>
            <w:tcW w:w="1824" w:type="pct"/>
            <w:tcBorders>
              <w:top w:val="single" w:sz="4" w:space="0" w:color="auto"/>
              <w:bottom w:val="single" w:sz="4" w:space="0" w:color="auto"/>
            </w:tcBorders>
            <w:shd w:val="clear" w:color="auto" w:fill="FFFFFF"/>
            <w:vAlign w:val="center"/>
          </w:tcPr>
          <w:p w14:paraId="527E1817" w14:textId="77777777" w:rsidR="00E0351D" w:rsidRPr="00066C80" w:rsidRDefault="00E0351D" w:rsidP="009C7D7A">
            <w:pPr>
              <w:spacing w:line="360" w:lineRule="auto"/>
              <w:ind w:leftChars="50" w:left="120"/>
              <w:jc w:val="both"/>
              <w:rPr>
                <w:rFonts w:ascii="Book Antiqua" w:hAnsi="Book Antiqua" w:cstheme="minorHAnsi"/>
                <w:lang w:val="en-AU"/>
              </w:rPr>
            </w:pPr>
          </w:p>
        </w:tc>
        <w:tc>
          <w:tcPr>
            <w:tcW w:w="691" w:type="pct"/>
            <w:tcBorders>
              <w:top w:val="single" w:sz="4" w:space="0" w:color="auto"/>
              <w:bottom w:val="single" w:sz="4" w:space="0" w:color="auto"/>
            </w:tcBorders>
            <w:shd w:val="clear" w:color="auto" w:fill="FFFFFF"/>
            <w:vAlign w:val="center"/>
          </w:tcPr>
          <w:p w14:paraId="4A6F19B3" w14:textId="77777777" w:rsidR="00E0351D" w:rsidRPr="00AB06CD" w:rsidRDefault="00E0351D" w:rsidP="009C7D7A">
            <w:pPr>
              <w:spacing w:line="360" w:lineRule="auto"/>
              <w:ind w:leftChars="50" w:left="120"/>
              <w:jc w:val="both"/>
              <w:rPr>
                <w:rFonts w:ascii="Book Antiqua" w:hAnsi="Book Antiqua" w:cstheme="minorHAnsi"/>
                <w:b/>
                <w:lang w:val="en-AU"/>
              </w:rPr>
            </w:pPr>
            <w:r w:rsidRPr="009C7D7A">
              <w:rPr>
                <w:rFonts w:ascii="Book Antiqua" w:hAnsi="Book Antiqua" w:cstheme="minorHAnsi"/>
                <w:b/>
                <w:i/>
                <w:iCs/>
                <w:lang w:val="en-AU"/>
              </w:rPr>
              <w:t>n</w:t>
            </w:r>
            <w:r w:rsidRPr="00AB06CD">
              <w:rPr>
                <w:rFonts w:ascii="Book Antiqua" w:hAnsi="Book Antiqua" w:cstheme="minorHAnsi"/>
                <w:b/>
                <w:lang w:val="en-AU"/>
              </w:rPr>
              <w:t xml:space="preserve"> (%)</w:t>
            </w:r>
          </w:p>
        </w:tc>
        <w:tc>
          <w:tcPr>
            <w:tcW w:w="691" w:type="pct"/>
            <w:tcBorders>
              <w:top w:val="single" w:sz="4" w:space="0" w:color="auto"/>
              <w:bottom w:val="single" w:sz="4" w:space="0" w:color="auto"/>
            </w:tcBorders>
            <w:shd w:val="clear" w:color="auto" w:fill="FFFFFF"/>
            <w:vAlign w:val="center"/>
          </w:tcPr>
          <w:p w14:paraId="2339BEB9" w14:textId="77777777" w:rsidR="00E0351D" w:rsidRPr="00AB06CD" w:rsidRDefault="00E0351D" w:rsidP="009C7D7A">
            <w:pPr>
              <w:spacing w:line="360" w:lineRule="auto"/>
              <w:ind w:leftChars="50" w:left="120"/>
              <w:jc w:val="both"/>
              <w:rPr>
                <w:rFonts w:ascii="Book Antiqua" w:hAnsi="Book Antiqua" w:cstheme="minorHAnsi"/>
                <w:b/>
                <w:lang w:val="en-AU"/>
              </w:rPr>
            </w:pPr>
            <w:r w:rsidRPr="00AB06CD">
              <w:rPr>
                <w:rFonts w:ascii="Book Antiqua" w:hAnsi="Book Antiqua" w:cstheme="minorHAnsi"/>
                <w:b/>
                <w:lang w:val="en-AU"/>
              </w:rPr>
              <w:t>HR</w:t>
            </w:r>
          </w:p>
        </w:tc>
        <w:tc>
          <w:tcPr>
            <w:tcW w:w="1196" w:type="pct"/>
            <w:tcBorders>
              <w:top w:val="single" w:sz="4" w:space="0" w:color="auto"/>
              <w:bottom w:val="single" w:sz="4" w:space="0" w:color="auto"/>
            </w:tcBorders>
            <w:shd w:val="clear" w:color="auto" w:fill="FFFFFF"/>
            <w:vAlign w:val="center"/>
          </w:tcPr>
          <w:p w14:paraId="795678C0" w14:textId="5C20918F" w:rsidR="00E0351D" w:rsidRPr="00AB06CD" w:rsidRDefault="00E0351D" w:rsidP="009C7D7A">
            <w:pPr>
              <w:spacing w:line="360" w:lineRule="auto"/>
              <w:ind w:leftChars="50" w:left="120"/>
              <w:jc w:val="both"/>
              <w:rPr>
                <w:rFonts w:ascii="Book Antiqua" w:hAnsi="Book Antiqua" w:cstheme="minorHAnsi"/>
                <w:b/>
                <w:lang w:val="en-AU"/>
              </w:rPr>
            </w:pPr>
            <w:r w:rsidRPr="00AB06CD">
              <w:rPr>
                <w:rFonts w:ascii="Book Antiqua" w:hAnsi="Book Antiqua" w:cstheme="minorHAnsi"/>
                <w:b/>
                <w:lang w:val="en-AU"/>
              </w:rPr>
              <w:t>95%CI</w:t>
            </w:r>
          </w:p>
        </w:tc>
        <w:tc>
          <w:tcPr>
            <w:tcW w:w="598" w:type="pct"/>
            <w:tcBorders>
              <w:top w:val="single" w:sz="4" w:space="0" w:color="auto"/>
              <w:bottom w:val="single" w:sz="4" w:space="0" w:color="auto"/>
            </w:tcBorders>
            <w:shd w:val="clear" w:color="auto" w:fill="FFFFFF"/>
            <w:vAlign w:val="center"/>
          </w:tcPr>
          <w:p w14:paraId="05634AC6" w14:textId="0CEC1D2B" w:rsidR="00E0351D" w:rsidRPr="00AB06CD" w:rsidRDefault="009C7D7A" w:rsidP="009C7D7A">
            <w:pPr>
              <w:spacing w:line="360" w:lineRule="auto"/>
              <w:ind w:leftChars="50" w:left="120"/>
              <w:jc w:val="both"/>
              <w:rPr>
                <w:rFonts w:ascii="Book Antiqua" w:hAnsi="Book Antiqua" w:cstheme="minorHAnsi"/>
                <w:b/>
                <w:lang w:val="en-AU"/>
              </w:rPr>
            </w:pPr>
            <w:r w:rsidRPr="009C7D7A">
              <w:rPr>
                <w:rFonts w:ascii="Book Antiqua" w:hAnsi="Book Antiqua" w:cstheme="minorHAnsi"/>
                <w:b/>
                <w:i/>
                <w:iCs/>
                <w:lang w:val="en-AU"/>
              </w:rPr>
              <w:t>P</w:t>
            </w:r>
            <w:r>
              <w:rPr>
                <w:rFonts w:ascii="Book Antiqua" w:hAnsi="Book Antiqua" w:cstheme="minorHAnsi"/>
                <w:b/>
                <w:lang w:val="en-AU"/>
              </w:rPr>
              <w:t xml:space="preserve"> </w:t>
            </w:r>
            <w:r w:rsidR="00E0351D" w:rsidRPr="00AB06CD">
              <w:rPr>
                <w:rFonts w:ascii="Book Antiqua" w:hAnsi="Book Antiqua" w:cstheme="minorHAnsi"/>
                <w:b/>
                <w:lang w:val="en-AU"/>
              </w:rPr>
              <w:t>value</w:t>
            </w:r>
          </w:p>
        </w:tc>
      </w:tr>
      <w:tr w:rsidR="00066C80" w:rsidRPr="00AB06CD" w14:paraId="3B130573" w14:textId="77777777" w:rsidTr="00066C80">
        <w:trPr>
          <w:cantSplit/>
          <w:jc w:val="center"/>
        </w:trPr>
        <w:tc>
          <w:tcPr>
            <w:tcW w:w="5000" w:type="pct"/>
            <w:gridSpan w:val="5"/>
            <w:tcBorders>
              <w:top w:val="single" w:sz="4" w:space="0" w:color="auto"/>
            </w:tcBorders>
            <w:shd w:val="clear" w:color="auto" w:fill="FFFFFF"/>
          </w:tcPr>
          <w:p w14:paraId="6E7FE221" w14:textId="2573CB5A" w:rsidR="00066C80" w:rsidRPr="00AB06CD" w:rsidRDefault="00066C80" w:rsidP="009C7D7A">
            <w:pPr>
              <w:spacing w:line="360" w:lineRule="auto"/>
              <w:ind w:leftChars="50" w:left="120"/>
              <w:jc w:val="both"/>
              <w:rPr>
                <w:rFonts w:ascii="Book Antiqua" w:hAnsi="Book Antiqua" w:cstheme="minorHAnsi"/>
                <w:lang w:val="en-AU"/>
              </w:rPr>
            </w:pPr>
            <w:r w:rsidRPr="00066C80">
              <w:rPr>
                <w:rFonts w:ascii="Book Antiqua" w:hAnsi="Book Antiqua" w:cstheme="minorHAnsi"/>
                <w:lang w:val="en-AU"/>
              </w:rPr>
              <w:t>CTP class</w:t>
            </w:r>
          </w:p>
        </w:tc>
      </w:tr>
      <w:tr w:rsidR="00E0351D" w:rsidRPr="00AB06CD" w14:paraId="4F2C7DC7" w14:textId="77777777" w:rsidTr="006F4E9C">
        <w:trPr>
          <w:cantSplit/>
          <w:jc w:val="center"/>
        </w:trPr>
        <w:tc>
          <w:tcPr>
            <w:tcW w:w="1824" w:type="pct"/>
            <w:shd w:val="clear" w:color="auto" w:fill="FFFFFF"/>
          </w:tcPr>
          <w:p w14:paraId="63C4D12F" w14:textId="77777777" w:rsidR="00E0351D" w:rsidRPr="00066C80" w:rsidRDefault="00E0351D" w:rsidP="009C7D7A">
            <w:pPr>
              <w:spacing w:line="360" w:lineRule="auto"/>
              <w:ind w:leftChars="50" w:left="120"/>
              <w:jc w:val="both"/>
              <w:rPr>
                <w:rFonts w:ascii="Book Antiqua" w:hAnsi="Book Antiqua" w:cstheme="minorHAnsi"/>
                <w:lang w:val="en-AU"/>
              </w:rPr>
            </w:pPr>
            <w:r w:rsidRPr="00066C80">
              <w:rPr>
                <w:rFonts w:ascii="Book Antiqua" w:hAnsi="Book Antiqua" w:cstheme="minorHAnsi"/>
                <w:lang w:val="en-AU"/>
              </w:rPr>
              <w:t>A</w:t>
            </w:r>
          </w:p>
        </w:tc>
        <w:tc>
          <w:tcPr>
            <w:tcW w:w="691" w:type="pct"/>
            <w:vAlign w:val="center"/>
          </w:tcPr>
          <w:p w14:paraId="1099F210" w14:textId="77777777" w:rsidR="00E0351D" w:rsidRPr="00AB06CD" w:rsidRDefault="00E0351D" w:rsidP="009C7D7A">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66 (63.5)</w:t>
            </w:r>
          </w:p>
        </w:tc>
        <w:tc>
          <w:tcPr>
            <w:tcW w:w="691" w:type="pct"/>
            <w:shd w:val="clear" w:color="auto" w:fill="FFFFFF"/>
            <w:vAlign w:val="center"/>
          </w:tcPr>
          <w:p w14:paraId="7CE7F832" w14:textId="77777777" w:rsidR="00E0351D" w:rsidRPr="00AB06CD" w:rsidRDefault="00E0351D" w:rsidP="009C7D7A">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w:t>
            </w:r>
          </w:p>
        </w:tc>
        <w:tc>
          <w:tcPr>
            <w:tcW w:w="1196" w:type="pct"/>
            <w:shd w:val="clear" w:color="auto" w:fill="FFFFFF"/>
            <w:vAlign w:val="center"/>
          </w:tcPr>
          <w:p w14:paraId="6A2992B1" w14:textId="77777777" w:rsidR="00E0351D" w:rsidRPr="00AB06CD" w:rsidRDefault="00E0351D" w:rsidP="009C7D7A">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w:t>
            </w:r>
          </w:p>
        </w:tc>
        <w:tc>
          <w:tcPr>
            <w:tcW w:w="598" w:type="pct"/>
            <w:shd w:val="clear" w:color="auto" w:fill="FFFFFF"/>
            <w:vAlign w:val="center"/>
          </w:tcPr>
          <w:p w14:paraId="57ED8C4E" w14:textId="77777777" w:rsidR="00E0351D" w:rsidRPr="00AB06CD" w:rsidRDefault="00E0351D" w:rsidP="009C7D7A">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w:t>
            </w:r>
          </w:p>
        </w:tc>
      </w:tr>
      <w:tr w:rsidR="00E0351D" w:rsidRPr="00AB06CD" w14:paraId="5E1CC309" w14:textId="77777777" w:rsidTr="006F4E9C">
        <w:trPr>
          <w:cantSplit/>
          <w:jc w:val="center"/>
        </w:trPr>
        <w:tc>
          <w:tcPr>
            <w:tcW w:w="1824" w:type="pct"/>
            <w:shd w:val="clear" w:color="auto" w:fill="FFFFFF"/>
          </w:tcPr>
          <w:p w14:paraId="78E21547" w14:textId="77777777" w:rsidR="00E0351D" w:rsidRPr="00066C80" w:rsidRDefault="00E0351D" w:rsidP="009C7D7A">
            <w:pPr>
              <w:spacing w:line="360" w:lineRule="auto"/>
              <w:ind w:leftChars="50" w:left="120"/>
              <w:jc w:val="both"/>
              <w:rPr>
                <w:rFonts w:ascii="Book Antiqua" w:hAnsi="Book Antiqua" w:cstheme="minorHAnsi"/>
                <w:lang w:val="en-AU"/>
              </w:rPr>
            </w:pPr>
            <w:r w:rsidRPr="00066C80">
              <w:rPr>
                <w:rFonts w:ascii="Book Antiqua" w:hAnsi="Book Antiqua" w:cstheme="minorHAnsi"/>
                <w:lang w:val="en-AU"/>
              </w:rPr>
              <w:t>B</w:t>
            </w:r>
          </w:p>
        </w:tc>
        <w:tc>
          <w:tcPr>
            <w:tcW w:w="691" w:type="pct"/>
            <w:vAlign w:val="center"/>
          </w:tcPr>
          <w:p w14:paraId="14574AC5" w14:textId="77777777" w:rsidR="00E0351D" w:rsidRPr="00AB06CD" w:rsidRDefault="00E0351D" w:rsidP="009C7D7A">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25 (24.0)</w:t>
            </w:r>
          </w:p>
        </w:tc>
        <w:tc>
          <w:tcPr>
            <w:tcW w:w="691" w:type="pct"/>
            <w:shd w:val="clear" w:color="auto" w:fill="FFFFFF"/>
            <w:vAlign w:val="center"/>
          </w:tcPr>
          <w:p w14:paraId="73DC1259" w14:textId="77777777" w:rsidR="00E0351D" w:rsidRPr="00AB06CD" w:rsidRDefault="00E0351D" w:rsidP="009C7D7A">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1.51</w:t>
            </w:r>
          </w:p>
        </w:tc>
        <w:tc>
          <w:tcPr>
            <w:tcW w:w="1196" w:type="pct"/>
            <w:shd w:val="clear" w:color="auto" w:fill="FFFFFF"/>
            <w:vAlign w:val="center"/>
          </w:tcPr>
          <w:p w14:paraId="5CB8D5AB" w14:textId="7EC9E691" w:rsidR="00E0351D" w:rsidRPr="00AB06CD" w:rsidRDefault="00E0351D" w:rsidP="009C7D7A">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0.81</w:t>
            </w:r>
            <w:r w:rsidR="00066C80">
              <w:rPr>
                <w:rFonts w:ascii="Book Antiqua" w:hAnsi="Book Antiqua" w:cstheme="minorHAnsi"/>
                <w:lang w:val="en-AU"/>
              </w:rPr>
              <w:t>-</w:t>
            </w:r>
            <w:r w:rsidRPr="00AB06CD">
              <w:rPr>
                <w:rFonts w:ascii="Book Antiqua" w:hAnsi="Book Antiqua" w:cstheme="minorHAnsi"/>
                <w:lang w:val="en-AU"/>
              </w:rPr>
              <w:t>2.82</w:t>
            </w:r>
          </w:p>
        </w:tc>
        <w:tc>
          <w:tcPr>
            <w:tcW w:w="598" w:type="pct"/>
            <w:shd w:val="clear" w:color="auto" w:fill="FFFFFF"/>
            <w:vAlign w:val="center"/>
          </w:tcPr>
          <w:p w14:paraId="39E9EC58" w14:textId="77777777" w:rsidR="00E0351D" w:rsidRPr="00AB06CD" w:rsidRDefault="00E0351D" w:rsidP="009C7D7A">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0.19</w:t>
            </w:r>
          </w:p>
        </w:tc>
      </w:tr>
      <w:tr w:rsidR="00E0351D" w:rsidRPr="00AB06CD" w14:paraId="2BEB837D" w14:textId="77777777" w:rsidTr="006F4E9C">
        <w:trPr>
          <w:cantSplit/>
          <w:jc w:val="center"/>
        </w:trPr>
        <w:tc>
          <w:tcPr>
            <w:tcW w:w="1824" w:type="pct"/>
            <w:shd w:val="clear" w:color="auto" w:fill="FFFFFF"/>
          </w:tcPr>
          <w:p w14:paraId="10730CA9" w14:textId="77777777" w:rsidR="00E0351D" w:rsidRPr="00066C80" w:rsidRDefault="00E0351D" w:rsidP="009C7D7A">
            <w:pPr>
              <w:spacing w:line="360" w:lineRule="auto"/>
              <w:ind w:leftChars="50" w:left="120"/>
              <w:jc w:val="both"/>
              <w:rPr>
                <w:rFonts w:ascii="Book Antiqua" w:hAnsi="Book Antiqua" w:cstheme="minorHAnsi"/>
                <w:lang w:val="en-AU"/>
              </w:rPr>
            </w:pPr>
            <w:r w:rsidRPr="00066C80">
              <w:rPr>
                <w:rFonts w:ascii="Book Antiqua" w:hAnsi="Book Antiqua" w:cstheme="minorHAnsi"/>
                <w:lang w:val="en-AU"/>
              </w:rPr>
              <w:t>C</w:t>
            </w:r>
          </w:p>
        </w:tc>
        <w:tc>
          <w:tcPr>
            <w:tcW w:w="691" w:type="pct"/>
            <w:vAlign w:val="center"/>
          </w:tcPr>
          <w:p w14:paraId="28B96173" w14:textId="77777777" w:rsidR="00E0351D" w:rsidRPr="00AB06CD" w:rsidRDefault="00E0351D" w:rsidP="009C7D7A">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13 (12.5)</w:t>
            </w:r>
          </w:p>
        </w:tc>
        <w:tc>
          <w:tcPr>
            <w:tcW w:w="691" w:type="pct"/>
            <w:shd w:val="clear" w:color="auto" w:fill="FFFFFF"/>
            <w:vAlign w:val="center"/>
          </w:tcPr>
          <w:p w14:paraId="6ADC3923" w14:textId="77777777" w:rsidR="00E0351D" w:rsidRPr="00AB06CD" w:rsidRDefault="00E0351D" w:rsidP="009C7D7A">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2.26</w:t>
            </w:r>
          </w:p>
        </w:tc>
        <w:tc>
          <w:tcPr>
            <w:tcW w:w="1196" w:type="pct"/>
            <w:shd w:val="clear" w:color="auto" w:fill="FFFFFF"/>
            <w:vAlign w:val="center"/>
          </w:tcPr>
          <w:p w14:paraId="1D88F50B" w14:textId="06E55839" w:rsidR="00E0351D" w:rsidRPr="00AB06CD" w:rsidRDefault="00E0351D" w:rsidP="009C7D7A">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0.90</w:t>
            </w:r>
            <w:r w:rsidR="00066C80">
              <w:rPr>
                <w:rFonts w:ascii="Book Antiqua" w:hAnsi="Book Antiqua" w:cstheme="minorHAnsi"/>
                <w:lang w:val="en-AU"/>
              </w:rPr>
              <w:t>-</w:t>
            </w:r>
            <w:r w:rsidRPr="00AB06CD">
              <w:rPr>
                <w:rFonts w:ascii="Book Antiqua" w:hAnsi="Book Antiqua" w:cstheme="minorHAnsi"/>
                <w:lang w:val="en-AU"/>
              </w:rPr>
              <w:t>5.65</w:t>
            </w:r>
          </w:p>
        </w:tc>
        <w:tc>
          <w:tcPr>
            <w:tcW w:w="598" w:type="pct"/>
            <w:shd w:val="clear" w:color="auto" w:fill="FFFFFF"/>
            <w:vAlign w:val="center"/>
          </w:tcPr>
          <w:p w14:paraId="2A2D6E41" w14:textId="77777777" w:rsidR="00E0351D" w:rsidRPr="00AB06CD" w:rsidRDefault="00E0351D" w:rsidP="009C7D7A">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0.8</w:t>
            </w:r>
          </w:p>
        </w:tc>
      </w:tr>
      <w:tr w:rsidR="00066C80" w:rsidRPr="00AB06CD" w14:paraId="73C4BD25" w14:textId="77777777" w:rsidTr="00066C80">
        <w:trPr>
          <w:cantSplit/>
          <w:jc w:val="center"/>
        </w:trPr>
        <w:tc>
          <w:tcPr>
            <w:tcW w:w="5000" w:type="pct"/>
            <w:gridSpan w:val="5"/>
            <w:shd w:val="clear" w:color="auto" w:fill="FFFFFF"/>
          </w:tcPr>
          <w:p w14:paraId="543E4408" w14:textId="26215351" w:rsidR="00066C80" w:rsidRPr="00AB06CD" w:rsidRDefault="00066C80" w:rsidP="009C7D7A">
            <w:pPr>
              <w:spacing w:line="360" w:lineRule="auto"/>
              <w:ind w:leftChars="50" w:left="120"/>
              <w:jc w:val="both"/>
              <w:rPr>
                <w:rFonts w:ascii="Book Antiqua" w:hAnsi="Book Antiqua" w:cstheme="minorHAnsi"/>
                <w:lang w:val="en-AU"/>
              </w:rPr>
            </w:pPr>
            <w:r w:rsidRPr="00066C80">
              <w:rPr>
                <w:rFonts w:ascii="Book Antiqua" w:hAnsi="Book Antiqua" w:cstheme="minorHAnsi"/>
                <w:lang w:val="en-AU"/>
              </w:rPr>
              <w:t>MELD at diagnosis</w:t>
            </w:r>
          </w:p>
        </w:tc>
      </w:tr>
      <w:tr w:rsidR="009C7D7A" w:rsidRPr="00AB06CD" w14:paraId="273DC93A" w14:textId="77777777" w:rsidTr="006F4E9C">
        <w:trPr>
          <w:cantSplit/>
          <w:jc w:val="center"/>
        </w:trPr>
        <w:tc>
          <w:tcPr>
            <w:tcW w:w="1824" w:type="pct"/>
            <w:shd w:val="clear" w:color="auto" w:fill="FFFFFF"/>
          </w:tcPr>
          <w:p w14:paraId="5D993744" w14:textId="1C5DAA3F" w:rsidR="00E0351D" w:rsidRPr="00066C80" w:rsidRDefault="00E0351D" w:rsidP="009C7D7A">
            <w:pPr>
              <w:spacing w:line="360" w:lineRule="auto"/>
              <w:ind w:leftChars="50" w:left="120"/>
              <w:jc w:val="both"/>
              <w:rPr>
                <w:rFonts w:ascii="Book Antiqua" w:hAnsi="Book Antiqua" w:cstheme="minorHAnsi"/>
                <w:lang w:val="en-AU"/>
              </w:rPr>
            </w:pPr>
            <w:r w:rsidRPr="00066C80">
              <w:rPr>
                <w:rFonts w:ascii="Book Antiqua" w:hAnsi="Book Antiqua" w:cstheme="minorHAnsi"/>
                <w:lang w:val="en-AU"/>
              </w:rPr>
              <w:t>≤</w:t>
            </w:r>
            <w:r w:rsidR="00066C80">
              <w:rPr>
                <w:rFonts w:ascii="Book Antiqua" w:hAnsi="Book Antiqua" w:cstheme="minorHAnsi"/>
                <w:lang w:val="en-AU"/>
              </w:rPr>
              <w:t xml:space="preserve"> </w:t>
            </w:r>
            <w:r w:rsidRPr="00066C80">
              <w:rPr>
                <w:rFonts w:ascii="Book Antiqua" w:hAnsi="Book Antiqua" w:cstheme="minorHAnsi"/>
                <w:lang w:val="en-AU"/>
              </w:rPr>
              <w:t>14</w:t>
            </w:r>
          </w:p>
        </w:tc>
        <w:tc>
          <w:tcPr>
            <w:tcW w:w="691" w:type="pct"/>
            <w:shd w:val="clear" w:color="auto" w:fill="FFFFFF"/>
            <w:vAlign w:val="center"/>
          </w:tcPr>
          <w:p w14:paraId="59EA0B3C" w14:textId="77777777" w:rsidR="00E0351D" w:rsidRPr="00AB06CD" w:rsidRDefault="00E0351D" w:rsidP="009C7D7A">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85 (81.7)</w:t>
            </w:r>
          </w:p>
        </w:tc>
        <w:tc>
          <w:tcPr>
            <w:tcW w:w="691" w:type="pct"/>
            <w:shd w:val="clear" w:color="auto" w:fill="FFFFFF"/>
            <w:vAlign w:val="center"/>
          </w:tcPr>
          <w:p w14:paraId="02BDED58" w14:textId="77777777" w:rsidR="00E0351D" w:rsidRPr="00AB06CD" w:rsidRDefault="00E0351D" w:rsidP="009C7D7A">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w:t>
            </w:r>
          </w:p>
        </w:tc>
        <w:tc>
          <w:tcPr>
            <w:tcW w:w="1196" w:type="pct"/>
            <w:shd w:val="clear" w:color="auto" w:fill="FFFFFF"/>
            <w:vAlign w:val="center"/>
          </w:tcPr>
          <w:p w14:paraId="4B46F5B3" w14:textId="77777777" w:rsidR="00E0351D" w:rsidRPr="00AB06CD" w:rsidRDefault="00E0351D" w:rsidP="009C7D7A">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w:t>
            </w:r>
          </w:p>
        </w:tc>
        <w:tc>
          <w:tcPr>
            <w:tcW w:w="598" w:type="pct"/>
            <w:shd w:val="clear" w:color="auto" w:fill="FFFFFF"/>
            <w:vAlign w:val="center"/>
          </w:tcPr>
          <w:p w14:paraId="7C4CBEB9" w14:textId="77777777" w:rsidR="00E0351D" w:rsidRPr="00AB06CD" w:rsidRDefault="00E0351D" w:rsidP="009C7D7A">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w:t>
            </w:r>
          </w:p>
        </w:tc>
      </w:tr>
      <w:tr w:rsidR="009C7D7A" w:rsidRPr="00AB06CD" w14:paraId="5657E38C" w14:textId="77777777" w:rsidTr="006F4E9C">
        <w:trPr>
          <w:cantSplit/>
          <w:jc w:val="center"/>
        </w:trPr>
        <w:tc>
          <w:tcPr>
            <w:tcW w:w="1824" w:type="pct"/>
            <w:shd w:val="clear" w:color="auto" w:fill="FFFFFF"/>
          </w:tcPr>
          <w:p w14:paraId="085D8007" w14:textId="5058E28A" w:rsidR="00E0351D" w:rsidRPr="00066C80" w:rsidRDefault="00E0351D" w:rsidP="009C7D7A">
            <w:pPr>
              <w:spacing w:line="360" w:lineRule="auto"/>
              <w:ind w:leftChars="50" w:left="120"/>
              <w:jc w:val="both"/>
              <w:rPr>
                <w:rFonts w:ascii="Book Antiqua" w:hAnsi="Book Antiqua" w:cstheme="minorHAnsi"/>
                <w:lang w:val="en-AU"/>
              </w:rPr>
            </w:pPr>
            <w:r w:rsidRPr="00066C80">
              <w:rPr>
                <w:rFonts w:ascii="Book Antiqua" w:hAnsi="Book Antiqua" w:cstheme="minorHAnsi"/>
                <w:lang w:val="en-AU"/>
              </w:rPr>
              <w:t>&gt;</w:t>
            </w:r>
            <w:r w:rsidR="00066C80">
              <w:rPr>
                <w:rFonts w:ascii="Book Antiqua" w:hAnsi="Book Antiqua" w:cstheme="minorHAnsi"/>
                <w:lang w:val="en-AU"/>
              </w:rPr>
              <w:t xml:space="preserve"> </w:t>
            </w:r>
            <w:r w:rsidRPr="00066C80">
              <w:rPr>
                <w:rFonts w:ascii="Book Antiqua" w:hAnsi="Book Antiqua" w:cstheme="minorHAnsi"/>
                <w:lang w:val="en-AU"/>
              </w:rPr>
              <w:t>14</w:t>
            </w:r>
          </w:p>
        </w:tc>
        <w:tc>
          <w:tcPr>
            <w:tcW w:w="691" w:type="pct"/>
            <w:shd w:val="clear" w:color="auto" w:fill="FFFFFF"/>
            <w:vAlign w:val="center"/>
          </w:tcPr>
          <w:p w14:paraId="06054ABD" w14:textId="77777777" w:rsidR="00E0351D" w:rsidRPr="00066C80" w:rsidRDefault="00E0351D" w:rsidP="009C7D7A">
            <w:pPr>
              <w:spacing w:line="360" w:lineRule="auto"/>
              <w:ind w:leftChars="50" w:left="120"/>
              <w:jc w:val="both"/>
              <w:rPr>
                <w:rFonts w:ascii="Book Antiqua" w:hAnsi="Book Antiqua" w:cstheme="minorHAnsi"/>
                <w:lang w:val="en-AU"/>
              </w:rPr>
            </w:pPr>
            <w:r w:rsidRPr="00066C80">
              <w:rPr>
                <w:rFonts w:ascii="Book Antiqua" w:hAnsi="Book Antiqua" w:cstheme="minorHAnsi"/>
                <w:lang w:val="en-AU"/>
              </w:rPr>
              <w:t>19 (18.3)</w:t>
            </w:r>
          </w:p>
        </w:tc>
        <w:tc>
          <w:tcPr>
            <w:tcW w:w="691" w:type="pct"/>
            <w:shd w:val="clear" w:color="auto" w:fill="FFFFFF"/>
            <w:vAlign w:val="center"/>
          </w:tcPr>
          <w:p w14:paraId="1410DEFF" w14:textId="77777777" w:rsidR="00E0351D" w:rsidRPr="00066C80" w:rsidRDefault="00E0351D" w:rsidP="009C7D7A">
            <w:pPr>
              <w:spacing w:line="360" w:lineRule="auto"/>
              <w:ind w:leftChars="50" w:left="120"/>
              <w:jc w:val="both"/>
              <w:rPr>
                <w:rFonts w:ascii="Book Antiqua" w:hAnsi="Book Antiqua" w:cstheme="minorHAnsi"/>
                <w:lang w:val="en-AU"/>
              </w:rPr>
            </w:pPr>
            <w:r w:rsidRPr="00066C80">
              <w:rPr>
                <w:rFonts w:ascii="Book Antiqua" w:hAnsi="Book Antiqua" w:cstheme="minorHAnsi"/>
                <w:lang w:val="en-AU"/>
              </w:rPr>
              <w:t>2.51</w:t>
            </w:r>
          </w:p>
        </w:tc>
        <w:tc>
          <w:tcPr>
            <w:tcW w:w="1196" w:type="pct"/>
            <w:shd w:val="clear" w:color="auto" w:fill="FFFFFF"/>
            <w:vAlign w:val="center"/>
          </w:tcPr>
          <w:p w14:paraId="6647A82A" w14:textId="5C46173B" w:rsidR="00E0351D" w:rsidRPr="00066C80" w:rsidRDefault="00E0351D" w:rsidP="009C7D7A">
            <w:pPr>
              <w:spacing w:line="360" w:lineRule="auto"/>
              <w:ind w:leftChars="50" w:left="120"/>
              <w:jc w:val="both"/>
              <w:rPr>
                <w:rFonts w:ascii="Book Antiqua" w:hAnsi="Book Antiqua" w:cstheme="minorHAnsi"/>
                <w:lang w:val="en-AU"/>
              </w:rPr>
            </w:pPr>
            <w:r w:rsidRPr="00066C80">
              <w:rPr>
                <w:rFonts w:ascii="Book Antiqua" w:hAnsi="Book Antiqua" w:cstheme="minorHAnsi"/>
                <w:lang w:val="en-AU"/>
              </w:rPr>
              <w:t>1.15</w:t>
            </w:r>
            <w:r w:rsidR="00066C80" w:rsidRPr="00066C80">
              <w:rPr>
                <w:rFonts w:ascii="Book Antiqua" w:hAnsi="Book Antiqua" w:cstheme="minorHAnsi"/>
                <w:lang w:val="en-AU"/>
              </w:rPr>
              <w:t>-</w:t>
            </w:r>
            <w:r w:rsidRPr="00066C80">
              <w:rPr>
                <w:rFonts w:ascii="Book Antiqua" w:hAnsi="Book Antiqua" w:cstheme="minorHAnsi"/>
                <w:lang w:val="en-AU"/>
              </w:rPr>
              <w:t>5.46</w:t>
            </w:r>
          </w:p>
        </w:tc>
        <w:tc>
          <w:tcPr>
            <w:tcW w:w="598" w:type="pct"/>
            <w:shd w:val="clear" w:color="auto" w:fill="FFFFFF"/>
            <w:vAlign w:val="center"/>
          </w:tcPr>
          <w:p w14:paraId="660B30B1" w14:textId="77777777" w:rsidR="00E0351D" w:rsidRPr="00066C80" w:rsidRDefault="00E0351D" w:rsidP="009C7D7A">
            <w:pPr>
              <w:spacing w:line="360" w:lineRule="auto"/>
              <w:ind w:leftChars="50" w:left="120"/>
              <w:jc w:val="both"/>
              <w:rPr>
                <w:rFonts w:ascii="Book Antiqua" w:hAnsi="Book Antiqua" w:cstheme="minorHAnsi"/>
                <w:lang w:val="en-AU"/>
              </w:rPr>
            </w:pPr>
            <w:r w:rsidRPr="00066C80">
              <w:rPr>
                <w:rFonts w:ascii="Book Antiqua" w:hAnsi="Book Antiqua" w:cstheme="minorHAnsi"/>
                <w:lang w:val="en-AU"/>
              </w:rPr>
              <w:t>0.02</w:t>
            </w:r>
          </w:p>
        </w:tc>
      </w:tr>
      <w:tr w:rsidR="00066C80" w:rsidRPr="00AB06CD" w14:paraId="4F3B4F71" w14:textId="77777777" w:rsidTr="00066C80">
        <w:trPr>
          <w:cantSplit/>
          <w:jc w:val="center"/>
        </w:trPr>
        <w:tc>
          <w:tcPr>
            <w:tcW w:w="5000" w:type="pct"/>
            <w:gridSpan w:val="5"/>
            <w:shd w:val="clear" w:color="auto" w:fill="FFFFFF"/>
          </w:tcPr>
          <w:p w14:paraId="4C3603C4" w14:textId="0D47F3B9" w:rsidR="00066C80" w:rsidRPr="00AB06CD" w:rsidRDefault="00066C80" w:rsidP="009C7D7A">
            <w:pPr>
              <w:spacing w:line="360" w:lineRule="auto"/>
              <w:ind w:leftChars="50" w:left="120"/>
              <w:jc w:val="both"/>
              <w:rPr>
                <w:rFonts w:ascii="Book Antiqua" w:hAnsi="Book Antiqua" w:cstheme="minorHAnsi"/>
                <w:lang w:val="en-AU"/>
              </w:rPr>
            </w:pPr>
            <w:r w:rsidRPr="00066C80">
              <w:rPr>
                <w:rFonts w:ascii="Book Antiqua" w:hAnsi="Book Antiqua" w:cstheme="minorHAnsi"/>
                <w:lang w:val="en-AU"/>
              </w:rPr>
              <w:t>Lesion group</w:t>
            </w:r>
          </w:p>
        </w:tc>
      </w:tr>
      <w:tr w:rsidR="009C7D7A" w:rsidRPr="00AB06CD" w14:paraId="1AB7C816" w14:textId="77777777" w:rsidTr="006F4E9C">
        <w:trPr>
          <w:cantSplit/>
          <w:jc w:val="center"/>
        </w:trPr>
        <w:tc>
          <w:tcPr>
            <w:tcW w:w="1824" w:type="pct"/>
            <w:shd w:val="clear" w:color="auto" w:fill="FFFFFF"/>
          </w:tcPr>
          <w:p w14:paraId="316388B4" w14:textId="77777777" w:rsidR="00E0351D" w:rsidRPr="00066C80" w:rsidRDefault="00E0351D" w:rsidP="009C7D7A">
            <w:pPr>
              <w:spacing w:line="360" w:lineRule="auto"/>
              <w:ind w:leftChars="50" w:left="120"/>
              <w:jc w:val="both"/>
              <w:rPr>
                <w:rFonts w:ascii="Book Antiqua" w:hAnsi="Book Antiqua" w:cstheme="minorHAnsi"/>
                <w:lang w:val="en-AU"/>
              </w:rPr>
            </w:pPr>
            <w:r w:rsidRPr="00066C80">
              <w:rPr>
                <w:rFonts w:ascii="Book Antiqua" w:hAnsi="Book Antiqua" w:cstheme="minorHAnsi"/>
                <w:lang w:val="en-AU"/>
              </w:rPr>
              <w:t>Synchronous</w:t>
            </w:r>
          </w:p>
        </w:tc>
        <w:tc>
          <w:tcPr>
            <w:tcW w:w="691" w:type="pct"/>
            <w:shd w:val="clear" w:color="auto" w:fill="FFFFFF"/>
            <w:vAlign w:val="center"/>
          </w:tcPr>
          <w:p w14:paraId="52803562" w14:textId="77777777" w:rsidR="00E0351D" w:rsidRPr="00AB06CD" w:rsidRDefault="00E0351D" w:rsidP="009C7D7A">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59 (56.7)</w:t>
            </w:r>
          </w:p>
        </w:tc>
        <w:tc>
          <w:tcPr>
            <w:tcW w:w="691" w:type="pct"/>
            <w:shd w:val="clear" w:color="auto" w:fill="FFFFFF"/>
            <w:vAlign w:val="center"/>
          </w:tcPr>
          <w:p w14:paraId="1B8CE232" w14:textId="77777777" w:rsidR="00E0351D" w:rsidRPr="00AB06CD" w:rsidRDefault="00E0351D" w:rsidP="009C7D7A">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w:t>
            </w:r>
          </w:p>
        </w:tc>
        <w:tc>
          <w:tcPr>
            <w:tcW w:w="1196" w:type="pct"/>
            <w:shd w:val="clear" w:color="auto" w:fill="FFFFFF"/>
            <w:vAlign w:val="center"/>
          </w:tcPr>
          <w:p w14:paraId="06CE59BB" w14:textId="77777777" w:rsidR="00E0351D" w:rsidRPr="00AB06CD" w:rsidRDefault="00E0351D" w:rsidP="009C7D7A">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w:t>
            </w:r>
          </w:p>
        </w:tc>
        <w:tc>
          <w:tcPr>
            <w:tcW w:w="598" w:type="pct"/>
            <w:shd w:val="clear" w:color="auto" w:fill="FFFFFF"/>
            <w:vAlign w:val="center"/>
          </w:tcPr>
          <w:p w14:paraId="35550BF0" w14:textId="77777777" w:rsidR="00E0351D" w:rsidRPr="00AB06CD" w:rsidRDefault="00E0351D" w:rsidP="009C7D7A">
            <w:pPr>
              <w:spacing w:line="360" w:lineRule="auto"/>
              <w:ind w:leftChars="50" w:left="120"/>
              <w:jc w:val="both"/>
              <w:rPr>
                <w:rFonts w:ascii="Book Antiqua" w:hAnsi="Book Antiqua" w:cstheme="minorHAnsi"/>
                <w:lang w:val="en-AU"/>
              </w:rPr>
            </w:pPr>
            <w:r w:rsidRPr="00AB06CD">
              <w:rPr>
                <w:rFonts w:ascii="Book Antiqua" w:hAnsi="Book Antiqua" w:cstheme="minorHAnsi"/>
                <w:lang w:val="en-AU"/>
              </w:rPr>
              <w:t>-</w:t>
            </w:r>
          </w:p>
        </w:tc>
      </w:tr>
      <w:tr w:rsidR="009C7D7A" w:rsidRPr="00AB06CD" w14:paraId="51D7788E" w14:textId="77777777" w:rsidTr="006F4E9C">
        <w:trPr>
          <w:cantSplit/>
          <w:jc w:val="center"/>
        </w:trPr>
        <w:tc>
          <w:tcPr>
            <w:tcW w:w="1824" w:type="pct"/>
            <w:tcBorders>
              <w:bottom w:val="single" w:sz="4" w:space="0" w:color="auto"/>
            </w:tcBorders>
            <w:shd w:val="clear" w:color="auto" w:fill="FFFFFF"/>
          </w:tcPr>
          <w:p w14:paraId="1783BBED" w14:textId="77777777" w:rsidR="00E0351D" w:rsidRPr="00066C80" w:rsidRDefault="00E0351D" w:rsidP="009C7D7A">
            <w:pPr>
              <w:spacing w:line="360" w:lineRule="auto"/>
              <w:ind w:leftChars="50" w:left="120"/>
              <w:jc w:val="both"/>
              <w:rPr>
                <w:rFonts w:ascii="Book Antiqua" w:hAnsi="Book Antiqua" w:cstheme="minorHAnsi"/>
                <w:lang w:val="en-AU"/>
              </w:rPr>
            </w:pPr>
            <w:r w:rsidRPr="00066C80">
              <w:rPr>
                <w:rFonts w:ascii="Book Antiqua" w:hAnsi="Book Antiqua" w:cstheme="minorHAnsi"/>
                <w:lang w:val="en-AU"/>
              </w:rPr>
              <w:t>Sequential</w:t>
            </w:r>
          </w:p>
        </w:tc>
        <w:tc>
          <w:tcPr>
            <w:tcW w:w="691" w:type="pct"/>
            <w:tcBorders>
              <w:bottom w:val="single" w:sz="4" w:space="0" w:color="auto"/>
            </w:tcBorders>
            <w:shd w:val="clear" w:color="auto" w:fill="FFFFFF"/>
            <w:vAlign w:val="center"/>
          </w:tcPr>
          <w:p w14:paraId="33CD34F6" w14:textId="77777777" w:rsidR="00E0351D" w:rsidRPr="00AB06CD" w:rsidRDefault="00E0351D" w:rsidP="009C7D7A">
            <w:pPr>
              <w:spacing w:line="360" w:lineRule="auto"/>
              <w:ind w:leftChars="50" w:left="120"/>
              <w:jc w:val="both"/>
              <w:rPr>
                <w:rFonts w:ascii="Book Antiqua" w:hAnsi="Book Antiqua" w:cstheme="minorHAnsi"/>
                <w:bCs/>
                <w:lang w:val="en-AU"/>
              </w:rPr>
            </w:pPr>
            <w:r w:rsidRPr="00AB06CD">
              <w:rPr>
                <w:rFonts w:ascii="Book Antiqua" w:hAnsi="Book Antiqua" w:cstheme="minorHAnsi"/>
                <w:bCs/>
                <w:lang w:val="en-AU"/>
              </w:rPr>
              <w:t>45 (43.3)</w:t>
            </w:r>
          </w:p>
        </w:tc>
        <w:tc>
          <w:tcPr>
            <w:tcW w:w="691" w:type="pct"/>
            <w:tcBorders>
              <w:bottom w:val="single" w:sz="4" w:space="0" w:color="auto"/>
            </w:tcBorders>
            <w:shd w:val="clear" w:color="auto" w:fill="FFFFFF"/>
            <w:vAlign w:val="center"/>
          </w:tcPr>
          <w:p w14:paraId="62758E3E" w14:textId="77777777" w:rsidR="00E0351D" w:rsidRPr="00AB06CD" w:rsidRDefault="00E0351D" w:rsidP="009C7D7A">
            <w:pPr>
              <w:spacing w:line="360" w:lineRule="auto"/>
              <w:ind w:leftChars="50" w:left="120"/>
              <w:jc w:val="both"/>
              <w:rPr>
                <w:rFonts w:ascii="Book Antiqua" w:hAnsi="Book Antiqua" w:cstheme="minorHAnsi"/>
                <w:bCs/>
                <w:lang w:val="en-AU"/>
              </w:rPr>
            </w:pPr>
            <w:r w:rsidRPr="00AB06CD">
              <w:rPr>
                <w:rFonts w:ascii="Book Antiqua" w:hAnsi="Book Antiqua" w:cstheme="minorHAnsi"/>
                <w:bCs/>
                <w:lang w:val="en-AU"/>
              </w:rPr>
              <w:t>0.70</w:t>
            </w:r>
          </w:p>
        </w:tc>
        <w:tc>
          <w:tcPr>
            <w:tcW w:w="1196" w:type="pct"/>
            <w:tcBorders>
              <w:bottom w:val="single" w:sz="4" w:space="0" w:color="auto"/>
            </w:tcBorders>
            <w:shd w:val="clear" w:color="auto" w:fill="FFFFFF"/>
            <w:vAlign w:val="center"/>
          </w:tcPr>
          <w:p w14:paraId="52DEC84C" w14:textId="550EE239" w:rsidR="00E0351D" w:rsidRPr="00AB06CD" w:rsidRDefault="00E0351D" w:rsidP="009C7D7A">
            <w:pPr>
              <w:spacing w:line="360" w:lineRule="auto"/>
              <w:ind w:leftChars="50" w:left="120"/>
              <w:jc w:val="both"/>
              <w:rPr>
                <w:rFonts w:ascii="Book Antiqua" w:hAnsi="Book Antiqua" w:cstheme="minorHAnsi"/>
                <w:bCs/>
                <w:lang w:val="en-AU"/>
              </w:rPr>
            </w:pPr>
            <w:r w:rsidRPr="00AB06CD">
              <w:rPr>
                <w:rFonts w:ascii="Book Antiqua" w:hAnsi="Book Antiqua" w:cstheme="minorHAnsi"/>
                <w:bCs/>
                <w:lang w:val="en-AU"/>
              </w:rPr>
              <w:t>0.38</w:t>
            </w:r>
            <w:r w:rsidR="00066C80">
              <w:rPr>
                <w:rFonts w:ascii="Book Antiqua" w:hAnsi="Book Antiqua" w:cstheme="minorHAnsi"/>
                <w:bCs/>
                <w:lang w:val="en-AU"/>
              </w:rPr>
              <w:t>-</w:t>
            </w:r>
            <w:r w:rsidRPr="00AB06CD">
              <w:rPr>
                <w:rFonts w:ascii="Book Antiqua" w:hAnsi="Book Antiqua" w:cstheme="minorHAnsi"/>
                <w:bCs/>
                <w:lang w:val="en-AU"/>
              </w:rPr>
              <w:t>1.27</w:t>
            </w:r>
          </w:p>
        </w:tc>
        <w:tc>
          <w:tcPr>
            <w:tcW w:w="598" w:type="pct"/>
            <w:tcBorders>
              <w:bottom w:val="single" w:sz="4" w:space="0" w:color="auto"/>
            </w:tcBorders>
            <w:shd w:val="clear" w:color="auto" w:fill="FFFFFF"/>
            <w:vAlign w:val="center"/>
          </w:tcPr>
          <w:p w14:paraId="47B6FB67" w14:textId="77777777" w:rsidR="00E0351D" w:rsidRPr="00AB06CD" w:rsidRDefault="00E0351D" w:rsidP="009C7D7A">
            <w:pPr>
              <w:spacing w:line="360" w:lineRule="auto"/>
              <w:ind w:leftChars="50" w:left="120"/>
              <w:jc w:val="both"/>
              <w:rPr>
                <w:rFonts w:ascii="Book Antiqua" w:hAnsi="Book Antiqua" w:cstheme="minorHAnsi"/>
                <w:bCs/>
                <w:lang w:val="en-AU"/>
              </w:rPr>
            </w:pPr>
            <w:r w:rsidRPr="00AB06CD">
              <w:rPr>
                <w:rFonts w:ascii="Book Antiqua" w:hAnsi="Book Antiqua" w:cstheme="minorHAnsi"/>
                <w:bCs/>
                <w:lang w:val="en-AU"/>
              </w:rPr>
              <w:t>0.24</w:t>
            </w:r>
          </w:p>
        </w:tc>
      </w:tr>
    </w:tbl>
    <w:p w14:paraId="2BDDC50D" w14:textId="435D7B6F" w:rsidR="00702FBA" w:rsidRPr="00545ECE" w:rsidRDefault="00CB72D0">
      <w:pPr>
        <w:spacing w:line="360" w:lineRule="auto"/>
        <w:jc w:val="both"/>
        <w:rPr>
          <w:rFonts w:ascii="Book Antiqua" w:hAnsi="Book Antiqua"/>
          <w:lang w:val="en-AU"/>
        </w:rPr>
      </w:pPr>
      <w:r>
        <w:rPr>
          <w:rFonts w:ascii="Book Antiqua" w:hAnsi="Book Antiqua"/>
          <w:lang w:val="en-AU"/>
        </w:rPr>
        <w:t xml:space="preserve">HR: </w:t>
      </w:r>
      <w:r w:rsidR="0039111E" w:rsidRPr="00C57A36">
        <w:rPr>
          <w:rFonts w:ascii="Book Antiqua" w:eastAsia="Book Antiqua" w:hAnsi="Book Antiqua" w:cs="Book Antiqua"/>
          <w:color w:val="000000"/>
        </w:rPr>
        <w:t xml:space="preserve">Hazard </w:t>
      </w:r>
      <w:r w:rsidR="001D6577" w:rsidRPr="00C57A36">
        <w:rPr>
          <w:rFonts w:ascii="Book Antiqua" w:eastAsia="Book Antiqua" w:hAnsi="Book Antiqua" w:cs="Book Antiqua"/>
          <w:color w:val="000000"/>
        </w:rPr>
        <w:t>ratios</w:t>
      </w:r>
      <w:r w:rsidR="001D6577">
        <w:rPr>
          <w:rFonts w:ascii="Book Antiqua" w:hAnsi="Book Antiqua"/>
        </w:rPr>
        <w:t xml:space="preserve">; </w:t>
      </w:r>
      <w:r w:rsidR="00BA72B3">
        <w:rPr>
          <w:rFonts w:ascii="Book Antiqua" w:hAnsi="Book Antiqua"/>
        </w:rPr>
        <w:t xml:space="preserve">CI: </w:t>
      </w:r>
      <w:r w:rsidR="00E50B70" w:rsidRPr="00E50B70">
        <w:rPr>
          <w:rFonts w:ascii="Book Antiqua" w:hAnsi="Book Antiqua"/>
        </w:rPr>
        <w:t xml:space="preserve">Confidence interval; </w:t>
      </w:r>
      <w:r w:rsidR="00E0351D" w:rsidRPr="00AB06CD">
        <w:rPr>
          <w:rFonts w:ascii="Book Antiqua" w:hAnsi="Book Antiqua"/>
          <w:lang w:val="en-AU"/>
        </w:rPr>
        <w:t>CTP: Child-Turcotte-Pugh</w:t>
      </w:r>
      <w:r w:rsidR="00B93D54">
        <w:rPr>
          <w:rFonts w:ascii="Book Antiqua" w:hAnsi="Book Antiqua"/>
          <w:lang w:val="en-AU"/>
        </w:rPr>
        <w:t>;</w:t>
      </w:r>
      <w:r w:rsidR="00E0351D" w:rsidRPr="00AB06CD">
        <w:rPr>
          <w:rFonts w:ascii="Book Antiqua" w:hAnsi="Book Antiqua"/>
          <w:lang w:val="en-AU"/>
        </w:rPr>
        <w:t xml:space="preserve"> MELD: Model for End-Stage Liver Disease score</w:t>
      </w:r>
      <w:r w:rsidR="00D71145">
        <w:rPr>
          <w:rFonts w:ascii="Book Antiqua" w:hAnsi="Book Antiqua"/>
          <w:lang w:val="en-AU"/>
        </w:rPr>
        <w:t>.</w:t>
      </w:r>
    </w:p>
    <w:sectPr w:rsidR="00702FBA" w:rsidRPr="00545ECE" w:rsidSect="000E66C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A7A43" w14:textId="77777777" w:rsidR="00C94979" w:rsidRDefault="00C94979" w:rsidP="00EE0467">
      <w:r>
        <w:separator/>
      </w:r>
    </w:p>
  </w:endnote>
  <w:endnote w:type="continuationSeparator" w:id="0">
    <w:p w14:paraId="53981A38" w14:textId="77777777" w:rsidR="00C94979" w:rsidRDefault="00C94979" w:rsidP="00EE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8178" w14:textId="512E8349" w:rsidR="00EE0467" w:rsidRPr="00EE0467" w:rsidRDefault="00EE0467" w:rsidP="00EE0467">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23</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319C4" w14:textId="77777777" w:rsidR="00C94979" w:rsidRDefault="00C94979" w:rsidP="00EE0467">
      <w:r>
        <w:separator/>
      </w:r>
    </w:p>
  </w:footnote>
  <w:footnote w:type="continuationSeparator" w:id="0">
    <w:p w14:paraId="3ACAB8FA" w14:textId="77777777" w:rsidR="00C94979" w:rsidRDefault="00C94979" w:rsidP="00EE0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D09"/>
    <w:rsid w:val="000163AF"/>
    <w:rsid w:val="00016BDF"/>
    <w:rsid w:val="00016EDB"/>
    <w:rsid w:val="00025D20"/>
    <w:rsid w:val="00052A9D"/>
    <w:rsid w:val="00066C80"/>
    <w:rsid w:val="00071914"/>
    <w:rsid w:val="00074862"/>
    <w:rsid w:val="00074A03"/>
    <w:rsid w:val="00080642"/>
    <w:rsid w:val="00090B21"/>
    <w:rsid w:val="000A185B"/>
    <w:rsid w:val="000A2171"/>
    <w:rsid w:val="000A4928"/>
    <w:rsid w:val="000B2A38"/>
    <w:rsid w:val="000B2E80"/>
    <w:rsid w:val="000B72C4"/>
    <w:rsid w:val="000C3909"/>
    <w:rsid w:val="000C578A"/>
    <w:rsid w:val="000E022F"/>
    <w:rsid w:val="000E66CC"/>
    <w:rsid w:val="000F01C0"/>
    <w:rsid w:val="000F2BDB"/>
    <w:rsid w:val="000F52D2"/>
    <w:rsid w:val="000F5655"/>
    <w:rsid w:val="00102000"/>
    <w:rsid w:val="00105C1F"/>
    <w:rsid w:val="001064F2"/>
    <w:rsid w:val="0011563D"/>
    <w:rsid w:val="00121293"/>
    <w:rsid w:val="00123F3E"/>
    <w:rsid w:val="001264A0"/>
    <w:rsid w:val="001318E6"/>
    <w:rsid w:val="00133B2F"/>
    <w:rsid w:val="00141F2C"/>
    <w:rsid w:val="00142D31"/>
    <w:rsid w:val="00156860"/>
    <w:rsid w:val="00162C7F"/>
    <w:rsid w:val="00167313"/>
    <w:rsid w:val="001728D7"/>
    <w:rsid w:val="00172ECC"/>
    <w:rsid w:val="0017397D"/>
    <w:rsid w:val="00180D48"/>
    <w:rsid w:val="00186DC0"/>
    <w:rsid w:val="001879F9"/>
    <w:rsid w:val="00195BB2"/>
    <w:rsid w:val="00196C7C"/>
    <w:rsid w:val="001A1297"/>
    <w:rsid w:val="001B6199"/>
    <w:rsid w:val="001C5DA6"/>
    <w:rsid w:val="001D6577"/>
    <w:rsid w:val="001E0D63"/>
    <w:rsid w:val="002059B6"/>
    <w:rsid w:val="002224BC"/>
    <w:rsid w:val="00224889"/>
    <w:rsid w:val="002248D1"/>
    <w:rsid w:val="0024484E"/>
    <w:rsid w:val="00262979"/>
    <w:rsid w:val="00291E90"/>
    <w:rsid w:val="00296413"/>
    <w:rsid w:val="002A2FDF"/>
    <w:rsid w:val="002B04F8"/>
    <w:rsid w:val="002C1078"/>
    <w:rsid w:val="002C1C8D"/>
    <w:rsid w:val="002C1FF7"/>
    <w:rsid w:val="002C2DA1"/>
    <w:rsid w:val="002C3520"/>
    <w:rsid w:val="002D2D3F"/>
    <w:rsid w:val="002F4955"/>
    <w:rsid w:val="002F74FA"/>
    <w:rsid w:val="00301AC3"/>
    <w:rsid w:val="00303655"/>
    <w:rsid w:val="0030665A"/>
    <w:rsid w:val="0030676A"/>
    <w:rsid w:val="00314E4A"/>
    <w:rsid w:val="0031756A"/>
    <w:rsid w:val="003262EA"/>
    <w:rsid w:val="00327EB7"/>
    <w:rsid w:val="003434A3"/>
    <w:rsid w:val="00343AAE"/>
    <w:rsid w:val="00356810"/>
    <w:rsid w:val="003677AE"/>
    <w:rsid w:val="00375D5B"/>
    <w:rsid w:val="00376D4E"/>
    <w:rsid w:val="00380C43"/>
    <w:rsid w:val="0039111E"/>
    <w:rsid w:val="00391AD1"/>
    <w:rsid w:val="00392C9A"/>
    <w:rsid w:val="003A7D6B"/>
    <w:rsid w:val="003B3795"/>
    <w:rsid w:val="003B4448"/>
    <w:rsid w:val="003D3B0B"/>
    <w:rsid w:val="003E30AB"/>
    <w:rsid w:val="003F3A9E"/>
    <w:rsid w:val="003F6846"/>
    <w:rsid w:val="00401F63"/>
    <w:rsid w:val="004025DE"/>
    <w:rsid w:val="004116CA"/>
    <w:rsid w:val="0041433B"/>
    <w:rsid w:val="00424B80"/>
    <w:rsid w:val="00427DC8"/>
    <w:rsid w:val="004312A9"/>
    <w:rsid w:val="00451E52"/>
    <w:rsid w:val="00453E1E"/>
    <w:rsid w:val="0046572E"/>
    <w:rsid w:val="004730D0"/>
    <w:rsid w:val="00474010"/>
    <w:rsid w:val="00475B85"/>
    <w:rsid w:val="004841BF"/>
    <w:rsid w:val="004920F2"/>
    <w:rsid w:val="004927D3"/>
    <w:rsid w:val="004A5A43"/>
    <w:rsid w:val="004A6A15"/>
    <w:rsid w:val="004A6A60"/>
    <w:rsid w:val="004A70AA"/>
    <w:rsid w:val="004B03D4"/>
    <w:rsid w:val="004B1F25"/>
    <w:rsid w:val="004B3404"/>
    <w:rsid w:val="004C07B3"/>
    <w:rsid w:val="004C235F"/>
    <w:rsid w:val="004C53B9"/>
    <w:rsid w:val="004D2A8B"/>
    <w:rsid w:val="004E51C9"/>
    <w:rsid w:val="004E6DDB"/>
    <w:rsid w:val="004F3788"/>
    <w:rsid w:val="004F4015"/>
    <w:rsid w:val="00502B20"/>
    <w:rsid w:val="00512487"/>
    <w:rsid w:val="0051465B"/>
    <w:rsid w:val="00522F15"/>
    <w:rsid w:val="00533F25"/>
    <w:rsid w:val="00534324"/>
    <w:rsid w:val="00537113"/>
    <w:rsid w:val="00545ECE"/>
    <w:rsid w:val="00550B07"/>
    <w:rsid w:val="00561431"/>
    <w:rsid w:val="005618CD"/>
    <w:rsid w:val="00563C7C"/>
    <w:rsid w:val="005663EA"/>
    <w:rsid w:val="00567F3B"/>
    <w:rsid w:val="0057486B"/>
    <w:rsid w:val="00581353"/>
    <w:rsid w:val="0059676C"/>
    <w:rsid w:val="005A06AF"/>
    <w:rsid w:val="005A34DF"/>
    <w:rsid w:val="005A5C91"/>
    <w:rsid w:val="005A78E4"/>
    <w:rsid w:val="005A78FC"/>
    <w:rsid w:val="005B5098"/>
    <w:rsid w:val="005B7C2D"/>
    <w:rsid w:val="005C32A8"/>
    <w:rsid w:val="005D2C69"/>
    <w:rsid w:val="005D4B74"/>
    <w:rsid w:val="005D512B"/>
    <w:rsid w:val="005E06D3"/>
    <w:rsid w:val="005E2C16"/>
    <w:rsid w:val="005E5A5D"/>
    <w:rsid w:val="005E76D7"/>
    <w:rsid w:val="005F3AAF"/>
    <w:rsid w:val="005F5A96"/>
    <w:rsid w:val="006012E2"/>
    <w:rsid w:val="00601844"/>
    <w:rsid w:val="00601CC3"/>
    <w:rsid w:val="00605381"/>
    <w:rsid w:val="006063CA"/>
    <w:rsid w:val="00611C63"/>
    <w:rsid w:val="00611E8F"/>
    <w:rsid w:val="006228F2"/>
    <w:rsid w:val="0062392F"/>
    <w:rsid w:val="0062607C"/>
    <w:rsid w:val="00634399"/>
    <w:rsid w:val="00637C5F"/>
    <w:rsid w:val="00637E52"/>
    <w:rsid w:val="00640B4D"/>
    <w:rsid w:val="00646892"/>
    <w:rsid w:val="0067518F"/>
    <w:rsid w:val="006768A7"/>
    <w:rsid w:val="006821D2"/>
    <w:rsid w:val="006866ED"/>
    <w:rsid w:val="0069450B"/>
    <w:rsid w:val="006950DD"/>
    <w:rsid w:val="00696095"/>
    <w:rsid w:val="006A2AF5"/>
    <w:rsid w:val="006A5633"/>
    <w:rsid w:val="006A6035"/>
    <w:rsid w:val="006B1F8C"/>
    <w:rsid w:val="006B299B"/>
    <w:rsid w:val="006B416F"/>
    <w:rsid w:val="006B6188"/>
    <w:rsid w:val="006C3ACD"/>
    <w:rsid w:val="006C3BC3"/>
    <w:rsid w:val="006D1533"/>
    <w:rsid w:val="006D503A"/>
    <w:rsid w:val="006D7423"/>
    <w:rsid w:val="006E144E"/>
    <w:rsid w:val="006E60AC"/>
    <w:rsid w:val="006F18AF"/>
    <w:rsid w:val="006F359C"/>
    <w:rsid w:val="006F3AA3"/>
    <w:rsid w:val="006F495C"/>
    <w:rsid w:val="00702728"/>
    <w:rsid w:val="00702FBA"/>
    <w:rsid w:val="00707140"/>
    <w:rsid w:val="007073B8"/>
    <w:rsid w:val="0072159F"/>
    <w:rsid w:val="00730CBA"/>
    <w:rsid w:val="0073238E"/>
    <w:rsid w:val="00736523"/>
    <w:rsid w:val="00743FFC"/>
    <w:rsid w:val="007525BE"/>
    <w:rsid w:val="00754900"/>
    <w:rsid w:val="00754FB8"/>
    <w:rsid w:val="007610EC"/>
    <w:rsid w:val="00762C51"/>
    <w:rsid w:val="00764320"/>
    <w:rsid w:val="00775DAF"/>
    <w:rsid w:val="007905A4"/>
    <w:rsid w:val="007976F0"/>
    <w:rsid w:val="00797CF4"/>
    <w:rsid w:val="007A0DC3"/>
    <w:rsid w:val="007A48DB"/>
    <w:rsid w:val="007A643F"/>
    <w:rsid w:val="007B0480"/>
    <w:rsid w:val="007C04B6"/>
    <w:rsid w:val="007C2440"/>
    <w:rsid w:val="007C2968"/>
    <w:rsid w:val="007C7E1E"/>
    <w:rsid w:val="007D51D2"/>
    <w:rsid w:val="007E3CC5"/>
    <w:rsid w:val="007F7397"/>
    <w:rsid w:val="008024B5"/>
    <w:rsid w:val="0080517C"/>
    <w:rsid w:val="008120DC"/>
    <w:rsid w:val="00820751"/>
    <w:rsid w:val="00830EE3"/>
    <w:rsid w:val="00842729"/>
    <w:rsid w:val="00844BCF"/>
    <w:rsid w:val="00852969"/>
    <w:rsid w:val="0085524D"/>
    <w:rsid w:val="008612EB"/>
    <w:rsid w:val="00863B95"/>
    <w:rsid w:val="00867559"/>
    <w:rsid w:val="008719D1"/>
    <w:rsid w:val="008724D7"/>
    <w:rsid w:val="00874FF7"/>
    <w:rsid w:val="00881F0A"/>
    <w:rsid w:val="00885F49"/>
    <w:rsid w:val="008A2869"/>
    <w:rsid w:val="008A550E"/>
    <w:rsid w:val="008B005F"/>
    <w:rsid w:val="008B08D9"/>
    <w:rsid w:val="008B5BB4"/>
    <w:rsid w:val="008B72CE"/>
    <w:rsid w:val="008C167B"/>
    <w:rsid w:val="008D7218"/>
    <w:rsid w:val="008E38D6"/>
    <w:rsid w:val="008E4F04"/>
    <w:rsid w:val="008F03DF"/>
    <w:rsid w:val="008F3129"/>
    <w:rsid w:val="008F3583"/>
    <w:rsid w:val="008F5684"/>
    <w:rsid w:val="00904505"/>
    <w:rsid w:val="0091068B"/>
    <w:rsid w:val="009245A1"/>
    <w:rsid w:val="00927831"/>
    <w:rsid w:val="00927C46"/>
    <w:rsid w:val="00934D39"/>
    <w:rsid w:val="0093660E"/>
    <w:rsid w:val="009400A4"/>
    <w:rsid w:val="0094170E"/>
    <w:rsid w:val="00945AC8"/>
    <w:rsid w:val="0095003E"/>
    <w:rsid w:val="00952122"/>
    <w:rsid w:val="00952B3B"/>
    <w:rsid w:val="00960D37"/>
    <w:rsid w:val="009709C5"/>
    <w:rsid w:val="00975CDE"/>
    <w:rsid w:val="009810AE"/>
    <w:rsid w:val="00987544"/>
    <w:rsid w:val="00987EC4"/>
    <w:rsid w:val="00991125"/>
    <w:rsid w:val="009A0554"/>
    <w:rsid w:val="009A1DED"/>
    <w:rsid w:val="009A5AB0"/>
    <w:rsid w:val="009B053A"/>
    <w:rsid w:val="009C334F"/>
    <w:rsid w:val="009C5ABE"/>
    <w:rsid w:val="009C7D7A"/>
    <w:rsid w:val="009E0F3C"/>
    <w:rsid w:val="009E4F01"/>
    <w:rsid w:val="009E78D4"/>
    <w:rsid w:val="009E7C3C"/>
    <w:rsid w:val="009F2F09"/>
    <w:rsid w:val="009F3954"/>
    <w:rsid w:val="009F3E2B"/>
    <w:rsid w:val="009F6463"/>
    <w:rsid w:val="009F6AAA"/>
    <w:rsid w:val="009F7B95"/>
    <w:rsid w:val="00A012F1"/>
    <w:rsid w:val="00A03B35"/>
    <w:rsid w:val="00A15BA7"/>
    <w:rsid w:val="00A32287"/>
    <w:rsid w:val="00A3383D"/>
    <w:rsid w:val="00A41821"/>
    <w:rsid w:val="00A46852"/>
    <w:rsid w:val="00A5061C"/>
    <w:rsid w:val="00A63489"/>
    <w:rsid w:val="00A66FC2"/>
    <w:rsid w:val="00A71F9B"/>
    <w:rsid w:val="00A722FF"/>
    <w:rsid w:val="00A77B3E"/>
    <w:rsid w:val="00A840C8"/>
    <w:rsid w:val="00A90069"/>
    <w:rsid w:val="00A92562"/>
    <w:rsid w:val="00AA1794"/>
    <w:rsid w:val="00AA4DCB"/>
    <w:rsid w:val="00AA5CDF"/>
    <w:rsid w:val="00AA66D1"/>
    <w:rsid w:val="00AB2BF8"/>
    <w:rsid w:val="00AB5E45"/>
    <w:rsid w:val="00AC1E46"/>
    <w:rsid w:val="00AC4DE3"/>
    <w:rsid w:val="00AD0232"/>
    <w:rsid w:val="00AD4208"/>
    <w:rsid w:val="00AE4453"/>
    <w:rsid w:val="00AE4E91"/>
    <w:rsid w:val="00AE65BB"/>
    <w:rsid w:val="00AE6A1D"/>
    <w:rsid w:val="00AE7D06"/>
    <w:rsid w:val="00AF063A"/>
    <w:rsid w:val="00B02EC2"/>
    <w:rsid w:val="00B13F26"/>
    <w:rsid w:val="00B14CC2"/>
    <w:rsid w:val="00B249F6"/>
    <w:rsid w:val="00B3288D"/>
    <w:rsid w:val="00B33BAD"/>
    <w:rsid w:val="00B34849"/>
    <w:rsid w:val="00B37322"/>
    <w:rsid w:val="00B41180"/>
    <w:rsid w:val="00B42162"/>
    <w:rsid w:val="00B56861"/>
    <w:rsid w:val="00B60790"/>
    <w:rsid w:val="00B76E38"/>
    <w:rsid w:val="00B83D96"/>
    <w:rsid w:val="00B84A42"/>
    <w:rsid w:val="00B93D54"/>
    <w:rsid w:val="00BA1019"/>
    <w:rsid w:val="00BA38E5"/>
    <w:rsid w:val="00BA3A97"/>
    <w:rsid w:val="00BA72B3"/>
    <w:rsid w:val="00BB1EC2"/>
    <w:rsid w:val="00BB579B"/>
    <w:rsid w:val="00BB6818"/>
    <w:rsid w:val="00BC1C77"/>
    <w:rsid w:val="00BC4DC2"/>
    <w:rsid w:val="00BD07EE"/>
    <w:rsid w:val="00BD2F75"/>
    <w:rsid w:val="00BE026E"/>
    <w:rsid w:val="00BF102A"/>
    <w:rsid w:val="00BF1EAF"/>
    <w:rsid w:val="00BF2973"/>
    <w:rsid w:val="00BF2B09"/>
    <w:rsid w:val="00BF2D22"/>
    <w:rsid w:val="00C045BF"/>
    <w:rsid w:val="00C07C64"/>
    <w:rsid w:val="00C10825"/>
    <w:rsid w:val="00C122F2"/>
    <w:rsid w:val="00C24861"/>
    <w:rsid w:val="00C3332B"/>
    <w:rsid w:val="00C36C15"/>
    <w:rsid w:val="00C40A26"/>
    <w:rsid w:val="00C45ABB"/>
    <w:rsid w:val="00C57A36"/>
    <w:rsid w:val="00C6414C"/>
    <w:rsid w:val="00C94979"/>
    <w:rsid w:val="00C966DB"/>
    <w:rsid w:val="00CA0870"/>
    <w:rsid w:val="00CA2A55"/>
    <w:rsid w:val="00CA30F6"/>
    <w:rsid w:val="00CB1B93"/>
    <w:rsid w:val="00CB1E8A"/>
    <w:rsid w:val="00CB72D0"/>
    <w:rsid w:val="00CB7985"/>
    <w:rsid w:val="00CC1C3A"/>
    <w:rsid w:val="00CC61CA"/>
    <w:rsid w:val="00CD062E"/>
    <w:rsid w:val="00CD23A3"/>
    <w:rsid w:val="00CE03CA"/>
    <w:rsid w:val="00CE2528"/>
    <w:rsid w:val="00CE6AA1"/>
    <w:rsid w:val="00CF2A5C"/>
    <w:rsid w:val="00CF32E8"/>
    <w:rsid w:val="00D06681"/>
    <w:rsid w:val="00D06B1C"/>
    <w:rsid w:val="00D1599D"/>
    <w:rsid w:val="00D215AB"/>
    <w:rsid w:val="00D245F8"/>
    <w:rsid w:val="00D25F50"/>
    <w:rsid w:val="00D33D01"/>
    <w:rsid w:val="00D41347"/>
    <w:rsid w:val="00D41976"/>
    <w:rsid w:val="00D445D5"/>
    <w:rsid w:val="00D449B2"/>
    <w:rsid w:val="00D4619C"/>
    <w:rsid w:val="00D5726F"/>
    <w:rsid w:val="00D62BD9"/>
    <w:rsid w:val="00D63699"/>
    <w:rsid w:val="00D64F04"/>
    <w:rsid w:val="00D71145"/>
    <w:rsid w:val="00D752E1"/>
    <w:rsid w:val="00D80B34"/>
    <w:rsid w:val="00D83716"/>
    <w:rsid w:val="00D83FA9"/>
    <w:rsid w:val="00D9026A"/>
    <w:rsid w:val="00D96DAA"/>
    <w:rsid w:val="00DA2072"/>
    <w:rsid w:val="00DA5AF2"/>
    <w:rsid w:val="00DB7BF5"/>
    <w:rsid w:val="00DD7847"/>
    <w:rsid w:val="00DE1AC4"/>
    <w:rsid w:val="00DE1ECB"/>
    <w:rsid w:val="00DF2AC5"/>
    <w:rsid w:val="00DF3A0B"/>
    <w:rsid w:val="00E00922"/>
    <w:rsid w:val="00E0351D"/>
    <w:rsid w:val="00E13D63"/>
    <w:rsid w:val="00E223F3"/>
    <w:rsid w:val="00E262D5"/>
    <w:rsid w:val="00E27E7A"/>
    <w:rsid w:val="00E37037"/>
    <w:rsid w:val="00E47F77"/>
    <w:rsid w:val="00E50B70"/>
    <w:rsid w:val="00E541EE"/>
    <w:rsid w:val="00E56163"/>
    <w:rsid w:val="00E63F37"/>
    <w:rsid w:val="00E66952"/>
    <w:rsid w:val="00E7148E"/>
    <w:rsid w:val="00E81576"/>
    <w:rsid w:val="00E85C7E"/>
    <w:rsid w:val="00E86C1E"/>
    <w:rsid w:val="00E91017"/>
    <w:rsid w:val="00E95875"/>
    <w:rsid w:val="00E961C0"/>
    <w:rsid w:val="00EA4A72"/>
    <w:rsid w:val="00EA7B3E"/>
    <w:rsid w:val="00EB177B"/>
    <w:rsid w:val="00EB5A8B"/>
    <w:rsid w:val="00EC1627"/>
    <w:rsid w:val="00EC4397"/>
    <w:rsid w:val="00EC4F4F"/>
    <w:rsid w:val="00EC6BBC"/>
    <w:rsid w:val="00ED437C"/>
    <w:rsid w:val="00ED6B9F"/>
    <w:rsid w:val="00EE0467"/>
    <w:rsid w:val="00EE2A5F"/>
    <w:rsid w:val="00EF1E9A"/>
    <w:rsid w:val="00F077BF"/>
    <w:rsid w:val="00F12A95"/>
    <w:rsid w:val="00F13714"/>
    <w:rsid w:val="00F14BD8"/>
    <w:rsid w:val="00F16438"/>
    <w:rsid w:val="00F20CB6"/>
    <w:rsid w:val="00F21A26"/>
    <w:rsid w:val="00F34765"/>
    <w:rsid w:val="00F41368"/>
    <w:rsid w:val="00F41B73"/>
    <w:rsid w:val="00F471B0"/>
    <w:rsid w:val="00F5070B"/>
    <w:rsid w:val="00F5734B"/>
    <w:rsid w:val="00F60A50"/>
    <w:rsid w:val="00F70F1D"/>
    <w:rsid w:val="00F73752"/>
    <w:rsid w:val="00F82415"/>
    <w:rsid w:val="00F87D04"/>
    <w:rsid w:val="00F900C3"/>
    <w:rsid w:val="00F92618"/>
    <w:rsid w:val="00F956D2"/>
    <w:rsid w:val="00F96651"/>
    <w:rsid w:val="00FA607B"/>
    <w:rsid w:val="00FB3BC0"/>
    <w:rsid w:val="00FB581A"/>
    <w:rsid w:val="00FC21B3"/>
    <w:rsid w:val="00FC4BFA"/>
    <w:rsid w:val="00FD3D88"/>
    <w:rsid w:val="00FD6825"/>
    <w:rsid w:val="00FE1124"/>
    <w:rsid w:val="00FF7BC7"/>
    <w:rsid w:val="00FF7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1B52EF"/>
  <w15:docId w15:val="{E16F15C9-8934-4A4A-AB1A-149C8060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E046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E0467"/>
    <w:rPr>
      <w:sz w:val="18"/>
      <w:szCs w:val="18"/>
    </w:rPr>
  </w:style>
  <w:style w:type="paragraph" w:styleId="a5">
    <w:name w:val="footer"/>
    <w:basedOn w:val="a"/>
    <w:link w:val="a6"/>
    <w:unhideWhenUsed/>
    <w:rsid w:val="00EE0467"/>
    <w:pPr>
      <w:tabs>
        <w:tab w:val="center" w:pos="4153"/>
        <w:tab w:val="right" w:pos="8306"/>
      </w:tabs>
      <w:snapToGrid w:val="0"/>
    </w:pPr>
    <w:rPr>
      <w:sz w:val="18"/>
      <w:szCs w:val="18"/>
    </w:rPr>
  </w:style>
  <w:style w:type="character" w:customStyle="1" w:styleId="a6">
    <w:name w:val="页脚 字符"/>
    <w:basedOn w:val="a0"/>
    <w:link w:val="a5"/>
    <w:rsid w:val="00EE0467"/>
    <w:rPr>
      <w:sz w:val="18"/>
      <w:szCs w:val="18"/>
    </w:rPr>
  </w:style>
  <w:style w:type="paragraph" w:styleId="a7">
    <w:name w:val="caption"/>
    <w:basedOn w:val="a"/>
    <w:next w:val="a"/>
    <w:uiPriority w:val="35"/>
    <w:unhideWhenUsed/>
    <w:qFormat/>
    <w:rsid w:val="00E0351D"/>
    <w:pPr>
      <w:spacing w:after="200"/>
    </w:pPr>
    <w:rPr>
      <w:rFonts w:asciiTheme="minorHAnsi" w:eastAsiaTheme="minorHAnsi" w:hAnsiTheme="minorHAnsi" w:cstheme="minorBidi"/>
      <w:i/>
      <w:iCs/>
      <w:color w:val="1F497D" w:themeColor="text2"/>
      <w:sz w:val="18"/>
      <w:szCs w:val="18"/>
    </w:rPr>
  </w:style>
  <w:style w:type="table" w:styleId="a8">
    <w:name w:val="Table Grid"/>
    <w:basedOn w:val="a1"/>
    <w:uiPriority w:val="39"/>
    <w:rsid w:val="00E0351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734226">
      <w:bodyDiv w:val="1"/>
      <w:marLeft w:val="0"/>
      <w:marRight w:val="0"/>
      <w:marTop w:val="0"/>
      <w:marBottom w:val="0"/>
      <w:divBdr>
        <w:top w:val="none" w:sz="0" w:space="0" w:color="auto"/>
        <w:left w:val="none" w:sz="0" w:space="0" w:color="auto"/>
        <w:bottom w:val="none" w:sz="0" w:space="0" w:color="auto"/>
        <w:right w:val="none" w:sz="0" w:space="0" w:color="auto"/>
      </w:divBdr>
    </w:div>
    <w:div w:id="1073163515">
      <w:bodyDiv w:val="1"/>
      <w:marLeft w:val="0"/>
      <w:marRight w:val="0"/>
      <w:marTop w:val="0"/>
      <w:marBottom w:val="0"/>
      <w:divBdr>
        <w:top w:val="none" w:sz="0" w:space="0" w:color="auto"/>
        <w:left w:val="none" w:sz="0" w:space="0" w:color="auto"/>
        <w:bottom w:val="none" w:sz="0" w:space="0" w:color="auto"/>
        <w:right w:val="none" w:sz="0" w:space="0" w:color="auto"/>
      </w:divBdr>
    </w:div>
    <w:div w:id="1378818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DA20B-2C34-4FAB-BE55-092744BE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28</Pages>
  <Words>5759</Words>
  <Characters>32831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xiang li</dc:creator>
  <cp:lastModifiedBy>jiaping yan</cp:lastModifiedBy>
  <cp:revision>6</cp:revision>
  <dcterms:created xsi:type="dcterms:W3CDTF">2021-09-01T02:46:00Z</dcterms:created>
  <dcterms:modified xsi:type="dcterms:W3CDTF">2021-09-02T08:44:00Z</dcterms:modified>
</cp:coreProperties>
</file>